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</w:pPr>
      <w:r>
        <w:rPr>
          <w:rFonts w:ascii="Calibri" w:cs="Calibri" w:eastAsia="Calibri" w:hAnsi="Calibri"/>
          <w:b/>
          <w:bCs/>
          <w:color w:val="1F3A4D"/>
          <w:sz w:val="26"/>
          <w:szCs w:val="26"/>
        </w:rPr>
        <w:t xml:space="preserve">Form Energy · Interview Sheet</w:t>
      </w:r>
    </w:p>
    <w:p>
      <w:pPr>
        <w:pBdr>
          <w:bottom w:val="single" w:color="1F3A4D" w:sz="6" w:space="4"/>
        </w:pBdr>
        <w:spacing w:after="110"/>
      </w:pP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Mechanical Engineer II, Hydrogen System. Say it in your own words. Know every number cold.</w:t>
      </w:r>
    </w:p>
    <w:p>
      <w:pPr>
        <w:shd w:fill="0B6E5F" w:val="clear"/>
        <w:spacing w:after="44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60-SECOND PITCH</w:t>
      </w:r>
    </w:p>
    <w:p>
      <w:pPr>
        <w:spacing w:after="40" w:line="248"/>
      </w:pPr>
      <w:r>
        <w:rPr>
          <w:rFonts w:ascii="Calibri" w:cs="Calibri" w:eastAsia="Calibri" w:hAnsi="Calibri"/>
          <w:color w:val="111111"/>
          <w:sz w:val="15"/>
          <w:szCs w:val="15"/>
        </w:rPr>
        <w:t xml:space="preserve">I’m a mechanical engineer with an M.S. from UCSD in thermal-fluids, extreme-environment hardware, and system modeling, bridging multiphysics modeling with hands-on lab execution. At Zap Energy I qualified porous refractory metals and modeled multi-phase thermal-fluid transport in COMSOL under ultra-high-vacuum and high-pressure gas protocols. At UCSD I built and ran custom test rigs that characterized critical heat flux up to 600 W/cm². Most recently, as a DOE Marine Energy Fellow, I built system-level virtual twins and optimization pipelines that model battery-constrained power systems from real hardware telemetry. I’m drawn to Form because my background bridges physical multi-phase fluid behavior with the system-level thermal and power modeling that long-duration storage needs.</w:t>
      </w:r>
    </w:p>
    <w:p>
      <w:pPr>
        <w:shd w:fill="6C3EA6" w:val="clear"/>
        <w:spacing w:after="44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CORE NARRATIVE MATRIX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860"/>
        <w:gridCol w:w="7940"/>
      </w:tblGrid>
      <w:tr>
        <w:tc>
          <w:tcPr>
            <w:tcW w:type="pct" w:w="26%"/>
            <w:shd w:fill="F0EEF6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3EA6"/>
                <w:sz w:val="15"/>
                <w:szCs w:val="15"/>
              </w:rPr>
              <w:t xml:space="preserve">Thermal-hydraulics &amp; pressure-drop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4D"/>
                <w:sz w:val="14"/>
                <w:szCs w:val="14"/>
              </w:rPr>
              <w:t xml:space="preserve">Zap + UCSD:  </w:t>
            </w: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COMSOL porous-media transport, pressure-drop (ΔP), Darcy’s Law, Young-Laplace capillary limits; CHF characterized up to 600 W/cm² on custom wicking rigs.</w:t>
            </w:r>
          </w:p>
        </w:tc>
      </w:tr>
      <w:tr>
        <w:tc>
          <w:tcPr>
            <w:tcW w:type="pct" w:w="26%"/>
            <w:shd w:fill="F0EEF6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3EA6"/>
                <w:sz w:val="15"/>
                <w:szCs w:val="15"/>
              </w:rPr>
              <w:t xml:space="preserve">Multi-phase flow &amp; corrosive media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4D"/>
                <w:sz w:val="14"/>
                <w:szCs w:val="14"/>
              </w:rPr>
              <w:t xml:space="preserve">UIUC:  </w:t>
            </w: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CaCO₃ scale morphology, wettability gradients, bubble nucleation, multi-phase falling-film transport.</w:t>
            </w:r>
          </w:p>
        </w:tc>
      </w:tr>
      <w:tr>
        <w:tc>
          <w:tcPr>
            <w:tcW w:type="pct" w:w="26%"/>
            <w:shd w:fill="F0EEF6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3EA6"/>
                <w:sz w:val="15"/>
                <w:szCs w:val="15"/>
              </w:rPr>
              <w:t xml:space="preserve">Hazardous ops &amp; protocols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4D"/>
                <w:sz w:val="14"/>
                <w:szCs w:val="14"/>
              </w:rPr>
              <w:t xml:space="preserve">Zap operations:  </w:t>
            </w: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LOTO, ultra-high vacuum, compressed high-pressure gas; authored SOPs and hardware acceptance criteria.</w:t>
            </w:r>
          </w:p>
        </w:tc>
      </w:tr>
      <w:tr>
        <w:tc>
          <w:tcPr>
            <w:tcW w:type="pct" w:w="26%"/>
            <w:shd w:fill="F0EEF6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3EA6"/>
                <w:sz w:val="15"/>
                <w:szCs w:val="15"/>
              </w:rPr>
              <w:t xml:space="preserve">System modeling &amp; telemetry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4D"/>
                <w:sz w:val="14"/>
                <w:szCs w:val="14"/>
              </w:rPr>
              <w:t xml:space="preserve">MarineSitu twin:  </w:t>
            </w: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1.2 kWh LiFePO4, 100 W solar, loads of 1.7 W base + 33.7 W camera; found ~15% SOC error in flat-voltage regions; zero battery-floor breaches at 23% duty cycle.</w:t>
            </w:r>
          </w:p>
        </w:tc>
      </w:tr>
    </w:tbl>
    <w:p>
      <w:pPr>
        <w:shd w:fill="B4531A" w:val="clear"/>
        <w:spacing w:after="44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ROOT-CAUSE STORY (lead with this for "hard problem")</w:t>
      </w:r>
    </w:p>
    <w:p>
      <w:pPr>
        <w:spacing w:after="22"/>
        <w:ind w:left="230" w:hanging="200"/>
      </w:pPr>
      <w:r>
        <w:rPr>
          <w:rFonts w:ascii="Calibri" w:cs="Calibri" w:eastAsia="Calibri" w:hAnsi="Calibri"/>
          <w:b/>
          <w:bCs/>
          <w:color w:val="B4531A"/>
          <w:sz w:val="14"/>
          <w:szCs w:val="14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5"/>
          <w:szCs w:val="15"/>
        </w:rPr>
        <w:t xml:space="preserve">Problem: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solar harvest on an off-grid buoy collapsed over weeks, looking like panel degradation or fouling.</w:t>
      </w:r>
    </w:p>
    <w:p>
      <w:pPr>
        <w:spacing w:after="22"/>
        <w:ind w:left="230" w:hanging="200"/>
      </w:pPr>
      <w:r>
        <w:rPr>
          <w:rFonts w:ascii="Calibri" w:cs="Calibri" w:eastAsia="Calibri" w:hAnsi="Calibri"/>
          <w:b/>
          <w:bCs/>
          <w:color w:val="B4531A"/>
          <w:sz w:val="14"/>
          <w:szCs w:val="14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5"/>
          <w:szCs w:val="15"/>
        </w:rPr>
        <w:t xml:space="preserve">Diagnostic: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instead of trusting output numbers, parsed raw charge-controller state codes (Bulk / Absorption / Float) against battery-voltage telemetry.</w:t>
      </w:r>
    </w:p>
    <w:p>
      <w:pPr>
        <w:spacing w:after="22"/>
        <w:ind w:left="230" w:hanging="200"/>
      </w:pPr>
      <w:r>
        <w:rPr>
          <w:rFonts w:ascii="Calibri" w:cs="Calibri" w:eastAsia="Calibri" w:hAnsi="Calibri"/>
          <w:b/>
          <w:bCs/>
          <w:color w:val="B4531A"/>
          <w:sz w:val="14"/>
          <w:szCs w:val="14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5"/>
          <w:szCs w:val="15"/>
        </w:rPr>
        <w:t xml:space="preserve">Root cause: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0% was panel degradation. The controller was curtailing on reaching Float; a separate multi-day outage was an unhandled state-code lockup. Two distinct issues separated, no added sensor cost.</w:t>
      </w:r>
    </w:p>
    <w:p>
      <w:pPr>
        <w:shd w:fill="C62828" w:val="clear"/>
        <w:spacing w:after="44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HYDROGEN TECHNICAL (a technical screen will go here)</w:t>
      </w:r>
    </w:p>
    <w:p>
      <w:pPr>
        <w:spacing w:after="22"/>
        <w:ind w:left="230" w:hanging="200"/>
      </w:pPr>
      <w:r>
        <w:rPr>
          <w:rFonts w:ascii="Calibri" w:cs="Calibri" w:eastAsia="Calibri" w:hAnsi="Calibri"/>
          <w:b/>
          <w:bCs/>
          <w:color w:val="C62828"/>
          <w:sz w:val="14"/>
          <w:szCs w:val="14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5"/>
          <w:szCs w:val="15"/>
        </w:rPr>
        <w:t xml:space="preserve">Why H₂ exists: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iron-air = reversible rusting in alkaline electrolyte; on charge, a parasitic hydrogen-evolution reaction splits water instead of reducing iron. That H₂ is what the system manages.</w:t>
      </w:r>
    </w:p>
    <w:p>
      <w:pPr>
        <w:spacing w:after="22"/>
        <w:ind w:left="230" w:hanging="200"/>
      </w:pPr>
      <w:r>
        <w:rPr>
          <w:rFonts w:ascii="Calibri" w:cs="Calibri" w:eastAsia="Calibri" w:hAnsi="Calibri"/>
          <w:b/>
          <w:bCs/>
          <w:color w:val="C62828"/>
          <w:sz w:val="14"/>
          <w:szCs w:val="14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5"/>
          <w:szCs w:val="15"/>
        </w:rPr>
        <w:t xml:space="preserve">The 4 hazards: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buoyant (vent high), wide flammability 4-75% (dilute below 4%), tiny ignition energy ~0.02 mJ (kill ignition sources), invisible/odorless (must detect).</w:t>
      </w:r>
    </w:p>
    <w:p>
      <w:pPr>
        <w:spacing w:after="22"/>
        <w:ind w:left="230" w:hanging="200"/>
      </w:pPr>
      <w:r>
        <w:rPr>
          <w:rFonts w:ascii="Calibri" w:cs="Calibri" w:eastAsia="Calibri" w:hAnsi="Calibri"/>
          <w:b/>
          <w:bCs/>
          <w:color w:val="C62828"/>
          <w:sz w:val="14"/>
          <w:szCs w:val="14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5"/>
          <w:szCs w:val="15"/>
        </w:rPr>
        <w:t xml:space="preserve">Materials: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hydrogen embrittlement → avoid high-strength steel, use 316L or aluminum; watch permeation in seals.</w:t>
      </w:r>
    </w:p>
    <w:p>
      <w:pPr>
        <w:spacing w:after="22"/>
        <w:ind w:left="230" w:hanging="200"/>
      </w:pPr>
      <w:r>
        <w:rPr>
          <w:rFonts w:ascii="Calibri" w:cs="Calibri" w:eastAsia="Calibri" w:hAnsi="Calibri"/>
          <w:b/>
          <w:bCs/>
          <w:color w:val="C62828"/>
          <w:sz w:val="14"/>
          <w:szCs w:val="14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5"/>
          <w:szCs w:val="15"/>
        </w:rPr>
        <w:t xml:space="preserve">If pushed on electrochemistry: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"I understand it at the systems level, not as an electrochemist." Honest.</w:t>
      </w:r>
    </w:p>
    <w:p>
      <w:pPr>
        <w:shd w:fill="1E63C4" w:val="clear"/>
        <w:spacing w:after="44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QUESTIONS I ASK</w:t>
      </w:r>
    </w:p>
    <w:p>
      <w:pPr>
        <w:spacing w:after="22"/>
        <w:ind w:left="230" w:hanging="200"/>
      </w:pPr>
      <w:r>
        <w:rPr>
          <w:rFonts w:ascii="Calibri" w:cs="Calibri" w:eastAsia="Calibri" w:hAnsi="Calibri"/>
          <w:b/>
          <w:bCs/>
          <w:color w:val="1E63C4"/>
          <w:sz w:val="14"/>
          <w:szCs w:val="14"/>
        </w:rPr>
        <w:t xml:space="preserve">▸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As Form scales to volume at Form Factory 1, what’s the primary technical bottleneck in the hydrogen distribution and manifolding assemblies?</w:t>
      </w:r>
    </w:p>
    <w:p>
      <w:pPr>
        <w:spacing w:after="22"/>
        <w:ind w:left="230" w:hanging="200"/>
      </w:pPr>
      <w:r>
        <w:rPr>
          <w:rFonts w:ascii="Calibri" w:cs="Calibri" w:eastAsia="Calibri" w:hAnsi="Calibri"/>
          <w:b/>
          <w:bCs/>
          <w:color w:val="1E63C4"/>
          <w:sz w:val="14"/>
          <w:szCs w:val="14"/>
        </w:rPr>
        <w:t xml:space="preserve">▸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How closely does your COMSOL thermal-hydraulic modeling match full-scale stack telemetry over multi-day cycles, and where’s the largest delta?</w:t>
      </w:r>
    </w:p>
    <w:p>
      <w:pPr>
        <w:spacing w:after="22"/>
        <w:ind w:left="230" w:hanging="200"/>
      </w:pPr>
      <w:r>
        <w:rPr>
          <w:rFonts w:ascii="Calibri" w:cs="Calibri" w:eastAsia="Calibri" w:hAnsi="Calibri"/>
          <w:b/>
          <w:bCs/>
          <w:color w:val="1E63C4"/>
          <w:sz w:val="14"/>
          <w:szCs w:val="14"/>
        </w:rPr>
        <w:t xml:space="preserve">▸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How are mechanical responsibilities split between fast-turn prototype testing and long-term reliability for 20-year deployments?</w:t>
      </w:r>
    </w:p>
    <w:p>
      <w:pPr>
        <w:pBdr>
          <w:top w:val="single" w:color="1F3A4D" w:sz="4" w:space="5"/>
        </w:pBdr>
        <w:spacing w:after="10" w:before="110"/>
      </w:pPr>
      <w:r>
        <w:rPr>
          <w:rFonts w:ascii="Calibri" w:cs="Calibri" w:eastAsia="Calibri" w:hAnsi="Calibri"/>
          <w:b/>
          <w:bCs/>
          <w:color w:val="1F3A4D"/>
          <w:sz w:val="15"/>
          <w:szCs w:val="15"/>
        </w:rPr>
        <w:t xml:space="preserve">Watch-outs: </w:t>
      </w:r>
      <w:r>
        <w:rPr>
          <w:rFonts w:ascii="Calibri" w:cs="Calibri" w:eastAsia="Calibri" w:hAnsi="Calibri"/>
          <w:color w:val="222222"/>
          <w:sz w:val="15"/>
          <w:szCs w:val="15"/>
        </w:rPr>
        <w:t xml:space="preserve">say "characterized" not "achieved" on the 600 W/cm² (you contributed, second author). Load = 1.7 W + 33.7 W. If asked about pressure-systems or manifold design, be honest: fluid/thermal analysis and gas/vacuum ops, not productized pressure hardware. Let the pitch breathe.</w:t>
      </w:r>
    </w:p>
    <w:sectPr>
      <w:pgSz w:w="11906" w:h="16838" w:orient="portrait"/>
      <w:pgMar w:top="560" w:right="900" w:bottom="4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2026-08-23T19:12:50.568Z</dcterms:created>
  <dcterms:modified xsi:type="dcterms:W3CDTF">2026-08-23T19:12:50.584Z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