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Fluid2Chip — Field Engineer, Data Center Liquid Cooling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28,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Fluid2Chip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High-density liquid cooling is what makes or breaks a modern data center, and getting it right is a field discipline as much as a design one. A loop that models perfectly can still fail on day one because of how it was flushed, filled, or installed. I want to be the person on-site who understands both the mechanical and the chemical side of these systems well enough to catch those problems before they become failures.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hands-on work has been in exactly this kind of fluid-system commissioning, at prototype scale. I have built, filled, flushed, started up, and operated instrumented water-cooling and two-phase cooling loops, authored the startup procedures and safety assessments behind them, and run them under safety-critical protocols. I am comfortable documenting daily field conditions and, just as importantly, spotting when something is off. Chasing anomalies like water-level drift and flow inconsistencies to root cause, and escalating them early, is how I have always worked.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What may set me apart for this role is the chemistry side. My published research is on cooling-water fouling and scale, including how CaCO₂ crystallizes on heat-transfer surfaces and how coatings and wettability change fouling behavior. I understand why flush-and-fill and fluid chemistry matter to the long-term reliability of a closed-loop system, not just as a procedure but as a failure mechanism, which is unusual to find alongside mechanical field experience.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straight about the bridge: my commissioning has been at lab and prototype scale, not yet on active data-center construction sites, and I have not used Procore or Autodesk tools. What I bring is genuine fluid-systems judgment, disciplined documentation, and the temperament this role asks for, observant, professional, and calm under pressure. I pick up new tools and site procedures quickly, and I am ready to travel up to 75 percent.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would welcome the chance to talk about where I could contribute in the field. Thank you for your consideration.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Best regards,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2026-07-28T21:35:33.193Z</dcterms:created>
  <dcterms:modified xsi:type="dcterms:W3CDTF">2026-07-28T21:35:33.193Z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