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Ocean Atomics — Thermal/Hydraulics Engineer (Bethesda, MD)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25,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Ocean Atomics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A standardized maritime reactor is a genuinely hard thermal-hydraulics problem, and the ship-motion and space constraints make it harder still. What drew me to this role is that its core is the exact physics I have spent my career on: two-phase flow, boiling heat transfer, and critical heat flux, the quantities that set coolant behavior and departure-from-nucleate-boiling margins. Bringing that background to a reactor coolant system, at sea, is work I would be genuinely excited to do.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depth is in the boiling and high-heat-flux regime. At UIUC I studied pool boiling and bubble-nucleation dynamics on micro-structured surfaces, exactly the nucleation-to-departure behavior that governs thermal margins, using automated DAQ, heater control, and high-speed imaging, and I validated two-phase behavior against Ansys Fluent CFD. At UCSD I designed and ran high-heat-flux test rigs to a critical heat flux of 600 W/cm², owning the pressure-drop and heat-transfer calcs myself (Darcy’s Law, Young-Laplace). CHF, two-phase flow, pressure drop, and flow distribution are the quantities I have spent years measuring, modeling, and reconciling.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One of your responsibilities is incorporating test data into analytical models through validation, calibration, and benchmarking, and that is exactly how I work. I have built the rigs, taken the data, and reconciled it against CFD, and when the model and the hardware disagree I chase the discrepancy to root cause rather than tuning it away. I would bring that same discipline to partnering with your testing team, defining instrumentation and conditions, and targeting the data most valuable to the design.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currently work in marine energy at MarineSitu, so the ocean environment and ship-driven constraints are already familiar. I will be straight about the bridge: my two-phase and CHF experience is not yet in a reactor context, and I have not run subchannel codes like COBRA or VIPRE or performed licensed DNBR analysis. But the governing physics is the same, my CFD and Fluent work transfers directly, and I pick up new codes fast. Your posting says most of this resonating is enough, and it resonates strongly.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a U.S. Citizen, which I understand supports access under 10 CFR Part 810. Building real, lasting energy infrastructure at sea is exactly the kind of mission I want to put long hours into, and I would welcome the chance to talk about where I could contribute.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2026-07-25T14:03:15.920Z</dcterms:created>
  <dcterms:modified xsi:type="dcterms:W3CDTF">2026-07-25T14:03:15.920Z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