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aps/>
          <w:color w:val="1F3A4D"/>
          <w:sz w:val="34"/>
          <w:szCs w:val="34"/>
        </w:rPr>
        <w:t xml:space="preserve">Aditi Kalle</w:t>
      </w:r>
    </w:p>
    <w:p>
      <w:pPr>
        <w:pBdr>
          <w:bottom w:val="single" w:color="1F3A4D" w:sz="6" w:space="6"/>
        </w:pBdr>
        <w:spacing w:after="110"/>
      </w:pPr>
      <w:r>
        <w:rPr>
          <w:rFonts w:ascii="Calibri" w:cs="Calibri" w:eastAsia="Calibri" w:hAnsi="Calibri"/>
          <w:color w:val="444444"/>
          <w:sz w:val="17"/>
          <w:szCs w:val="17"/>
        </w:rPr>
        <w:t xml:space="preserve">217-200-3419  ·  etadmk@gmail.com  ·  linkedin.com/in/aditikalle  ·  Seattle, WA  ·  U.S. Citizen</w:t>
      </w:r>
    </w:p>
    <w:p>
      <w:pPr>
        <w:spacing w:after="50"/>
      </w:pPr>
      <w:r>
        <w:rPr>
          <w:rFonts w:ascii="Calibri" w:cs="Calibri" w:eastAsia="Calibri" w:hAnsi="Calibri"/>
          <w:color w:val="111111"/>
          <w:sz w:val="18"/>
          <w:szCs w:val="18"/>
        </w:rPr>
        <w:t xml:space="preserve">Test and evaluation engineer with hands-on lab test operations experience: developing test methods and detailed procedures, building and instrumenting test setups, managing DAQ and calibration, and reviewing data through to reporting. Characterized electrical power systems from field data and work across electrical, firmware, and mechanical subsystems. Strong with CAD and simulation tools, and don’t stop until I have both the how and the why.</w:t>
      </w:r>
    </w:p>
    <w:p>
      <w:pPr>
        <w:pBdr>
          <w:bottom w:val="single" w:color="1F3A4D" w:sz="4" w:space="2"/>
        </w:pBdr>
        <w:spacing w:after="70" w:before="150"/>
      </w:pPr>
      <w:r>
        <w:rPr>
          <w:rFonts w:ascii="Calibri" w:cs="Calibri" w:eastAsia="Calibri" w:hAnsi="Calibri"/>
          <w:b/>
          <w:bCs/>
          <w:caps/>
          <w:color w:val="1F3A4D"/>
          <w:sz w:val="20"/>
          <w:szCs w:val="20"/>
        </w:rPr>
        <w:t xml:space="preserve">Technical Skills</w:t>
      </w:r>
    </w:p>
    <w:p>
      <w:pPr>
        <w:spacing w:after="28"/>
      </w:pPr>
      <w:r>
        <w:rPr>
          <w:rFonts w:ascii="Calibri" w:cs="Calibri" w:eastAsia="Calibri" w:hAnsi="Calibri"/>
          <w:b/>
          <w:bCs/>
          <w:color w:val="1F3A4D"/>
          <w:sz w:val="18"/>
          <w:szCs w:val="18"/>
        </w:rPr>
        <w:t xml:space="preserve">Lab Test &amp; Evaluation:  </w:t>
      </w:r>
      <w:r>
        <w:rPr>
          <w:rFonts w:ascii="Calibri" w:cs="Calibri" w:eastAsia="Calibri" w:hAnsi="Calibri"/>
          <w:color w:val="111111"/>
          <w:sz w:val="18"/>
          <w:szCs w:val="18"/>
        </w:rPr>
        <w:t xml:space="preserve">Lab test operations, test-method development and verification, detailed test procedures, instrumentation and configuration definition, test execution and risk mitigation, off-nominal data review, test reporting.</w:t>
      </w:r>
    </w:p>
    <w:p>
      <w:pPr>
        <w:spacing w:after="28"/>
      </w:pPr>
      <w:r>
        <w:rPr>
          <w:rFonts w:ascii="Calibri" w:cs="Calibri" w:eastAsia="Calibri" w:hAnsi="Calibri"/>
          <w:b/>
          <w:bCs/>
          <w:color w:val="1F3A4D"/>
          <w:sz w:val="18"/>
          <w:szCs w:val="18"/>
        </w:rPr>
        <w:t xml:space="preserve">Instrumentation, DAQ &amp; Calibration:  </w:t>
      </w:r>
      <w:r>
        <w:rPr>
          <w:rFonts w:ascii="Calibri" w:cs="Calibri" w:eastAsia="Calibri" w:hAnsi="Calibri"/>
          <w:color w:val="111111"/>
          <w:sz w:val="18"/>
          <w:szCs w:val="18"/>
        </w:rPr>
        <w:t xml:space="preserve">DAQ / heater control, sensor and thermocouple instrumentation, sensor calibration, calibration-system troubleshooting, automated test systems, high-speed imaging.</w:t>
      </w:r>
    </w:p>
    <w:p>
      <w:pPr>
        <w:spacing w:after="28"/>
      </w:pPr>
      <w:r>
        <w:rPr>
          <w:rFonts w:ascii="Calibri" w:cs="Calibri" w:eastAsia="Calibri" w:hAnsi="Calibri"/>
          <w:b/>
          <w:bCs/>
          <w:color w:val="1F3A4D"/>
          <w:sz w:val="18"/>
          <w:szCs w:val="18"/>
        </w:rPr>
        <w:t xml:space="preserve">Electrical &amp; Power Systems:  </w:t>
      </w:r>
      <w:r>
        <w:rPr>
          <w:rFonts w:ascii="Calibri" w:cs="Calibri" w:eastAsia="Calibri" w:hAnsi="Calibri"/>
          <w:color w:val="111111"/>
          <w:sz w:val="18"/>
          <w:szCs w:val="18"/>
        </w:rPr>
        <w:t xml:space="preserve">Off-grid power-system characterization (battery, solar, MPPT charge control, load analysis), cross-functional electrical / firmware / mechanical integration, telemetry data analysis, power budgeting.</w:t>
      </w:r>
    </w:p>
    <w:p>
      <w:pPr>
        <w:spacing w:after="28"/>
      </w:pPr>
      <w:r>
        <w:rPr>
          <w:rFonts w:ascii="Calibri" w:cs="Calibri" w:eastAsia="Calibri" w:hAnsi="Calibri"/>
          <w:b/>
          <w:bCs/>
          <w:color w:val="1F3A4D"/>
          <w:sz w:val="18"/>
          <w:szCs w:val="18"/>
        </w:rPr>
        <w:t xml:space="preserve">CAD, Simulation &amp; Software:  </w:t>
      </w:r>
      <w:r>
        <w:rPr>
          <w:rFonts w:ascii="Calibri" w:cs="Calibri" w:eastAsia="Calibri" w:hAnsi="Calibri"/>
          <w:color w:val="111111"/>
          <w:sz w:val="18"/>
          <w:szCs w:val="18"/>
        </w:rPr>
        <w:t xml:space="preserve">SolidWorks CAD, COMSOL Multiphysics and Ansys Fluent (CFD) simulation, MATLAB, Python (NumPy, pandas, OpenCV, scikit-learn), Microsoft Office, Git.</w:t>
      </w:r>
    </w:p>
    <w:p>
      <w:pPr>
        <w:pBdr>
          <w:bottom w:val="single" w:color="1F3A4D" w:sz="4" w:space="2"/>
        </w:pBdr>
        <w:spacing w:after="70" w:before="150"/>
      </w:pPr>
      <w:r>
        <w:rPr>
          <w:rFonts w:ascii="Calibri" w:cs="Calibri" w:eastAsia="Calibri" w:hAnsi="Calibri"/>
          <w:b/>
          <w:bCs/>
          <w:caps/>
          <w:color w:val="1F3A4D"/>
          <w:sz w:val="20"/>
          <w:szCs w:val="20"/>
        </w:rPr>
        <w:t xml:space="preserve">Experience</w:t>
      </w:r>
    </w:p>
    <w:p>
      <w:pPr>
        <w:tabs>
          <w:tab w:val="right" w:pos="10160"/>
        </w:tabs>
        <w:spacing w:after="8" w:before="110"/>
      </w:pPr>
      <w:r>
        <w:rPr>
          <w:rFonts w:ascii="Calibri" w:cs="Calibri" w:eastAsia="Calibri" w:hAnsi="Calibri"/>
          <w:b/>
          <w:bCs/>
          <w:color w:val="000000"/>
          <w:sz w:val="19"/>
          <w:szCs w:val="19"/>
        </w:rPr>
        <w:t xml:space="preserve">Marine Energy Fellow (DOE / ORISE)</w:t>
      </w:r>
      <w:r>
        <w:rPr>
          <w:rFonts w:ascii="Calibri" w:cs="Calibri" w:eastAsia="Calibri" w:hAnsi="Calibri"/>
          <w:color w:val="444444"/>
          <w:sz w:val="18"/>
          <w:szCs w:val="18"/>
        </w:rPr>
        <w:t xml:space="preserve">   MarineSitu · Seattle, WA</w:t>
      </w:r>
      <w:r>
        <w:rPr>
          <w:rFonts w:ascii="Calibri" w:cs="Calibri" w:eastAsia="Calibri" w:hAnsi="Calibri"/>
          <w:i/>
          <w:iCs/>
          <w:color w:val="444444"/>
          <w:sz w:val="17"/>
          <w:szCs w:val="17"/>
        </w:rPr>
        <w:t xml:space="preserve">	2025 – Present</w:t>
      </w:r>
    </w:p>
    <w:p>
      <w:pPr>
        <w:pStyle w:val="ListParagraph"/>
        <w:numPr>
          <w:ilvl w:val="0"/>
          <w:numId w:val="2"/>
        </w:numPr>
        <w:spacing w:after="32"/>
      </w:pPr>
      <w:r>
        <w:rPr>
          <w:rFonts w:ascii="Calibri" w:cs="Calibri" w:eastAsia="Calibri" w:hAnsi="Calibri"/>
          <w:b/>
          <w:bCs/>
          <w:color w:val="111111"/>
          <w:sz w:val="18"/>
          <w:szCs w:val="18"/>
        </w:rPr>
        <w:t xml:space="preserve">Electrical power systems: </w:t>
      </w:r>
      <w:r>
        <w:rPr>
          <w:rFonts w:ascii="Calibri" w:cs="Calibri" w:eastAsia="Calibri" w:hAnsi="Calibri"/>
          <w:color w:val="111111"/>
          <w:sz w:val="18"/>
          <w:szCs w:val="18"/>
        </w:rPr>
        <w:t xml:space="preserve">Characterized an off-grid electrical power system (12 V 100 Ah LiFePO4 battery, 100 W solar, MPPT charge control, instrumented loads) from 35 days of field telemetry, reviewing off-nominal data and deriving a validated power budget.</w:t>
      </w:r>
    </w:p>
    <w:p>
      <w:pPr>
        <w:pStyle w:val="ListParagraph"/>
        <w:numPr>
          <w:ilvl w:val="0"/>
          <w:numId w:val="2"/>
        </w:numPr>
        <w:spacing w:after="32"/>
      </w:pPr>
      <w:r>
        <w:rPr>
          <w:rFonts w:ascii="Calibri" w:cs="Calibri" w:eastAsia="Calibri" w:hAnsi="Calibri"/>
          <w:b/>
          <w:bCs/>
          <w:color w:val="111111"/>
          <w:sz w:val="18"/>
          <w:szCs w:val="18"/>
        </w:rPr>
        <w:t xml:space="preserve">Cross-functional integration &amp; data: </w:t>
      </w:r>
      <w:r>
        <w:rPr>
          <w:rFonts w:ascii="Calibri" w:cs="Calibri" w:eastAsia="Calibri" w:hAnsi="Calibri"/>
          <w:color w:val="111111"/>
          <w:sz w:val="18"/>
          <w:szCs w:val="18"/>
        </w:rPr>
        <w:t xml:space="preserve">Drive integration and issue resolution across electrical, firmware, and mechanical subsystems on a live platform; built Python tools to analyze, process, and format telemetry data for stakeholders.</w:t>
      </w:r>
    </w:p>
    <w:p>
      <w:pPr>
        <w:tabs>
          <w:tab w:val="right" w:pos="10160"/>
        </w:tabs>
        <w:spacing w:after="8" w:before="110"/>
      </w:pPr>
      <w:r>
        <w:rPr>
          <w:rFonts w:ascii="Calibri" w:cs="Calibri" w:eastAsia="Calibri" w:hAnsi="Calibri"/>
          <w:b/>
          <w:bCs/>
          <w:color w:val="000000"/>
          <w:sz w:val="19"/>
          <w:szCs w:val="19"/>
        </w:rPr>
        <w:t xml:space="preserve">Graduate Research Assistant</w:t>
      </w:r>
      <w:r>
        <w:rPr>
          <w:rFonts w:ascii="Calibri" w:cs="Calibri" w:eastAsia="Calibri" w:hAnsi="Calibri"/>
          <w:color w:val="444444"/>
          <w:sz w:val="18"/>
          <w:szCs w:val="18"/>
        </w:rPr>
        <w:t xml:space="preserve">   Thermal Energy Materials &amp; Physics Lab, UCSD</w:t>
      </w:r>
      <w:r>
        <w:rPr>
          <w:rFonts w:ascii="Calibri" w:cs="Calibri" w:eastAsia="Calibri" w:hAnsi="Calibri"/>
          <w:i/>
          <w:iCs/>
          <w:color w:val="444444"/>
          <w:sz w:val="17"/>
          <w:szCs w:val="17"/>
        </w:rPr>
        <w:t xml:space="preserve">	2022 – 2023</w:t>
      </w:r>
    </w:p>
    <w:p>
      <w:pPr>
        <w:pStyle w:val="ListParagraph"/>
        <w:numPr>
          <w:ilvl w:val="0"/>
          <w:numId w:val="2"/>
        </w:numPr>
        <w:spacing w:after="32"/>
      </w:pPr>
      <w:r>
        <w:rPr>
          <w:rFonts w:ascii="Calibri" w:cs="Calibri" w:eastAsia="Calibri" w:hAnsi="Calibri"/>
          <w:b/>
          <w:bCs/>
          <w:color w:val="111111"/>
          <w:sz w:val="18"/>
          <w:szCs w:val="18"/>
        </w:rPr>
        <w:t xml:space="preserve">Lab test operations: </w:t>
      </w:r>
      <w:r>
        <w:rPr>
          <w:rFonts w:ascii="Calibri" w:cs="Calibri" w:eastAsia="Calibri" w:hAnsi="Calibri"/>
          <w:color w:val="111111"/>
          <w:sz w:val="18"/>
          <w:szCs w:val="18"/>
        </w:rPr>
        <w:t xml:space="preserve">Designed, fabricated, and operated instrumented test rigs; developed detailed test procedures, managed DAQ / thermocouple instrumentation and sensor calibration, and reviewed test data for quality before reporting.</w:t>
      </w:r>
    </w:p>
    <w:p>
      <w:pPr>
        <w:pStyle w:val="ListParagraph"/>
        <w:numPr>
          <w:ilvl w:val="0"/>
          <w:numId w:val="2"/>
        </w:numPr>
        <w:spacing w:after="32"/>
      </w:pPr>
      <w:r>
        <w:rPr>
          <w:rFonts w:ascii="Calibri" w:cs="Calibri" w:eastAsia="Calibri" w:hAnsi="Calibri"/>
          <w:b/>
          <w:bCs/>
          <w:color w:val="111111"/>
          <w:sz w:val="18"/>
          <w:szCs w:val="18"/>
        </w:rPr>
        <w:t xml:space="preserve">Root cause &amp; troubleshooting: </w:t>
      </w:r>
      <w:r>
        <w:rPr>
          <w:rFonts w:ascii="Calibri" w:cs="Calibri" w:eastAsia="Calibri" w:hAnsi="Calibri"/>
          <w:color w:val="111111"/>
          <w:sz w:val="18"/>
          <w:szCs w:val="18"/>
        </w:rPr>
        <w:t xml:space="preserve">Ran every anomaly to root cause, including instrumentation and calibration faults, sensor drift, and off-nominal readings, implementing corrective actions so failures could not recur across repeated campaigns.</w:t>
      </w:r>
    </w:p>
    <w:p>
      <w:pPr>
        <w:tabs>
          <w:tab w:val="right" w:pos="10160"/>
        </w:tabs>
        <w:spacing w:after="8" w:before="110"/>
      </w:pPr>
      <w:r>
        <w:rPr>
          <w:rFonts w:ascii="Calibri" w:cs="Calibri" w:eastAsia="Calibri" w:hAnsi="Calibri"/>
          <w:b/>
          <w:bCs/>
          <w:color w:val="000000"/>
          <w:sz w:val="19"/>
          <w:szCs w:val="19"/>
        </w:rPr>
        <w:t xml:space="preserve">Research Intern, Advanced Materials Group</w:t>
      </w:r>
      <w:r>
        <w:rPr>
          <w:rFonts w:ascii="Calibri" w:cs="Calibri" w:eastAsia="Calibri" w:hAnsi="Calibri"/>
          <w:color w:val="444444"/>
          <w:sz w:val="18"/>
          <w:szCs w:val="18"/>
        </w:rPr>
        <w:t xml:space="preserve">   Zap Energy</w:t>
      </w:r>
      <w:r>
        <w:rPr>
          <w:rFonts w:ascii="Calibri" w:cs="Calibri" w:eastAsia="Calibri" w:hAnsi="Calibri"/>
          <w:i/>
          <w:iCs/>
          <w:color w:val="444444"/>
          <w:sz w:val="17"/>
          <w:szCs w:val="17"/>
        </w:rPr>
        <w:t xml:space="preserve">	2024</w:t>
      </w:r>
    </w:p>
    <w:p>
      <w:pPr>
        <w:pStyle w:val="ListParagraph"/>
        <w:numPr>
          <w:ilvl w:val="0"/>
          <w:numId w:val="2"/>
        </w:numPr>
        <w:spacing w:after="32"/>
      </w:pPr>
      <w:r>
        <w:rPr>
          <w:rFonts w:ascii="Calibri" w:cs="Calibri" w:eastAsia="Calibri" w:hAnsi="Calibri"/>
          <w:b/>
          <w:bCs/>
          <w:color w:val="111111"/>
          <w:sz w:val="18"/>
          <w:szCs w:val="18"/>
        </w:rPr>
        <w:t xml:space="preserve">Test methods &amp; procedures: </w:t>
      </w:r>
      <w:r>
        <w:rPr>
          <w:rFonts w:ascii="Calibri" w:cs="Calibri" w:eastAsia="Calibri" w:hAnsi="Calibri"/>
          <w:color w:val="111111"/>
          <w:sz w:val="18"/>
          <w:szCs w:val="18"/>
        </w:rPr>
        <w:t xml:space="preserve">Authored test setups, procedures, and hardware acceptance criteria; ran high-vacuum and thermal test under human-safety-critical protocols (LOTO) and led interdisciplinary design reviews.</w:t>
      </w:r>
    </w:p>
    <w:p>
      <w:pPr>
        <w:tabs>
          <w:tab w:val="right" w:pos="10160"/>
        </w:tabs>
        <w:spacing w:after="8" w:before="110"/>
      </w:pPr>
      <w:r>
        <w:rPr>
          <w:rFonts w:ascii="Calibri" w:cs="Calibri" w:eastAsia="Calibri" w:hAnsi="Calibri"/>
          <w:b/>
          <w:bCs/>
          <w:color w:val="000000"/>
          <w:sz w:val="19"/>
          <w:szCs w:val="19"/>
        </w:rPr>
        <w:t xml:space="preserve">Visiting Scholar</w:t>
      </w:r>
      <w:r>
        <w:rPr>
          <w:rFonts w:ascii="Calibri" w:cs="Calibri" w:eastAsia="Calibri" w:hAnsi="Calibri"/>
          <w:color w:val="444444"/>
          <w:sz w:val="18"/>
          <w:szCs w:val="18"/>
        </w:rPr>
        <w:t xml:space="preserve">   Energy &amp; Multiphase Flow Lab, UIUC</w:t>
      </w:r>
      <w:r>
        <w:rPr>
          <w:rFonts w:ascii="Calibri" w:cs="Calibri" w:eastAsia="Calibri" w:hAnsi="Calibri"/>
          <w:i/>
          <w:iCs/>
          <w:color w:val="444444"/>
          <w:sz w:val="17"/>
          <w:szCs w:val="17"/>
        </w:rPr>
        <w:t xml:space="preserve">	2021 – 2022</w:t>
      </w:r>
    </w:p>
    <w:p>
      <w:pPr>
        <w:pStyle w:val="ListParagraph"/>
        <w:numPr>
          <w:ilvl w:val="0"/>
          <w:numId w:val="2"/>
        </w:numPr>
        <w:spacing w:after="32"/>
      </w:pPr>
      <w:r>
        <w:rPr>
          <w:rFonts w:ascii="Calibri" w:cs="Calibri" w:eastAsia="Calibri" w:hAnsi="Calibri"/>
          <w:b/>
          <w:bCs/>
          <w:color w:val="111111"/>
          <w:sz w:val="18"/>
          <w:szCs w:val="18"/>
        </w:rPr>
        <w:t xml:space="preserve">Automated test &amp; data analysis: </w:t>
      </w:r>
      <w:r>
        <w:rPr>
          <w:rFonts w:ascii="Calibri" w:cs="Calibri" w:eastAsia="Calibri" w:hAnsi="Calibri"/>
          <w:color w:val="111111"/>
          <w:sz w:val="18"/>
          <w:szCs w:val="18"/>
        </w:rPr>
        <w:t xml:space="preserve">Built and operated an automated test system with DAQ, heater control, and high-speed imaging; developed a Python pipeline to process and analyze test data, validated against Ansys Fluent simulation.</w:t>
      </w:r>
    </w:p>
    <w:p>
      <w:pPr>
        <w:pBdr>
          <w:bottom w:val="single" w:color="1F3A4D" w:sz="4" w:space="2"/>
        </w:pBdr>
        <w:spacing w:after="70" w:before="150"/>
      </w:pPr>
      <w:r>
        <w:rPr>
          <w:rFonts w:ascii="Calibri" w:cs="Calibri" w:eastAsia="Calibri" w:hAnsi="Calibri"/>
          <w:b/>
          <w:bCs/>
          <w:caps/>
          <w:color w:val="1F3A4D"/>
          <w:sz w:val="20"/>
          <w:szCs w:val="20"/>
        </w:rPr>
        <w:t xml:space="preserve">Selected Project</w:t>
      </w:r>
    </w:p>
    <w:p>
      <w:pPr>
        <w:pStyle w:val="ListParagraph"/>
        <w:numPr>
          <w:ilvl w:val="0"/>
          <w:numId w:val="2"/>
        </w:numPr>
        <w:spacing w:after="32"/>
      </w:pPr>
      <w:r>
        <w:rPr>
          <w:rFonts w:ascii="Calibri" w:cs="Calibri" w:eastAsia="Calibri" w:hAnsi="Calibri"/>
          <w:b/>
          <w:bCs/>
          <w:color w:val="111111"/>
          <w:sz w:val="18"/>
          <w:szCs w:val="18"/>
        </w:rPr>
        <w:t xml:space="preserve">Transient 2D heat-conduction solver (Python/NumPy).</w:t>
      </w:r>
      <w:r>
        <w:rPr>
          <w:rFonts w:ascii="Calibri" w:cs="Calibri" w:eastAsia="Calibri" w:hAnsi="Calibri"/>
          <w:color w:val="111111"/>
          <w:sz w:val="18"/>
          <w:szCs w:val="18"/>
        </w:rPr>
        <w:t xml:space="preserve"> Built an explicit finite-difference (FTCS) solver for the 2D transient heat equation with an embedded heat source, mixed boundary conditions, and a stability check, using it as an analytical tool to verify expected behavior.</w:t>
      </w:r>
    </w:p>
    <w:p>
      <w:pPr>
        <w:pBdr>
          <w:bottom w:val="single" w:color="1F3A4D" w:sz="4" w:space="2"/>
        </w:pBdr>
        <w:spacing w:after="70" w:before="150"/>
      </w:pPr>
      <w:r>
        <w:rPr>
          <w:rFonts w:ascii="Calibri" w:cs="Calibri" w:eastAsia="Calibri" w:hAnsi="Calibri"/>
          <w:b/>
          <w:bCs/>
          <w:caps/>
          <w:color w:val="1F3A4D"/>
          <w:sz w:val="20"/>
          <w:szCs w:val="20"/>
        </w:rPr>
        <w:t xml:space="preserve">Education</w:t>
      </w:r>
    </w:p>
    <w:p>
      <w:pPr>
        <w:spacing w:after="18"/>
      </w:pPr>
      <w:r>
        <w:rPr>
          <w:rFonts w:ascii="Calibri" w:cs="Calibri" w:eastAsia="Calibri" w:hAnsi="Calibri"/>
          <w:b/>
          <w:bCs/>
          <w:color w:val="111111"/>
          <w:sz w:val="18"/>
          <w:szCs w:val="18"/>
        </w:rPr>
        <w:t xml:space="preserve">M.S., Mechanical Engineering</w:t>
      </w:r>
      <w:r>
        <w:rPr>
          <w:rFonts w:ascii="Calibri" w:cs="Calibri" w:eastAsia="Calibri" w:hAnsi="Calibri"/>
          <w:color w:val="111111"/>
          <w:sz w:val="18"/>
          <w:szCs w:val="18"/>
        </w:rPr>
        <w:t xml:space="preserve">  ·  University of California, San Diego (UCSD)</w:t>
      </w:r>
    </w:p>
    <w:p>
      <w:pPr>
        <w:spacing w:after="18"/>
      </w:pPr>
      <w:r>
        <w:rPr>
          <w:rFonts w:ascii="Calibri" w:cs="Calibri" w:eastAsia="Calibri" w:hAnsi="Calibri"/>
          <w:b/>
          <w:bCs/>
          <w:color w:val="111111"/>
          <w:sz w:val="18"/>
          <w:szCs w:val="18"/>
        </w:rPr>
        <w:t xml:space="preserve">Visiting Scholar, Mechanical Engineering</w:t>
      </w:r>
      <w:r>
        <w:rPr>
          <w:rFonts w:ascii="Calibri" w:cs="Calibri" w:eastAsia="Calibri" w:hAnsi="Calibri"/>
          <w:color w:val="111111"/>
          <w:sz w:val="18"/>
          <w:szCs w:val="18"/>
        </w:rPr>
        <w:t xml:space="preserve">  ·  University of Illinois Urbana-Champaign (UIUC)</w:t>
      </w:r>
    </w:p>
    <w:p>
      <w:pPr>
        <w:pBdr>
          <w:bottom w:val="single" w:color="1F3A4D" w:sz="4" w:space="2"/>
        </w:pBdr>
        <w:spacing w:after="70" w:before="150"/>
      </w:pPr>
      <w:r>
        <w:rPr>
          <w:rFonts w:ascii="Calibri" w:cs="Calibri" w:eastAsia="Calibri" w:hAnsi="Calibri"/>
          <w:b/>
          <w:bCs/>
          <w:caps/>
          <w:color w:val="1F3A4D"/>
          <w:sz w:val="20"/>
          <w:szCs w:val="20"/>
        </w:rPr>
        <w:t xml:space="preserve">Publications</w:t>
      </w:r>
    </w:p>
    <w:p>
      <w:pPr>
        <w:pStyle w:val="ListParagraph"/>
        <w:numPr>
          <w:ilvl w:val="0"/>
          <w:numId w:val="2"/>
        </w:numPr>
        <w:spacing w:after="32"/>
      </w:pPr>
      <w:r>
        <w:rPr>
          <w:rFonts w:ascii="Calibri" w:cs="Calibri" w:eastAsia="Calibri" w:hAnsi="Calibri"/>
          <w:color w:val="111111"/>
          <w:sz w:val="18"/>
          <w:szCs w:val="18"/>
        </w:rPr>
        <w:t xml:space="preserve">Jin et al., “Falling-film evaporation in heat exchangers,” ASME Journal of Heat and Mass Transfer (2024).</w:t>
      </w:r>
    </w:p>
    <w:p>
      <w:pPr>
        <w:pStyle w:val="ListParagraph"/>
        <w:numPr>
          <w:ilvl w:val="0"/>
          <w:numId w:val="2"/>
        </w:numPr>
        <w:spacing w:after="32"/>
      </w:pPr>
      <w:r>
        <w:rPr>
          <w:rFonts w:ascii="Calibri" w:cs="Calibri" w:eastAsia="Calibri" w:hAnsi="Calibri"/>
          <w:color w:val="111111"/>
          <w:sz w:val="18"/>
          <w:szCs w:val="18"/>
        </w:rPr>
        <w:t xml:space="preserve">Jin et al., “Anti-fouling surface treatments for solar-driven desalination,” Desalination (2023).</w:t>
      </w:r>
    </w:p>
    <w:sectPr>
      <w:pgSz w:w="11906" w:h="16838" w:orient="portrait"/>
      <w:pgMar w:top="850" w:right="1020" w:bottom="8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60"/>
      </w:pPr>
      <w:rPr>
        <w:color w:val="1F3A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2026-07-30T18:31:16.651Z</dcterms:created>
  <dcterms:modified xsi:type="dcterms:W3CDTF">2026-07-30T18:31:16.695Z</dcterms:modified>
</cp:coreProperties>
</file>

<file path=docProps/custom.xml><?xml version="1.0" encoding="utf-8"?>
<Properties xmlns="http://schemas.openxmlformats.org/officeDocument/2006/custom-properties" xmlns:vt="http://schemas.openxmlformats.org/officeDocument/2006/docPropsVTypes"/>
</file>