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aps/>
          <w:color w:val="1F3A4D"/>
          <w:sz w:val="34"/>
          <w:szCs w:val="34"/>
        </w:rPr>
        <w:t xml:space="preserve">Aditi Kalle</w:t>
      </w:r>
    </w:p>
    <w:p>
      <w:pPr>
        <w:pBdr>
          <w:bottom w:val="single" w:color="1F3A4D" w:sz="6" w:space="6"/>
        </w:pBdr>
        <w:spacing w:after="120"/>
      </w:pPr>
      <w:r>
        <w:rPr>
          <w:rFonts w:ascii="Calibri" w:cs="Calibri" w:eastAsia="Calibri" w:hAnsi="Calibri"/>
          <w:color w:val="444444"/>
          <w:sz w:val="17"/>
          <w:szCs w:val="17"/>
        </w:rPr>
        <w:t xml:space="preserve">217-200-3419  ·  etadmk@gmail.com  ·  linkedin.com/in/aditikalle  ·  U.S. Citizen</w:t>
      </w:r>
    </w:p>
    <w:p>
      <w:pPr>
        <w:spacing w:after="60"/>
      </w:pPr>
      <w:r>
        <w:rPr>
          <w:rFonts w:ascii="Calibri" w:cs="Calibri" w:eastAsia="Calibri" w:hAnsi="Calibri"/>
          <w:color w:val="111111"/>
          <w:sz w:val="18"/>
          <w:szCs w:val="18"/>
        </w:rPr>
        <w:t xml:space="preserve">Fluid-systems and test engineer with hands-on experience building, filling, flushing, starting up, and troubleshooting instrumented liquid-cooling systems, and with published research on cooling-water fouling and scale chemistry. Comfortable in fast-moving, cross-functional, safety-critical environments; strong at documentation, spotting installation and operational issues early, and escalating them clearly. Own problems end to end and don’t stop until I have both the how and the why.</w:t>
      </w:r>
    </w:p>
    <w:p>
      <w:pPr>
        <w:pBdr>
          <w:bottom w:val="single" w:color="1F3A4D" w:sz="4" w:space="2"/>
        </w:pBdr>
        <w:spacing w:after="80" w:before="180"/>
      </w:pPr>
      <w:r>
        <w:rPr>
          <w:rFonts w:ascii="Calibri" w:cs="Calibri" w:eastAsia="Calibri" w:hAnsi="Calibri"/>
          <w:b/>
          <w:bCs/>
          <w:caps/>
          <w:color w:val="1F3A4D"/>
          <w:sz w:val="20"/>
          <w:szCs w:val="20"/>
        </w:rPr>
        <w:t xml:space="preserve">Technical Skills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F3A4D"/>
          <w:sz w:val="18"/>
          <w:szCs w:val="18"/>
        </w:rPr>
        <w:t xml:space="preserve">Liquid &amp; Closed-Loop Cooling:  </w:t>
      </w:r>
      <w:r>
        <w:rPr>
          <w:rFonts w:ascii="Calibri" w:cs="Calibri" w:eastAsia="Calibri" w:hAnsi="Calibri"/>
          <w:color w:val="111111"/>
          <w:sz w:val="18"/>
          <w:szCs w:val="18"/>
        </w:rPr>
        <w:t xml:space="preserve">Cold plates, heat exchangers, water-based and two-phase cooling loops, direct-to-chip cooling, flow distribution, pressure-drop, fill/purge and startup.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F3A4D"/>
          <w:sz w:val="18"/>
          <w:szCs w:val="18"/>
        </w:rPr>
        <w:t xml:space="preserve">Commissioning &amp; Startup:  </w:t>
      </w:r>
      <w:r>
        <w:rPr>
          <w:rFonts w:ascii="Calibri" w:cs="Calibri" w:eastAsia="Calibri" w:hAnsi="Calibri"/>
          <w:color w:val="111111"/>
          <w:sz w:val="18"/>
          <w:szCs w:val="18"/>
        </w:rPr>
        <w:t xml:space="preserve">Build, fill, flush, startup, and operational-readiness testing of instrumented fluid systems; test-procedure authoring; hardware acceptance criteria; safety assessments (LOTO, compressed gas, high-vacuum).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F3A4D"/>
          <w:sz w:val="18"/>
          <w:szCs w:val="18"/>
        </w:rPr>
        <w:t xml:space="preserve">Fluid Chemistry &amp; Reliability:  </w:t>
      </w:r>
      <w:r>
        <w:rPr>
          <w:rFonts w:ascii="Calibri" w:cs="Calibri" w:eastAsia="Calibri" w:hAnsi="Calibri"/>
          <w:color w:val="111111"/>
          <w:sz w:val="18"/>
          <w:szCs w:val="18"/>
        </w:rPr>
        <w:t xml:space="preserve">Crystallization fouling and CaCO₂ scale mechanisms, surface wettability and coatings, water-transport troubleshooting, fouling-layer and flow-distribution analysis.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F3A4D"/>
          <w:sz w:val="18"/>
          <w:szCs w:val="18"/>
        </w:rPr>
        <w:t xml:space="preserve">Documentation &amp; Field:  </w:t>
      </w:r>
      <w:r>
        <w:rPr>
          <w:rFonts w:ascii="Calibri" w:cs="Calibri" w:eastAsia="Calibri" w:hAnsi="Calibri"/>
          <w:color w:val="111111"/>
          <w:sz w:val="18"/>
          <w:szCs w:val="18"/>
        </w:rPr>
        <w:t xml:space="preserve">Daily test reporting, procedure and safety documentation, photographic and SEM characterization, root-cause investigation and escalation, cross-functional coordination; Microsoft Office, Python (Pandas, OpenCV).</w:t>
      </w:r>
    </w:p>
    <w:p>
      <w:pPr>
        <w:pBdr>
          <w:bottom w:val="single" w:color="1F3A4D" w:sz="4" w:space="2"/>
        </w:pBdr>
        <w:spacing w:after="80" w:before="180"/>
      </w:pPr>
      <w:r>
        <w:rPr>
          <w:rFonts w:ascii="Calibri" w:cs="Calibri" w:eastAsia="Calibri" w:hAnsi="Calibri"/>
          <w:b/>
          <w:bCs/>
          <w:caps/>
          <w:color w:val="1F3A4D"/>
          <w:sz w:val="20"/>
          <w:szCs w:val="20"/>
        </w:rPr>
        <w:t xml:space="preserve">Experience</w:t>
      </w:r>
    </w:p>
    <w:p>
      <w:pPr>
        <w:tabs>
          <w:tab w:val="right" w:pos="10080"/>
        </w:tabs>
        <w:spacing w:after="10" w:before="120"/>
      </w:pP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Marine Energy Fellow (WPTO)</w:t>
      </w:r>
      <w:r>
        <w:rPr>
          <w:rFonts w:ascii="Calibri" w:cs="Calibri" w:eastAsia="Calibri" w:hAnsi="Calibri"/>
          <w:color w:val="444444"/>
          <w:sz w:val="18"/>
          <w:szCs w:val="18"/>
        </w:rPr>
        <w:t xml:space="preserve">   MarineSitu / DOE ORISE</w:t>
      </w:r>
      <w:r>
        <w:rPr>
          <w:rFonts w:ascii="Calibri" w:cs="Calibri" w:eastAsia="Calibri" w:hAnsi="Calibri"/>
          <w:i/>
          <w:iCs/>
          <w:color w:val="444444"/>
          <w:sz w:val="17"/>
          <w:szCs w:val="17"/>
        </w:rPr>
        <w:t xml:space="preserve">	2025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color w:val="111111"/>
          <w:sz w:val="18"/>
          <w:szCs w:val="18"/>
        </w:rPr>
        <w:t xml:space="preserve">Field-deployed systems: </w:t>
      </w:r>
      <w:r>
        <w:rPr>
          <w:rFonts w:ascii="Calibri" w:cs="Calibri" w:eastAsia="Calibri" w:hAnsi="Calibri"/>
          <w:color w:val="111111"/>
          <w:sz w:val="18"/>
          <w:szCs w:val="18"/>
        </w:rPr>
        <w:t xml:space="preserve">Drive cross-functional coordination across electrical, firmware, and mechanical subsystems on a live, field-deployed platform; own the hardware status registry and track issue resolution end to end.</w:t>
      </w:r>
    </w:p>
    <w:p>
      <w:pPr>
        <w:tabs>
          <w:tab w:val="right" w:pos="10080"/>
        </w:tabs>
        <w:spacing w:after="10" w:before="120"/>
      </w:pP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Research Intern — Advanced Materials Group</w:t>
      </w:r>
      <w:r>
        <w:rPr>
          <w:rFonts w:ascii="Calibri" w:cs="Calibri" w:eastAsia="Calibri" w:hAnsi="Calibri"/>
          <w:color w:val="444444"/>
          <w:sz w:val="18"/>
          <w:szCs w:val="18"/>
        </w:rPr>
        <w:t xml:space="preserve">   Zap Energy</w:t>
      </w:r>
      <w:r>
        <w:rPr>
          <w:rFonts w:ascii="Calibri" w:cs="Calibri" w:eastAsia="Calibri" w:hAnsi="Calibri"/>
          <w:i/>
          <w:iCs/>
          <w:color w:val="444444"/>
          <w:sz w:val="17"/>
          <w:szCs w:val="17"/>
        </w:rPr>
        <w:t xml:space="preserve">	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color w:val="111111"/>
          <w:sz w:val="18"/>
          <w:szCs w:val="18"/>
        </w:rPr>
        <w:t xml:space="preserve">Procedures &amp; safety: </w:t>
      </w:r>
      <w:r>
        <w:rPr>
          <w:rFonts w:ascii="Calibri" w:cs="Calibri" w:eastAsia="Calibri" w:hAnsi="Calibri"/>
          <w:color w:val="111111"/>
          <w:sz w:val="18"/>
          <w:szCs w:val="18"/>
        </w:rPr>
        <w:t xml:space="preserve">Operated high-vacuum and compressed-gas systems under human-safety-critical protocols (LOTO); authored test setups, startup procedures, and hardware acceptance criteria, and led interdisciplinary design reviews.</w:t>
      </w:r>
    </w:p>
    <w:p>
      <w:pPr>
        <w:tabs>
          <w:tab w:val="right" w:pos="10080"/>
        </w:tabs>
        <w:spacing w:after="10" w:before="120"/>
      </w:pP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Graduate Research Assistant</w:t>
      </w:r>
      <w:r>
        <w:rPr>
          <w:rFonts w:ascii="Calibri" w:cs="Calibri" w:eastAsia="Calibri" w:hAnsi="Calibri"/>
          <w:color w:val="444444"/>
          <w:sz w:val="18"/>
          <w:szCs w:val="18"/>
        </w:rPr>
        <w:t xml:space="preserve">   Thermal Energy Materials &amp; Physics Lab, UCSD</w:t>
      </w:r>
      <w:r>
        <w:rPr>
          <w:rFonts w:ascii="Calibri" w:cs="Calibri" w:eastAsia="Calibri" w:hAnsi="Calibri"/>
          <w:i/>
          <w:iCs/>
          <w:color w:val="444444"/>
          <w:sz w:val="17"/>
          <w:szCs w:val="17"/>
        </w:rPr>
        <w:t xml:space="preserve">	2022 – 2023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color w:val="111111"/>
          <w:sz w:val="18"/>
          <w:szCs w:val="18"/>
        </w:rPr>
        <w:t xml:space="preserve">Cooling-loop commissioning: </w:t>
      </w:r>
      <w:r>
        <w:rPr>
          <w:rFonts w:ascii="Calibri" w:cs="Calibri" w:eastAsia="Calibri" w:hAnsi="Calibri"/>
          <w:color w:val="111111"/>
          <w:sz w:val="18"/>
          <w:szCs w:val="18"/>
        </w:rPr>
        <w:t xml:space="preserve">Built, filled, started up, and operated instrumented water-cooling test rigs; managed DAQ instrumentation and documented daily test procedures and safety assessments.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color w:val="111111"/>
          <w:sz w:val="18"/>
          <w:szCs w:val="18"/>
        </w:rPr>
        <w:t xml:space="preserve">Issue spotting &amp; root cause: </w:t>
      </w:r>
      <w:r>
        <w:rPr>
          <w:rFonts w:ascii="Calibri" w:cs="Calibri" w:eastAsia="Calibri" w:hAnsi="Calibri"/>
          <w:color w:val="111111"/>
          <w:sz w:val="18"/>
          <w:szCs w:val="18"/>
        </w:rPr>
        <w:t xml:space="preserve">Caught and ran down operational anomalies, including water-level drift, capillary stiction, and flow inconsistencies, escalating and correcting them before they compromised results.</w:t>
      </w:r>
    </w:p>
    <w:p>
      <w:pPr>
        <w:tabs>
          <w:tab w:val="right" w:pos="10080"/>
        </w:tabs>
        <w:spacing w:after="10" w:before="120"/>
      </w:pP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Visiting Scholar</w:t>
      </w:r>
      <w:r>
        <w:rPr>
          <w:rFonts w:ascii="Calibri" w:cs="Calibri" w:eastAsia="Calibri" w:hAnsi="Calibri"/>
          <w:color w:val="444444"/>
          <w:sz w:val="18"/>
          <w:szCs w:val="18"/>
        </w:rPr>
        <w:t xml:space="preserve">   Energy &amp; Multiphase Flow Lab, UIUC</w:t>
      </w:r>
      <w:r>
        <w:rPr>
          <w:rFonts w:ascii="Calibri" w:cs="Calibri" w:eastAsia="Calibri" w:hAnsi="Calibri"/>
          <w:i/>
          <w:iCs/>
          <w:color w:val="444444"/>
          <w:sz w:val="17"/>
          <w:szCs w:val="17"/>
        </w:rPr>
        <w:t xml:space="preserve">	2021 – 2022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color w:val="111111"/>
          <w:sz w:val="18"/>
          <w:szCs w:val="18"/>
        </w:rPr>
        <w:t xml:space="preserve">Cooling-water fouling &amp; chemistry: </w:t>
      </w:r>
      <w:r>
        <w:rPr>
          <w:rFonts w:ascii="Calibri" w:cs="Calibri" w:eastAsia="Calibri" w:hAnsi="Calibri"/>
          <w:color w:val="111111"/>
          <w:sz w:val="18"/>
          <w:szCs w:val="18"/>
        </w:rPr>
        <w:t xml:space="preserve">Ran falling-film evaporation experiments on stainless and polymer cooling tubes, evaluating coatings, wettability, and groove patterns on scaling and heat-transfer efficiency; characterized CaCO₂ scale morphology by SEM on treated versus untreated surfaces.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color w:val="111111"/>
          <w:sz w:val="18"/>
          <w:szCs w:val="18"/>
        </w:rPr>
        <w:t xml:space="preserve">Flow diagnostics: </w:t>
      </w:r>
      <w:r>
        <w:rPr>
          <w:rFonts w:ascii="Calibri" w:cs="Calibri" w:eastAsia="Calibri" w:hAnsi="Calibri"/>
          <w:color w:val="111111"/>
          <w:sz w:val="18"/>
          <w:szCs w:val="18"/>
        </w:rPr>
        <w:t xml:space="preserve">Built a Python/OpenCV pipeline to quantify fouling-layer growth, liquid retention, and flow distribution across the tube surface.</w:t>
      </w:r>
    </w:p>
    <w:p>
      <w:pPr>
        <w:pBdr>
          <w:bottom w:val="single" w:color="1F3A4D" w:sz="4" w:space="2"/>
        </w:pBdr>
        <w:spacing w:after="80" w:before="180"/>
      </w:pPr>
      <w:r>
        <w:rPr>
          <w:rFonts w:ascii="Calibri" w:cs="Calibri" w:eastAsia="Calibri" w:hAnsi="Calibri"/>
          <w:b/>
          <w:bCs/>
          <w:caps/>
          <w:color w:val="1F3A4D"/>
          <w:sz w:val="20"/>
          <w:szCs w:val="20"/>
        </w:rPr>
        <w:t xml:space="preserve">Education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11111"/>
          <w:sz w:val="18"/>
          <w:szCs w:val="18"/>
        </w:rPr>
        <w:t xml:space="preserve">M.S., Mechanical Engineering</w:t>
      </w:r>
      <w:r>
        <w:rPr>
          <w:rFonts w:ascii="Calibri" w:cs="Calibri" w:eastAsia="Calibri" w:hAnsi="Calibri"/>
          <w:color w:val="111111"/>
          <w:sz w:val="18"/>
          <w:szCs w:val="18"/>
        </w:rPr>
        <w:t xml:space="preserve">  —  University of California, San Diego (UCSD)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11111"/>
          <w:sz w:val="18"/>
          <w:szCs w:val="18"/>
        </w:rPr>
        <w:t xml:space="preserve">Visiting Scholar, Mechanical Engineering</w:t>
      </w:r>
      <w:r>
        <w:rPr>
          <w:rFonts w:ascii="Calibri" w:cs="Calibri" w:eastAsia="Calibri" w:hAnsi="Calibri"/>
          <w:color w:val="111111"/>
          <w:sz w:val="18"/>
          <w:szCs w:val="18"/>
        </w:rPr>
        <w:t xml:space="preserve">  —  University of Illinois Urbana-Champaign (UIUC)</w:t>
      </w:r>
    </w:p>
    <w:p>
      <w:pPr>
        <w:pBdr>
          <w:bottom w:val="single" w:color="1F3A4D" w:sz="4" w:space="2"/>
        </w:pBdr>
        <w:spacing w:after="80" w:before="180"/>
      </w:pPr>
      <w:r>
        <w:rPr>
          <w:rFonts w:ascii="Calibri" w:cs="Calibri" w:eastAsia="Calibri" w:hAnsi="Calibri"/>
          <w:b/>
          <w:bCs/>
          <w:caps/>
          <w:color w:val="1F3A4D"/>
          <w:sz w:val="20"/>
          <w:szCs w:val="20"/>
        </w:rPr>
        <w:t xml:space="preserve">Publications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11111"/>
          <w:sz w:val="18"/>
          <w:szCs w:val="18"/>
        </w:rPr>
        <w:t xml:space="preserve">Jin et al., “Falling-film evaporation in heat exchangers,” ASME Journal of Heat and Mass Transfer (2024).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11111"/>
          <w:sz w:val="18"/>
          <w:szCs w:val="18"/>
        </w:rPr>
        <w:t xml:space="preserve">Jin et al., “Anti-fouling surface treatments for solar-driven desalination,” Desalination (2023).</w:t>
      </w:r>
    </w:p>
    <w:sectPr>
      <w:pgSz w:w="11906" w:h="16838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160"/>
      </w:pPr>
      <w:rPr>
        <w:color w:val="1F3A4D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2026-07-28T21:35:33.163Z</dcterms:created>
  <dcterms:modified xsi:type="dcterms:W3CDTF">2026-07-28T21:35:33.176Z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