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aps/>
          <w:color w:val="1F3A4D"/>
          <w:sz w:val="34"/>
          <w:szCs w:val="34"/>
        </w:rPr>
        <w:t xml:space="preserve">Aditi Kalle</w:t>
      </w:r>
    </w:p>
    <w:p>
      <w:pPr>
        <w:pBdr>
          <w:bottom w:val="single" w:color="1F3A4D" w:sz="6" w:space="6"/>
        </w:pBdr>
        <w:spacing w:after="110"/>
      </w:pPr>
      <w:r>
        <w:rPr>
          <w:rFonts w:ascii="Calibri" w:cs="Calibri" w:eastAsia="Calibri" w:hAnsi="Calibri"/>
          <w:color w:val="444444"/>
          <w:sz w:val="17"/>
          <w:szCs w:val="17"/>
        </w:rPr>
        <w:t xml:space="preserve">217-200-3419  ·  etadmk@gmail.com  ·  linkedin.com/in/aditikalle  ·  Seattle, WA  ·  U.S. Citizen</w:t>
      </w:r>
    </w:p>
    <w:p>
      <w:pPr>
        <w:spacing w:after="50"/>
      </w:pPr>
      <w:r>
        <w:rPr>
          <w:rFonts w:ascii="Calibri" w:cs="Calibri" w:eastAsia="Calibri" w:hAnsi="Calibri"/>
          <w:color w:val="111111"/>
          <w:sz w:val="18"/>
          <w:szCs w:val="18"/>
        </w:rPr>
        <w:t xml:space="preserve">Thermal-fluids and test engineer who owns test campaigns end to end, authoring the procedures, running the vacuum and thermal hardware, managing the DAQ, and chasing every anomaly to root cause. Hands-on across high-vacuum operations, instrumented test-rig fabrication, sensor calibration, and hardware qualification for extreme environments. Don’t stop until I have both the how and the why.</w:t>
      </w:r>
    </w:p>
    <w:p>
      <w:pPr>
        <w:pBdr>
          <w:bottom w:val="single" w:color="1F3A4D" w:sz="4" w:space="2"/>
        </w:pBdr>
        <w:spacing w:after="70" w:before="150"/>
      </w:pPr>
      <w:r>
        <w:rPr>
          <w:rFonts w:ascii="Calibri" w:cs="Calibri" w:eastAsia="Calibri" w:hAnsi="Calibri"/>
          <w:b/>
          <w:bCs/>
          <w:caps/>
          <w:color w:val="1F3A4D"/>
          <w:sz w:val="20"/>
          <w:szCs w:val="20"/>
        </w:rPr>
        <w:t xml:space="preserve">Technical Skills</w:t>
      </w:r>
    </w:p>
    <w:p>
      <w:pPr>
        <w:spacing w:after="28"/>
      </w:pPr>
      <w:r>
        <w:rPr>
          <w:rFonts w:ascii="Calibri" w:cs="Calibri" w:eastAsia="Calibri" w:hAnsi="Calibri"/>
          <w:b/>
          <w:bCs/>
          <w:color w:val="1F3A4D"/>
          <w:sz w:val="18"/>
          <w:szCs w:val="18"/>
        </w:rPr>
        <w:t xml:space="preserve">Environmental &amp; Thermal Test:  </w:t>
      </w:r>
      <w:r>
        <w:rPr>
          <w:rFonts w:ascii="Calibri" w:cs="Calibri" w:eastAsia="Calibri" w:hAnsi="Calibri"/>
          <w:color w:val="111111"/>
          <w:sz w:val="18"/>
          <w:szCs w:val="18"/>
        </w:rPr>
        <w:t xml:space="preserve">High-vacuum / thermal-vacuum operations, thermal chambers, transient and steady-state thermal analysis, high-heat-flux test rigs, sensor calibration, DAQ / heater control, thermocouple instrumentation, high-speed imaging.</w:t>
      </w:r>
    </w:p>
    <w:p>
      <w:pPr>
        <w:spacing w:after="28"/>
      </w:pPr>
      <w:r>
        <w:rPr>
          <w:rFonts w:ascii="Calibri" w:cs="Calibri" w:eastAsia="Calibri" w:hAnsi="Calibri"/>
          <w:b/>
          <w:bCs/>
          <w:color w:val="1F3A4D"/>
          <w:sz w:val="18"/>
          <w:szCs w:val="18"/>
        </w:rPr>
        <w:t xml:space="preserve">Procedures &amp; Root-Cause:  </w:t>
      </w:r>
      <w:r>
        <w:rPr>
          <w:rFonts w:ascii="Calibri" w:cs="Calibri" w:eastAsia="Calibri" w:hAnsi="Calibri"/>
          <w:color w:val="111111"/>
          <w:sz w:val="18"/>
          <w:szCs w:val="18"/>
        </w:rPr>
        <w:t xml:space="preserve">Authoring test setups, procedures, and hardware acceptance criteria; test safety assessments; root-cause anomaly investigation and corrective action; test-process improvement across repeated campaigns.</w:t>
      </w:r>
    </w:p>
    <w:p>
      <w:pPr>
        <w:spacing w:after="28"/>
      </w:pPr>
      <w:r>
        <w:rPr>
          <w:rFonts w:ascii="Calibri" w:cs="Calibri" w:eastAsia="Calibri" w:hAnsi="Calibri"/>
          <w:b/>
          <w:bCs/>
          <w:color w:val="1F3A4D"/>
          <w:sz w:val="18"/>
          <w:szCs w:val="18"/>
        </w:rPr>
        <w:t xml:space="preserve">Hazardous Operations:  </w:t>
      </w:r>
      <w:r>
        <w:rPr>
          <w:rFonts w:ascii="Calibri" w:cs="Calibri" w:eastAsia="Calibri" w:hAnsi="Calibri"/>
          <w:color w:val="111111"/>
          <w:sz w:val="18"/>
          <w:szCs w:val="18"/>
        </w:rPr>
        <w:t xml:space="preserve">High-vacuum systems, compressed gas handling, lock-out/tag-out (LOTO), hot work, inert-atmosphere glovebox operations; human-safety-critical protocols.</w:t>
      </w:r>
    </w:p>
    <w:p>
      <w:pPr>
        <w:spacing w:after="28"/>
      </w:pPr>
      <w:r>
        <w:rPr>
          <w:rFonts w:ascii="Calibri" w:cs="Calibri" w:eastAsia="Calibri" w:hAnsi="Calibri"/>
          <w:b/>
          <w:bCs/>
          <w:color w:val="1F3A4D"/>
          <w:sz w:val="18"/>
          <w:szCs w:val="18"/>
        </w:rPr>
        <w:t xml:space="preserve">Modeling &amp; Software:  </w:t>
      </w:r>
      <w:r>
        <w:rPr>
          <w:rFonts w:ascii="Calibri" w:cs="Calibri" w:eastAsia="Calibri" w:hAnsi="Calibri"/>
          <w:color w:val="111111"/>
          <w:sz w:val="18"/>
          <w:szCs w:val="18"/>
        </w:rPr>
        <w:t xml:space="preserve">COMSOL Multiphysics, Ansys Fluent (CFD), SolidWorks, MATLAB, Python (NumPy, pandas, OpenCV, SciPy, scikit-learn), Git.</w:t>
      </w:r>
    </w:p>
    <w:p>
      <w:pPr>
        <w:pBdr>
          <w:bottom w:val="single" w:color="1F3A4D" w:sz="4" w:space="2"/>
        </w:pBdr>
        <w:spacing w:after="70" w:before="150"/>
      </w:pPr>
      <w:r>
        <w:rPr>
          <w:rFonts w:ascii="Calibri" w:cs="Calibri" w:eastAsia="Calibri" w:hAnsi="Calibri"/>
          <w:b/>
          <w:bCs/>
          <w:caps/>
          <w:color w:val="1F3A4D"/>
          <w:sz w:val="20"/>
          <w:szCs w:val="20"/>
        </w:rPr>
        <w:t xml:space="preserve">Experience</w:t>
      </w:r>
    </w:p>
    <w:p>
      <w:pPr>
        <w:tabs>
          <w:tab w:val="right" w:pos="10160"/>
        </w:tabs>
        <w:spacing w:after="8" w:before="110"/>
      </w:pPr>
      <w:r>
        <w:rPr>
          <w:rFonts w:ascii="Calibri" w:cs="Calibri" w:eastAsia="Calibri" w:hAnsi="Calibri"/>
          <w:b/>
          <w:bCs/>
          <w:color w:val="000000"/>
          <w:sz w:val="19"/>
          <w:szCs w:val="19"/>
        </w:rPr>
        <w:t xml:space="preserve">Marine Energy Fellow (DOE / ORISE)</w:t>
      </w:r>
      <w:r>
        <w:rPr>
          <w:rFonts w:ascii="Calibri" w:cs="Calibri" w:eastAsia="Calibri" w:hAnsi="Calibri"/>
          <w:color w:val="444444"/>
          <w:sz w:val="18"/>
          <w:szCs w:val="18"/>
        </w:rPr>
        <w:t xml:space="preserve">   MarineSitu · Seattle, WA</w:t>
      </w:r>
      <w:r>
        <w:rPr>
          <w:rFonts w:ascii="Calibri" w:cs="Calibri" w:eastAsia="Calibri" w:hAnsi="Calibri"/>
          <w:i/>
          <w:iCs/>
          <w:color w:val="444444"/>
          <w:sz w:val="17"/>
          <w:szCs w:val="17"/>
        </w:rPr>
        <w:t xml:space="preserve">	2025 – Present</w:t>
      </w:r>
    </w:p>
    <w:p>
      <w:pPr>
        <w:pStyle w:val="ListParagraph"/>
        <w:numPr>
          <w:ilvl w:val="0"/>
          <w:numId w:val="2"/>
        </w:numPr>
        <w:spacing w:after="32"/>
      </w:pPr>
      <w:r>
        <w:rPr>
          <w:rFonts w:ascii="Calibri" w:cs="Calibri" w:eastAsia="Calibri" w:hAnsi="Calibri"/>
          <w:b/>
          <w:bCs/>
          <w:color w:val="111111"/>
          <w:sz w:val="18"/>
          <w:szCs w:val="18"/>
        </w:rPr>
        <w:t xml:space="preserve">Field-deployed hardware: </w:t>
      </w:r>
      <w:r>
        <w:rPr>
          <w:rFonts w:ascii="Calibri" w:cs="Calibri" w:eastAsia="Calibri" w:hAnsi="Calibri"/>
          <w:color w:val="111111"/>
          <w:sz w:val="18"/>
          <w:szCs w:val="18"/>
        </w:rPr>
        <w:t xml:space="preserve">Drive cross-functional integration and issue resolution across electrical, firmware, and mechanical subsystems on a live, off-grid marine platform.</w:t>
      </w:r>
    </w:p>
    <w:p>
      <w:pPr>
        <w:pStyle w:val="ListParagraph"/>
        <w:numPr>
          <w:ilvl w:val="0"/>
          <w:numId w:val="2"/>
        </w:numPr>
        <w:spacing w:after="32"/>
      </w:pPr>
      <w:r>
        <w:rPr>
          <w:rFonts w:ascii="Calibri" w:cs="Calibri" w:eastAsia="Calibri" w:hAnsi="Calibri"/>
          <w:b/>
          <w:bCs/>
          <w:color w:val="111111"/>
          <w:sz w:val="18"/>
          <w:szCs w:val="18"/>
        </w:rPr>
        <w:t xml:space="preserve">Telemetry &amp; analysis: </w:t>
      </w:r>
      <w:r>
        <w:rPr>
          <w:rFonts w:ascii="Calibri" w:cs="Calibri" w:eastAsia="Calibri" w:hAnsi="Calibri"/>
          <w:color w:val="111111"/>
          <w:sz w:val="18"/>
          <w:szCs w:val="18"/>
        </w:rPr>
        <w:t xml:space="preserve">Characterized the platform’s power system from 35 days of field telemetry and built Python forecasting and scheduling tools that kept it within operating limits across the deployment.</w:t>
      </w:r>
    </w:p>
    <w:p>
      <w:pPr>
        <w:tabs>
          <w:tab w:val="right" w:pos="10160"/>
        </w:tabs>
        <w:spacing w:after="8" w:before="110"/>
      </w:pPr>
      <w:r>
        <w:rPr>
          <w:rFonts w:ascii="Calibri" w:cs="Calibri" w:eastAsia="Calibri" w:hAnsi="Calibri"/>
          <w:b/>
          <w:bCs/>
          <w:color w:val="000000"/>
          <w:sz w:val="19"/>
          <w:szCs w:val="19"/>
        </w:rPr>
        <w:t xml:space="preserve">Research Intern, Advanced Materials Group</w:t>
      </w:r>
      <w:r>
        <w:rPr>
          <w:rFonts w:ascii="Calibri" w:cs="Calibri" w:eastAsia="Calibri" w:hAnsi="Calibri"/>
          <w:color w:val="444444"/>
          <w:sz w:val="18"/>
          <w:szCs w:val="18"/>
        </w:rPr>
        <w:t xml:space="preserve">   Zap Energy</w:t>
      </w:r>
      <w:r>
        <w:rPr>
          <w:rFonts w:ascii="Calibri" w:cs="Calibri" w:eastAsia="Calibri" w:hAnsi="Calibri"/>
          <w:i/>
          <w:iCs/>
          <w:color w:val="444444"/>
          <w:sz w:val="17"/>
          <w:szCs w:val="17"/>
        </w:rPr>
        <w:t xml:space="preserve">	2024</w:t>
      </w:r>
    </w:p>
    <w:p>
      <w:pPr>
        <w:pStyle w:val="ListParagraph"/>
        <w:numPr>
          <w:ilvl w:val="0"/>
          <w:numId w:val="2"/>
        </w:numPr>
        <w:spacing w:after="32"/>
      </w:pPr>
      <w:r>
        <w:rPr>
          <w:rFonts w:ascii="Calibri" w:cs="Calibri" w:eastAsia="Calibri" w:hAnsi="Calibri"/>
          <w:b/>
          <w:bCs/>
          <w:color w:val="111111"/>
          <w:sz w:val="18"/>
          <w:szCs w:val="18"/>
        </w:rPr>
        <w:t xml:space="preserve">Vacuum &amp; thermal test: </w:t>
      </w:r>
      <w:r>
        <w:rPr>
          <w:rFonts w:ascii="Calibri" w:cs="Calibri" w:eastAsia="Calibri" w:hAnsi="Calibri"/>
          <w:color w:val="111111"/>
          <w:sz w:val="18"/>
          <w:szCs w:val="18"/>
        </w:rPr>
        <w:t xml:space="preserve">Operated high-vacuum systems under human-safety-critical hazardous protocols (high-vacuum, compressed gas, LOTO); ran thermal analysis (TGA-DSC) and led interdisciplinary design reviews.</w:t>
      </w:r>
    </w:p>
    <w:p>
      <w:pPr>
        <w:pStyle w:val="ListParagraph"/>
        <w:numPr>
          <w:ilvl w:val="0"/>
          <w:numId w:val="2"/>
        </w:numPr>
        <w:spacing w:after="32"/>
      </w:pPr>
      <w:r>
        <w:rPr>
          <w:rFonts w:ascii="Calibri" w:cs="Calibri" w:eastAsia="Calibri" w:hAnsi="Calibri"/>
          <w:b/>
          <w:bCs/>
          <w:color w:val="111111"/>
          <w:sz w:val="18"/>
          <w:szCs w:val="18"/>
        </w:rPr>
        <w:t xml:space="preserve">Procedures &amp; qualification: </w:t>
      </w:r>
      <w:r>
        <w:rPr>
          <w:rFonts w:ascii="Calibri" w:cs="Calibri" w:eastAsia="Calibri" w:hAnsi="Calibri"/>
          <w:color w:val="111111"/>
          <w:sz w:val="18"/>
          <w:szCs w:val="18"/>
        </w:rPr>
        <w:t xml:space="preserve">Authored test setups, sample-preparation procedures, and hardware component acceptance criteria; qualified refractory-alloy microstructure via SEM/EDX for extreme-environment hardware.</w:t>
      </w:r>
    </w:p>
    <w:p>
      <w:pPr>
        <w:tabs>
          <w:tab w:val="right" w:pos="10160"/>
        </w:tabs>
        <w:spacing w:after="8" w:before="110"/>
      </w:pPr>
      <w:r>
        <w:rPr>
          <w:rFonts w:ascii="Calibri" w:cs="Calibri" w:eastAsia="Calibri" w:hAnsi="Calibri"/>
          <w:b/>
          <w:bCs/>
          <w:color w:val="000000"/>
          <w:sz w:val="19"/>
          <w:szCs w:val="19"/>
        </w:rPr>
        <w:t xml:space="preserve">Graduate Research Assistant</w:t>
      </w:r>
      <w:r>
        <w:rPr>
          <w:rFonts w:ascii="Calibri" w:cs="Calibri" w:eastAsia="Calibri" w:hAnsi="Calibri"/>
          <w:color w:val="444444"/>
          <w:sz w:val="18"/>
          <w:szCs w:val="18"/>
        </w:rPr>
        <w:t xml:space="preserve">   Thermal Energy Materials &amp; Physics Lab, UCSD</w:t>
      </w:r>
      <w:r>
        <w:rPr>
          <w:rFonts w:ascii="Calibri" w:cs="Calibri" w:eastAsia="Calibri" w:hAnsi="Calibri"/>
          <w:i/>
          <w:iCs/>
          <w:color w:val="444444"/>
          <w:sz w:val="17"/>
          <w:szCs w:val="17"/>
        </w:rPr>
        <w:t xml:space="preserve">	2022 – 2023</w:t>
      </w:r>
    </w:p>
    <w:p>
      <w:pPr>
        <w:pStyle w:val="ListParagraph"/>
        <w:numPr>
          <w:ilvl w:val="0"/>
          <w:numId w:val="2"/>
        </w:numPr>
        <w:spacing w:after="32"/>
      </w:pPr>
      <w:r>
        <w:rPr>
          <w:rFonts w:ascii="Calibri" w:cs="Calibri" w:eastAsia="Calibri" w:hAnsi="Calibri"/>
          <w:b/>
          <w:bCs/>
          <w:color w:val="111111"/>
          <w:sz w:val="18"/>
          <w:szCs w:val="18"/>
        </w:rPr>
        <w:t xml:space="preserve">Thermal test rigs: </w:t>
      </w:r>
      <w:r>
        <w:rPr>
          <w:rFonts w:ascii="Calibri" w:cs="Calibri" w:eastAsia="Calibri" w:hAnsi="Calibri"/>
          <w:color w:val="111111"/>
          <w:sz w:val="18"/>
          <w:szCs w:val="18"/>
        </w:rPr>
        <w:t xml:space="preserve">Designed, fabricated, and operated custom thermal test rigs (high-heat-flux, to CHF of 600 W/cm²); owned test execution, managed DAQ / thermocouple instrumentation, and authored the test safety assessments.</w:t>
      </w:r>
    </w:p>
    <w:p>
      <w:pPr>
        <w:pStyle w:val="ListParagraph"/>
        <w:numPr>
          <w:ilvl w:val="0"/>
          <w:numId w:val="2"/>
        </w:numPr>
        <w:spacing w:after="32"/>
      </w:pPr>
      <w:r>
        <w:rPr>
          <w:rFonts w:ascii="Calibri" w:cs="Calibri" w:eastAsia="Calibri" w:hAnsi="Calibri"/>
          <w:b/>
          <w:bCs/>
          <w:color w:val="111111"/>
          <w:sz w:val="18"/>
          <w:szCs w:val="18"/>
        </w:rPr>
        <w:t xml:space="preserve">Root cause &amp; corrective action: </w:t>
      </w:r>
      <w:r>
        <w:rPr>
          <w:rFonts w:ascii="Calibri" w:cs="Calibri" w:eastAsia="Calibri" w:hAnsi="Calibri"/>
          <w:color w:val="111111"/>
          <w:sz w:val="18"/>
          <w:szCs w:val="18"/>
        </w:rPr>
        <w:t xml:space="preserve">Ran every anomaly to root cause, including water-level drift, capillary stiction, CHF deviations, and instrumentation error, implementing corrective actions to the procedures so failures could not recur across repeated campaigns.</w:t>
      </w:r>
    </w:p>
    <w:p>
      <w:pPr>
        <w:tabs>
          <w:tab w:val="right" w:pos="10160"/>
        </w:tabs>
        <w:spacing w:after="8" w:before="110"/>
      </w:pPr>
      <w:r>
        <w:rPr>
          <w:rFonts w:ascii="Calibri" w:cs="Calibri" w:eastAsia="Calibri" w:hAnsi="Calibri"/>
          <w:b/>
          <w:bCs/>
          <w:color w:val="000000"/>
          <w:sz w:val="19"/>
          <w:szCs w:val="19"/>
        </w:rPr>
        <w:t xml:space="preserve">Visiting Scholar</w:t>
      </w:r>
      <w:r>
        <w:rPr>
          <w:rFonts w:ascii="Calibri" w:cs="Calibri" w:eastAsia="Calibri" w:hAnsi="Calibri"/>
          <w:color w:val="444444"/>
          <w:sz w:val="18"/>
          <w:szCs w:val="18"/>
        </w:rPr>
        <w:t xml:space="preserve">   Energy &amp; Multiphase Flow Lab, UIUC</w:t>
      </w:r>
      <w:r>
        <w:rPr>
          <w:rFonts w:ascii="Calibri" w:cs="Calibri" w:eastAsia="Calibri" w:hAnsi="Calibri"/>
          <w:i/>
          <w:iCs/>
          <w:color w:val="444444"/>
          <w:sz w:val="17"/>
          <w:szCs w:val="17"/>
        </w:rPr>
        <w:t xml:space="preserve">	2021 – 2022</w:t>
      </w:r>
    </w:p>
    <w:p>
      <w:pPr>
        <w:pStyle w:val="ListParagraph"/>
        <w:numPr>
          <w:ilvl w:val="0"/>
          <w:numId w:val="2"/>
        </w:numPr>
        <w:spacing w:after="32"/>
      </w:pPr>
      <w:r>
        <w:rPr>
          <w:rFonts w:ascii="Calibri" w:cs="Calibri" w:eastAsia="Calibri" w:hAnsi="Calibri"/>
          <w:b/>
          <w:bCs/>
          <w:color w:val="111111"/>
          <w:sz w:val="18"/>
          <w:szCs w:val="18"/>
        </w:rPr>
        <w:t xml:space="preserve">Automated test systems: </w:t>
      </w:r>
      <w:r>
        <w:rPr>
          <w:rFonts w:ascii="Calibri" w:cs="Calibri" w:eastAsia="Calibri" w:hAnsi="Calibri"/>
          <w:color w:val="111111"/>
          <w:sz w:val="18"/>
          <w:szCs w:val="18"/>
        </w:rPr>
        <w:t xml:space="preserve">Built and operated an automated pool-boiling test system with DAQ, heater control, and high-speed imaging; developed a Python/OpenCV diagnostics pipeline validated against Ansys Fluent CFD.</w:t>
      </w:r>
    </w:p>
    <w:p>
      <w:pPr>
        <w:pBdr>
          <w:bottom w:val="single" w:color="1F3A4D" w:sz="4" w:space="2"/>
        </w:pBdr>
        <w:spacing w:after="70" w:before="150"/>
      </w:pPr>
      <w:r>
        <w:rPr>
          <w:rFonts w:ascii="Calibri" w:cs="Calibri" w:eastAsia="Calibri" w:hAnsi="Calibri"/>
          <w:b/>
          <w:bCs/>
          <w:caps/>
          <w:color w:val="1F3A4D"/>
          <w:sz w:val="20"/>
          <w:szCs w:val="20"/>
        </w:rPr>
        <w:t xml:space="preserve">Selected Project</w:t>
      </w:r>
    </w:p>
    <w:p>
      <w:pPr>
        <w:pStyle w:val="ListParagraph"/>
        <w:numPr>
          <w:ilvl w:val="0"/>
          <w:numId w:val="2"/>
        </w:numPr>
        <w:spacing w:after="32"/>
      </w:pPr>
      <w:r>
        <w:rPr>
          <w:rFonts w:ascii="Calibri" w:cs="Calibri" w:eastAsia="Calibri" w:hAnsi="Calibri"/>
          <w:b/>
          <w:bCs/>
          <w:color w:val="111111"/>
          <w:sz w:val="18"/>
          <w:szCs w:val="18"/>
        </w:rPr>
        <w:t xml:space="preserve">Transient 2D heat-conduction solver (Python/NumPy).</w:t>
      </w:r>
      <w:r>
        <w:rPr>
          <w:rFonts w:ascii="Calibri" w:cs="Calibri" w:eastAsia="Calibri" w:hAnsi="Calibri"/>
          <w:color w:val="111111"/>
          <w:sz w:val="18"/>
          <w:szCs w:val="18"/>
        </w:rPr>
        <w:t xml:space="preserve"> Built an explicit finite-difference (FTCS) solver for the 2D transient heat equation with an embedded heat source, mixed Dirichlet and convective boundary conditions, and a Fourier-number stability check.</w:t>
      </w:r>
    </w:p>
    <w:p>
      <w:pPr>
        <w:pBdr>
          <w:bottom w:val="single" w:color="1F3A4D" w:sz="4" w:space="2"/>
        </w:pBdr>
        <w:spacing w:after="70" w:before="150"/>
      </w:pPr>
      <w:r>
        <w:rPr>
          <w:rFonts w:ascii="Calibri" w:cs="Calibri" w:eastAsia="Calibri" w:hAnsi="Calibri"/>
          <w:b/>
          <w:bCs/>
          <w:caps/>
          <w:color w:val="1F3A4D"/>
          <w:sz w:val="20"/>
          <w:szCs w:val="20"/>
        </w:rPr>
        <w:t xml:space="preserve">Education</w:t>
      </w:r>
    </w:p>
    <w:p>
      <w:pPr>
        <w:spacing w:after="18"/>
      </w:pPr>
      <w:r>
        <w:rPr>
          <w:rFonts w:ascii="Calibri" w:cs="Calibri" w:eastAsia="Calibri" w:hAnsi="Calibri"/>
          <w:b/>
          <w:bCs/>
          <w:color w:val="111111"/>
          <w:sz w:val="18"/>
          <w:szCs w:val="18"/>
        </w:rPr>
        <w:t xml:space="preserve">M.S., Mechanical Engineering</w:t>
      </w:r>
      <w:r>
        <w:rPr>
          <w:rFonts w:ascii="Calibri" w:cs="Calibri" w:eastAsia="Calibri" w:hAnsi="Calibri"/>
          <w:color w:val="111111"/>
          <w:sz w:val="18"/>
          <w:szCs w:val="18"/>
        </w:rPr>
        <w:t xml:space="preserve">  ·  University of California, San Diego (UCSD)</w:t>
      </w:r>
    </w:p>
    <w:p>
      <w:pPr>
        <w:spacing w:after="18"/>
      </w:pPr>
      <w:r>
        <w:rPr>
          <w:rFonts w:ascii="Calibri" w:cs="Calibri" w:eastAsia="Calibri" w:hAnsi="Calibri"/>
          <w:b/>
          <w:bCs/>
          <w:color w:val="111111"/>
          <w:sz w:val="18"/>
          <w:szCs w:val="18"/>
        </w:rPr>
        <w:t xml:space="preserve">Visiting Scholar, Mechanical Engineering</w:t>
      </w:r>
      <w:r>
        <w:rPr>
          <w:rFonts w:ascii="Calibri" w:cs="Calibri" w:eastAsia="Calibri" w:hAnsi="Calibri"/>
          <w:color w:val="111111"/>
          <w:sz w:val="18"/>
          <w:szCs w:val="18"/>
        </w:rPr>
        <w:t xml:space="preserve">  ·  University of Illinois Urbana-Champaign (UIUC)</w:t>
      </w:r>
    </w:p>
    <w:p>
      <w:pPr>
        <w:pBdr>
          <w:bottom w:val="single" w:color="1F3A4D" w:sz="4" w:space="2"/>
        </w:pBdr>
        <w:spacing w:after="70" w:before="150"/>
      </w:pPr>
      <w:r>
        <w:rPr>
          <w:rFonts w:ascii="Calibri" w:cs="Calibri" w:eastAsia="Calibri" w:hAnsi="Calibri"/>
          <w:b/>
          <w:bCs/>
          <w:caps/>
          <w:color w:val="1F3A4D"/>
          <w:sz w:val="20"/>
          <w:szCs w:val="20"/>
        </w:rPr>
        <w:t xml:space="preserve">Publications</w:t>
      </w:r>
    </w:p>
    <w:p>
      <w:pPr>
        <w:pStyle w:val="ListParagraph"/>
        <w:numPr>
          <w:ilvl w:val="0"/>
          <w:numId w:val="2"/>
        </w:numPr>
        <w:spacing w:after="32"/>
      </w:pPr>
      <w:r>
        <w:rPr>
          <w:rFonts w:ascii="Calibri" w:cs="Calibri" w:eastAsia="Calibri" w:hAnsi="Calibri"/>
          <w:color w:val="111111"/>
          <w:sz w:val="18"/>
          <w:szCs w:val="18"/>
        </w:rPr>
        <w:t xml:space="preserve">Jin et al., “Falling-film evaporation in heat exchangers,” ASME Journal of Heat and Mass Transfer (2024).</w:t>
      </w:r>
    </w:p>
    <w:p>
      <w:pPr>
        <w:pStyle w:val="ListParagraph"/>
        <w:numPr>
          <w:ilvl w:val="0"/>
          <w:numId w:val="2"/>
        </w:numPr>
        <w:spacing w:after="32"/>
      </w:pPr>
      <w:r>
        <w:rPr>
          <w:rFonts w:ascii="Calibri" w:cs="Calibri" w:eastAsia="Calibri" w:hAnsi="Calibri"/>
          <w:color w:val="111111"/>
          <w:sz w:val="18"/>
          <w:szCs w:val="18"/>
        </w:rPr>
        <w:t xml:space="preserve">Jin et al., “Anti-fouling surface treatments for solar-driven desalination,” Desalination (2023).</w:t>
      </w:r>
    </w:p>
    <w:sectPr>
      <w:pgSz w:w="11906" w:h="16838" w:orient="portrait"/>
      <w:pgMar w:top="850" w:right="1020" w:bottom="8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50" w:hanging="160"/>
      </w:pPr>
      <w:rPr>
        <w:color w:val="1F3A4D"/>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2026-07-30T17:10:15.650Z</dcterms:created>
  <dcterms:modified xsi:type="dcterms:W3CDTF">2026-07-30T17:10:15.650Z</dcterms:modified>
</cp:coreProperties>
</file>

<file path=docProps/custom.xml><?xml version="1.0" encoding="utf-8"?>
<Properties xmlns="http://schemas.openxmlformats.org/officeDocument/2006/custom-properties" xmlns:vt="http://schemas.openxmlformats.org/officeDocument/2006/docPropsVTypes"/>
</file>