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
      </w:pPr>
      <w:r>
        <w:rPr>
          <w:rFonts w:ascii="Calibri" w:cs="Calibri" w:eastAsia="Calibri" w:hAnsi="Calibri"/>
          <w:b/>
          <w:bCs/>
          <w:color w:val="1F3A4D"/>
          <w:sz w:val="28"/>
          <w:szCs w:val="28"/>
        </w:rPr>
        <w:t xml:space="preserve">Screen Answers · Aditi Kalle</w:t>
      </w:r>
    </w:p>
    <w:p>
      <w:pPr>
        <w:pBdr>
          <w:bottom w:val="single" w:color="1F3A4D" w:sz="6" w:space="5"/>
        </w:pBdr>
        <w:spacing w:after="130"/>
      </w:pPr>
      <w:r>
        <w:rPr>
          <w:rFonts w:ascii="Calibri" w:cs="Calibri" w:eastAsia="Calibri" w:hAnsi="Calibri"/>
          <w:i/>
          <w:iCs/>
          <w:color w:val="555555"/>
          <w:sz w:val="16"/>
          <w:szCs w:val="16"/>
        </w:rPr>
        <w:t xml:space="preserve">Say these in your own words, do not read them. Each is ~30 to 75 seconds. Slow down on names: Helion, UIUC, porous tungsten, COMSOL, the STA.</w:t>
      </w:r>
    </w:p>
    <w:p>
      <w:pPr>
        <w:shd w:fill="EAF1F0" w:val="clear"/>
        <w:spacing w:after="44" w:before="150"/>
      </w:pPr>
      <w:r>
        <w:rPr>
          <w:rFonts w:ascii="Calibri" w:cs="Calibri" w:eastAsia="Calibri" w:hAnsi="Calibri"/>
          <w:b/>
          <w:bCs/>
          <w:color w:val="0B6E5F"/>
          <w:sz w:val="18"/>
          <w:szCs w:val="18"/>
        </w:rPr>
        <w:t xml:space="preserve">  Tell me about yourself</w:t>
      </w:r>
    </w:p>
    <w:p>
      <w:pPr>
        <w:spacing w:after="40" w:line="256"/>
      </w:pPr>
      <w:r>
        <w:rPr>
          <w:rFonts w:ascii="Calibri" w:cs="Calibri" w:eastAsia="Calibri" w:hAnsi="Calibri"/>
          <w:color w:val="111111"/>
          <w:sz w:val="17"/>
          <w:szCs w:val="17"/>
        </w:rPr>
        <w:t xml:space="preserve">I’m a mechanical engineer with a background in thermal-fluids, advanced materials, and hands-on experimentation, with an undergrad and master’s in mechanical engineering. I’ve worked in a few research labs on problems that mattered: at UIUC I contributed to desalination and multiphase-flow projects, and at UCSD I worked on heat-pipe wicking components for high-heat-flux cooling. At Zap Energy I joined the advanced materials team and did two things: COMSOL modeling of porous tungsten, calculating porosity and permeability for liquid-metal blanket applications, and development of a novel ternary alloy, preparing it in a glovebox and furnace and characterizing its thermal properties and melting point on the STA and its composition with SEM and optical microscopy. Right now I’m a DOE marine-energy fellow: I built a Python virtual twin for an off-grid, solar-powered marine monitoring device that plans a multi-day sensor duty cycle under battery and power constraints. The through-line is that I like taking hard thermal and materials problems from first principles all the way to tested hardware, and I want to do that on fusion.</w:t>
      </w:r>
    </w:p>
    <w:p>
      <w:pPr>
        <w:spacing w:after="30"/>
        <w:ind w:left="120"/>
      </w:pPr>
      <w:r>
        <w:rPr>
          <w:rFonts w:ascii="Calibri" w:cs="Calibri" w:eastAsia="Calibri" w:hAnsi="Calibri"/>
          <w:b/>
          <w:bCs/>
          <w:color w:val="B4531A"/>
          <w:sz w:val="15"/>
          <w:szCs w:val="15"/>
        </w:rPr>
        <w:t xml:space="preserve">→ </w:t>
      </w:r>
      <w:r>
        <w:rPr>
          <w:rFonts w:ascii="Calibri" w:cs="Calibri" w:eastAsia="Calibri" w:hAnsi="Calibri"/>
          <w:i/>
          <w:iCs/>
          <w:color w:val="444444"/>
          <w:sz w:val="15"/>
          <w:szCs w:val="15"/>
        </w:rPr>
        <w:t xml:space="preserve">Four beats: who I am / lab highlights / Zap (two things) / now. End pointing at them.</w:t>
      </w:r>
    </w:p>
    <w:p>
      <w:pPr>
        <w:shd w:fill="EAF1F0" w:val="clear"/>
        <w:spacing w:after="44" w:before="150"/>
      </w:pPr>
      <w:r>
        <w:rPr>
          <w:rFonts w:ascii="Calibri" w:cs="Calibri" w:eastAsia="Calibri" w:hAnsi="Calibri"/>
          <w:b/>
          <w:bCs/>
          <w:color w:val="0B6E5F"/>
          <w:sz w:val="18"/>
          <w:szCs w:val="18"/>
        </w:rPr>
        <w:t xml:space="preserve">  Why Helion?</w:t>
      </w:r>
    </w:p>
    <w:p>
      <w:pPr>
        <w:spacing w:after="40" w:line="256"/>
      </w:pPr>
      <w:r>
        <w:rPr>
          <w:rFonts w:ascii="Calibri" w:cs="Calibri" w:eastAsia="Calibri" w:hAnsi="Calibri"/>
          <w:color w:val="111111"/>
          <w:sz w:val="17"/>
          <w:szCs w:val="17"/>
        </w:rPr>
        <w:t xml:space="preserve">I’ve always wanted my work to contribute to clean energy. Since finishing my degree I’ve deliberately chosen labs working on something that matters, and during my master’s I took a course on energy systems where I first really dug into fusion, and found it both technically fascinating and genuinely important. What draws me specifically to Helion is the deployment-first approach, direct energy conversion, skipping the steam cycle, which makes it as much a pulsed-power, vacuum, and thermal-hardware problem as a plasma one. That’s exactly my background, and having worked in fusion at Zap I understand how demanding the vacuum, thermal, and materials side really is. It’s the rare place where I get to work on something technically hard and contribute to something bigger than myself.</w:t>
      </w:r>
    </w:p>
    <w:p>
      <w:pPr>
        <w:spacing w:after="30"/>
        <w:ind w:left="120"/>
      </w:pPr>
      <w:r>
        <w:rPr>
          <w:rFonts w:ascii="Calibri" w:cs="Calibri" w:eastAsia="Calibri" w:hAnsi="Calibri"/>
          <w:b/>
          <w:bCs/>
          <w:color w:val="B4531A"/>
          <w:sz w:val="15"/>
          <w:szCs w:val="15"/>
        </w:rPr>
        <w:t xml:space="preserve">→ </w:t>
      </w:r>
      <w:r>
        <w:rPr>
          <w:rFonts w:ascii="Calibri" w:cs="Calibri" w:eastAsia="Calibri" w:hAnsi="Calibri"/>
          <w:i/>
          <w:iCs/>
          <w:color w:val="444444"/>
          <w:sz w:val="15"/>
          <w:szCs w:val="15"/>
        </w:rPr>
        <w:t xml:space="preserve">The Helion-specific hook (direct energy conversion) is what makes this memorable. Say "Helion" slowly.</w:t>
      </w:r>
    </w:p>
    <w:p>
      <w:pPr>
        <w:shd w:fill="EAF1F0" w:val="clear"/>
        <w:spacing w:after="44" w:before="150"/>
      </w:pPr>
      <w:r>
        <w:rPr>
          <w:rFonts w:ascii="Calibri" w:cs="Calibri" w:eastAsia="Calibri" w:hAnsi="Calibri"/>
          <w:b/>
          <w:bCs/>
          <w:color w:val="0B6E5F"/>
          <w:sz w:val="18"/>
          <w:szCs w:val="18"/>
        </w:rPr>
        <w:t xml:space="preserve">  Why this role?</w:t>
      </w:r>
    </w:p>
    <w:p>
      <w:pPr>
        <w:spacing w:after="40" w:line="256"/>
      </w:pPr>
      <w:r>
        <w:rPr>
          <w:rFonts w:ascii="Calibri" w:cs="Calibri" w:eastAsia="Calibri" w:hAnsi="Calibri"/>
          <w:color w:val="111111"/>
          <w:sz w:val="17"/>
          <w:szCs w:val="17"/>
        </w:rPr>
        <w:t xml:space="preserve">What draws me to this role is that it pulls together the three threads I’ve built: the foundational mechanical and thermal-fluids grounding from my degrees, hands-on experimental and hardware work from the labs and Zap, and this past year the software and systems side through my modeling work. A mechanical role on a hardware team like this is where all three matter at once: reasoning from first principles, building and testing real hardware, and using modeling to drive decisions. That combination is exactly how I like to work, and it’s rare to find a role that uses all of it rather than just one.</w:t>
      </w:r>
    </w:p>
    <w:p>
      <w:pPr>
        <w:spacing w:after="30"/>
        <w:ind w:left="120"/>
      </w:pPr>
      <w:r>
        <w:rPr>
          <w:rFonts w:ascii="Calibri" w:cs="Calibri" w:eastAsia="Calibri" w:hAnsi="Calibri"/>
          <w:b/>
          <w:bCs/>
          <w:color w:val="B4531A"/>
          <w:sz w:val="15"/>
          <w:szCs w:val="15"/>
        </w:rPr>
        <w:t xml:space="preserve">→ </w:t>
      </w:r>
      <w:r>
        <w:rPr>
          <w:rFonts w:ascii="Calibri" w:cs="Calibri" w:eastAsia="Calibri" w:hAnsi="Calibri"/>
          <w:i/>
          <w:iCs/>
          <w:color w:val="444444"/>
          <w:sz w:val="15"/>
          <w:szCs w:val="15"/>
        </w:rPr>
        <w:t xml:space="preserve">Frame breadth as deliberate range that fits their work, not "it’s versatile." End with conviction.</w:t>
      </w:r>
    </w:p>
    <w:p>
      <w:pPr>
        <w:shd w:fill="EAF1F0" w:val="clear"/>
        <w:spacing w:after="44" w:before="150"/>
      </w:pPr>
      <w:r>
        <w:rPr>
          <w:rFonts w:ascii="Calibri" w:cs="Calibri" w:eastAsia="Calibri" w:hAnsi="Calibri"/>
          <w:b/>
          <w:bCs/>
          <w:color w:val="0B6E5F"/>
          <w:sz w:val="18"/>
          <w:szCs w:val="18"/>
        </w:rPr>
        <w:t xml:space="preserve">  What are you most proud of?</w:t>
      </w:r>
    </w:p>
    <w:p>
      <w:pPr>
        <w:spacing w:after="40" w:line="256"/>
      </w:pPr>
      <w:r>
        <w:rPr>
          <w:rFonts w:ascii="Calibri" w:cs="Calibri" w:eastAsia="Calibri" w:hAnsi="Calibri"/>
          <w:color w:val="111111"/>
          <w:sz w:val="17"/>
          <w:szCs w:val="17"/>
        </w:rPr>
        <w:t xml:space="preserve">The thin-film evaporation work I contributed to at UCSD. It was complex, deep physics, a lot of moving components, repeated trial campaigns, and I was hands-on with it week after week. Two things I did there I still carry: I kept a running log of my own mistakes, so instead of repeating them I could see where I kept going wrong and fix the process; and I worked deliberately on communication with my labmate, because on shared hardware that’s what keeps things from breaking. The biggest lesson was patience, in detailed experimental work rushing is never faster, being methodical is what actually speeds things up. Executing something that physics-heavy, with that much repeated feedback, is what prepared me for everything since.</w:t>
      </w:r>
    </w:p>
    <w:p>
      <w:pPr>
        <w:spacing w:after="30"/>
        <w:ind w:left="120"/>
      </w:pPr>
      <w:r>
        <w:rPr>
          <w:rFonts w:ascii="Calibri" w:cs="Calibri" w:eastAsia="Calibri" w:hAnsi="Calibri"/>
          <w:b/>
          <w:bCs/>
          <w:color w:val="B4531A"/>
          <w:sz w:val="15"/>
          <w:szCs w:val="15"/>
        </w:rPr>
        <w:t xml:space="preserve">→ </w:t>
      </w:r>
      <w:r>
        <w:rPr>
          <w:rFonts w:ascii="Calibri" w:cs="Calibri" w:eastAsia="Calibri" w:hAnsi="Calibri"/>
          <w:i/>
          <w:iCs/>
          <w:color w:val="444444"/>
          <w:sz w:val="15"/>
          <w:szCs w:val="15"/>
        </w:rPr>
        <w:t xml:space="preserve">Honesty: "contributed to," second author. Keep the mistake-log detail, it is your best signal.</w:t>
      </w:r>
    </w:p>
    <w:p>
      <w:pPr>
        <w:shd w:fill="EAF1F0" w:val="clear"/>
        <w:spacing w:after="44" w:before="150"/>
      </w:pPr>
      <w:r>
        <w:rPr>
          <w:rFonts w:ascii="Calibri" w:cs="Calibri" w:eastAsia="Calibri" w:hAnsi="Calibri"/>
          <w:b/>
          <w:bCs/>
          <w:color w:val="0B6E5F"/>
          <w:sz w:val="18"/>
          <w:szCs w:val="18"/>
        </w:rPr>
        <w:t xml:space="preserve">  A time you had a conflict or communication challenge</w:t>
      </w:r>
    </w:p>
    <w:p>
      <w:pPr>
        <w:spacing w:after="40" w:line="256"/>
      </w:pPr>
      <w:r>
        <w:rPr>
          <w:rFonts w:ascii="Calibri" w:cs="Calibri" w:eastAsia="Calibri" w:hAnsi="Calibri"/>
          <w:color w:val="111111"/>
          <w:sz w:val="17"/>
          <w:szCs w:val="17"/>
        </w:rPr>
        <w:t xml:space="preserve">During the UCSD experiments my labmate and I shared a complex setup, and we had pretty different communication styles. She wasn’t someone who asked a lot of questions, and I’m the opposite, I surface my doubts and questions right away. On an experiment that technical, that mismatch became a real blocker, because if neither side puts things on the table, small misunderstandings compound. At some point I realized she wasn’t going to be the one to ask, and I didn’t want to wait or expect her to change, so I took it on myself: I got out of my own head, asked my questions directly, and was honest about where I was and where I needed help. That kept us aligned and the experiment moving. It’s where my habit of asking clarifying questions early came from.</w:t>
      </w:r>
    </w:p>
    <w:p>
      <w:pPr>
        <w:spacing w:after="30"/>
        <w:ind w:left="120"/>
      </w:pPr>
      <w:r>
        <w:rPr>
          <w:rFonts w:ascii="Calibri" w:cs="Calibri" w:eastAsia="Calibri" w:hAnsi="Calibri"/>
          <w:b/>
          <w:bCs/>
          <w:color w:val="B4531A"/>
          <w:sz w:val="15"/>
          <w:szCs w:val="15"/>
        </w:rPr>
        <w:t xml:space="preserve">→ </w:t>
      </w:r>
      <w:r>
        <w:rPr>
          <w:rFonts w:ascii="Calibri" w:cs="Calibri" w:eastAsia="Calibri" w:hAnsi="Calibri"/>
          <w:i/>
          <w:iCs/>
          <w:color w:val="444444"/>
          <w:sz w:val="15"/>
          <w:szCs w:val="15"/>
        </w:rPr>
        <w:t xml:space="preserve">Keep it about differing styles, never blame her. "I took it on myself" is the key line.</w:t>
      </w:r>
    </w:p>
    <w:p>
      <w:pPr>
        <w:shd w:fill="EAF1F0" w:val="clear"/>
        <w:spacing w:after="44" w:before="150"/>
      </w:pPr>
      <w:r>
        <w:rPr>
          <w:rFonts w:ascii="Calibri" w:cs="Calibri" w:eastAsia="Calibri" w:hAnsi="Calibri"/>
          <w:b/>
          <w:bCs/>
          <w:color w:val="0B6E5F"/>
          <w:sz w:val="18"/>
          <w:szCs w:val="18"/>
        </w:rPr>
        <w:t xml:space="preserve">  Onsite in Everett / location</w:t>
      </w:r>
    </w:p>
    <w:p>
      <w:pPr>
        <w:spacing w:after="40" w:line="256"/>
      </w:pPr>
      <w:r>
        <w:rPr>
          <w:rFonts w:ascii="Calibri" w:cs="Calibri" w:eastAsia="Calibri" w:hAnsi="Calibri"/>
          <w:color w:val="111111"/>
          <w:sz w:val="17"/>
          <w:szCs w:val="17"/>
        </w:rPr>
        <w:t xml:space="preserve">Yeah, I’m based in Seattle, and the Everett commute is completely fine with me. I’m happy to be onsite there full time.</w:t>
      </w:r>
    </w:p>
    <w:p>
      <w:pPr>
        <w:spacing w:after="30"/>
        <w:ind w:left="120"/>
      </w:pPr>
      <w:r>
        <w:rPr>
          <w:rFonts w:ascii="Calibri" w:cs="Calibri" w:eastAsia="Calibri" w:hAnsi="Calibri"/>
          <w:b/>
          <w:bCs/>
          <w:color w:val="B4531A"/>
          <w:sz w:val="15"/>
          <w:szCs w:val="15"/>
        </w:rPr>
        <w:t xml:space="preserve">→ </w:t>
      </w:r>
      <w:r>
        <w:rPr>
          <w:rFonts w:ascii="Calibri" w:cs="Calibri" w:eastAsia="Calibri" w:hAnsi="Calibri"/>
          <w:i/>
          <w:iCs/>
          <w:color w:val="444444"/>
          <w:sz w:val="15"/>
          <w:szCs w:val="15"/>
        </w:rPr>
        <w:t xml:space="preserve">This is a gate. Sound settled, not tentative. No "would not mind" or "trying to." Only say it if it is genuinely true.</w:t>
      </w:r>
    </w:p>
    <w:p>
      <w:pPr>
        <w:shd w:fill="EAF1F0" w:val="clear"/>
        <w:spacing w:after="44" w:before="150"/>
      </w:pPr>
      <w:r>
        <w:rPr>
          <w:rFonts w:ascii="Calibri" w:cs="Calibri" w:eastAsia="Calibri" w:hAnsi="Calibri"/>
          <w:b/>
          <w:bCs/>
          <w:color w:val="0B6E5F"/>
          <w:sz w:val="18"/>
          <w:szCs w:val="18"/>
        </w:rPr>
        <w:t xml:space="preserve">  Questions I ask them</w:t>
      </w:r>
    </w:p>
    <w:p>
      <w:pPr>
        <w:spacing w:after="40" w:line="256"/>
      </w:pPr>
      <w:r>
        <w:rPr>
          <w:rFonts w:ascii="Calibri" w:cs="Calibri" w:eastAsia="Calibri" w:hAnsi="Calibri"/>
          <w:color w:val="111111"/>
          <w:sz w:val="17"/>
          <w:szCs w:val="17"/>
        </w:rPr>
        <w:t xml:space="preserve">What does the interview process look like from here, and who would I talk to next? What kind of person thrives on this team? How would you describe the culture and pace day to day? Is there anything about my background you’d want me to expand on for the team?</w:t>
      </w:r>
    </w:p>
    <w:p>
      <w:pPr>
        <w:spacing w:after="30"/>
        <w:ind w:left="120"/>
      </w:pPr>
      <w:r>
        <w:rPr>
          <w:rFonts w:ascii="Calibri" w:cs="Calibri" w:eastAsia="Calibri" w:hAnsi="Calibri"/>
          <w:b/>
          <w:bCs/>
          <w:color w:val="B4531A"/>
          <w:sz w:val="15"/>
          <w:szCs w:val="15"/>
        </w:rPr>
        <w:t xml:space="preserve">→ </w:t>
      </w:r>
      <w:r>
        <w:rPr>
          <w:rFonts w:ascii="Calibri" w:cs="Calibri" w:eastAsia="Calibri" w:hAnsi="Calibri"/>
          <w:i/>
          <w:iCs/>
          <w:color w:val="444444"/>
          <w:sz w:val="15"/>
          <w:szCs w:val="15"/>
        </w:rPr>
        <w:t xml:space="preserve">Always ask 2 to 3. Recruiter-appropriate: process, fit, culture.</w:t>
      </w:r>
    </w:p>
    <w:p>
      <w:pPr>
        <w:pBdr>
          <w:top w:val="single" w:color="1F3A4D" w:sz="4" w:space="6"/>
        </w:pBdr>
        <w:spacing w:after="20" w:before="150"/>
      </w:pPr>
      <w:r>
        <w:rPr>
          <w:rFonts w:ascii="Calibri" w:cs="Calibri" w:eastAsia="Calibri" w:hAnsi="Calibri"/>
          <w:b/>
          <w:bCs/>
          <w:color w:val="1F3A4D"/>
          <w:sz w:val="16"/>
          <w:szCs w:val="16"/>
        </w:rPr>
        <w:t xml:space="preserve">Before the call: </w:t>
      </w:r>
      <w:r>
        <w:rPr>
          <w:rFonts w:ascii="Calibri" w:cs="Calibri" w:eastAsia="Calibri" w:hAnsi="Calibri"/>
          <w:color w:val="222222"/>
          <w:sz w:val="16"/>
          <w:szCs w:val="16"/>
        </w:rPr>
        <w:t xml:space="preserve">water nearby, notes open, breathe. Confirm who you’re speaking with. Logistics answers ready: U.S. Citizen, comp flexible/focused on fit, actively interviewing. One question at a time; it’s fine to pause.</w:t>
      </w:r>
    </w:p>
    <w:sectPr>
      <w:pgSz w:w="11906" w:h="16838" w:orient="portrait"/>
      <w:pgMar w:top="680" w:right="1000" w:bottom="6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2026-08-05T20:41:04.237Z</dcterms:created>
  <dcterms:modified xsi:type="dcterms:W3CDTF">2026-08-05T20:41:04.253Z</dcterms:modified>
</cp:coreProperties>
</file>

<file path=docProps/custom.xml><?xml version="1.0" encoding="utf-8"?>
<Properties xmlns="http://schemas.openxmlformats.org/officeDocument/2006/custom-properties" xmlns:vt="http://schemas.openxmlformats.org/officeDocument/2006/docPropsVTypes"/>
</file>