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
      </w:pPr>
      <w:r>
        <w:rPr>
          <w:rFonts w:ascii="Calibri" w:cs="Calibri" w:eastAsia="Calibri" w:hAnsi="Calibri"/>
          <w:b/>
          <w:bCs/>
          <w:color w:val="1F3A4D"/>
          <w:sz w:val="28"/>
          <w:szCs w:val="28"/>
        </w:rPr>
        <w:t xml:space="preserve">Aditi Kalle · Technical Brief</w:t>
      </w:r>
    </w:p>
    <w:p>
      <w:pPr>
        <w:pBdr>
          <w:bottom w:val="single" w:color="1F3A4D" w:sz="6" w:space="6"/>
        </w:pBdr>
        <w:spacing w:after="110"/>
      </w:pPr>
      <w:r>
        <w:rPr>
          <w:rFonts w:ascii="Calibri" w:cs="Calibri" w:eastAsia="Calibri" w:hAnsi="Calibri"/>
          <w:color w:val="444444"/>
          <w:sz w:val="16"/>
          <w:szCs w:val="16"/>
        </w:rPr>
        <w:t xml:space="preserve">Three deep-dive experiences for interviews. Know the numbers, the method, and why it mattered.</w:t>
      </w:r>
    </w:p>
    <w:p>
      <w:pPr>
        <w:shd w:fill="EAF1F0" w:val="clear"/>
        <w:spacing w:after="55" w:before="130"/>
      </w:pPr>
      <w:r>
        <w:rPr>
          <w:rFonts w:ascii="Calibri" w:cs="Calibri" w:eastAsia="Calibri" w:hAnsi="Calibri"/>
          <w:b/>
          <w:bCs/>
          <w:color w:val="0B6E5F"/>
          <w:sz w:val="18"/>
          <w:szCs w:val="18"/>
        </w:rPr>
        <w:t xml:space="preserve">  1. HIGH-HEAT-FLUX THIN-FILM EVAPORATION (UCSD, Chen Lab)</w:t>
      </w:r>
    </w:p>
    <w:p>
      <w:pPr>
        <w:spacing w:after="35" w:before="70"/>
      </w:pPr>
      <w:r>
        <w:rPr>
          <w:rFonts w:ascii="Calibri" w:cs="Calibri" w:eastAsia="Calibri" w:hAnsi="Calibri"/>
          <w:b/>
          <w:bCs/>
          <w:color w:val="1F3A4D"/>
          <w:sz w:val="17"/>
          <w:szCs w:val="17"/>
        </w:rPr>
        <w:t xml:space="preserve">Honest framing first</w:t>
      </w:r>
    </w:p>
    <w:p>
      <w:pPr>
        <w:pStyle w:val="ListParagraph"/>
        <w:numPr>
          <w:ilvl w:val="0"/>
          <w:numId w:val="2"/>
        </w:numPr>
        <w:spacing w:after="26"/>
      </w:pPr>
      <w:r>
        <w:rPr>
          <w:rFonts w:ascii="Calibri" w:cs="Calibri" w:eastAsia="Calibri" w:hAnsi="Calibri"/>
          <w:b/>
          <w:bCs/>
          <w:color w:val="111111"/>
          <w:sz w:val="17"/>
          <w:szCs w:val="17"/>
        </w:rPr>
        <w:t xml:space="preserve">Your role: </w:t>
      </w:r>
      <w:r>
        <w:rPr>
          <w:rFonts w:ascii="Calibri" w:cs="Calibri" w:eastAsia="Calibri" w:hAnsi="Calibri"/>
          <w:color w:val="111111"/>
          <w:sz w:val="17"/>
          <w:szCs w:val="17"/>
        </w:rPr>
        <w:t xml:space="preserve">key experimental contributor and second author on the paper in prep (Zhang, Kalle, Jeon, Pei, Chen). Say "I contributed to the experiments," not "my project." The thesis PI was Haowen Zhang.</w:t>
      </w:r>
    </w:p>
    <w:p>
      <w:pPr>
        <w:spacing w:after="35" w:before="70"/>
      </w:pPr>
      <w:r>
        <w:rPr>
          <w:rFonts w:ascii="Calibri" w:cs="Calibri" w:eastAsia="Calibri" w:hAnsi="Calibri"/>
          <w:b/>
          <w:bCs/>
          <w:color w:val="1F3A4D"/>
          <w:sz w:val="17"/>
          <w:szCs w:val="17"/>
        </w:rPr>
        <w:t xml:space="preserve">The problem</w:t>
      </w:r>
    </w:p>
    <w:p>
      <w:pPr>
        <w:pStyle w:val="ListParagraph"/>
        <w:numPr>
          <w:ilvl w:val="0"/>
          <w:numId w:val="2"/>
        </w:numPr>
        <w:spacing w:after="26"/>
      </w:pPr>
      <w:r>
        <w:rPr>
          <w:rFonts w:ascii="Calibri" w:cs="Calibri" w:eastAsia="Calibri" w:hAnsi="Calibri"/>
          <w:color w:val="111111"/>
          <w:sz w:val="17"/>
          <w:szCs w:val="17"/>
        </w:rPr>
        <w:t xml:space="preserve">Next-gen electronics dissipate up to thousands of W/cm². Heat pipes rely on a wick, but wicks face a fundamental trade-off: small pores give high capillary pressure but low permeability. You cannot just shrink pores.</w:t>
      </w:r>
    </w:p>
    <w:p>
      <w:pPr>
        <w:spacing w:after="35" w:before="70"/>
      </w:pPr>
      <w:r>
        <w:rPr>
          <w:rFonts w:ascii="Calibri" w:cs="Calibri" w:eastAsia="Calibri" w:hAnsi="Calibri"/>
          <w:b/>
          <w:bCs/>
          <w:color w:val="1F3A4D"/>
          <w:sz w:val="17"/>
          <w:szCs w:val="17"/>
        </w:rPr>
        <w:t xml:space="preserve">The approach</w:t>
      </w:r>
    </w:p>
    <w:p>
      <w:pPr>
        <w:pStyle w:val="ListParagraph"/>
        <w:numPr>
          <w:ilvl w:val="0"/>
          <w:numId w:val="2"/>
        </w:numPr>
        <w:spacing w:after="26"/>
      </w:pPr>
      <w:r>
        <w:rPr>
          <w:rFonts w:ascii="Calibri" w:cs="Calibri" w:eastAsia="Calibri" w:hAnsi="Calibri"/>
          <w:b/>
          <w:bCs/>
          <w:color w:val="111111"/>
          <w:sz w:val="17"/>
          <w:szCs w:val="17"/>
        </w:rPr>
        <w:t xml:space="preserve">Biporous glass-fiber membrane wick: </w:t>
      </w:r>
      <w:r>
        <w:rPr>
          <w:rFonts w:ascii="Calibri" w:cs="Calibri" w:eastAsia="Calibri" w:hAnsi="Calibri"/>
          <w:color w:val="111111"/>
          <w:sz w:val="17"/>
          <w:szCs w:val="17"/>
        </w:rPr>
        <w:t xml:space="preserve">random-stacked microfibers give two pore scales at once, small pores (~0.6 um) for capillary pressure, large pores (3–20 um) for low vapor-flow resistance. Cheap, unlike sintered-copper or CNT wicks.</w:t>
      </w:r>
    </w:p>
    <w:p>
      <w:pPr>
        <w:pStyle w:val="ListParagraph"/>
        <w:numPr>
          <w:ilvl w:val="0"/>
          <w:numId w:val="2"/>
        </w:numPr>
        <w:spacing w:after="26"/>
      </w:pPr>
      <w:r>
        <w:rPr>
          <w:rFonts w:ascii="Calibri" w:cs="Calibri" w:eastAsia="Calibri" w:hAnsi="Calibri"/>
          <w:b/>
          <w:bCs/>
          <w:color w:val="111111"/>
          <w:sz w:val="17"/>
          <w:szCs w:val="17"/>
        </w:rPr>
        <w:t xml:space="preserve">Instrumentation: </w:t>
      </w:r>
      <w:r>
        <w:rPr>
          <w:rFonts w:ascii="Calibri" w:cs="Calibri" w:eastAsia="Calibri" w:hAnsi="Calibri"/>
          <w:color w:val="111111"/>
          <w:sz w:val="17"/>
          <w:szCs w:val="17"/>
        </w:rPr>
        <w:t xml:space="preserve">a Pt strip sputtered on the membrane served as both heater and RTD (resistance-temperature detector, TCR calibrated, R² = 0.99). Degassed DI water fed by hydraulic head; AC power up to ~7 A.</w:t>
      </w:r>
    </w:p>
    <w:p>
      <w:pPr>
        <w:pStyle w:val="ListParagraph"/>
        <w:numPr>
          <w:ilvl w:val="0"/>
          <w:numId w:val="2"/>
        </w:numPr>
        <w:spacing w:after="26"/>
      </w:pPr>
      <w:r>
        <w:rPr>
          <w:rFonts w:ascii="Calibri" w:cs="Calibri" w:eastAsia="Calibri" w:hAnsi="Calibri"/>
          <w:b/>
          <w:bCs/>
          <w:color w:val="111111"/>
          <w:sz w:val="17"/>
          <w:szCs w:val="17"/>
        </w:rPr>
        <w:t xml:space="preserve">Measurement trick: </w:t>
      </w:r>
      <w:r>
        <w:rPr>
          <w:rFonts w:ascii="Calibri" w:cs="Calibri" w:eastAsia="Calibri" w:hAnsi="Calibri"/>
          <w:color w:val="111111"/>
          <w:sz w:val="17"/>
          <w:szCs w:val="17"/>
        </w:rPr>
        <w:t xml:space="preserve">7 A exceeded the multimeter limit, so a 3.75 mOhm shunt resistor in series gave current via Ohm’s law (cross-checked to &lt;1% vs supply). Heat flux = V×I / heater area.</w:t>
      </w:r>
    </w:p>
    <w:p>
      <w:pPr>
        <w:spacing w:after="35" w:before="70"/>
      </w:pPr>
      <w:r>
        <w:rPr>
          <w:rFonts w:ascii="Calibri" w:cs="Calibri" w:eastAsia="Calibri" w:hAnsi="Calibri"/>
          <w:b/>
          <w:bCs/>
          <w:color w:val="1F3A4D"/>
          <w:sz w:val="17"/>
          <w:szCs w:val="17"/>
        </w:rPr>
        <w:t xml:space="preserve">The result</w:t>
      </w:r>
    </w:p>
    <w:p>
      <w:pPr>
        <w:pStyle w:val="ListParagraph"/>
        <w:numPr>
          <w:ilvl w:val="0"/>
          <w:numId w:val="2"/>
        </w:numPr>
        <w:spacing w:after="26"/>
      </w:pPr>
      <w:r>
        <w:rPr>
          <w:rFonts w:ascii="Calibri" w:cs="Calibri" w:eastAsia="Calibri" w:hAnsi="Calibri"/>
          <w:b/>
          <w:bCs/>
          <w:color w:val="111111"/>
          <w:sz w:val="17"/>
          <w:szCs w:val="17"/>
        </w:rPr>
        <w:t xml:space="preserve">CHF up to 600 W/cm² </w:t>
      </w:r>
      <w:r>
        <w:rPr>
          <w:rFonts w:ascii="Calibri" w:cs="Calibri" w:eastAsia="Calibri" w:hAnsi="Calibri"/>
          <w:color w:val="111111"/>
          <w:sz w:val="17"/>
          <w:szCs w:val="17"/>
        </w:rPr>
        <w:t xml:space="preserve">(GB-140, 0.5 cm² equal heater/evap area) and peak HTC of 5.5 W/cm²K. CHF showed no clean dependence on pore size or thickness, suggesting the limit was local hot spots / thermal stress, not capillary-vs-flow balance.</w:t>
      </w:r>
    </w:p>
    <w:p>
      <w:pPr>
        <w:pStyle w:val="ListParagraph"/>
        <w:numPr>
          <w:ilvl w:val="0"/>
          <w:numId w:val="2"/>
        </w:numPr>
        <w:spacing w:after="26"/>
      </w:pPr>
      <w:r>
        <w:rPr>
          <w:rFonts w:ascii="Calibri" w:cs="Calibri" w:eastAsia="Calibri" w:hAnsi="Calibri"/>
          <w:b/>
          <w:bCs/>
          <w:color w:val="111111"/>
          <w:sz w:val="17"/>
          <w:szCs w:val="17"/>
        </w:rPr>
        <w:t xml:space="preserve">Also (Ch.3): </w:t>
      </w:r>
      <w:r>
        <w:rPr>
          <w:rFonts w:ascii="Calibri" w:cs="Calibri" w:eastAsia="Calibri" w:hAnsi="Calibri"/>
          <w:color w:val="111111"/>
          <w:sz w:val="17"/>
          <w:szCs w:val="17"/>
        </w:rPr>
        <w:t xml:space="preserve">explored osmotic wicks, PSA and PEGDA hydrogels, measured permeability (PEGDA ~1e-15 m², PSA ~1e-18 m²), used Darcy’s law + osmotic pressure to predict evaporation flux vs thickness.</w:t>
      </w:r>
    </w:p>
    <w:p>
      <w:pPr>
        <w:spacing w:after="35" w:before="70"/>
      </w:pPr>
      <w:r>
        <w:rPr>
          <w:rFonts w:ascii="Calibri" w:cs="Calibri" w:eastAsia="Calibri" w:hAnsi="Calibri"/>
          <w:b/>
          <w:bCs/>
          <w:color w:val="1F3A4D"/>
          <w:sz w:val="17"/>
          <w:szCs w:val="17"/>
        </w:rPr>
        <w:t xml:space="preserve">Why it matters / how to pitch</w:t>
      </w:r>
    </w:p>
    <w:p>
      <w:pPr>
        <w:pStyle w:val="ListParagraph"/>
        <w:numPr>
          <w:ilvl w:val="0"/>
          <w:numId w:val="2"/>
        </w:numPr>
        <w:spacing w:after="26"/>
      </w:pPr>
      <w:r>
        <w:rPr>
          <w:rFonts w:ascii="Calibri" w:cs="Calibri" w:eastAsia="Calibri" w:hAnsi="Calibri"/>
          <w:color w:val="111111"/>
          <w:sz w:val="17"/>
          <w:szCs w:val="17"/>
        </w:rPr>
        <w:t xml:space="preserve">CHF is the dry-out limit, the flux where the surface can no longer rewet and heat transfer collapses. 600 W/cm² is rocket-nozzle-wall territory and several times an AI accelerator. Directly relevant to direct-to-chip cooling AND to reactor DNB margins (same boiling physics).</w:t>
      </w:r>
    </w:p>
    <w:p>
      <w:pPr>
        <w:shd w:fill="EAF1F0" w:val="clear"/>
        <w:spacing w:after="55" w:before="130"/>
      </w:pPr>
      <w:r>
        <w:rPr>
          <w:rFonts w:ascii="Calibri" w:cs="Calibri" w:eastAsia="Calibri" w:hAnsi="Calibri"/>
          <w:b/>
          <w:bCs/>
          <w:color w:val="0B6E5F"/>
          <w:sz w:val="18"/>
          <w:szCs w:val="18"/>
        </w:rPr>
        <w:t xml:space="preserve">  2. FUSION MATERIALS &amp; THERMAL HARDWARE (Zap Energy, 2024)</w:t>
      </w:r>
    </w:p>
    <w:p>
      <w:pPr>
        <w:spacing w:after="35" w:before="70"/>
      </w:pPr>
      <w:r>
        <w:rPr>
          <w:rFonts w:ascii="Calibri" w:cs="Calibri" w:eastAsia="Calibri" w:hAnsi="Calibri"/>
          <w:b/>
          <w:bCs/>
          <w:color w:val="1F3A4D"/>
          <w:sz w:val="17"/>
          <w:szCs w:val="17"/>
        </w:rPr>
        <w:t xml:space="preserve">Liquid-metal blanket alloys</w:t>
      </w:r>
    </w:p>
    <w:p>
      <w:pPr>
        <w:pStyle w:val="ListParagraph"/>
        <w:numPr>
          <w:ilvl w:val="0"/>
          <w:numId w:val="2"/>
        </w:numPr>
        <w:spacing w:after="26"/>
      </w:pPr>
      <w:r>
        <w:rPr>
          <w:rFonts w:ascii="Calibri" w:cs="Calibri" w:eastAsia="Calibri" w:hAnsi="Calibri"/>
          <w:b/>
          <w:bCs/>
          <w:color w:val="111111"/>
          <w:sz w:val="17"/>
          <w:szCs w:val="17"/>
        </w:rPr>
        <w:t xml:space="preserve">Target: </w:t>
      </w:r>
      <w:r>
        <w:rPr>
          <w:rFonts w:ascii="Calibri" w:cs="Calibri" w:eastAsia="Calibri" w:hAnsi="Calibri"/>
          <w:color w:val="111111"/>
          <w:sz w:val="17"/>
          <w:szCs w:val="17"/>
        </w:rPr>
        <w:t xml:space="preserve">a novel Sn-Li-Pb ternary-eutectic alloy (their term of endearment "Clementally"), chosen for the lowest melting / onset temperature among candidate alloys, predicted via Thermo-Calc, then verified experimentally.</w:t>
      </w:r>
    </w:p>
    <w:p>
      <w:pPr>
        <w:pStyle w:val="ListParagraph"/>
        <w:numPr>
          <w:ilvl w:val="0"/>
          <w:numId w:val="2"/>
        </w:numPr>
        <w:spacing w:after="26"/>
      </w:pPr>
      <w:r>
        <w:rPr>
          <w:rFonts w:ascii="Calibri" w:cs="Calibri" w:eastAsia="Calibri" w:hAnsi="Calibri"/>
          <w:b/>
          <w:bCs/>
          <w:color w:val="111111"/>
          <w:sz w:val="17"/>
          <w:szCs w:val="17"/>
        </w:rPr>
        <w:t xml:space="preserve">Method: </w:t>
      </w:r>
      <w:r>
        <w:rPr>
          <w:rFonts w:ascii="Calibri" w:cs="Calibri" w:eastAsia="Calibri" w:hAnsi="Calibri"/>
          <w:color w:val="111111"/>
          <w:sz w:val="17"/>
          <w:szCs w:val="17"/>
        </w:rPr>
        <w:t xml:space="preserve">prepared alloys in an inert-atmosphere glovebox; feedstock metal melted in a furnace (~1000°C) to prepare the alloy; found eutectic composition via thermal analysis on a Netzsch STA (simultaneous TGA/DSC), running heat/cool cycles to catch the solid-liquid phase change and lowest onset.</w:t>
      </w:r>
    </w:p>
    <w:p>
      <w:pPr>
        <w:pStyle w:val="ListParagraph"/>
        <w:numPr>
          <w:ilvl w:val="0"/>
          <w:numId w:val="2"/>
        </w:numPr>
        <w:spacing w:after="26"/>
      </w:pPr>
      <w:r>
        <w:rPr>
          <w:rFonts w:ascii="Calibri" w:cs="Calibri" w:eastAsia="Calibri" w:hAnsi="Calibri"/>
          <w:b/>
          <w:bCs/>
          <w:color w:val="111111"/>
          <w:sz w:val="17"/>
          <w:szCs w:val="17"/>
        </w:rPr>
        <w:t xml:space="preserve">Baseline discipline: </w:t>
      </w:r>
      <w:r>
        <w:rPr>
          <w:rFonts w:ascii="Calibri" w:cs="Calibri" w:eastAsia="Calibri" w:hAnsi="Calibri"/>
          <w:color w:val="111111"/>
          <w:sz w:val="17"/>
          <w:szCs w:val="17"/>
        </w:rPr>
        <w:t xml:space="preserve">validated the method first on known reference alloys (Bi-Pb-Sn, near-eutectic Pb-Li, Sn-Pb solders) before the unknown target.</w:t>
      </w:r>
    </w:p>
    <w:p>
      <w:pPr>
        <w:spacing w:after="35" w:before="70"/>
      </w:pPr>
      <w:r>
        <w:rPr>
          <w:rFonts w:ascii="Calibri" w:cs="Calibri" w:eastAsia="Calibri" w:hAnsi="Calibri"/>
          <w:b/>
          <w:bCs/>
          <w:color w:val="1F3A4D"/>
          <w:sz w:val="17"/>
          <w:szCs w:val="17"/>
        </w:rPr>
        <w:t xml:space="preserve">Porous refractory structures</w:t>
      </w:r>
    </w:p>
    <w:p>
      <w:pPr>
        <w:pStyle w:val="ListParagraph"/>
        <w:numPr>
          <w:ilvl w:val="0"/>
          <w:numId w:val="2"/>
        </w:numPr>
        <w:spacing w:after="26"/>
      </w:pPr>
      <w:r>
        <w:rPr>
          <w:rFonts w:ascii="Calibri" w:cs="Calibri" w:eastAsia="Calibri" w:hAnsi="Calibri"/>
          <w:b/>
          <w:bCs/>
          <w:color w:val="111111"/>
          <w:sz w:val="17"/>
          <w:szCs w:val="17"/>
        </w:rPr>
        <w:t xml:space="preserve">Liquid-lithium wicking of porous W-5Re </w:t>
      </w:r>
      <w:r>
        <w:rPr>
          <w:rFonts w:ascii="Calibri" w:cs="Calibri" w:eastAsia="Calibri" w:hAnsi="Calibri"/>
          <w:color w:val="111111"/>
          <w:sz w:val="17"/>
          <w:szCs w:val="17"/>
        </w:rPr>
        <w:t xml:space="preserve">(tungsten-5% rhenium): withstands &gt;700°C and holds vacuum below 1e-6 Torr. Ran COMSOL to evaluate porosity, permeability, and effective conductivity; measured density by Archimedes’ method.</w:t>
      </w:r>
    </w:p>
    <w:p>
      <w:pPr>
        <w:pStyle w:val="ListParagraph"/>
        <w:numPr>
          <w:ilvl w:val="0"/>
          <w:numId w:val="2"/>
        </w:numPr>
        <w:spacing w:after="26"/>
      </w:pPr>
      <w:r>
        <w:rPr>
          <w:rFonts w:ascii="Calibri" w:cs="Calibri" w:eastAsia="Calibri" w:hAnsi="Calibri"/>
          <w:b/>
          <w:bCs/>
          <w:color w:val="111111"/>
          <w:sz w:val="17"/>
          <w:szCs w:val="17"/>
        </w:rPr>
        <w:t xml:space="preserve">Characterization: </w:t>
      </w:r>
      <w:r>
        <w:rPr>
          <w:rFonts w:ascii="Calibri" w:cs="Calibri" w:eastAsia="Calibri" w:hAnsi="Calibri"/>
          <w:color w:val="111111"/>
          <w:sz w:val="17"/>
          <w:szCs w:val="17"/>
        </w:rPr>
        <w:t xml:space="preserve">SEM/EDX and optical microscopy (noted EDX interference when two X-rays hit the detector at once and read as one signal).</w:t>
      </w:r>
    </w:p>
    <w:p>
      <w:pPr>
        <w:spacing w:after="35" w:before="70"/>
      </w:pPr>
      <w:r>
        <w:rPr>
          <w:rFonts w:ascii="Calibri" w:cs="Calibri" w:eastAsia="Calibri" w:hAnsi="Calibri"/>
          <w:b/>
          <w:bCs/>
          <w:color w:val="1F3A4D"/>
          <w:sz w:val="17"/>
          <w:szCs w:val="17"/>
        </w:rPr>
        <w:t xml:space="preserve">Why it matters / how to pitch</w:t>
      </w:r>
    </w:p>
    <w:p>
      <w:pPr>
        <w:pStyle w:val="ListParagraph"/>
        <w:numPr>
          <w:ilvl w:val="0"/>
          <w:numId w:val="2"/>
        </w:numPr>
        <w:spacing w:after="26"/>
      </w:pPr>
      <w:r>
        <w:rPr>
          <w:rFonts w:ascii="Calibri" w:cs="Calibri" w:eastAsia="Calibri" w:hAnsi="Calibri"/>
          <w:color w:val="111111"/>
          <w:sz w:val="17"/>
          <w:szCs w:val="17"/>
        </w:rPr>
        <w:t xml:space="preserve">Liquid-metal blankets and wicking refractory walls are how a fusion device manages heat and breeds fuel. This is real fusion-hardware qualification, your headline credential for Helion. Emphasize: glovebox/vacuum/compressed-gas ops under human-safety-critical protocols, and first-principles material selection backed by thermal analysis.</w:t>
      </w:r>
    </w:p>
    <w:p>
      <w:pPr>
        <w:shd w:fill="EAF1F0" w:val="clear"/>
        <w:spacing w:after="55" w:before="130"/>
      </w:pPr>
      <w:r>
        <w:rPr>
          <w:rFonts w:ascii="Calibri" w:cs="Calibri" w:eastAsia="Calibri" w:hAnsi="Calibri"/>
          <w:b/>
          <w:bCs/>
          <w:color w:val="0B6E5F"/>
          <w:sz w:val="18"/>
          <w:szCs w:val="18"/>
        </w:rPr>
        <w:t xml:space="preserve">  3. OFF-GRID POWER SYSTEMS &amp; ENERGY-AWARE SCHEDULING (MarineSitu)</w:t>
      </w:r>
    </w:p>
    <w:p>
      <w:pPr>
        <w:spacing w:after="35" w:before="70"/>
      </w:pPr>
      <w:r>
        <w:rPr>
          <w:rFonts w:ascii="Calibri" w:cs="Calibri" w:eastAsia="Calibri" w:hAnsi="Calibri"/>
          <w:b/>
          <w:bCs/>
          <w:color w:val="1F3A4D"/>
          <w:sz w:val="17"/>
          <w:szCs w:val="17"/>
        </w:rPr>
        <w:t xml:space="preserve">Power-systems modeling</w:t>
      </w:r>
    </w:p>
    <w:p>
      <w:pPr>
        <w:pStyle w:val="ListParagraph"/>
        <w:numPr>
          <w:ilvl w:val="0"/>
          <w:numId w:val="2"/>
        </w:numPr>
        <w:spacing w:after="26"/>
      </w:pPr>
      <w:r>
        <w:rPr>
          <w:rFonts w:ascii="Calibri" w:cs="Calibri" w:eastAsia="Calibri" w:hAnsi="Calibri"/>
          <w:color w:val="111111"/>
          <w:sz w:val="17"/>
          <w:szCs w:val="17"/>
        </w:rPr>
        <w:t xml:space="preserve">Built a Python Marine System Power Analysis Tool (time-series, component-level) for the AMEC and IMTA marine platforms; compiled power budgets and sized battery (7–18 Ah) and solar (30–109 W) across 7 operational profiles; IMTA energy estimates 141–783 Wh/day.</w:t>
      </w:r>
    </w:p>
    <w:p>
      <w:pPr>
        <w:spacing w:after="35" w:before="70"/>
      </w:pPr>
      <w:r>
        <w:rPr>
          <w:rFonts w:ascii="Calibri" w:cs="Calibri" w:eastAsia="Calibri" w:hAnsi="Calibri"/>
          <w:b/>
          <w:bCs/>
          <w:color w:val="1F3A4D"/>
          <w:sz w:val="17"/>
          <w:szCs w:val="17"/>
        </w:rPr>
        <w:t xml:space="preserve">Energy-aware scheduling (main thrust)</w:t>
      </w:r>
    </w:p>
    <w:p>
      <w:pPr>
        <w:pStyle w:val="ListParagraph"/>
        <w:numPr>
          <w:ilvl w:val="0"/>
          <w:numId w:val="2"/>
        </w:numPr>
        <w:spacing w:after="26"/>
      </w:pPr>
      <w:r>
        <w:rPr>
          <w:rFonts w:ascii="Calibri" w:cs="Calibri" w:eastAsia="Calibri" w:hAnsi="Calibri"/>
          <w:b/>
          <w:bCs/>
          <w:color w:val="111111"/>
          <w:sz w:val="17"/>
          <w:szCs w:val="17"/>
        </w:rPr>
        <w:t xml:space="preserve">Characterized the buoy: </w:t>
      </w:r>
      <w:r>
        <w:rPr>
          <w:rFonts w:ascii="Calibri" w:cs="Calibri" w:eastAsia="Calibri" w:hAnsi="Calibri"/>
          <w:color w:val="111111"/>
          <w:sz w:val="17"/>
          <w:szCs w:val="17"/>
        </w:rPr>
        <w:t xml:space="preserve">100 W solar, 1.2 kWh LiFePO4, MPPT, from field telemetry, deriving a ~230 Wh/day budget, a 1.7 W base load and 33.7 W camera, and a governing 23% camera duty cycle.</w:t>
      </w:r>
    </w:p>
    <w:p>
      <w:pPr>
        <w:pStyle w:val="ListParagraph"/>
        <w:numPr>
          <w:ilvl w:val="0"/>
          <w:numId w:val="2"/>
        </w:numPr>
        <w:spacing w:after="26"/>
      </w:pPr>
      <w:r>
        <w:rPr>
          <w:rFonts w:ascii="Calibri" w:cs="Calibri" w:eastAsia="Calibri" w:hAnsi="Calibri"/>
          <w:b/>
          <w:bCs/>
          <w:color w:val="111111"/>
          <w:sz w:val="17"/>
          <w:szCs w:val="17"/>
        </w:rPr>
        <w:t xml:space="preserve">Forecast + optimize: </w:t>
      </w:r>
      <w:r>
        <w:rPr>
          <w:rFonts w:ascii="Calibri" w:cs="Calibri" w:eastAsia="Calibri" w:hAnsi="Calibri"/>
          <w:color w:val="111111"/>
          <w:sz w:val="17"/>
          <w:szCs w:val="17"/>
        </w:rPr>
        <w:t xml:space="preserve">solar forecasting (LSTM + Prophet + benchmarks) feeding a proportional-allocation / integer-LP scheduler (CVXPY) that holds the battery in a safe 20–90% SoC envelope.</w:t>
      </w:r>
    </w:p>
    <w:p>
      <w:pPr>
        <w:spacing w:after="35" w:before="70"/>
      </w:pPr>
      <w:r>
        <w:rPr>
          <w:rFonts w:ascii="Calibri" w:cs="Calibri" w:eastAsia="Calibri" w:hAnsi="Calibri"/>
          <w:b/>
          <w:bCs/>
          <w:color w:val="1F3A4D"/>
          <w:sz w:val="17"/>
          <w:szCs w:val="17"/>
        </w:rPr>
        <w:t xml:space="preserve">Validation on real telemetry (recent, strongest talking point)</w:t>
      </w:r>
    </w:p>
    <w:p>
      <w:pPr>
        <w:pStyle w:val="ListParagraph"/>
        <w:numPr>
          <w:ilvl w:val="0"/>
          <w:numId w:val="2"/>
        </w:numPr>
        <w:spacing w:after="26"/>
      </w:pPr>
      <w:r>
        <w:rPr>
          <w:rFonts w:ascii="Calibri" w:cs="Calibri" w:eastAsia="Calibri" w:hAnsi="Calibri"/>
          <w:b/>
          <w:bCs/>
          <w:color w:val="111111"/>
          <w:sz w:val="17"/>
          <w:szCs w:val="17"/>
        </w:rPr>
        <w:t xml:space="preserve">Controller: </w:t>
      </w:r>
      <w:r>
        <w:rPr>
          <w:rFonts w:ascii="Calibri" w:cs="Calibri" w:eastAsia="Calibri" w:hAnsi="Calibri"/>
          <w:color w:val="111111"/>
          <w:sz w:val="17"/>
          <w:szCs w:val="17"/>
        </w:rPr>
        <w:t xml:space="preserve">the joint forecast + hierarchical scheduler was the only policy with zero battery-floor violations across the deployment.</w:t>
      </w:r>
    </w:p>
    <w:p>
      <w:pPr>
        <w:pStyle w:val="ListParagraph"/>
        <w:numPr>
          <w:ilvl w:val="0"/>
          <w:numId w:val="2"/>
        </w:numPr>
        <w:spacing w:after="26"/>
      </w:pPr>
      <w:r>
        <w:rPr>
          <w:rFonts w:ascii="Calibri" w:cs="Calibri" w:eastAsia="Calibri" w:hAnsi="Calibri"/>
          <w:b/>
          <w:bCs/>
          <w:color w:val="111111"/>
          <w:sz w:val="17"/>
          <w:szCs w:val="17"/>
        </w:rPr>
        <w:t xml:space="preserve">Battery model: </w:t>
      </w:r>
      <w:r>
        <w:rPr>
          <w:rFonts w:ascii="Calibri" w:cs="Calibri" w:eastAsia="Calibri" w:hAnsi="Calibri"/>
          <w:color w:val="111111"/>
          <w:sz w:val="17"/>
          <w:szCs w:val="17"/>
        </w:rPr>
        <w:t xml:space="preserve">validated against real voltage/current; found voltage-based SoC ~15% off and recommended coulomb counting.</w:t>
      </w:r>
    </w:p>
    <w:p>
      <w:pPr>
        <w:pStyle w:val="ListParagraph"/>
        <w:numPr>
          <w:ilvl w:val="0"/>
          <w:numId w:val="2"/>
        </w:numPr>
        <w:spacing w:after="26"/>
      </w:pPr>
      <w:r>
        <w:rPr>
          <w:rFonts w:ascii="Calibri" w:cs="Calibri" w:eastAsia="Calibri" w:hAnsi="Calibri"/>
          <w:b/>
          <w:bCs/>
          <w:color w:val="111111"/>
          <w:sz w:val="17"/>
          <w:szCs w:val="17"/>
        </w:rPr>
        <w:t xml:space="preserve">Fault detection: </w:t>
      </w:r>
      <w:r>
        <w:rPr>
          <w:rFonts w:ascii="Calibri" w:cs="Calibri" w:eastAsia="Calibri" w:hAnsi="Calibri"/>
          <w:color w:val="111111"/>
          <w:sz w:val="17"/>
          <w:szCs w:val="17"/>
        </w:rPr>
        <w:t xml:space="preserve">an ERA5-referenced panel-health monitor caught a ~60% biofouling power loss and a distinct sensor fault.</w:t>
      </w:r>
    </w:p>
    <w:p>
      <w:pPr>
        <w:spacing w:after="35" w:before="70"/>
      </w:pPr>
      <w:r>
        <w:rPr>
          <w:rFonts w:ascii="Calibri" w:cs="Calibri" w:eastAsia="Calibri" w:hAnsi="Calibri"/>
          <w:b/>
          <w:bCs/>
          <w:color w:val="1F3A4D"/>
          <w:sz w:val="17"/>
          <w:szCs w:val="17"/>
        </w:rPr>
        <w:t xml:space="preserve">Why it matters / how to pitch</w:t>
      </w:r>
    </w:p>
    <w:p>
      <w:pPr>
        <w:pStyle w:val="ListParagraph"/>
        <w:numPr>
          <w:ilvl w:val="0"/>
          <w:numId w:val="2"/>
        </w:numPr>
        <w:spacing w:after="26"/>
      </w:pPr>
      <w:r>
        <w:rPr>
          <w:rFonts w:ascii="Calibri" w:cs="Calibri" w:eastAsia="Calibri" w:hAnsi="Calibri"/>
          <w:color w:val="111111"/>
          <w:sz w:val="17"/>
          <w:szCs w:val="17"/>
        </w:rPr>
        <w:t xml:space="preserve">The through-line: turning real hardware telemetry into engineering decisions, sizing, budgets, safe operating envelopes, and fault detection. This is your energy-systems and data-to-decisions story for Form, Tesla Energy, and marine-energy roles.</w:t>
      </w:r>
    </w:p>
    <w:sectPr>
      <w:pgSz w:w="11906" w:h="16838" w:orient="portrait"/>
      <w:pgMar w:top="680" w:right="1000" w:bottom="62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40" w:hanging="150"/>
      </w:pPr>
      <w:rPr>
        <w:color w:val="0B6E5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2026-08-04T17:09:33.245Z</dcterms:created>
  <dcterms:modified xsi:type="dcterms:W3CDTF">2026-08-04T17:09:33.260Z</dcterms:modified>
</cp:coreProperties>
</file>

<file path=docProps/custom.xml><?xml version="1.0" encoding="utf-8"?>
<Properties xmlns="http://schemas.openxmlformats.org/officeDocument/2006/custom-properties" xmlns:vt="http://schemas.openxmlformats.org/officeDocument/2006/docPropsVTypes"/>
</file>