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30"/>
          <w:sz w:val="34"/>
          <w:szCs w:val="34"/>
        </w:rPr>
        <w:t xml:space="preserve">ADITI KALLE</w:t>
      </w:r>
    </w:p>
    <w:p>
      <w:pPr>
        <w:spacing w:after="2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Seattle, WA  ·  217-200-3419  ·  etadmk@gmail.com  ·  linkedin.com/in/aditikalle  ·  U.S. Citizen</w:t>
      </w:r>
    </w:p>
    <w:p>
      <w:pPr>
        <w:pBdr>
          <w:bottom w:val="single" w:color="9A9A9A" w:sz="6" w:space="2"/>
        </w:pBdr>
        <w:spacing w:after="46" w:before="80"/>
      </w:pPr>
      <w:r>
        <w:rPr>
          <w:rFonts w:ascii="Calibri" w:cs="Calibri" w:eastAsia="Calibri" w:hAnsi="Calibri"/>
          <w:b/>
          <w:bCs/>
          <w:color w:val="1A1A1A"/>
          <w:spacing w:val="24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Mechanical engineer specializing in thermal-fluids hardware for extreme environments: high-heat-flux cooling, two-phase and capillary thermal management, and the custom test rigs that qualify them. Designed and operated rigs reaching a critical heat flux of 600 W/cm² on capillary wicking structures, validating design parameters for cold plate and heat pipe architectures. Hands-on with ultra-high vacuum, high-pressure gas, and LOTO-governed test operations; refractory metal hardware; COMSOL transport modeling; and production Python analysis pipelines.</w:t>
      </w:r>
    </w:p>
    <w:p>
      <w:pPr>
        <w:pBdr>
          <w:bottom w:val="single" w:color="9A9A9A" w:sz="6" w:space="2"/>
        </w:pBdr>
        <w:spacing w:after="46" w:before="80"/>
      </w:pPr>
      <w:r>
        <w:rPr>
          <w:rFonts w:ascii="Calibri" w:cs="Calibri" w:eastAsia="Calibri" w:hAnsi="Calibri"/>
          <w:b/>
          <w:bCs/>
          <w:color w:val="1A1A1A"/>
          <w:spacing w:val="24"/>
          <w:sz w:val="21"/>
          <w:szCs w:val="21"/>
        </w:rPr>
        <w:t xml:space="preserve">TECHNICAL SKILLS</w:t>
      </w:r>
    </w:p>
    <w:p>
      <w:pPr>
        <w:spacing w:after="45"/>
        <w:ind w:left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Thermal Management: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High-heat-flux design, cold plates, heat pipes, capillary wicking, multiphase and two-phase transport, boiling and dryout limits, conduction / convection / radiation sizing, COMSOL Multiphysics.</w:t>
      </w:r>
    </w:p>
    <w:p>
      <w:pPr>
        <w:spacing w:after="45"/>
        <w:ind w:left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Test &amp; Hardware Operations: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Custom test rig design and fabrication, test stand operation, DAQ and high-density thermocouple instrumentation, ultra-high vacuum (UHV), high-pressure gas, LOTO and hazardous operations, test procedures and hardware acceptance criteria, root-cause analysis.</w:t>
      </w:r>
    </w:p>
    <w:p>
      <w:pPr>
        <w:spacing w:after="45"/>
        <w:ind w:left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Materials &amp; Diagnostics: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Refractory alloys (tungsten, tantalum), porous metals, microstructure characterization (SEM/EDX), thermal analysis (TGA-DSC), surface coatings and wettability treatments, anti-fouling and scale dynamics.</w:t>
      </w:r>
    </w:p>
    <w:p>
      <w:pPr>
        <w:spacing w:after="45"/>
        <w:ind w:left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Software &amp; Analysis: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 (NumPy, SciPy, pandas, OpenCV, CVXPY), optimization (integer LP), time-series telemetry modeling, image processing, YAML-configured pipelines, CAD.</w:t>
      </w:r>
    </w:p>
    <w:p>
      <w:pPr>
        <w:pBdr>
          <w:bottom w:val="single" w:color="9A9A9A" w:sz="6" w:space="2"/>
        </w:pBdr>
        <w:spacing w:after="46" w:before="80"/>
      </w:pPr>
      <w:r>
        <w:rPr>
          <w:rFonts w:ascii="Calibri" w:cs="Calibri" w:eastAsia="Calibri" w:hAnsi="Calibri"/>
          <w:b/>
          <w:bCs/>
          <w:color w:val="1A1A1A"/>
          <w:spacing w:val="24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16" w:before="7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Marine Energy Fellow (DOE / ORISE)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 —  MarineSitu, Seattle, WA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Power and energy budgeting for an unattended remote system: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characterized a 100 W solar / 1200 Wh LiFePO4 platform from 35 days of telemetry, derived a ~230 Wh/day budget, and isolated true component loads (1.7 W base, 33.7 W camera) to set a 23% payload duty cycle as the governing constraint.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Sizing and forecasting: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component-level power budgets across 7 operational profiles — battery 7 – 18 Ah, array 30 – 109 W, 141 – 783 Wh/day — supported by solar forecasting models (LSTM plus baselines, 0.93 W MAE).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Constrained scheduling and tooling: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formulated payload scheduling as an integer linear program (CVXPY) held inside a 20 – 90% state-of-charge envelope, with zero over-discharge events across the deployment; delivered two production Python tools with object-oriented, YAML-configured pipeline architecture.</w:t>
      </w:r>
    </w:p>
    <w:p>
      <w:pPr>
        <w:tabs>
          <w:tab w:val="right" w:pos="10800"/>
        </w:tabs>
        <w:spacing w:after="16" w:before="7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Research Intern, Advanced Materials Group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 —  Zap Energy, Seattle, WA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Hardware qualification: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qualified multi-component refractory alloy systems and porous tungsten thermal management structures intended for extreme thermal environments and high-heat-flux service; performed TGA-DSC thermal analysis and SEM/EDX microstructural qualification.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Test definition and hazardous operations: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authored formal test setups, test procedures, and hardware acceptance criteria for high-stakes thermal hardware; executed testing under safety-critical UHV, high-pressure gas, and LOTO protocols.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Multiphysics simulation: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modeled porous-metal thermal-fluid transport in COMSOL — effective thermal conductivity, permeability, and pressure drop across severe temperature gradients; led cross-functional design reviews for working-fluid selection.</w:t>
      </w:r>
    </w:p>
    <w:p>
      <w:pPr>
        <w:tabs>
          <w:tab w:val="right" w:pos="10800"/>
        </w:tabs>
        <w:spacing w:after="16" w:before="7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Graduate Research Assistant, Thermal Energy Materials &amp; Physics Lab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 —  UC San Diego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High-heat-flux test rig design: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custom-engineered and operated high-heat-flux thermal test rigs achieving a critical heat flux of 600 W/cm² on capillary wicking structures, validating key parameters for cold plate and heat pipe designs; configured DAQ and instrumentation and authored the rig safety assessments.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Analytical modeling: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modeled capillary pressure limits and thermal resistance using Young-Laplace and Darcy formulations, framing the dryout boundary as a pressure budget rather than a temperature limit.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Root-cause analysis: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led failure analysis on thermal-fluid anomalies (hydrostatic water-level drift, capillary stiction), separating instrumentation artifacts from physical effects and revising operating procedures to protect data integrity.</w:t>
      </w:r>
    </w:p>
    <w:p>
      <w:pPr>
        <w:tabs>
          <w:tab w:val="right" w:pos="10800"/>
        </w:tabs>
        <w:spacing w:after="16" w:before="7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Visiting Scholar, Energy &amp; Multiphase Flow Lab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 —  University of Illinois Urbana-Champaign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Multiphase heat-transfer experiments: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ran saltwater falling-film evaporation on stainless-steel and 3D-printed polymer tubes and pool boiling on micron-scale grooved stainless samples, using an automated test system with DAQ, heater control, and high-speed imaging to quantify the trade between surface treatment and heat-transfer efficiency.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Characterization and data pipelines: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characterized CaCO₃ scale morphology by SEM; built a Python (OpenCV, pandas) image-processing and wave-velocity pipeline to quantify fouling-layer growth and liquid retention, supporting CFD model validation and manuscript preparation.</w:t>
      </w:r>
    </w:p>
    <w:p>
      <w:pPr>
        <w:pBdr>
          <w:bottom w:val="single" w:color="9A9A9A" w:sz="6" w:space="2"/>
        </w:pBdr>
        <w:spacing w:after="46" w:before="80"/>
      </w:pPr>
      <w:r>
        <w:rPr>
          <w:rFonts w:ascii="Calibri" w:cs="Calibri" w:eastAsia="Calibri" w:hAnsi="Calibri"/>
          <w:b/>
          <w:bCs/>
          <w:color w:val="1A1A1A"/>
          <w:spacing w:val="24"/>
          <w:sz w:val="21"/>
          <w:szCs w:val="21"/>
        </w:rPr>
        <w:t xml:space="preserve">EDUCATION &amp; PUBLICATIONS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M.S., Mechanical Engineering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—  University of California, San Diego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	GPA 3.61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B.Tech, Mechanical Engineering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—  PES University, Bengaluru, India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	GPA 3.6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Publications: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Jin et al., “Falling-film evaporation in heat exchangers,” ASME J. Heat and Mass Transfer (2024)  ·  Jin et al., “Anti-fouling surface treatments for solar-driven desalination,” Desalination (2023).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2026-09-07T17:37:20.336Z</dcterms:created>
  <dcterms:modified xsi:type="dcterms:W3CDTF">2026-09-07T17:37:20.336Z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