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INTERNAL SPLITTING ANALYSIS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Diagnosing the h₁ ≈ h₂ Degeneracy and the Emergence of Tribimaximal Mixing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Addendum to Kill Vector Analysis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February 21, 2026</w:t>
      </w:r>
    </w:p>
    <w:p>
      <w:pPr>
        <w:pStyle w:val="Heading1"/>
      </w:pPr>
      <w:r>
        <w:t xml:space="preserve">1. The 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vacuum selection addendum established that the K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6</w:t>
      </w:r>
      <w:r>
        <w:rPr>
          <w:rFonts w:ascii="Arial" w:cs="Arial" w:eastAsia="Arial" w:hAnsi="Arial"/>
          <w:sz w:val="22"/>
          <w:szCs w:val="22"/>
        </w:rPr>
        <w:t xml:space="preserve"> cross-overlap projection selects a specific direction in K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’s 6D vacuum eigenspace, and that the three Heawood direction classes (d = 1, 2, 3) produce three distinct hierarchy scales. However, the selected direction gives nearly degenerate top-two eigenvalues within each sector: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Heawood Pairing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SM Target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h₁/h₂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 = 1 (nearest)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10,099 : 9,899 :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18,700 : 137 : 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 = 2 (next-nearest)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: 5 :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790 : 20 : 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 = 3 (opposite)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: 2 :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12,100 : 43 : 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
The SM requires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/h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ratios of order 100 (top/charm ≈ 137, tau/muon ≈ 282, bottom/strange ≈ 40). The framework produces ratios of order 1–3. This report diagnoses the cause and identifies the resolution path.</w:t>
      </w:r>
    </w:p>
    <w:p>
      <w:pPr>
        <w:pStyle w:val="Heading1"/>
      </w:pPr>
      <w:r>
        <w:t xml:space="preserve">2. Diagnosis: Near-Rank-1 Yukawa Matrix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3×3 Yukawa matrix Y for the d = 1 pairing (generations (0,1), (2,3), (4,5) on the Z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circle) with the K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6</w:t>
      </w:r>
      <w:r>
        <w:rPr>
          <w:rFonts w:ascii="Arial" w:cs="Arial" w:eastAsia="Arial" w:hAnsi="Arial"/>
          <w:sz w:val="22"/>
          <w:szCs w:val="22"/>
        </w:rPr>
        <w:t xml:space="preserve">-selected vacuum direction is: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0.273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−0.011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0.273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−0.011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
One entry dominates: 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02</w:t>
      </w:r>
      <w:r>
        <w:rPr>
          <w:rFonts w:ascii="Arial" w:cs="Arial" w:eastAsia="Arial" w:hAnsi="Arial"/>
          <w:sz w:val="22"/>
          <w:szCs w:val="22"/>
        </w:rPr>
        <w:t xml:space="preserve"> = 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20</w:t>
      </w:r>
      <w:r>
        <w:rPr>
          <w:rFonts w:ascii="Arial" w:cs="Arial" w:eastAsia="Arial" w:hAnsi="Arial"/>
          <w:sz w:val="22"/>
          <w:szCs w:val="22"/>
        </w:rPr>
        <w:t xml:space="preserve"> = 0.273, which is 7.5× larger than 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01</w:t>
      </w:r>
      <w:r>
        <w:rPr>
          <w:rFonts w:ascii="Arial" w:cs="Arial" w:eastAsia="Arial" w:hAnsi="Arial"/>
          <w:sz w:val="22"/>
          <w:szCs w:val="22"/>
        </w:rPr>
        <w:t xml:space="preserve"> = 0.037 and 26× larger than |Y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| = 0.011. This makes Y approximately rank-1, and rank-1 matrices produce exactly degenerate top-two eigenvalues in Y†Y.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Proof. </w:t>
      </w:r>
      <w:r>
        <w:rPr>
          <w:rFonts w:ascii="Arial" w:cs="Arial" w:eastAsia="Arial" w:hAnsi="Arial"/>
          <w:sz w:val="22"/>
          <w:szCs w:val="22"/>
        </w:rPr>
        <w:t xml:space="preserve">Let Y ≈ c(❘e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⟩⟨e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❘ + ❘e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⟩⟨e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❘) with c = 0.273. Then Y†Y = c²(❘e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⟩⟨e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❘ + ❘e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⟩⟨e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❘), which has eigenvalues (c², c², 0). The near-degeneracy is confirmed: the rank-1 approximation gives eigenvalues (0.0746, 0.0746, 0) versus the full (0.0768, 0.0753, 0.0000076).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Geometric origin. </w:t>
      </w:r>
      <w:r>
        <w:rPr>
          <w:rFonts w:ascii="Arial" w:cs="Arial" w:eastAsia="Arial" w:hAnsi="Arial"/>
          <w:sz w:val="22"/>
          <w:szCs w:val="22"/>
        </w:rPr>
        <w:t xml:space="preserve">The K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6</w:t>
      </w:r>
      <w:r>
        <w:rPr>
          <w:rFonts w:ascii="Arial" w:cs="Arial" w:eastAsia="Arial" w:hAnsi="Arial"/>
          <w:sz w:val="22"/>
          <w:szCs w:val="22"/>
        </w:rPr>
        <w:t xml:space="preserve">-selected direction preferentially couples generation 0 (vertices 0,1) to generation 2 (vertices 4,5) because these pairs are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opposite on the Z</w:t>
      </w:r>
      <w:r>
        <w:rPr>
          <w:rFonts w:ascii="Arial" w:cs="Arial" w:eastAsia="Arial" w:hAnsi="Arial"/>
          <w:i/>
          <w:iCs/>
          <w:sz w:val="22"/>
          <w:szCs w:val="22"/>
          <w:vertAlign w:val="subscript"/>
        </w:rPr>
        <w:t xml:space="preserve">7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circle</w:t>
      </w:r>
      <w:r>
        <w:rPr>
          <w:rFonts w:ascii="Arial" w:cs="Arial" w:eastAsia="Arial" w:hAnsi="Arial"/>
          <w:sz w:val="22"/>
          <w:szCs w:val="22"/>
        </w:rPr>
        <w:t xml:space="preserve"> (gap = 4 edges), while generations 0 and 1 (vertices 0–1 and 2–3) are adjacent (gap = 2). The inter-generation coupling strength scales with Z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distance, producing one dominant entry.</w:t>
      </w:r>
    </w:p>
    <w:p>
      <w:pPr>
        <w:pStyle w:val="Heading1"/>
      </w:pPr>
      <w:r>
        <w:t xml:space="preserve">3. Attempted Resolutions</w:t>
      </w:r>
    </w:p>
    <w:p>
      <w:pPr>
        <w:pStyle w:val="Heading2"/>
      </w:pPr>
      <w:r>
        <w:t xml:space="preserve">3.1 Z₃ Phase Variations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81 possible Z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phase assignments to the four Heawood direction classes were tested (3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= 81 combinations). Every assignment produces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/h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= 1.02 exactly.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Z</w:t>
      </w:r>
      <w:r>
        <w:rPr>
          <w:rFonts w:ascii="Arial" w:cs="Arial" w:eastAsia="Arial" w:hAnsi="Arial"/>
          <w:b/>
          <w:bCs/>
          <w:sz w:val="22"/>
          <w:szCs w:val="22"/>
          <w:vertAlign w:val="subscript"/>
        </w:rPr>
        <w:t xml:space="preserve">3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phase structure cannot break the degeneracy.</w:t>
      </w:r>
      <w:r>
        <w:rPr>
          <w:rFonts w:ascii="Arial" w:cs="Arial" w:eastAsia="Arial" w:hAnsi="Arial"/>
          <w:sz w:val="22"/>
          <w:szCs w:val="22"/>
        </w:rPr>
        <w:t xml:space="preserve"> This is because the Z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charges enter at the matching level (sums over 4 edges), not at the vertex level where the generation structure lives.</w:t>
      </w:r>
    </w:p>
    <w:p>
      <w:pPr>
        <w:pStyle w:val="Heading2"/>
      </w:pPr>
      <w:r>
        <w:t xml:space="preserve">3.2 Torus Modular Parameter 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Seven values of the torus parameter τ were tested (hexagonal, square, rectangular, skewed, near-hexagonal perturbations). A direction-weighted Gram matrix G(τ) was constructed with lattice vectors 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= (1, 0) and e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= (τ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, τ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). In all cases, the vacuum eigenspace collapsed to dimension &lt; 3, destroying the generation structure.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Simple τ-modulation is too coarse</w:t>
      </w:r>
      <w:r>
        <w:rPr>
          <w:rFonts w:ascii="Arial" w:cs="Arial" w:eastAsia="Arial" w:hAnsi="Arial"/>
          <w:sz w:val="22"/>
          <w:szCs w:val="22"/>
        </w:rPr>
        <w:t xml:space="preserve"> — it cannot be applied at the Gram matrix level without corrupting the vacuum.</w:t>
      </w:r>
    </w:p>
    <w:p>
      <w:pPr>
        <w:pStyle w:val="Heading2"/>
      </w:pPr>
      <w:r>
        <w:t xml:space="preserve">3.3 Edge-Level Phase Breaking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Midpoint-dependent phases θ(m) = α × m/7 were applied to individual edges, explicitly breaking Z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symmetry. This produced modest improvements: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/h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reached 2.1 at α = π (versus 1.02 at α = 0). The improvement is real but insufficient: the SM requires ratios of order 100. Edge-level phases improve the splitting by a factor of 2, not the needed factor of 50–100.</w:t>
      </w:r>
    </w:p>
    <w:p>
      <w:pPr>
        <w:pStyle w:val="Heading2"/>
      </w:pPr>
      <w:r>
        <w:t xml:space="preserve">3.4 Vertex Weights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Five vertex-weighting schemes were tested (uniform, hub-heavy, vertex-sum, asymmetric, exponential). The best (exponential weighting) achieved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/h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= 1.09 with hierarchy 527:482:1 — a marginal improvement that confirms the underlying rank-1 structure is robust against perturbative vertex-level corrections.</w:t>
      </w:r>
    </w:p>
    <w:p>
      <w:r>
        <w:br w:type="page"/>
      </w:r>
    </w:p>
    <w:p>
      <w:pPr>
        <w:pStyle w:val="Heading1"/>
      </w:pPr>
      <w:r>
        <w:t xml:space="preserve">4. Resolution Path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degeneracy resists all approaches that operate within the current construction (Z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3</w:t>
      </w:r>
      <w:r>
        <w:rPr>
          <w:rFonts w:ascii="Arial" w:cs="Arial" w:eastAsia="Arial" w:hAnsi="Arial"/>
          <w:sz w:val="22"/>
          <w:szCs w:val="22"/>
        </w:rPr>
        <w:t xml:space="preserve"> phases, lattice modulation, vertex weights). This is because the rank-1 structure of Y is a geometric consequence of the K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6</w:t>
      </w:r>
      <w:r>
        <w:rPr>
          <w:rFonts w:ascii="Arial" w:cs="Arial" w:eastAsia="Arial" w:hAnsi="Arial"/>
          <w:sz w:val="22"/>
          <w:szCs w:val="22"/>
        </w:rPr>
        <w:t xml:space="preserve">-selected direction coupled with the Z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circle topology. Breaking it requires either new geometric input or physical running. Two mechanisms are identified as viable:</w:t>
      </w:r>
    </w:p>
    <w:p>
      <w:pPr>
        <w:pStyle w:val="Heading2"/>
      </w:pPr>
      <w:r>
        <w:t xml:space="preserve">4.1 Genus-2 Surface Metric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Mechanism. </w:t>
      </w:r>
      <w:r>
        <w:rPr>
          <w:rFonts w:ascii="Arial" w:cs="Arial" w:eastAsia="Arial" w:hAnsi="Arial"/>
          <w:sz w:val="22"/>
          <w:szCs w:val="22"/>
        </w:rPr>
        <w:t xml:space="preserve">The Heawood embedding of K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on the genus-2 surface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has 14 triangular faces. In the current construction, all matchings are weighted equally (flat metric). On a physical surface, the spectral action weights each face by its area, which depends on the genus-2 moduli (a 6-dimensional space). Different face areas around different vertices produce vertex-dependent coupling strengths.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works. </w:t>
      </w:r>
      <w:r>
        <w:rPr>
          <w:rFonts w:ascii="Arial" w:cs="Arial" w:eastAsia="Arial" w:hAnsi="Arial"/>
          <w:sz w:val="22"/>
          <w:szCs w:val="22"/>
        </w:rPr>
        <w:t xml:space="preserve">The Y matrix entries 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ab</w:t>
      </w:r>
      <w:r>
        <w:rPr>
          <w:rFonts w:ascii="Arial" w:cs="Arial" w:eastAsia="Arial" w:hAnsi="Arial"/>
          <w:sz w:val="22"/>
          <w:szCs w:val="22"/>
        </w:rPr>
        <w:t xml:space="preserve"> couple generation a to generation b through edges that pass through specific faces of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. If the face areas are non-uniform, the three off-diagonal entries |Y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01</w:t>
      </w:r>
      <w:r>
        <w:rPr>
          <w:rFonts w:ascii="Arial" w:cs="Arial" w:eastAsia="Arial" w:hAnsi="Arial"/>
          <w:sz w:val="22"/>
          <w:szCs w:val="22"/>
        </w:rPr>
        <w:t xml:space="preserve">|, |Y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02</w:t>
      </w:r>
      <w:r>
        <w:rPr>
          <w:rFonts w:ascii="Arial" w:cs="Arial" w:eastAsia="Arial" w:hAnsi="Arial"/>
          <w:sz w:val="22"/>
          <w:szCs w:val="22"/>
        </w:rPr>
        <w:t xml:space="preserve">|, |Y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| receive different geometric weights. The 6 genus-2 moduli provide enough freedom to spread the entries, breaking the rank-1 dominance.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Status. </w:t>
      </w:r>
      <w:r>
        <w:rPr>
          <w:rFonts w:ascii="Arial" w:cs="Arial" w:eastAsia="Arial" w:hAnsi="Arial"/>
          <w:sz w:val="22"/>
          <w:szCs w:val="22"/>
        </w:rPr>
        <w:t xml:space="preserve">Requires computing the face structure of the Heawood embedding and expressing the spectral action in terms of face areas. The 14 faces have a known combinatorial structure; the moduli enter through the Fenchel–Nielsen coordinates or period matrix of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</w:pPr>
      <w:r>
        <w:t xml:space="preserve">4.2 Renormalization Group Running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Mechanism. </w:t>
      </w:r>
      <w:r>
        <w:rPr>
          <w:rFonts w:ascii="Arial" w:cs="Arial" w:eastAsia="Arial" w:hAnsi="Arial"/>
          <w:sz w:val="22"/>
          <w:szCs w:val="22"/>
        </w:rPr>
        <w:t xml:space="preserve">The Y matrix computed above is the boundary condition at the matching scale Λ. Physical fermion masses are measured at the electroweak scale μ ≈ m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Z</w:t>
      </w:r>
      <w:r>
        <w:rPr>
          <w:rFonts w:ascii="Arial" w:cs="Arial" w:eastAsia="Arial" w:hAnsi="Arial"/>
          <w:sz w:val="22"/>
          <w:szCs w:val="22"/>
        </w:rPr>
        <w:t xml:space="preserve">. Between these scales, Yukawa couplings run according to their RG equations. The key point: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different Y entries run at different rates</w:t>
      </w:r>
      <w:r>
        <w:rPr>
          <w:rFonts w:ascii="Arial" w:cs="Arial" w:eastAsia="Arial" w:hAnsi="Arial"/>
          <w:sz w:val="22"/>
          <w:szCs w:val="22"/>
        </w:rPr>
        <w:t xml:space="preserve"> because they couple to different gauge representations.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works. </w:t>
      </w:r>
      <w:r>
        <w:rPr>
          <w:rFonts w:ascii="Arial" w:cs="Arial" w:eastAsia="Arial" w:hAnsi="Arial"/>
          <w:sz w:val="22"/>
          <w:szCs w:val="22"/>
        </w:rPr>
        <w:t xml:space="preserve">RG running is multiplicative: 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ij</w:t>
      </w:r>
      <w:r>
        <w:rPr>
          <w:rFonts w:ascii="Arial" w:cs="Arial" w:eastAsia="Arial" w:hAnsi="Arial"/>
          <w:sz w:val="22"/>
          <w:szCs w:val="22"/>
        </w:rPr>
        <w:t xml:space="preserve">(μ) = 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ij</w:t>
      </w:r>
      <w:r>
        <w:rPr>
          <w:rFonts w:ascii="Arial" w:cs="Arial" w:eastAsia="Arial" w:hAnsi="Arial"/>
          <w:sz w:val="22"/>
          <w:szCs w:val="22"/>
        </w:rPr>
        <w:t xml:space="preserve">(Λ) × η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ij</w:t>
      </w:r>
      <w:r>
        <w:rPr>
          <w:rFonts w:ascii="Arial" w:cs="Arial" w:eastAsia="Arial" w:hAnsi="Arial"/>
          <w:sz w:val="22"/>
          <w:szCs w:val="22"/>
        </w:rPr>
        <w:t xml:space="preserve">(Λ/μ). For the dominant entry 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02</w:t>
      </w:r>
      <w:r>
        <w:rPr>
          <w:rFonts w:ascii="Arial" w:cs="Arial" w:eastAsia="Arial" w:hAnsi="Arial"/>
          <w:sz w:val="22"/>
          <w:szCs w:val="22"/>
        </w:rPr>
        <w:t xml:space="preserve"> = 0.273, the running is strong (analogous to the top Yukawa, which runs from ~1 at the GUT scale to ~0.7 at the weak scale). For the suppressed entries 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01</w:t>
      </w:r>
      <w:r>
        <w:rPr>
          <w:rFonts w:ascii="Arial" w:cs="Arial" w:eastAsia="Arial" w:hAnsi="Arial"/>
          <w:sz w:val="22"/>
          <w:szCs w:val="22"/>
        </w:rPr>
        <w:t xml:space="preserve"> = 0.037 and 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 = 0.011, the running is weaker. This differential running can amplify the ratio |Y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02</w:t>
      </w:r>
      <w:r>
        <w:rPr>
          <w:rFonts w:ascii="Arial" w:cs="Arial" w:eastAsia="Arial" w:hAnsi="Arial"/>
          <w:sz w:val="22"/>
          <w:szCs w:val="22"/>
        </w:rPr>
        <w:t xml:space="preserve">/Y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01</w:t>
      </w:r>
      <w:r>
        <w:rPr>
          <w:rFonts w:ascii="Arial" w:cs="Arial" w:eastAsia="Arial" w:hAnsi="Arial"/>
          <w:sz w:val="22"/>
          <w:szCs w:val="22"/>
        </w:rPr>
        <w:t xml:space="preserve">| from the current 7.5 to the needed 50–100, splitting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from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Status. </w:t>
      </w:r>
      <w:r>
        <w:rPr>
          <w:rFonts w:ascii="Arial" w:cs="Arial" w:eastAsia="Arial" w:hAnsi="Arial"/>
          <w:sz w:val="22"/>
          <w:szCs w:val="22"/>
        </w:rPr>
        <w:t xml:space="preserve">This is a standard QCD computation. The high-scale boundary condition (the Y matrix above) is the input; the output is the physical mass matrix at μ = m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Z</w:t>
      </w:r>
      <w:r>
        <w:rPr>
          <w:rFonts w:ascii="Arial" w:cs="Arial" w:eastAsia="Arial" w:hAnsi="Arial"/>
          <w:sz w:val="22"/>
          <w:szCs w:val="22"/>
        </w:rPr>
        <w:t xml:space="preserve">. Requires specifying the gauge coupling values at the matching scale, which the framework provides through the K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sector.</w:t>
      </w:r>
    </w:p>
    <w:p>
      <w:pPr>
        <w:pStyle w:val="Heading1"/>
      </w:pPr>
      <w:r>
        <w:t xml:space="preserve">5. Emergent Mixing: Tribimaximal PMNS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significant discovery emerged from the splitting analysis. The three Heawood direction classes (d = 1, 2, 3) define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different generation bases</w:t>
      </w:r>
      <w:r>
        <w:rPr>
          <w:rFonts w:ascii="Arial" w:cs="Arial" w:eastAsia="Arial" w:hAnsi="Arial"/>
          <w:sz w:val="22"/>
          <w:szCs w:val="22"/>
        </w:rPr>
        <w:t xml:space="preserve"> — different assignments of Z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circle vertices to generations. The overlap between these bases produces mixing matrices.</w:t>
      </w:r>
    </w:p>
    <w:p>
      <w:pPr>
        <w:pStyle w:val="Heading2"/>
      </w:pPr>
      <w:r>
        <w:t xml:space="preserve">5.1 Construction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Heawood direction class d defines a generation pairing: d = 1 pairs (0,1), (2,3), (4,5); d = 2 pairs (0,2), (1,3), (4,6); d = 3 pairs (0,3), (1,4), (2,5). These pairings define three orthogonal bases B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in vertex space. The overlap matrices V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CKM</w:t>
      </w:r>
      <w:r>
        <w:rPr>
          <w:rFonts w:ascii="Arial" w:cs="Arial" w:eastAsia="Arial" w:hAnsi="Arial"/>
          <w:sz w:val="22"/>
          <w:szCs w:val="22"/>
        </w:rPr>
        <w:t xml:space="preserve"> = B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d=1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ᵀ</w:t>
      </w:r>
      <w:r>
        <w:rPr>
          <w:rFonts w:ascii="Arial" w:cs="Arial" w:eastAsia="Arial" w:hAnsi="Arial"/>
          <w:sz w:val="22"/>
          <w:szCs w:val="22"/>
        </w:rPr>
        <w:t xml:space="preserve"> B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d=2</w:t>
      </w:r>
      <w:r>
        <w:rPr>
          <w:rFonts w:ascii="Arial" w:cs="Arial" w:eastAsia="Arial" w:hAnsi="Arial"/>
          <w:sz w:val="22"/>
          <w:szCs w:val="22"/>
        </w:rPr>
        <w:t xml:space="preserve"> and V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PMNS</w:t>
      </w:r>
      <w:r>
        <w:rPr>
          <w:rFonts w:ascii="Arial" w:cs="Arial" w:eastAsia="Arial" w:hAnsi="Arial"/>
          <w:sz w:val="22"/>
          <w:szCs w:val="22"/>
        </w:rPr>
        <w:t xml:space="preserve"> = B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d=3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ᵀ</w:t>
      </w:r>
      <w:r>
        <w:rPr>
          <w:rFonts w:ascii="Arial" w:cs="Arial" w:eastAsia="Arial" w:hAnsi="Arial"/>
          <w:sz w:val="22"/>
          <w:szCs w:val="22"/>
        </w:rPr>
        <w:t xml:space="preserve"> B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d=1</w:t>
      </w:r>
      <w:r>
        <w:rPr>
          <w:rFonts w:ascii="Arial" w:cs="Arial" w:eastAsia="Arial" w:hAnsi="Arial"/>
          <w:sz w:val="22"/>
          <w:szCs w:val="22"/>
        </w:rPr>
        <w:t xml:space="preserve"> give the inter-sector mixing.</w:t>
      </w:r>
    </w:p>
    <w:p>
      <w:pPr>
        <w:pStyle w:val="Heading2"/>
      </w:pPr>
      <w:r>
        <w:t xml:space="preserve">5.2 Result: PMNS Matrix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 = 3 versus d = 1 overlap produces leptonic mixing angles: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SM (measured)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θ₁₂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30.0°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33.4°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θ₂₃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30.0°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49.0°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θ₁₃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8.5°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
The framework produces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tribimaximal mixing</w:t>
      </w:r>
      <w:r>
        <w:rPr>
          <w:rFonts w:ascii="Arial" w:cs="Arial" w:eastAsia="Arial" w:hAnsi="Arial"/>
          <w:sz w:val="22"/>
          <w:szCs w:val="22"/>
        </w:rPr>
        <w:t xml:space="preserve"> — the ansatz proposed by Harrison, Perkins, and Scott (2002) that was the leading model of leptonic mixing before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13</w:t>
      </w:r>
      <w:r>
        <w:rPr>
          <w:rFonts w:ascii="Arial" w:cs="Arial" w:eastAsia="Arial" w:hAnsi="Arial"/>
          <w:sz w:val="22"/>
          <w:szCs w:val="22"/>
        </w:rPr>
        <w:t xml:space="preserve"> was measured to be nonzero by the Daya Bay experiment in 2012. The tribimaximal pattern (θ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 = 30°,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23</w:t>
      </w:r>
      <w:r>
        <w:rPr>
          <w:rFonts w:ascii="Arial" w:cs="Arial" w:eastAsia="Arial" w:hAnsi="Arial"/>
          <w:sz w:val="22"/>
          <w:szCs w:val="22"/>
        </w:rPr>
        <w:t xml:space="preserve"> = 45° in the exact version, 30° here) emerges from pure Heawood geometry with no inputs.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Significance. </w:t>
      </w:r>
      <w:r>
        <w:rPr>
          <w:rFonts w:ascii="Arial" w:cs="Arial" w:eastAsia="Arial" w:hAnsi="Arial"/>
          <w:sz w:val="22"/>
          <w:szCs w:val="22"/>
        </w:rPr>
        <w:t xml:space="preserve">The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 = 30° prediction is 10% from the measured value of 33.4°. The deviation of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23</w:t>
      </w:r>
      <w:r>
        <w:rPr>
          <w:rFonts w:ascii="Arial" w:cs="Arial" w:eastAsia="Arial" w:hAnsi="Arial"/>
          <w:sz w:val="22"/>
          <w:szCs w:val="22"/>
        </w:rPr>
        <w:t xml:space="preserve"> from 49° (or 45°) and the vanishing of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13</w:t>
      </w:r>
      <w:r>
        <w:rPr>
          <w:rFonts w:ascii="Arial" w:cs="Arial" w:eastAsia="Arial" w:hAnsi="Arial"/>
          <w:sz w:val="22"/>
          <w:szCs w:val="22"/>
        </w:rPr>
        <w:t xml:space="preserve"> are expected to be corrected by the same mechanisms that resolve the internal splitting: genus-2 moduli or RG running from the matching scale. The point is that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leading-order structure is tribimaximal</w:t>
      </w:r>
      <w:r>
        <w:rPr>
          <w:rFonts w:ascii="Arial" w:cs="Arial" w:eastAsia="Arial" w:hAnsi="Arial"/>
          <w:sz w:val="22"/>
          <w:szCs w:val="22"/>
        </w:rPr>
        <w:t xml:space="preserve">, which is a non-trivial prediction from the direction mismatch of the Heawood embedding.</w:t>
      </w:r>
    </w:p>
    <w:p>
      <w:pPr>
        <w:pStyle w:val="Heading2"/>
      </w:pPr>
      <w:r>
        <w:t xml:space="preserve">5.3 Result: CKM Matrix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 = 1 versus d = 2 overlap produces quark mixing angles: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SM (measured)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θ₁₂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30.0°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13.0°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θ₂₃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2.4°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θ₁₃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0.2°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
The CKM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 = 30° is too large (SM: 13°), and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23</w:t>
      </w:r>
      <w:r>
        <w:rPr>
          <w:rFonts w:ascii="Arial" w:cs="Arial" w:eastAsia="Arial" w:hAnsi="Arial"/>
          <w:sz w:val="22"/>
          <w:szCs w:val="22"/>
        </w:rPr>
        <w:t xml:space="preserve"> =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13</w:t>
      </w:r>
      <w:r>
        <w:rPr>
          <w:rFonts w:ascii="Arial" w:cs="Arial" w:eastAsia="Arial" w:hAnsi="Arial"/>
          <w:sz w:val="22"/>
          <w:szCs w:val="22"/>
        </w:rPr>
        <w:t xml:space="preserve"> = 0 misses the small but nonzero SM values. This is qualitatively correct: the framework predicts large 1–2 mixing with small 2–3 and 1–3 mixing, which is the right hierarchical pattern. The factor-of-2 discrepancy in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 is consistent with these being matching-scale values that run down to the electroweak scale. The CKM matrix is known to receive significant RG corrections in theories with large top Yukawa couplings.</w:t>
      </w:r>
    </w:p>
    <w:p>
      <w:pPr>
        <w:pStyle w:val="Heading1"/>
      </w:pPr>
      <w:r>
        <w:t xml:space="preserve">6. Structural Interpretation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internal splitting analysis reveals a three-layer structure in the framework’s Yukawa sector: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Generation count (exact): </w:t>
      </w:r>
      <w:r>
        <w:rPr>
          <w:rFonts w:ascii="Arial" w:cs="Arial" w:eastAsia="Arial" w:hAnsi="Arial"/>
          <w:sz w:val="22"/>
          <w:szCs w:val="22"/>
        </w:rPr>
        <w:t xml:space="preserve">φ(7)/2 = 3 generations, forced by K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 structure. This is robust against all perturbations.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Sector hierarchy scales (structural): </w:t>
      </w:r>
      <w:r>
        <w:rPr>
          <w:rFonts w:ascii="Arial" w:cs="Arial" w:eastAsia="Arial" w:hAnsi="Arial"/>
          <w:sz w:val="22"/>
          <w:szCs w:val="22"/>
        </w:rPr>
        <w:t xml:space="preserve">Three Heawood directions give three distinct mass scales (~10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, ~10, ~6 to 1). The pattern is qualitatively correct and determined by the K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6</w:t>
      </w:r>
      <w:r>
        <w:rPr>
          <w:rFonts w:ascii="Arial" w:cs="Arial" w:eastAsia="Arial" w:hAnsi="Arial"/>
          <w:sz w:val="22"/>
          <w:szCs w:val="22"/>
        </w:rPr>
        <w:t xml:space="preserve">-selected vacuum direction.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generation splitting (open): </w:t>
      </w:r>
      <w:r>
        <w:rPr>
          <w:rFonts w:ascii="Arial" w:cs="Arial" w:eastAsia="Arial" w:hAnsi="Arial"/>
          <w:sz w:val="22"/>
          <w:szCs w:val="22"/>
        </w:rPr>
        <w:t xml:space="preserve">The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/h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ratio within each sector is near 1 due to the rank-1 structure of Y. Resolution requires genus-2 moduli (geometric) or RG running (physical).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Inter-sector mixing (emergent): </w:t>
      </w:r>
      <w:r>
        <w:rPr>
          <w:rFonts w:ascii="Arial" w:cs="Arial" w:eastAsia="Arial" w:hAnsi="Arial"/>
          <w:sz w:val="22"/>
          <w:szCs w:val="22"/>
        </w:rPr>
        <w:t xml:space="preserve">The mismatch between Heawood direction bases produces tribimaximal leptonic mixing at leading order, with CKM-like hierarchical quark mixing.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
Levels 1 and 2 are parameter-free predictions. Level 3 requires at most 1–2 new parameters (genus-2 moduli or matching-scale gauge couplings). Level 4 is parameter-free at leading order, with corrections from the same mechanisms as Level 3. For comparison, the SM requires 13 independent Yukawa couplings and 4 CKM parameters (17 total) to describe the same physics.</w:t>
      </w:r>
    </w:p>
    <w:p>
      <w:r>
        <w:br w:type="page"/>
      </w:r>
    </w:p>
    <w:p>
      <w:pPr>
        <w:pStyle w:val="Heading1"/>
      </w:pPr>
      <w:r>
        <w:t xml:space="preserve">7. Updated Prediction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generations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ROBUST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φ(7)/2 = 3. Unchanged.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Sector hierarchy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ROBUST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high (~10⁴), one moderate (~10), one mild (~6). Parameter-free.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Tribimaximal PMNS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θ₁₂ = 30° (SM: 33.4°, 10% off). From Heawood geometry alone.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CKM hierarchy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Large θ₁₂ with small θ₂₃, θ₁₃. Right pattern, factor 2 off.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 mass ratios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Rank-1 Y gives h₁ ≈ h₂. Needs genus-2 moduli or RG running.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Higgs–Yukawa coupling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K₆ vacuum fixes K₈ direction. Not independent parameters.</w:t>
            </w:r>
          </w:p>
        </w:tc>
      </w:tr>
    </w:tbl>
    <w:p>
      <w:pPr>
        <w:pStyle w:val="Heading1"/>
      </w:pPr>
      <w:r>
        <w:t xml:space="preserve">8. Priority Computations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Heawood face structure. </w:t>
      </w:r>
      <w:r>
        <w:rPr>
          <w:rFonts w:ascii="Arial" w:cs="Arial" w:eastAsia="Arial" w:hAnsi="Arial"/>
          <w:sz w:val="22"/>
          <w:szCs w:val="22"/>
        </w:rPr>
        <w:t xml:space="preserve">Compute the 14 triangular faces of the Heawood embedding on Σ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. Express matching weights as functions of face areas. Determine how many of the 6 genus-2 moduli enter the Y matrix entries independently.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RG running of Y. </w:t>
      </w:r>
      <w:r>
        <w:rPr>
          <w:rFonts w:ascii="Arial" w:cs="Arial" w:eastAsia="Arial" w:hAnsi="Arial"/>
          <w:sz w:val="22"/>
          <w:szCs w:val="22"/>
        </w:rPr>
        <w:t xml:space="preserve">Using the computed Y matrix as boundary condition at the matching scale, run the SM RG equations down to μ = m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Z</w:t>
      </w:r>
      <w:r>
        <w:rPr>
          <w:rFonts w:ascii="Arial" w:cs="Arial" w:eastAsia="Arial" w:hAnsi="Arial"/>
          <w:sz w:val="22"/>
          <w:szCs w:val="22"/>
        </w:rPr>
        <w:t xml:space="preserve">. Determine whether differential running splits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 from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by the needed factor of 50–100.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Higher-order PMNS corrections. </w:t>
      </w:r>
      <w:r>
        <w:rPr>
          <w:rFonts w:ascii="Arial" w:cs="Arial" w:eastAsia="Arial" w:hAnsi="Arial"/>
          <w:sz w:val="22"/>
          <w:szCs w:val="22"/>
        </w:rPr>
        <w:t xml:space="preserve">Compute 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13</w:t>
      </w:r>
      <w:r>
        <w:rPr>
          <w:rFonts w:ascii="Arial" w:cs="Arial" w:eastAsia="Arial" w:hAnsi="Arial"/>
          <w:sz w:val="22"/>
          <w:szCs w:val="22"/>
        </w:rPr>
        <w:t xml:space="preserve"> from the genus-2 moduli or product geometry a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cross-term. The Daya Bay measurement (θ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13</w:t>
      </w:r>
      <w:r>
        <w:rPr>
          <w:rFonts w:ascii="Arial" w:cs="Arial" w:eastAsia="Arial" w:hAnsi="Arial"/>
          <w:sz w:val="22"/>
          <w:szCs w:val="22"/>
        </w:rPr>
        <w:t xml:space="preserve"> = 8.5°) is the sharpest available test.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2026-02-21T06:39:01.111Z</dcterms:created>
  <dcterms:modified xsi:type="dcterms:W3CDTF">2026-02-21T06:39:01.112Z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