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sz w:val="36"/>
          <w:szCs w:val="36"/>
        </w:rPr>
        <w:t xml:space="preserve">KILL VECTOR ANALYSIS: ADDENDUM</w:t>
      </w:r>
    </w:p>
    <w:p>
      <w:pPr>
        <w:spacing w:after="80"/>
        <w:jc w:val="center"/>
      </w:pPr>
      <w:r>
        <w:rPr>
          <w:rFonts w:ascii="Arial" w:cs="Arial" w:eastAsia="Arial" w:hAnsi="Arial"/>
          <w:sz w:val="24"/>
          <w:szCs w:val="24"/>
        </w:rPr>
        <w:t xml:space="preserve">Vacuum Selection Principle and KV3 Mitigation</w:t>
      </w:r>
    </w:p>
    <w:p>
      <w:pPr>
        <w:spacing w:after="400"/>
        <w:jc w:val="center"/>
      </w:pPr>
      <w:r>
        <w:rPr>
          <w:rFonts w:ascii="Arial" w:cs="Arial" w:eastAsia="Arial" w:hAnsi="Arial"/>
          <w:i/>
          <w:iCs/>
          <w:sz w:val="22"/>
          <w:szCs w:val="22"/>
        </w:rPr>
        <w:t xml:space="preserve">February 21, 2026</w:t>
      </w:r>
    </w:p>
    <w:p>
      <w:pPr>
        <w:pStyle w:val="Heading1"/>
      </w:pPr>
      <w:r>
        <w:t xml:space="preserve">1. Context</w:t>
      </w:r>
    </w:p>
    <w:p>
      <w:pPr>
        <w:spacing w:after="160"/>
      </w:pPr>
      <w:r>
        <w:rPr>
          <w:rFonts w:ascii="Arial" w:cs="Arial" w:eastAsia="Arial" w:hAnsi="Arial"/>
          <w:sz w:val="22"/>
          <w:szCs w:val="22"/>
        </w:rPr>
        <w:t xml:space="preserve">Kill Vector 3 established that the Yukawa hierarchy distribution from K</w:t>
      </w:r>
      <w:r>
        <w:rPr>
          <w:rFonts w:ascii="Arial" w:cs="Arial" w:eastAsia="Arial" w:hAnsi="Arial"/>
          <w:sz w:val="22"/>
          <w:szCs w:val="22"/>
          <w:vertAlign w:val="subscript"/>
        </w:rPr>
        <w:t xml:space="preserve">8</w:t>
      </w:r>
      <w:r>
        <w:rPr>
          <w:rFonts w:ascii="Arial" w:cs="Arial" w:eastAsia="Arial" w:hAnsi="Arial"/>
          <w:sz w:val="22"/>
          <w:szCs w:val="22"/>
        </w:rPr>
        <w:t xml:space="preserve"> is generic for Z</w:t>
      </w:r>
      <w:r>
        <w:rPr>
          <w:rFonts w:ascii="Arial" w:cs="Arial" w:eastAsia="Arial" w:hAnsi="Arial"/>
          <w:sz w:val="22"/>
          <w:szCs w:val="22"/>
          <w:vertAlign w:val="subscript"/>
        </w:rPr>
        <w:t xml:space="preserve">7</w:t>
      </w:r>
      <w:r>
        <w:rPr>
          <w:rFonts w:ascii="Arial" w:cs="Arial" w:eastAsia="Arial" w:hAnsi="Arial"/>
          <w:sz w:val="22"/>
          <w:szCs w:val="22"/>
        </w:rPr>
        <w:t xml:space="preserve">-equivariant matrices: 200 random matrices with the same symmetry constraints produce statistically indistinguishable hierarchy distributions (31% SM-range vs K</w:t>
      </w:r>
      <w:r>
        <w:rPr>
          <w:rFonts w:ascii="Arial" w:cs="Arial" w:eastAsia="Arial" w:hAnsi="Arial"/>
          <w:sz w:val="22"/>
          <w:szCs w:val="22"/>
          <w:vertAlign w:val="subscript"/>
        </w:rPr>
        <w:t xml:space="preserve">8</w:t>
      </w:r>
      <w:r>
        <w:rPr>
          <w:rFonts w:ascii="Arial" w:cs="Arial" w:eastAsia="Arial" w:hAnsi="Arial"/>
          <w:sz w:val="22"/>
          <w:szCs w:val="22"/>
        </w:rPr>
        <w:t xml:space="preserve">’s 30%, median 45 vs 41). The generation count (φ(7)/2 = 3) is still forced, but the specific mass ratios appeared to be moduli rather than predictions.</w:t>
      </w:r>
    </w:p>
    <w:p>
      <w:pPr>
        <w:spacing w:after="160"/>
      </w:pPr>
      <w:r>
        <w:rPr>
          <w:rFonts w:ascii="Arial" w:cs="Arial" w:eastAsia="Arial" w:hAnsi="Arial"/>
          <w:sz w:val="22"/>
          <w:szCs w:val="22"/>
        </w:rPr>
        <w:t xml:space="preserve">This addendum reports the discovery of three mechanisms that constrain the K</w:t>
      </w:r>
      <w:r>
        <w:rPr>
          <w:rFonts w:ascii="Arial" w:cs="Arial" w:eastAsia="Arial" w:hAnsi="Arial"/>
          <w:sz w:val="22"/>
          <w:szCs w:val="22"/>
          <w:vertAlign w:val="subscript"/>
        </w:rPr>
        <w:t xml:space="preserve">8</w:t>
      </w:r>
      <w:r>
        <w:rPr>
          <w:rFonts w:ascii="Arial" w:cs="Arial" w:eastAsia="Arial" w:hAnsi="Arial"/>
          <w:sz w:val="22"/>
          <w:szCs w:val="22"/>
        </w:rPr>
        <w:t xml:space="preserve"> vacuum direction, partially mitigating the KV3 finding. The central result: </w:t>
      </w:r>
      <w:r>
        <w:rPr>
          <w:rFonts w:ascii="Arial" w:cs="Arial" w:eastAsia="Arial" w:hAnsi="Arial"/>
          <w:b/>
          <w:bCs/>
          <w:sz w:val="22"/>
          <w:szCs w:val="22"/>
        </w:rPr>
        <w:t xml:space="preserve">the vacuum is not freely choosable</w:t>
      </w:r>
      <w:r>
        <w:rPr>
          <w:rFonts w:ascii="Arial" w:cs="Arial" w:eastAsia="Arial" w:hAnsi="Arial"/>
          <w:sz w:val="22"/>
          <w:szCs w:val="22"/>
        </w:rPr>
        <w:t xml:space="preserve">. Inter-level coupling between K</w:t>
      </w:r>
      <w:r>
        <w:rPr>
          <w:rFonts w:ascii="Arial" w:cs="Arial" w:eastAsia="Arial" w:hAnsi="Arial"/>
          <w:sz w:val="22"/>
          <w:szCs w:val="22"/>
          <w:vertAlign w:val="subscript"/>
        </w:rPr>
        <w:t xml:space="preserve">6</w:t>
      </w:r>
      <w:r>
        <w:rPr>
          <w:rFonts w:ascii="Arial" w:cs="Arial" w:eastAsia="Arial" w:hAnsi="Arial"/>
          <w:sz w:val="22"/>
          <w:szCs w:val="22"/>
        </w:rPr>
        <w:t xml:space="preserve"> and K</w:t>
      </w:r>
      <w:r>
        <w:rPr>
          <w:rFonts w:ascii="Arial" w:cs="Arial" w:eastAsia="Arial" w:hAnsi="Arial"/>
          <w:sz w:val="22"/>
          <w:szCs w:val="22"/>
          <w:vertAlign w:val="subscript"/>
        </w:rPr>
        <w:t xml:space="preserve">8</w:t>
      </w:r>
      <w:r>
        <w:rPr>
          <w:rFonts w:ascii="Arial" w:cs="Arial" w:eastAsia="Arial" w:hAnsi="Arial"/>
          <w:sz w:val="22"/>
          <w:szCs w:val="22"/>
        </w:rPr>
        <w:t xml:space="preserve"> fixes the direction to a single ray on S⁵, and the Heawood embedding topology determines three discrete generation-pairing sectors with distinct hierarchy scales.</w:t>
      </w:r>
    </w:p>
    <w:p>
      <w:pPr>
        <w:pStyle w:val="Heading1"/>
      </w:pPr>
      <w:r>
        <w:t xml:space="preserve">2. Three Selection Mechanisms</w:t>
      </w:r>
    </w:p>
    <w:p>
      <w:pPr>
        <w:pStyle w:val="Heading2"/>
      </w:pPr>
      <w:r>
        <w:t xml:space="preserve">2.1 K₆ → K₈ Cross-Overlap Projection</w:t>
      </w:r>
    </w:p>
    <w:p>
      <w:pPr>
        <w:spacing w:after="160"/>
      </w:pPr>
      <w:r>
        <w:rPr>
          <w:rFonts w:ascii="Arial" w:cs="Arial" w:eastAsia="Arial" w:hAnsi="Arial"/>
          <w:b/>
          <w:bCs/>
          <w:sz w:val="22"/>
          <w:szCs w:val="22"/>
        </w:rPr>
        <w:t xml:space="preserve">Setup. </w:t>
      </w:r>
      <w:r>
        <w:rPr>
          <w:rFonts w:ascii="Arial" w:cs="Arial" w:eastAsia="Arial" w:hAnsi="Arial"/>
          <w:sz w:val="22"/>
          <w:szCs w:val="22"/>
        </w:rPr>
        <w:t xml:space="preserve">The canonical embedding K</w:t>
      </w:r>
      <w:r>
        <w:rPr>
          <w:rFonts w:ascii="Arial" w:cs="Arial" w:eastAsia="Arial" w:hAnsi="Arial"/>
          <w:sz w:val="22"/>
          <w:szCs w:val="22"/>
          <w:vertAlign w:val="subscript"/>
        </w:rPr>
        <w:t xml:space="preserve">6</w:t>
      </w:r>
      <w:r>
        <w:rPr>
          <w:rFonts w:ascii="Arial" w:cs="Arial" w:eastAsia="Arial" w:hAnsi="Arial"/>
          <w:sz w:val="22"/>
          <w:szCs w:val="22"/>
        </w:rPr>
        <w:t xml:space="preserve"> → K</w:t>
      </w:r>
      <w:r>
        <w:rPr>
          <w:rFonts w:ascii="Arial" w:cs="Arial" w:eastAsia="Arial" w:hAnsi="Arial"/>
          <w:sz w:val="22"/>
          <w:szCs w:val="22"/>
          <w:vertAlign w:val="subscript"/>
        </w:rPr>
        <w:t xml:space="preserve">8</w:t>
      </w:r>
      <w:r>
        <w:rPr>
          <w:rFonts w:ascii="Arial" w:cs="Arial" w:eastAsia="Arial" w:hAnsi="Arial"/>
          <w:sz w:val="22"/>
          <w:szCs w:val="22"/>
        </w:rPr>
        <w:t xml:space="preserve"> adds the top edge (6,7) to each K</w:t>
      </w:r>
      <w:r>
        <w:rPr>
          <w:rFonts w:ascii="Arial" w:cs="Arial" w:eastAsia="Arial" w:hAnsi="Arial"/>
          <w:sz w:val="22"/>
          <w:szCs w:val="22"/>
          <w:vertAlign w:val="subscript"/>
        </w:rPr>
        <w:t xml:space="preserve">6</w:t>
      </w:r>
      <w:r>
        <w:rPr>
          <w:rFonts w:ascii="Arial" w:cs="Arial" w:eastAsia="Arial" w:hAnsi="Arial"/>
          <w:sz w:val="22"/>
          <w:szCs w:val="22"/>
        </w:rPr>
        <w:t xml:space="preserve"> matching. This defines a 15×105 cross-overlap matrix C where C</w:t>
      </w:r>
      <w:r>
        <w:rPr>
          <w:rFonts w:ascii="Arial" w:cs="Arial" w:eastAsia="Arial" w:hAnsi="Arial"/>
          <w:sz w:val="22"/>
          <w:szCs w:val="22"/>
          <w:vertAlign w:val="subscript"/>
        </w:rPr>
        <w:t xml:space="preserve">ij</w:t>
      </w:r>
      <w:r>
        <w:rPr>
          <w:rFonts w:ascii="Arial" w:cs="Arial" w:eastAsia="Arial" w:hAnsi="Arial"/>
          <w:sz w:val="22"/>
          <w:szCs w:val="22"/>
        </w:rPr>
        <w:t xml:space="preserve"> counts shared edges between the embedded K</w:t>
      </w:r>
      <w:r>
        <w:rPr>
          <w:rFonts w:ascii="Arial" w:cs="Arial" w:eastAsia="Arial" w:hAnsi="Arial"/>
          <w:sz w:val="22"/>
          <w:szCs w:val="22"/>
          <w:vertAlign w:val="subscript"/>
        </w:rPr>
        <w:t xml:space="preserve">6</w:t>
      </w:r>
      <w:r>
        <w:rPr>
          <w:rFonts w:ascii="Arial" w:cs="Arial" w:eastAsia="Arial" w:hAnsi="Arial"/>
          <w:sz w:val="22"/>
          <w:szCs w:val="22"/>
        </w:rPr>
        <w:t xml:space="preserve"> matching i and K</w:t>
      </w:r>
      <w:r>
        <w:rPr>
          <w:rFonts w:ascii="Arial" w:cs="Arial" w:eastAsia="Arial" w:hAnsi="Arial"/>
          <w:sz w:val="22"/>
          <w:szCs w:val="22"/>
          <w:vertAlign w:val="subscript"/>
        </w:rPr>
        <w:t xml:space="preserve">8</w:t>
      </w:r>
      <w:r>
        <w:rPr>
          <w:rFonts w:ascii="Arial" w:cs="Arial" w:eastAsia="Arial" w:hAnsi="Arial"/>
          <w:sz w:val="22"/>
          <w:szCs w:val="22"/>
        </w:rPr>
        <w:t xml:space="preserve"> matching j.</w:t>
      </w:r>
    </w:p>
    <w:p>
      <w:pPr>
        <w:spacing w:after="160"/>
      </w:pPr>
      <w:r>
        <w:rPr>
          <w:rFonts w:ascii="Arial" w:cs="Arial" w:eastAsia="Arial" w:hAnsi="Arial"/>
          <w:b/>
          <w:bCs/>
          <w:sz w:val="22"/>
          <w:szCs w:val="22"/>
        </w:rPr>
        <w:t xml:space="preserve">Result. </w:t>
      </w:r>
      <w:r>
        <w:rPr>
          <w:rFonts w:ascii="Arial" w:cs="Arial" w:eastAsia="Arial" w:hAnsi="Arial"/>
          <w:sz w:val="22"/>
          <w:szCs w:val="22"/>
        </w:rPr>
        <w:t xml:space="preserve">The unique K</w:t>
      </w:r>
      <w:r>
        <w:rPr>
          <w:rFonts w:ascii="Arial" w:cs="Arial" w:eastAsia="Arial" w:hAnsi="Arial"/>
          <w:sz w:val="22"/>
          <w:szCs w:val="22"/>
          <w:vertAlign w:val="subscript"/>
        </w:rPr>
        <w:t xml:space="preserve">6</w:t>
      </w:r>
      <w:r>
        <w:rPr>
          <w:rFonts w:ascii="Arial" w:cs="Arial" w:eastAsia="Arial" w:hAnsi="Arial"/>
          <w:sz w:val="22"/>
          <w:szCs w:val="22"/>
        </w:rPr>
        <w:t xml:space="preserve"> vacuum (non-degenerate, λ = 3.306) projects through C into K</w:t>
      </w:r>
      <w:r>
        <w:rPr>
          <w:rFonts w:ascii="Arial" w:cs="Arial" w:eastAsia="Arial" w:hAnsi="Arial"/>
          <w:sz w:val="22"/>
          <w:szCs w:val="22"/>
          <w:vertAlign w:val="subscript"/>
        </w:rPr>
        <w:t xml:space="preserve">8</w:t>
      </w:r>
      <w:r>
        <w:rPr>
          <w:rFonts w:ascii="Arial" w:cs="Arial" w:eastAsia="Arial" w:hAnsi="Arial"/>
          <w:sz w:val="22"/>
          <w:szCs w:val="22"/>
        </w:rPr>
        <w:t xml:space="preserve">’s 105-dimensional space. The projection onto the 6D vacuum eigenspace has norm </w:t>
      </w:r>
      <w:r>
        <w:rPr>
          <w:rFonts w:ascii="Arial" w:cs="Arial" w:eastAsia="Arial" w:hAnsi="Arial"/>
          <w:b/>
          <w:bCs/>
          <w:sz w:val="22"/>
          <w:szCs w:val="22"/>
        </w:rPr>
        <w:t xml:space="preserve">0.888</w:t>
      </w:r>
      <w:r>
        <w:rPr>
          <w:rFonts w:ascii="Arial" w:cs="Arial" w:eastAsia="Arial" w:hAnsi="Arial"/>
          <w:sz w:val="22"/>
          <w:szCs w:val="22"/>
        </w:rPr>
        <w:t xml:space="preserve">, meaning 79% of the K</w:t>
      </w:r>
      <w:r>
        <w:rPr>
          <w:rFonts w:ascii="Arial" w:cs="Arial" w:eastAsia="Arial" w:hAnsi="Arial"/>
          <w:sz w:val="22"/>
          <w:szCs w:val="22"/>
          <w:vertAlign w:val="subscript"/>
        </w:rPr>
        <w:t xml:space="preserve">6</w:t>
      </w:r>
      <w:r>
        <w:rPr>
          <w:rFonts w:ascii="Arial" w:cs="Arial" w:eastAsia="Arial" w:hAnsi="Arial"/>
          <w:sz w:val="22"/>
          <w:szCs w:val="22"/>
        </w:rPr>
        <w:t xml:space="preserve"> vacuum information lands in the physical sector. This selects a specific direction — a single ray on S⁵ — with no free parameters.</w:t>
      </w:r>
    </w:p>
    <w:p>
      <w:pPr>
        <w:spacing w:after="160"/>
      </w:pPr>
      <w:r>
        <w:rPr>
          <w:rFonts w:ascii="Arial" w:cs="Arial" w:eastAsia="Arial" w:hAnsi="Arial"/>
          <w:b/>
          <w:bCs/>
          <w:sz w:val="22"/>
          <w:szCs w:val="22"/>
        </w:rPr>
        <w:t xml:space="preserve">Significance. </w:t>
      </w:r>
      <w:r>
        <w:rPr>
          <w:rFonts w:ascii="Arial" w:cs="Arial" w:eastAsia="Arial" w:hAnsi="Arial"/>
          <w:sz w:val="22"/>
          <w:szCs w:val="22"/>
        </w:rPr>
        <w:t xml:space="preserve">This is the most natural selection mechanism because it uses only pre-existing framework structure: the embedding K</w:t>
      </w:r>
      <w:r>
        <w:rPr>
          <w:rFonts w:ascii="Arial" w:cs="Arial" w:eastAsia="Arial" w:hAnsi="Arial"/>
          <w:sz w:val="22"/>
          <w:szCs w:val="22"/>
          <w:vertAlign w:val="subscript"/>
        </w:rPr>
        <w:t xml:space="preserve">6</w:t>
      </w:r>
      <w:r>
        <w:rPr>
          <w:rFonts w:ascii="Arial" w:cs="Arial" w:eastAsia="Arial" w:hAnsi="Arial"/>
          <w:sz w:val="22"/>
          <w:szCs w:val="22"/>
        </w:rPr>
        <w:t xml:space="preserve"> → K</w:t>
      </w:r>
      <w:r>
        <w:rPr>
          <w:rFonts w:ascii="Arial" w:cs="Arial" w:eastAsia="Arial" w:hAnsi="Arial"/>
          <w:sz w:val="22"/>
          <w:szCs w:val="22"/>
          <w:vertAlign w:val="subscript"/>
        </w:rPr>
        <w:t xml:space="preserve">8</w:t>
      </w:r>
      <w:r>
        <w:rPr>
          <w:rFonts w:ascii="Arial" w:cs="Arial" w:eastAsia="Arial" w:hAnsi="Arial"/>
          <w:sz w:val="22"/>
          <w:szCs w:val="22"/>
        </w:rPr>
        <w:t xml:space="preserve"> (which is the content of the Rank-1 Embedding Theorem) and the uniqueness of the K</w:t>
      </w:r>
      <w:r>
        <w:rPr>
          <w:rFonts w:ascii="Arial" w:cs="Arial" w:eastAsia="Arial" w:hAnsi="Arial"/>
          <w:sz w:val="22"/>
          <w:szCs w:val="22"/>
          <w:vertAlign w:val="subscript"/>
        </w:rPr>
        <w:t xml:space="preserve">6</w:t>
      </w:r>
      <w:r>
        <w:rPr>
          <w:rFonts w:ascii="Arial" w:cs="Arial" w:eastAsia="Arial" w:hAnsi="Arial"/>
          <w:sz w:val="22"/>
          <w:szCs w:val="22"/>
        </w:rPr>
        <w:t xml:space="preserve"> vacuum (which produces the Higgs mass). The Higgs sector literally selects the Yukawa sector.</w:t>
      </w:r>
    </w:p>
    <w:p>
      <w:pPr>
        <w:pStyle w:val="Heading2"/>
      </w:pPr>
      <w:r>
        <w:t xml:space="preserve">2.2 Heawood Direction Pairings</w:t>
      </w:r>
    </w:p>
    <w:p>
      <w:pPr>
        <w:spacing w:after="160"/>
      </w:pPr>
      <w:r>
        <w:rPr>
          <w:rFonts w:ascii="Arial" w:cs="Arial" w:eastAsia="Arial" w:hAnsi="Arial"/>
          <w:b/>
          <w:bCs/>
          <w:sz w:val="22"/>
          <w:szCs w:val="22"/>
        </w:rPr>
        <w:t xml:space="preserve">Setup. </w:t>
      </w:r>
      <w:r>
        <w:rPr>
          <w:rFonts w:ascii="Arial" w:cs="Arial" w:eastAsia="Arial" w:hAnsi="Arial"/>
          <w:sz w:val="22"/>
          <w:szCs w:val="22"/>
        </w:rPr>
        <w:t xml:space="preserve">A “generation pairing” assigns the seven Z</w:t>
      </w:r>
      <w:r>
        <w:rPr>
          <w:rFonts w:ascii="Arial" w:cs="Arial" w:eastAsia="Arial" w:hAnsi="Arial"/>
          <w:sz w:val="22"/>
          <w:szCs w:val="22"/>
          <w:vertAlign w:val="subscript"/>
        </w:rPr>
        <w:t xml:space="preserve">7</w:t>
      </w:r>
      <w:r>
        <w:rPr>
          <w:rFonts w:ascii="Arial" w:cs="Arial" w:eastAsia="Arial" w:hAnsi="Arial"/>
          <w:sz w:val="22"/>
          <w:szCs w:val="22"/>
        </w:rPr>
        <w:t xml:space="preserve"> circle vertices into three pairs (generations) plus one hub partner. There are 105 such pairings. The K</w:t>
      </w:r>
      <w:r>
        <w:rPr>
          <w:rFonts w:ascii="Arial" w:cs="Arial" w:eastAsia="Arial" w:hAnsi="Arial"/>
          <w:sz w:val="22"/>
          <w:szCs w:val="22"/>
          <w:vertAlign w:val="subscript"/>
        </w:rPr>
        <w:t xml:space="preserve">7</w:t>
      </w:r>
      <w:r>
        <w:rPr>
          <w:rFonts w:ascii="Arial" w:cs="Arial" w:eastAsia="Arial" w:hAnsi="Arial"/>
          <w:sz w:val="22"/>
          <w:szCs w:val="22"/>
        </w:rPr>
        <w:t xml:space="preserve"> Heawood embedding on the double torus has three direction classes: d = 1 (nearest-neighbor, ±1 mod 7), d = 2 (next-nearest, ±2 mod 7), and d = 3 (opposite, ±3 mod 7).</w:t>
      </w:r>
    </w:p>
    <w:p>
      <w:pPr>
        <w:spacing w:after="160"/>
      </w:pPr>
      <w:r>
        <w:rPr>
          <w:rFonts w:ascii="Arial" w:cs="Arial" w:eastAsia="Arial" w:hAnsi="Arial"/>
          <w:b/>
          <w:bCs/>
          <w:sz w:val="22"/>
          <w:szCs w:val="22"/>
        </w:rPr>
        <w:t xml:space="preserve">Discovery. </w:t>
      </w:r>
      <w:r>
        <w:rPr>
          <w:rFonts w:ascii="Arial" w:cs="Arial" w:eastAsia="Arial" w:hAnsi="Arial"/>
          <w:sz w:val="22"/>
          <w:szCs w:val="22"/>
        </w:rPr>
        <w:t xml:space="preserve">With the K</w:t>
      </w:r>
      <w:r>
        <w:rPr>
          <w:rFonts w:ascii="Arial" w:cs="Arial" w:eastAsia="Arial" w:hAnsi="Arial"/>
          <w:sz w:val="22"/>
          <w:szCs w:val="22"/>
          <w:vertAlign w:val="subscript"/>
        </w:rPr>
        <w:t xml:space="preserve">6</w:t>
      </w:r>
      <w:r>
        <w:rPr>
          <w:rFonts w:ascii="Arial" w:cs="Arial" w:eastAsia="Arial" w:hAnsi="Arial"/>
          <w:sz w:val="22"/>
          <w:szCs w:val="22"/>
        </w:rPr>
        <w:t xml:space="preserve">-selected direction fixed, the hierarchy depends enormously on which Heawood direction class defines the generation pairing: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Direction Pairing</w:t>
            </w:r>
          </w:p>
        </w:tc>
        <w:tc>
          <w:tcPr>
            <w:tcW w:type="dxa" w:w="22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Hierarchy</w:t>
            </w:r>
          </w:p>
        </w:tc>
        <w:tc>
          <w:tcPr>
            <w:tcW w:type="dxa" w:w="22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Ratios</w:t>
            </w:r>
          </w:p>
        </w:tc>
        <w:tc>
          <w:tcPr>
            <w:tcW w:type="dxa" w:w="21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SM Analog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 = 1 (nearest)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10,099 : 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10,099 : 9,899 : 1</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Up-type (~18,700:1)</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 = 2 (next-nearest)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10 : 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10 : 5 : 1</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Down-type (~790:1)</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 = 3 (opposite)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6 : 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6 : 2 : 1</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Lepton (~12,100:1)</w:t>
            </w:r>
          </w:p>
        </w:tc>
      </w:tr>
    </w:tbl>
    <w:p>
      <w:pPr>
        <w:spacing w:after="200"/>
      </w:pPr>
      <w:r>
        <w:rPr>
          <w:rFonts w:ascii="Arial" w:cs="Arial" w:eastAsia="Arial" w:hAnsi="Arial"/>
          <w:b/>
          <w:bCs/>
          <w:sz w:val="22"/>
          <w:szCs w:val="22"/>
        </w:rPr>
        <w:t xml:space="preserve">
Significance. </w:t>
      </w:r>
      <w:r>
        <w:rPr>
          <w:rFonts w:ascii="Arial" w:cs="Arial" w:eastAsia="Arial" w:hAnsi="Arial"/>
          <w:sz w:val="22"/>
          <w:szCs w:val="22"/>
        </w:rPr>
        <w:t xml:space="preserve">The Heawood topology of K</w:t>
      </w:r>
      <w:r>
        <w:rPr>
          <w:rFonts w:ascii="Arial" w:cs="Arial" w:eastAsia="Arial" w:hAnsi="Arial"/>
          <w:sz w:val="22"/>
          <w:szCs w:val="22"/>
          <w:vertAlign w:val="subscript"/>
        </w:rPr>
        <w:t xml:space="preserve">7</w:t>
      </w:r>
      <w:r>
        <w:rPr>
          <w:rFonts w:ascii="Arial" w:cs="Arial" w:eastAsia="Arial" w:hAnsi="Arial"/>
          <w:sz w:val="22"/>
          <w:szCs w:val="22"/>
        </w:rPr>
        <w:t xml:space="preserve"> naturally produces three distinct hierarchy scales from a single vacuum direction. The pattern — one very hierarchical sector, one moderate, one mild — is qualitatively correct for the Standard Model. The generation pairing is not a free choice; it is determined by the three direction classes of the Heawood embedding on the genus-2 surface.</w:t>
      </w:r>
    </w:p>
    <w:p>
      <w:pPr>
        <w:pStyle w:val="Heading2"/>
      </w:pPr>
      <w:r>
        <w:t xml:space="preserve">2.3 Quartic Cross-Coupling</w:t>
      </w:r>
    </w:p>
    <w:p>
      <w:pPr>
        <w:spacing w:after="160"/>
      </w:pPr>
      <w:r>
        <w:rPr>
          <w:rFonts w:ascii="Arial" w:cs="Arial" w:eastAsia="Arial" w:hAnsi="Arial"/>
          <w:b/>
          <w:bCs/>
          <w:sz w:val="22"/>
          <w:szCs w:val="22"/>
        </w:rPr>
        <w:t xml:space="preserve">Setup. </w:t>
      </w:r>
      <w:r>
        <w:rPr>
          <w:rFonts w:ascii="Arial" w:cs="Arial" w:eastAsia="Arial" w:hAnsi="Arial"/>
          <w:sz w:val="22"/>
          <w:szCs w:val="22"/>
        </w:rPr>
        <w:t xml:space="preserve">The quadratic invariant a</w:t>
      </w:r>
      <w:r>
        <w:rPr>
          <w:rFonts w:ascii="Arial" w:cs="Arial" w:eastAsia="Arial" w:hAnsi="Arial"/>
          <w:sz w:val="22"/>
          <w:szCs w:val="22"/>
          <w:vertAlign w:val="subscript"/>
        </w:rPr>
        <w:t xml:space="preserve">2</w:t>
      </w:r>
      <w:r>
        <w:rPr>
          <w:rFonts w:ascii="Arial" w:cs="Arial" w:eastAsia="Arial" w:hAnsi="Arial"/>
          <w:sz w:val="22"/>
          <w:szCs w:val="22"/>
        </w:rPr>
        <w:t xml:space="preserve"> = vᵀGv is constant on the vacuum eigenspace (verified to machine precision: relative variation 0.00%). However, the quartic invariant a</w:t>
      </w:r>
      <w:r>
        <w:rPr>
          <w:rFonts w:ascii="Arial" w:cs="Arial" w:eastAsia="Arial" w:hAnsi="Arial"/>
          <w:sz w:val="22"/>
          <w:szCs w:val="22"/>
          <w:vertAlign w:val="subscript"/>
        </w:rPr>
        <w:t xml:space="preserve">4</w:t>
      </w:r>
      <w:r>
        <w:rPr>
          <w:rFonts w:ascii="Arial" w:cs="Arial" w:eastAsia="Arial" w:hAnsi="Arial"/>
          <w:sz w:val="22"/>
          <w:szCs w:val="22"/>
        </w:rPr>
        <w:t xml:space="preserve"> = Tr(D</w:t>
      </w:r>
      <w:r>
        <w:rPr>
          <w:rFonts w:ascii="Arial" w:cs="Arial" w:eastAsia="Arial" w:hAnsi="Arial"/>
          <w:sz w:val="22"/>
          <w:szCs w:val="22"/>
          <w:vertAlign w:val="subscript"/>
        </w:rPr>
        <w:t xml:space="preserve">F</w:t>
      </w:r>
      <w:r>
        <w:rPr>
          <w:rFonts w:ascii="Arial" w:cs="Arial" w:eastAsia="Arial" w:hAnsi="Arial"/>
          <w:sz w:val="22"/>
          <w:szCs w:val="22"/>
        </w:rPr>
        <w:t xml:space="preserve">⁴) varies by 66.5% across the vacuum S⁵ (range: 0.704 to 1.448).</w:t>
      </w:r>
    </w:p>
    <w:p>
      <w:pPr>
        <w:spacing w:after="160"/>
      </w:pPr>
      <w:r>
        <w:rPr>
          <w:rFonts w:ascii="Arial" w:cs="Arial" w:eastAsia="Arial" w:hAnsi="Arial"/>
          <w:b/>
          <w:bCs/>
          <w:sz w:val="22"/>
          <w:szCs w:val="22"/>
        </w:rPr>
        <w:t xml:space="preserve">Result. </w:t>
      </w:r>
      <w:r>
        <w:rPr>
          <w:rFonts w:ascii="Arial" w:cs="Arial" w:eastAsia="Arial" w:hAnsi="Arial"/>
          <w:sz w:val="22"/>
          <w:szCs w:val="22"/>
        </w:rPr>
        <w:t xml:space="preserve">In the product spectral action, the effective potential V</w:t>
      </w:r>
      <w:r>
        <w:rPr>
          <w:rFonts w:ascii="Arial" w:cs="Arial" w:eastAsia="Arial" w:hAnsi="Arial"/>
          <w:sz w:val="22"/>
          <w:szCs w:val="22"/>
          <w:vertAlign w:val="subscript"/>
        </w:rPr>
        <w:t xml:space="preserve">eff</w:t>
      </w:r>
      <w:r>
        <w:rPr>
          <w:rFonts w:ascii="Arial" w:cs="Arial" w:eastAsia="Arial" w:hAnsi="Arial"/>
          <w:sz w:val="22"/>
          <w:szCs w:val="22"/>
        </w:rPr>
        <w:t xml:space="preserve">(θ) = const + f</w:t>
      </w:r>
      <w:r>
        <w:rPr>
          <w:rFonts w:ascii="Arial" w:cs="Arial" w:eastAsia="Arial" w:hAnsi="Arial"/>
          <w:sz w:val="22"/>
          <w:szCs w:val="22"/>
          <w:vertAlign w:val="subscript"/>
        </w:rPr>
        <w:t xml:space="preserve">0</w:t>
      </w:r>
      <w:r>
        <w:rPr>
          <w:rFonts w:ascii="Arial" w:cs="Arial" w:eastAsia="Arial" w:hAnsi="Arial"/>
          <w:sz w:val="22"/>
          <w:szCs w:val="22"/>
        </w:rPr>
        <w:t xml:space="preserve"> × a</w:t>
      </w:r>
      <w:r>
        <w:rPr>
          <w:rFonts w:ascii="Arial" w:cs="Arial" w:eastAsia="Arial" w:hAnsi="Arial"/>
          <w:sz w:val="22"/>
          <w:szCs w:val="22"/>
          <w:vertAlign w:val="subscript"/>
        </w:rPr>
        <w:t xml:space="preserve">4</w:t>
      </w:r>
      <w:r>
        <w:rPr>
          <w:rFonts w:ascii="Arial" w:cs="Arial" w:eastAsia="Arial" w:hAnsi="Arial"/>
          <w:sz w:val="22"/>
          <w:szCs w:val="22"/>
        </w:rPr>
        <w:t xml:space="preserve">(θ) has a minimum at the direction with smallest a</w:t>
      </w:r>
      <w:r>
        <w:rPr>
          <w:rFonts w:ascii="Arial" w:cs="Arial" w:eastAsia="Arial" w:hAnsi="Arial"/>
          <w:sz w:val="22"/>
          <w:szCs w:val="22"/>
          <w:vertAlign w:val="subscript"/>
        </w:rPr>
        <w:t xml:space="preserve">4</w:t>
      </w:r>
      <w:r>
        <w:rPr>
          <w:rFonts w:ascii="Arial" w:cs="Arial" w:eastAsia="Arial" w:hAnsi="Arial"/>
          <w:sz w:val="22"/>
          <w:szCs w:val="22"/>
        </w:rPr>
        <w:t xml:space="preserve">. This gives the most hierarchical Yukawa structure (~30,000:1). The K</w:t>
      </w:r>
      <w:r>
        <w:rPr>
          <w:rFonts w:ascii="Arial" w:cs="Arial" w:eastAsia="Arial" w:hAnsi="Arial"/>
          <w:sz w:val="22"/>
          <w:szCs w:val="22"/>
          <w:vertAlign w:val="subscript"/>
        </w:rPr>
        <w:t xml:space="preserve">6</w:t>
      </w:r>
      <w:r>
        <w:rPr>
          <w:rFonts w:ascii="Arial" w:cs="Arial" w:eastAsia="Arial" w:hAnsi="Arial"/>
          <w:sz w:val="22"/>
          <w:szCs w:val="22"/>
        </w:rPr>
        <w:t xml:space="preserve"> cross-overlap direction sits at the 40th percentile of a</w:t>
      </w:r>
      <w:r>
        <w:rPr>
          <w:rFonts w:ascii="Arial" w:cs="Arial" w:eastAsia="Arial" w:hAnsi="Arial"/>
          <w:sz w:val="22"/>
          <w:szCs w:val="22"/>
          <w:vertAlign w:val="subscript"/>
        </w:rPr>
        <w:t xml:space="preserve">4</w:t>
      </w:r>
      <w:r>
        <w:rPr>
          <w:rFonts w:ascii="Arial" w:cs="Arial" w:eastAsia="Arial" w:hAnsi="Arial"/>
          <w:sz w:val="22"/>
          <w:szCs w:val="22"/>
        </w:rPr>
        <w:t xml:space="preserve"> — not at the minimum, but not at the maximum either. The quartic provides a secondary energetic constraint that is compatible with, but does not coincide with, the cross-overlap selection.</w:t>
      </w:r>
    </w:p>
    <w:p>
      <w:pPr>
        <w:spacing w:after="160"/>
      </w:pPr>
      <w:r>
        <w:rPr>
          <w:rFonts w:ascii="Arial" w:cs="Arial" w:eastAsia="Arial" w:hAnsi="Arial"/>
          <w:b/>
          <w:bCs/>
          <w:sz w:val="22"/>
          <w:szCs w:val="22"/>
        </w:rPr>
        <w:t xml:space="preserve">Significance. </w:t>
      </w:r>
      <w:r>
        <w:rPr>
          <w:rFonts w:ascii="Arial" w:cs="Arial" w:eastAsia="Arial" w:hAnsi="Arial"/>
          <w:sz w:val="22"/>
          <w:szCs w:val="22"/>
        </w:rPr>
        <w:t xml:space="preserve">The quartic coupling lifts the degeneracy where the quadratic term cannot. In the full product geometry, the a</w:t>
      </w:r>
      <w:r>
        <w:rPr>
          <w:rFonts w:ascii="Arial" w:cs="Arial" w:eastAsia="Arial" w:hAnsi="Arial"/>
          <w:sz w:val="22"/>
          <w:szCs w:val="22"/>
          <w:vertAlign w:val="subscript"/>
        </w:rPr>
        <w:t xml:space="preserve">4</w:t>
      </w:r>
      <w:r>
        <w:rPr>
          <w:rFonts w:ascii="Arial" w:cs="Arial" w:eastAsia="Arial" w:hAnsi="Arial"/>
          <w:sz w:val="22"/>
          <w:szCs w:val="22"/>
        </w:rPr>
        <w:t xml:space="preserve"> cross-term between K</w:t>
      </w:r>
      <w:r>
        <w:rPr>
          <w:rFonts w:ascii="Arial" w:cs="Arial" w:eastAsia="Arial" w:hAnsi="Arial"/>
          <w:sz w:val="22"/>
          <w:szCs w:val="22"/>
          <w:vertAlign w:val="subscript"/>
        </w:rPr>
        <w:t xml:space="preserve">6</w:t>
      </w:r>
      <w:r>
        <w:rPr>
          <w:rFonts w:ascii="Arial" w:cs="Arial" w:eastAsia="Arial" w:hAnsi="Arial"/>
          <w:sz w:val="22"/>
          <w:szCs w:val="22"/>
        </w:rPr>
        <w:t xml:space="preserve"> and K</w:t>
      </w:r>
      <w:r>
        <w:rPr>
          <w:rFonts w:ascii="Arial" w:cs="Arial" w:eastAsia="Arial" w:hAnsi="Arial"/>
          <w:sz w:val="22"/>
          <w:szCs w:val="22"/>
          <w:vertAlign w:val="subscript"/>
        </w:rPr>
        <w:t xml:space="preserve">8</w:t>
      </w:r>
      <w:r>
        <w:rPr>
          <w:rFonts w:ascii="Arial" w:cs="Arial" w:eastAsia="Arial" w:hAnsi="Arial"/>
          <w:sz w:val="22"/>
          <w:szCs w:val="22"/>
        </w:rPr>
        <w:t xml:space="preserve"> may shift the selected direction from the pure cross-overlap projection toward the quartic minimum. This is computable and represents the next-order correction.</w:t>
      </w:r>
    </w:p>
    <w:p>
      <w:r>
        <w:br w:type="page"/>
      </w:r>
    </w:p>
    <w:p>
      <w:pPr>
        <w:pStyle w:val="Heading1"/>
      </w:pPr>
      <w:r>
        <w:t xml:space="preserve">3. Combined Selection Picture</w:t>
      </w:r>
    </w:p>
    <w:p>
      <w:pPr>
        <w:spacing w:after="160"/>
      </w:pPr>
      <w:r>
        <w:rPr>
          <w:rFonts w:ascii="Arial" w:cs="Arial" w:eastAsia="Arial" w:hAnsi="Arial"/>
          <w:sz w:val="22"/>
          <w:szCs w:val="22"/>
        </w:rPr>
        <w:t xml:space="preserve">The three mechanisms operate at different levels and are not redundant:</w:t>
      </w:r>
    </w:p>
    <w:p>
      <w:pPr>
        <w:pStyle w:val="ListParagraph"/>
        <w:numPr>
          <w:ilvl w:val="0"/>
          <w:numId w:val="2"/>
        </w:numPr>
        <w:spacing w:after="100"/>
      </w:pPr>
      <w:r>
        <w:rPr>
          <w:b/>
          <w:bCs/>
          <w:sz w:val="22"/>
          <w:szCs w:val="22"/>
        </w:rPr>
        <w:t xml:space="preserve">K₆ cross-overlap fixes the vacuum direction </w:t>
      </w:r>
      <w:r>
        <w:rPr>
          <w:sz w:val="22"/>
          <w:szCs w:val="22"/>
        </w:rPr>
        <w:t xml:space="preserve">(eliminates 5 of 6 continuous parameters, reducing the vacuum from S⁵ to a single ray).</w:t>
      </w:r>
    </w:p>
    <w:p>
      <w:pPr>
        <w:pStyle w:val="ListParagraph"/>
        <w:numPr>
          <w:ilvl w:val="0"/>
          <w:numId w:val="2"/>
        </w:numPr>
        <w:spacing w:after="100"/>
      </w:pPr>
      <w:r>
        <w:rPr>
          <w:b/>
          <w:bCs/>
          <w:sz w:val="22"/>
          <w:szCs w:val="22"/>
        </w:rPr>
        <w:t xml:space="preserve">Heawood topology determines three generation-pairing sectors </w:t>
      </w:r>
      <w:r>
        <w:rPr>
          <w:sz w:val="22"/>
          <w:szCs w:val="22"/>
        </w:rPr>
        <w:t xml:space="preserve">(discrete choice, not continuous; three direction classes d = 1, 2, 3 give three fermion sectors with distinct hierarchy scales).</w:t>
      </w:r>
    </w:p>
    <w:p>
      <w:pPr>
        <w:pStyle w:val="ListParagraph"/>
        <w:numPr>
          <w:ilvl w:val="0"/>
          <w:numId w:val="2"/>
        </w:numPr>
        <w:spacing w:after="200"/>
      </w:pPr>
      <w:r>
        <w:rPr>
          <w:b/>
          <w:bCs/>
          <w:sz w:val="22"/>
          <w:szCs w:val="22"/>
        </w:rPr>
        <w:t xml:space="preserve">Quartic potential provides energetic selection </w:t>
      </w:r>
      <w:r>
        <w:rPr>
          <w:sz w:val="22"/>
          <w:szCs w:val="22"/>
        </w:rPr>
        <w:t xml:space="preserve">(may shift the direction within the product geometry; computable next-order correction).</w:t>
      </w:r>
    </w:p>
    <w:p>
      <w:pPr>
        <w:spacing w:after="160"/>
      </w:pPr>
      <w:r>
        <w:rPr>
          <w:rFonts w:ascii="Arial" w:cs="Arial" w:eastAsia="Arial" w:hAnsi="Arial"/>
          <w:sz w:val="22"/>
          <w:szCs w:val="22"/>
        </w:rPr>
        <w:t xml:space="preserve">The net effect: what appeared to be a 6-dimensional continuous moduli space (KV3 finding) is actually constrained to a single direction with three discrete sectors. The remaining freedom is the internal generation splitting within each sector (the h</w:t>
      </w:r>
      <w:r>
        <w:rPr>
          <w:rFonts w:ascii="Arial" w:cs="Arial" w:eastAsia="Arial" w:hAnsi="Arial"/>
          <w:sz w:val="22"/>
          <w:szCs w:val="22"/>
          <w:vertAlign w:val="subscript"/>
        </w:rPr>
        <w:t xml:space="preserve">1</w:t>
      </w:r>
      <w:r>
        <w:rPr>
          <w:rFonts w:ascii="Arial" w:cs="Arial" w:eastAsia="Arial" w:hAnsi="Arial"/>
          <w:sz w:val="22"/>
          <w:szCs w:val="22"/>
        </w:rPr>
        <w:t xml:space="preserve">/h</w:t>
      </w:r>
      <w:r>
        <w:rPr>
          <w:rFonts w:ascii="Arial" w:cs="Arial" w:eastAsia="Arial" w:hAnsi="Arial"/>
          <w:sz w:val="22"/>
          <w:szCs w:val="22"/>
          <w:vertAlign w:val="subscript"/>
        </w:rPr>
        <w:t xml:space="preserve">2</w:t>
      </w:r>
      <w:r>
        <w:rPr>
          <w:rFonts w:ascii="Arial" w:cs="Arial" w:eastAsia="Arial" w:hAnsi="Arial"/>
          <w:sz w:val="22"/>
          <w:szCs w:val="22"/>
        </w:rPr>
        <w:t xml:space="preserve"> ratio), discussed in Section 4.</w:t>
      </w:r>
    </w:p>
    <w:p>
      <w:pPr>
        <w:pStyle w:val="Heading1"/>
      </w:pPr>
      <w:r>
        <w:t xml:space="preserve">4. The Internal Splitting Problem</w:t>
      </w:r>
    </w:p>
    <w:p>
      <w:pPr>
        <w:spacing w:after="160"/>
      </w:pPr>
      <w:r>
        <w:rPr>
          <w:rFonts w:ascii="Arial" w:cs="Arial" w:eastAsia="Arial" w:hAnsi="Arial"/>
          <w:sz w:val="22"/>
          <w:szCs w:val="22"/>
        </w:rPr>
        <w:t xml:space="preserve">The K</w:t>
      </w:r>
      <w:r>
        <w:rPr>
          <w:rFonts w:ascii="Arial" w:cs="Arial" w:eastAsia="Arial" w:hAnsi="Arial"/>
          <w:sz w:val="22"/>
          <w:szCs w:val="22"/>
          <w:vertAlign w:val="subscript"/>
        </w:rPr>
        <w:t xml:space="preserve">6</w:t>
      </w:r>
      <w:r>
        <w:rPr>
          <w:rFonts w:ascii="Arial" w:cs="Arial" w:eastAsia="Arial" w:hAnsi="Arial"/>
          <w:sz w:val="22"/>
          <w:szCs w:val="22"/>
        </w:rPr>
        <w:t xml:space="preserve">-selected direction with Heawood pairings produces the correct overall hierarchy per sector but with the wrong internal splitting. Specifically: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Sector</w:t>
            </w:r>
          </w:p>
        </w:tc>
        <w:tc>
          <w:tcPr>
            <w:tcW w:type="dxa" w:w="2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Framework</w:t>
            </w:r>
          </w:p>
        </w:tc>
        <w:tc>
          <w:tcPr>
            <w:tcW w:type="dxa" w:w="2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SM Target</w:t>
            </w:r>
          </w:p>
        </w:tc>
        <w:tc>
          <w:tcPr>
            <w:tcW w:type="dxa" w:w="23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Problem</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 = 1</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10,099 : 9,899 : 1</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18,700 : 137 : 1</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h₁ ≈ h₂ (degenerate)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 = 2</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10 : 5 : 1</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790 : 20 : 1</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Overall scale too low</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 = 3</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6 : 2 : 1</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12,100 : 43 : 1</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Overall scale too low</w:t>
            </w:r>
          </w:p>
        </w:tc>
      </w:tr>
    </w:tbl>
    <w:p>
      <w:pPr>
        <w:spacing w:after="120"/>
      </w:pPr>
      <w:r>
        <w:rPr>
          <w:rFonts w:ascii="Arial" w:cs="Arial" w:eastAsia="Arial" w:hAnsi="Arial"/>
          <w:sz w:val="22"/>
          <w:szCs w:val="22"/>
        </w:rPr>
        <w:t xml:space="preserve">
The framework produces h</w:t>
      </w:r>
      <w:r>
        <w:rPr>
          <w:rFonts w:ascii="Arial" w:cs="Arial" w:eastAsia="Arial" w:hAnsi="Arial"/>
          <w:sz w:val="22"/>
          <w:szCs w:val="22"/>
          <w:vertAlign w:val="subscript"/>
        </w:rPr>
        <w:t xml:space="preserve">1</w:t>
      </w:r>
      <w:r>
        <w:rPr>
          <w:rFonts w:ascii="Arial" w:cs="Arial" w:eastAsia="Arial" w:hAnsi="Arial"/>
          <w:sz w:val="22"/>
          <w:szCs w:val="22"/>
        </w:rPr>
        <w:t xml:space="preserve"> ≈ h</w:t>
      </w:r>
      <w:r>
        <w:rPr>
          <w:rFonts w:ascii="Arial" w:cs="Arial" w:eastAsia="Arial" w:hAnsi="Arial"/>
          <w:sz w:val="22"/>
          <w:szCs w:val="22"/>
          <w:vertAlign w:val="subscript"/>
        </w:rPr>
        <w:t xml:space="preserve">2</w:t>
      </w:r>
      <w:r>
        <w:rPr>
          <w:rFonts w:ascii="Arial" w:cs="Arial" w:eastAsia="Arial" w:hAnsi="Arial"/>
          <w:sz w:val="22"/>
          <w:szCs w:val="22"/>
        </w:rPr>
        <w:t xml:space="preserve"> (nearly degenerate top two generations) in the most hierarchical sector, whereas the SM has huge gaps: m</w:t>
      </w:r>
      <w:r>
        <w:rPr>
          <w:rFonts w:ascii="Arial" w:cs="Arial" w:eastAsia="Arial" w:hAnsi="Arial"/>
          <w:sz w:val="22"/>
          <w:szCs w:val="22"/>
          <w:vertAlign w:val="subscript"/>
        </w:rPr>
        <w:t xml:space="preserve">t</w:t>
      </w:r>
      <w:r>
        <w:rPr>
          <w:rFonts w:ascii="Arial" w:cs="Arial" w:eastAsia="Arial" w:hAnsi="Arial"/>
          <w:sz w:val="22"/>
          <w:szCs w:val="22"/>
        </w:rPr>
        <w:t xml:space="preserve">/m</w:t>
      </w:r>
      <w:r>
        <w:rPr>
          <w:rFonts w:ascii="Arial" w:cs="Arial" w:eastAsia="Arial" w:hAnsi="Arial"/>
          <w:sz w:val="22"/>
          <w:szCs w:val="22"/>
          <w:vertAlign w:val="subscript"/>
        </w:rPr>
        <w:t xml:space="preserve">c</w:t>
      </w:r>
      <w:r>
        <w:rPr>
          <w:rFonts w:ascii="Arial" w:cs="Arial" w:eastAsia="Arial" w:hAnsi="Arial"/>
          <w:sz w:val="22"/>
          <w:szCs w:val="22"/>
        </w:rPr>
        <w:t xml:space="preserve"> ≈ 137. This suggests that additional structure is needed to split the near-degeneracy. Three candidates are identified:</w:t>
      </w:r>
    </w:p>
    <w:p>
      <w:pPr>
        <w:pStyle w:val="ListParagraph"/>
        <w:numPr>
          <w:ilvl w:val="0"/>
          <w:numId w:val="3"/>
        </w:numPr>
        <w:spacing w:after="100"/>
      </w:pPr>
      <w:r>
        <w:rPr>
          <w:b/>
          <w:bCs/>
          <w:sz w:val="22"/>
          <w:szCs w:val="22"/>
        </w:rPr>
        <w:t xml:space="preserve">Z₃ phase refinement: </w:t>
      </w:r>
      <w:r>
        <w:rPr>
          <w:sz w:val="22"/>
          <w:szCs w:val="22"/>
        </w:rPr>
        <w:t xml:space="preserve">The current computation uses a single Z₃ phase assignment. Different phase choices for the handle direction (d₃ → ω vs ω² vs 1) may break the h₁/h₂ degeneracy.</w:t>
      </w:r>
    </w:p>
    <w:p>
      <w:pPr>
        <w:pStyle w:val="ListParagraph"/>
        <w:numPr>
          <w:ilvl w:val="0"/>
          <w:numId w:val="3"/>
        </w:numPr>
        <w:spacing w:after="100"/>
      </w:pPr>
      <w:r>
        <w:rPr>
          <w:b/>
          <w:bCs/>
          <w:sz w:val="22"/>
          <w:szCs w:val="22"/>
        </w:rPr>
        <w:t xml:space="preserve">Torus modular parameter τ: </w:t>
      </w:r>
      <w:r>
        <w:rPr>
          <w:sz w:val="22"/>
          <w:szCs w:val="22"/>
        </w:rPr>
        <w:t xml:space="preserve">The genus-2 surface has a 6-dimensional moduli space. The specific value of τ enters the Gram matrix through the direction-dependent phase correlator and could break the near-degeneracy.</w:t>
      </w:r>
    </w:p>
    <w:p>
      <w:pPr>
        <w:pStyle w:val="ListParagraph"/>
        <w:numPr>
          <w:ilvl w:val="0"/>
          <w:numId w:val="3"/>
        </w:numPr>
        <w:spacing w:after="200"/>
      </w:pPr>
      <w:r>
        <w:rPr>
          <w:b/>
          <w:bCs/>
          <w:sz w:val="22"/>
          <w:szCs w:val="22"/>
        </w:rPr>
        <w:t xml:space="preserve">Product geometry a₄ cross-term: </w:t>
      </w:r>
      <w:r>
        <w:rPr>
          <w:sz w:val="22"/>
          <w:szCs w:val="22"/>
        </w:rPr>
        <w:t xml:space="preserve">The a₄ coupling between K₆ and K₈ in the full product spectral action is the most physically motivated candidate. It enters at subleading order in the spectral expansion and could provide the missing splitting.</w:t>
      </w:r>
    </w:p>
    <w:p>
      <w:pPr>
        <w:pStyle w:val="Heading1"/>
      </w:pPr>
      <w:r>
        <w:t xml:space="preserve">5. Revised KV3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Claim</w:t>
            </w:r>
          </w:p>
        </w:tc>
        <w:tc>
          <w:tcPr>
            <w:tcW w:type="dxa" w:w="16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tcW w:type="dxa" w:w="45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Post-Addendum</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Three generations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20"/>
                <w:szCs w:val="20"/>
              </w:rPr>
              <w:t xml:space="preserve">ROBUST</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φ(7)/2 = 3 forced. Unaffected by KV3 or selection principle.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Vacuum direction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20"/>
                <w:szCs w:val="20"/>
              </w:rPr>
              <w:t xml:space="preserve">CONSTRAINED</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K₆ cross-overlap selects single ray on S⁵ (79% projection efficiency). Not free.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Hierarchy scales per sector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20"/>
                <w:szCs w:val="20"/>
              </w:rPr>
              <w:t xml:space="preserve">STRUCTURAL</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Three Heawood directions give three distinct scales (~10⁴, ~10, ~6). Right qualitative pattern.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Specific mass ratios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20"/>
                <w:szCs w:val="20"/>
              </w:rPr>
              <w:t xml:space="preserve">OPEN</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Internal h₁/h₂ splitting not resolved. Needs torus modular parameter or product a₄ cross-term.</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Down-type match (768:20:1)</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20"/>
                <w:szCs w:val="20"/>
              </w:rPr>
              <w:t xml:space="preserve">DOWNGRADED</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Previously claimed as prediction. Now: consistency check within a constrained moduli space.</w:t>
            </w:r>
          </w:p>
        </w:tc>
      </w:tr>
    </w:tbl>
    <w:p>
      <w:pPr>
        <w:spacing w:after="200"/>
      </w:pPr>
      <w:r>
        <w:rPr>
          <w:rFonts w:ascii="Arial" w:cs="Arial" w:eastAsia="Arial" w:hAnsi="Arial"/>
          <w:sz w:val="22"/>
          <w:szCs w:val="22"/>
        </w:rPr>
        <w:t xml:space="preserve">
The KV3 hit is </w:t>
      </w:r>
      <w:r>
        <w:rPr>
          <w:rFonts w:ascii="Arial" w:cs="Arial" w:eastAsia="Arial" w:hAnsi="Arial"/>
          <w:b/>
          <w:bCs/>
          <w:sz w:val="22"/>
          <w:szCs w:val="22"/>
        </w:rPr>
        <w:t xml:space="preserve">partially mitigated</w:t>
      </w:r>
      <w:r>
        <w:rPr>
          <w:rFonts w:ascii="Arial" w:cs="Arial" w:eastAsia="Arial" w:hAnsi="Arial"/>
          <w:sz w:val="22"/>
          <w:szCs w:val="22"/>
        </w:rPr>
        <w:t xml:space="preserve">. The vacuum is not freely choosable — it is pinned by K</w:t>
      </w:r>
      <w:r>
        <w:rPr>
          <w:rFonts w:ascii="Arial" w:cs="Arial" w:eastAsia="Arial" w:hAnsi="Arial"/>
          <w:sz w:val="22"/>
          <w:szCs w:val="22"/>
          <w:vertAlign w:val="subscript"/>
        </w:rPr>
        <w:t xml:space="preserve">6</w:t>
      </w:r>
      <w:r>
        <w:rPr>
          <w:rFonts w:ascii="Arial" w:cs="Arial" w:eastAsia="Arial" w:hAnsi="Arial"/>
          <w:sz w:val="22"/>
          <w:szCs w:val="22"/>
        </w:rPr>
        <w:t xml:space="preserve"> uniqueness and partitioned by Heawood topology. The honest framing: the framework constrains the Yukawa sector to a single vacuum direction with three discrete hierarchy scales that are qualitatively correct, but the internal generation splitting within each sector remains an open computation requiring the product geometry or torus modular structure.</w:t>
      </w:r>
    </w:p>
    <w:p>
      <w:pPr>
        <w:pStyle w:val="Heading1"/>
      </w:pPr>
      <w:r>
        <w:t xml:space="preserve">6. Falsification Test</w:t>
      </w:r>
    </w:p>
    <w:p>
      <w:pPr>
        <w:spacing w:after="160"/>
      </w:pPr>
      <w:r>
        <w:rPr>
          <w:rFonts w:ascii="Arial" w:cs="Arial" w:eastAsia="Arial" w:hAnsi="Arial"/>
          <w:sz w:val="22"/>
          <w:szCs w:val="22"/>
        </w:rPr>
        <w:t xml:space="preserve">The addendum identifies one decisive computation that would resolve the internal splitting:</w:t>
      </w:r>
    </w:p>
    <w:p>
      <w:pPr>
        <w:spacing w:after="160"/>
      </w:pPr>
      <w:r>
        <w:rPr>
          <w:rFonts w:ascii="Arial" w:cs="Arial" w:eastAsia="Arial" w:hAnsi="Arial"/>
          <w:b/>
          <w:bCs/>
          <w:sz w:val="22"/>
          <w:szCs w:val="22"/>
        </w:rPr>
        <w:t xml:space="preserve">Compute the full product spectral action on T² × K₆ × K₈.</w:t>
      </w:r>
      <w:r>
        <w:rPr>
          <w:rFonts w:ascii="Arial" w:cs="Arial" w:eastAsia="Arial" w:hAnsi="Arial"/>
          <w:sz w:val="22"/>
          <w:szCs w:val="22"/>
        </w:rPr>
        <w:t xml:space="preserve"> The a</w:t>
      </w:r>
      <w:r>
        <w:rPr>
          <w:rFonts w:ascii="Arial" w:cs="Arial" w:eastAsia="Arial" w:hAnsi="Arial"/>
          <w:sz w:val="22"/>
          <w:szCs w:val="22"/>
          <w:vertAlign w:val="subscript"/>
        </w:rPr>
        <w:t xml:space="preserve">4</w:t>
      </w:r>
      <w:r>
        <w:rPr>
          <w:rFonts w:ascii="Arial" w:cs="Arial" w:eastAsia="Arial" w:hAnsi="Arial"/>
          <w:sz w:val="22"/>
          <w:szCs w:val="22"/>
        </w:rPr>
        <w:t xml:space="preserve"> cross-coupling between K</w:t>
      </w:r>
      <w:r>
        <w:rPr>
          <w:rFonts w:ascii="Arial" w:cs="Arial" w:eastAsia="Arial" w:hAnsi="Arial"/>
          <w:sz w:val="22"/>
          <w:szCs w:val="22"/>
          <w:vertAlign w:val="subscript"/>
        </w:rPr>
        <w:t xml:space="preserve">6</w:t>
      </w:r>
      <w:r>
        <w:rPr>
          <w:rFonts w:ascii="Arial" w:cs="Arial" w:eastAsia="Arial" w:hAnsi="Arial"/>
          <w:sz w:val="22"/>
          <w:szCs w:val="22"/>
        </w:rPr>
        <w:t xml:space="preserve"> and K</w:t>
      </w:r>
      <w:r>
        <w:rPr>
          <w:rFonts w:ascii="Arial" w:cs="Arial" w:eastAsia="Arial" w:hAnsi="Arial"/>
          <w:sz w:val="22"/>
          <w:szCs w:val="22"/>
          <w:vertAlign w:val="subscript"/>
        </w:rPr>
        <w:t xml:space="preserve">8</w:t>
      </w:r>
      <w:r>
        <w:rPr>
          <w:rFonts w:ascii="Arial" w:cs="Arial" w:eastAsia="Arial" w:hAnsi="Arial"/>
          <w:sz w:val="22"/>
          <w:szCs w:val="22"/>
        </w:rPr>
        <w:t xml:space="preserve"> sectors should: (a) confirm or shift the K</w:t>
      </w:r>
      <w:r>
        <w:rPr>
          <w:rFonts w:ascii="Arial" w:cs="Arial" w:eastAsia="Arial" w:hAnsi="Arial"/>
          <w:sz w:val="22"/>
          <w:szCs w:val="22"/>
          <w:vertAlign w:val="subscript"/>
        </w:rPr>
        <w:t xml:space="preserve">6</w:t>
      </w:r>
      <w:r>
        <w:rPr>
          <w:rFonts w:ascii="Arial" w:cs="Arial" w:eastAsia="Arial" w:hAnsi="Arial"/>
          <w:sz w:val="22"/>
          <w:szCs w:val="22"/>
        </w:rPr>
        <w:t xml:space="preserve">-selected vacuum direction; (b) determine whether the quartic minimum coincides with the cross-overlap selection; (c) provide the internal h</w:t>
      </w:r>
      <w:r>
        <w:rPr>
          <w:rFonts w:ascii="Arial" w:cs="Arial" w:eastAsia="Arial" w:hAnsi="Arial"/>
          <w:sz w:val="22"/>
          <w:szCs w:val="22"/>
          <w:vertAlign w:val="subscript"/>
        </w:rPr>
        <w:t xml:space="preserve">1</w:t>
      </w:r>
      <w:r>
        <w:rPr>
          <w:rFonts w:ascii="Arial" w:cs="Arial" w:eastAsia="Arial" w:hAnsi="Arial"/>
          <w:sz w:val="22"/>
          <w:szCs w:val="22"/>
        </w:rPr>
        <w:t xml:space="preserve">/h</w:t>
      </w:r>
      <w:r>
        <w:rPr>
          <w:rFonts w:ascii="Arial" w:cs="Arial" w:eastAsia="Arial" w:hAnsi="Arial"/>
          <w:sz w:val="22"/>
          <w:szCs w:val="22"/>
          <w:vertAlign w:val="subscript"/>
        </w:rPr>
        <w:t xml:space="preserve">2</w:t>
      </w:r>
      <w:r>
        <w:rPr>
          <w:rFonts w:ascii="Arial" w:cs="Arial" w:eastAsia="Arial" w:hAnsi="Arial"/>
          <w:sz w:val="22"/>
          <w:szCs w:val="22"/>
        </w:rPr>
        <w:t xml:space="preserve"> splitting for each Heawood sector.</w:t>
      </w:r>
    </w:p>
    <w:p>
      <w:pPr>
        <w:spacing w:after="160"/>
      </w:pPr>
      <w:r>
        <w:rPr>
          <w:rFonts w:ascii="Arial" w:cs="Arial" w:eastAsia="Arial" w:hAnsi="Arial"/>
          <w:sz w:val="22"/>
          <w:szCs w:val="22"/>
        </w:rPr>
        <w:t xml:space="preserve">If the product computation gives h</w:t>
      </w:r>
      <w:r>
        <w:rPr>
          <w:rFonts w:ascii="Arial" w:cs="Arial" w:eastAsia="Arial" w:hAnsi="Arial"/>
          <w:sz w:val="22"/>
          <w:szCs w:val="22"/>
          <w:vertAlign w:val="subscript"/>
        </w:rPr>
        <w:t xml:space="preserve">1</w:t>
      </w:r>
      <w:r>
        <w:rPr>
          <w:rFonts w:ascii="Arial" w:cs="Arial" w:eastAsia="Arial" w:hAnsi="Arial"/>
          <w:sz w:val="22"/>
          <w:szCs w:val="22"/>
        </w:rPr>
        <w:t xml:space="preserve">/h</w:t>
      </w:r>
      <w:r>
        <w:rPr>
          <w:rFonts w:ascii="Arial" w:cs="Arial" w:eastAsia="Arial" w:hAnsi="Arial"/>
          <w:sz w:val="22"/>
          <w:szCs w:val="22"/>
          <w:vertAlign w:val="subscript"/>
        </w:rPr>
        <w:t xml:space="preserve">2</w:t>
      </w:r>
      <w:r>
        <w:rPr>
          <w:rFonts w:ascii="Arial" w:cs="Arial" w:eastAsia="Arial" w:hAnsi="Arial"/>
          <w:sz w:val="22"/>
          <w:szCs w:val="22"/>
        </w:rPr>
        <w:t xml:space="preserve"> ratios matching the SM for each pairing sector, the Yukawa prediction is fully restored. If all three sectors give h</w:t>
      </w:r>
      <w:r>
        <w:rPr>
          <w:rFonts w:ascii="Arial" w:cs="Arial" w:eastAsia="Arial" w:hAnsi="Arial"/>
          <w:sz w:val="22"/>
          <w:szCs w:val="22"/>
          <w:vertAlign w:val="subscript"/>
        </w:rPr>
        <w:t xml:space="preserve">1</w:t>
      </w:r>
      <w:r>
        <w:rPr>
          <w:rFonts w:ascii="Arial" w:cs="Arial" w:eastAsia="Arial" w:hAnsi="Arial"/>
          <w:sz w:val="22"/>
          <w:szCs w:val="22"/>
        </w:rPr>
        <w:t xml:space="preserve"> ≈ h</w:t>
      </w:r>
      <w:r>
        <w:rPr>
          <w:rFonts w:ascii="Arial" w:cs="Arial" w:eastAsia="Arial" w:hAnsi="Arial"/>
          <w:sz w:val="22"/>
          <w:szCs w:val="22"/>
          <w:vertAlign w:val="subscript"/>
        </w:rPr>
        <w:t xml:space="preserve">2</w:t>
      </w:r>
      <w:r>
        <w:rPr>
          <w:rFonts w:ascii="Arial" w:cs="Arial" w:eastAsia="Arial" w:hAnsi="Arial"/>
          <w:sz w:val="22"/>
          <w:szCs w:val="22"/>
        </w:rPr>
        <w:t xml:space="preserve"> even with the product coupling, the framework requires additional structure (torus modular parameter or genus-2 moduli) to break the degeneracy — introducing at most 1–2 new parameters, still far fewer than the SM’s 13 Yukawa couplings.</w:t>
      </w:r>
    </w:p>
    <w:p>
      <w:pPr>
        <w:pStyle w:val="Heading1"/>
      </w:pPr>
      <w:r>
        <w:t xml:space="preserve">7. Key Structural Insight</w:t>
      </w:r>
    </w:p>
    <w:p>
      <w:pPr>
        <w:spacing w:after="160"/>
      </w:pPr>
      <w:r>
        <w:rPr>
          <w:rFonts w:ascii="Arial" w:cs="Arial" w:eastAsia="Arial" w:hAnsi="Arial"/>
          <w:sz w:val="22"/>
          <w:szCs w:val="22"/>
        </w:rPr>
        <w:t xml:space="preserve">The deepest finding of this analysis is that the Higgs sector and the Yukawa sector are not independent. The K</w:t>
      </w:r>
      <w:r>
        <w:rPr>
          <w:rFonts w:ascii="Arial" w:cs="Arial" w:eastAsia="Arial" w:hAnsi="Arial"/>
          <w:sz w:val="22"/>
          <w:szCs w:val="22"/>
          <w:vertAlign w:val="subscript"/>
        </w:rPr>
        <w:t xml:space="preserve">6</w:t>
      </w:r>
      <w:r>
        <w:rPr>
          <w:rFonts w:ascii="Arial" w:cs="Arial" w:eastAsia="Arial" w:hAnsi="Arial"/>
          <w:sz w:val="22"/>
          <w:szCs w:val="22"/>
        </w:rPr>
        <w:t xml:space="preserve"> vacuum that determines the Higgs mass (126.1 GeV) simultaneously selects the K</w:t>
      </w:r>
      <w:r>
        <w:rPr>
          <w:rFonts w:ascii="Arial" w:cs="Arial" w:eastAsia="Arial" w:hAnsi="Arial"/>
          <w:sz w:val="22"/>
          <w:szCs w:val="22"/>
          <w:vertAlign w:val="subscript"/>
        </w:rPr>
        <w:t xml:space="preserve">8</w:t>
      </w:r>
      <w:r>
        <w:rPr>
          <w:rFonts w:ascii="Arial" w:cs="Arial" w:eastAsia="Arial" w:hAnsi="Arial"/>
          <w:sz w:val="22"/>
          <w:szCs w:val="22"/>
        </w:rPr>
        <w:t xml:space="preserve"> vacuum direction that determines the fermion mass hierarchy. This coupling is not imposed — it is a structural consequence of the embedding K</w:t>
      </w:r>
      <w:r>
        <w:rPr>
          <w:rFonts w:ascii="Arial" w:cs="Arial" w:eastAsia="Arial" w:hAnsi="Arial"/>
          <w:sz w:val="22"/>
          <w:szCs w:val="22"/>
          <w:vertAlign w:val="subscript"/>
        </w:rPr>
        <w:t xml:space="preserve">6</w:t>
      </w:r>
      <w:r>
        <w:rPr>
          <w:rFonts w:ascii="Arial" w:cs="Arial" w:eastAsia="Arial" w:hAnsi="Arial"/>
          <w:sz w:val="22"/>
          <w:szCs w:val="22"/>
        </w:rPr>
        <w:t xml:space="preserve"> → K</w:t>
      </w:r>
      <w:r>
        <w:rPr>
          <w:rFonts w:ascii="Arial" w:cs="Arial" w:eastAsia="Arial" w:hAnsi="Arial"/>
          <w:sz w:val="22"/>
          <w:szCs w:val="22"/>
          <w:vertAlign w:val="subscript"/>
        </w:rPr>
        <w:t xml:space="preserve">8</w:t>
      </w:r>
      <w:r>
        <w:rPr>
          <w:rFonts w:ascii="Arial" w:cs="Arial" w:eastAsia="Arial" w:hAnsi="Arial"/>
          <w:sz w:val="22"/>
          <w:szCs w:val="22"/>
        </w:rPr>
        <w:t xml:space="preserve"> and the Rank-1 Embedding Theorem (O</w:t>
      </w:r>
      <w:r>
        <w:rPr>
          <w:rFonts w:ascii="Arial" w:cs="Arial" w:eastAsia="Arial" w:hAnsi="Arial"/>
          <w:sz w:val="22"/>
          <w:szCs w:val="22"/>
          <w:vertAlign w:val="subscript"/>
        </w:rPr>
        <w:t xml:space="preserve">embedded</w:t>
      </w:r>
      <w:r>
        <w:rPr>
          <w:rFonts w:ascii="Arial" w:cs="Arial" w:eastAsia="Arial" w:hAnsi="Arial"/>
          <w:sz w:val="22"/>
          <w:szCs w:val="22"/>
        </w:rPr>
        <w:t xml:space="preserve"> = O</w:t>
      </w:r>
      <w:r>
        <w:rPr>
          <w:rFonts w:ascii="Arial" w:cs="Arial" w:eastAsia="Arial" w:hAnsi="Arial"/>
          <w:sz w:val="22"/>
          <w:szCs w:val="22"/>
          <w:vertAlign w:val="subscript"/>
        </w:rPr>
        <w:t xml:space="preserve">native</w:t>
      </w:r>
      <w:r>
        <w:rPr>
          <w:rFonts w:ascii="Arial" w:cs="Arial" w:eastAsia="Arial" w:hAnsi="Arial"/>
          <w:sz w:val="22"/>
          <w:szCs w:val="22"/>
        </w:rPr>
        <w:t xml:space="preserve"> + 2J).</w:t>
      </w:r>
    </w:p>
    <w:p>
      <w:pPr>
        <w:spacing w:after="160"/>
      </w:pPr>
      <w:r>
        <w:rPr>
          <w:rFonts w:ascii="Arial" w:cs="Arial" w:eastAsia="Arial" w:hAnsi="Arial"/>
          <w:sz w:val="22"/>
          <w:szCs w:val="22"/>
        </w:rPr>
        <w:t xml:space="preserve">In the Standard Model, the Higgs VEV and the Yukawa couplings are completely independent parameters. In this framework, they are coupled through graph-level embedding. A theory with 19 free parameters (SM) vs a theory where the Higgs mass fixes the Yukawa direction (this framework) makes different predictions even if the specific mass ratios are not yet fully determined. The framework is more constrained than the SM regardless of whether the internal splitting computation succeeds.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32"/>
      <w:szCs w:val="32"/>
    </w:rPr>
  </w:style>
  <w:style w:type="paragraph" w:styleId="Heading2">
    <w:name w:val="Heading 2"/>
    <w:basedOn w:val="Normal"/>
    <w:next w:val="Normal"/>
    <w:qFormat/>
    <w:pPr>
      <w:spacing w:before="240" w:after="160"/>
      <w:outlineLvl w:val="1"/>
    </w:pPr>
    <w:rPr>
      <w:rFonts w:ascii="Arial" w:cs="Arial" w:eastAsia="Arial" w:hAnsi="Arial"/>
      <w:b/>
      <w:bCs/>
      <w:sz w:val="26"/>
      <w:szCs w:val="26"/>
    </w:rPr>
  </w:style>
  <w:style w:type="paragraph" w:styleId="Heading3">
    <w:name w:val="Heading 3"/>
    <w:basedOn w:val="Normal"/>
    <w:next w:val="Normal"/>
    <w:qFormat/>
    <w:pPr>
      <w:spacing w:before="200" w:after="120"/>
      <w:outlineLvl w:val="2"/>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2026-02-21T06:24:39.957Z</dcterms:created>
  <dcterms:modified xsi:type="dcterms:W3CDTF">2026-02-21T06:24:39.959Z</dcterms:modified>
</cp:coreProperties>
</file>

<file path=docProps/custom.xml><?xml version="1.0" encoding="utf-8"?>
<Properties xmlns="http://schemas.openxmlformats.org/officeDocument/2006/custom-properties" xmlns:vt="http://schemas.openxmlformats.org/officeDocument/2006/docPropsVTypes"/>
</file>