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Recommendations</w:t>
      </w:r>
    </w:p>
    <w:bookmarkStart w:id="20" w:name="recommendations"/>
    <w:p>
      <w:pPr>
        <w:pStyle w:val="Heading1"/>
      </w:pPr>
      <w:r>
        <w:t xml:space="preserve">📋 Recommendations</w:t>
      </w:r>
    </w:p>
    <w:p>
      <w:pPr>
        <w:pStyle w:val="BlockText"/>
      </w:pPr>
      <w:r>
        <w:rPr>
          <w:iCs/>
          <w:i/>
        </w:rPr>
        <w:t xml:space="preserve">Complete text extracted from the original document</w:t>
      </w:r>
    </w:p>
    <w:p>
      <w:pPr>
        <w:pStyle w:val="FirstParagraph"/>
      </w:pPr>
      <w:r>
        <w:t xml:space="preserve">These recommendations serve as practical points of orientation for organizations and communities working to align AI adoption, refusal, adaptation and design with the principles of open, social scholarship:</w:t>
      </w:r>
    </w:p>
    <w:p>
      <w:pPr>
        <w:numPr>
          <w:ilvl w:val="0"/>
          <w:numId w:val="1001"/>
        </w:numPr>
        <w:pStyle w:val="Compact"/>
      </w:pPr>
      <w:r>
        <w:t xml:space="preserve">Establish collaborative and iterative AI governance.</w:t>
      </w:r>
    </w:p>
    <w:p>
      <w:pPr>
        <w:pStyle w:val="FirstParagraph"/>
      </w:pPr>
      <w:r>
        <w:t xml:space="preserve">AI adoption is fundamentally an organizational and ethical issue, not only a technical one. Decisions about these tools directly affect scholarly labour, institutional authority, access, and trust. Partner organizations should build governance models that draw on both technical and scholarly expertise. Because the technology shifts rapidly, policies and review structures must be designed for continuous evaluation rather than single-point approval. Governance should include explicit procedures for revisiting the boundary between operational assistance and epistemic authority as capabilities, risks, and disciplinary practices change.</w:t>
      </w:r>
    </w:p>
    <w:p>
      <w:pPr>
        <w:numPr>
          <w:ilvl w:val="0"/>
          <w:numId w:val="1002"/>
        </w:numPr>
        <w:pStyle w:val="Compact"/>
      </w:pPr>
      <w:r>
        <w:t xml:space="preserve">Preserve human responsibility in scholarly judgement.</w:t>
      </w:r>
    </w:p>
    <w:p>
      <w:pPr>
        <w:pStyle w:val="FirstParagraph"/>
      </w:pPr>
      <w:r>
        <w:t xml:space="preserve">A central tension identified in this volume is the distinction between operational assistance and epistemic authority. That distinction is necessary, but it is not fixed. AI can support routine tasks, and some tasks that once required substantial expert attention may become increasingly operationalized. Yet the critical judgement required to establish scholarly validity and exercise pedagogical care remains a strictly human responsibility, especially wherever decisions carry intellectual, professional or public consequences. Institutions should clearly define the limits of appropriate AI use in contexts such as peer review, editorial assessment, pedagogical evaluation, and research interpretation, while also creating mechanisms for revising those limits as practices evolve.</w:t>
      </w:r>
    </w:p>
    <w:p>
      <w:pPr>
        <w:numPr>
          <w:ilvl w:val="0"/>
          <w:numId w:val="1003"/>
        </w:numPr>
        <w:pStyle w:val="Compact"/>
      </w:pPr>
      <w:r>
        <w:t xml:space="preserve">Require transparency in AI-mediated workflows.</w:t>
      </w:r>
    </w:p>
    <w:p>
      <w:pPr>
        <w:pStyle w:val="FirstParagraph"/>
      </w:pPr>
      <w:r>
        <w:t xml:space="preserve">Where AI is used in knowledge production and scholarship, its role must be made visible. The credibility of scholarly and public knowledge depends in part on clear provenance and process, and identifiable responsibility. Organizations should support disclosure standards that make AI use legible without reducing complex workflows to simplistic declarations, and should pair disclosure norms with provenance infrastructure such as persistent identifiers, content credentials, verifiable metadata, version histories, and workflow documentation. Maintaining epistemic integrity requires treating transparency as a basic requirement of scholarly communication.</w:t>
      </w:r>
    </w:p>
    <w:p>
      <w:pPr>
        <w:numPr>
          <w:ilvl w:val="0"/>
          <w:numId w:val="1004"/>
        </w:numPr>
        <w:pStyle w:val="Compact"/>
      </w:pPr>
      <w:r>
        <w:t xml:space="preserve">Invest in human capacity and critical literacy.</w:t>
      </w:r>
    </w:p>
    <w:p>
      <w:pPr>
        <w:pStyle w:val="FirstParagraph"/>
      </w:pPr>
      <w:r>
        <w:t xml:space="preserve">The scan repeatedly demonstrates that the primary challenge facing institutions is ensuring their communities are equipped to evaluate and use AI responsibly, regardless of what tools are available. This requires investment in staff development, pedagogical resources, and the kinds of critical literacy that help scholars and students interpret AI outputs, assess their limits, and recognize how these systems shape knowledge practices. Institutions differ widely in size, mission, and resources, and approaches to AI must be responsive to that unevenness. Capacity-building is therefore one of the preconditions for responsible engagement.</w:t>
      </w:r>
    </w:p>
    <w:p>
      <w:pPr>
        <w:numPr>
          <w:ilvl w:val="0"/>
          <w:numId w:val="1005"/>
        </w:numPr>
        <w:pStyle w:val="Compact"/>
      </w:pPr>
      <w:r>
        <w:t xml:space="preserve">Protect and steward open knowledge from extractive enclosure.</w:t>
      </w:r>
    </w:p>
    <w:p>
      <w:pPr>
        <w:pStyle w:val="FirstParagraph"/>
      </w:pPr>
      <w:r>
        <w:t xml:space="preserve">Contemporary AI systems rely heavily on the scholarly commons and the unpaid labour of knowledge communities, even as the benefits of these systems are often unevenly distributed. Organizations committed to open, social scholarship should actively resist the ways AI may enclose, concentrate power, or extract value from shared resources without meaningful forms of reciprocity. Governance frameworks must therefore prioritize equitable benefit-sharing alongside licensing, consent, attribution, provenance and machine-readable terms of use. Responsible participation in AI ecosystems requires attention to the conditions under which tools operate and the interests they serve, as much as to their capabilities.</w:t>
      </w:r>
    </w:p>
    <w:p>
      <w:pPr>
        <w:numPr>
          <w:ilvl w:val="0"/>
          <w:numId w:val="1006"/>
        </w:numPr>
        <w:pStyle w:val="Compact"/>
      </w:pPr>
      <w:r>
        <w:t xml:space="preserve">Build inclusive processes for ongoing evaluation and response.</w:t>
      </w:r>
    </w:p>
    <w:p>
      <w:pPr>
        <w:pStyle w:val="FirstParagraph"/>
      </w:pPr>
      <w:r>
        <w:t xml:space="preserve">The technological landscape is shifting rapidly, and no single framework remains adequate for long. Institutions need mechanisms for periodic reassessment, community consultation, and iterative revision in response to the new domains and effects of changing technologies. Particular attention should be paid to whose perspectives are included in such processes, especially across differences of language, geography, discipline, institutional position, and ability. The issues identified here—including disclosure, hallucination, metadata generation, peer review, ethics, and infrastructure—point toward the need for sustained, focused follow-up work rather than one-time resolution. Promising areas for shorter, targeted interventions include AI-mediated scholarly discovery, provenance and content-credential infrastructure, community-built or purpose-specific models, integrity threats such as paper mills and synthetic citations, AI in hiring, promotion, grants, and fellowships, AI and open licensing, and AI’s effects on open scholarly infrastructure.</w:t>
      </w:r>
    </w:p>
    <w:p>
      <w:r>
        <w:pict>
          <v:rect style="width:0;height:1.5pt" o:hralign="center" o:hrstd="t" o:hr="t"/>
        </w:pict>
      </w:r>
    </w:p>
    <w:p>
      <w:pPr>
        <w:pStyle w:val="FirstParagraph"/>
      </w:pPr>
      <w:r>
        <w:rPr>
          <w:iCs/>
          <w:i/>
        </w:rPr>
        <w:t xml:space="preserve">See also: [[Taking Bearings - Home]] | [[Analytical Introduction]]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Recommendations</dc:title>
  <dc:creator/>
  <cp:keywords/>
  <dcterms:created xsi:type="dcterms:W3CDTF">2026-05-15T17:39:14Z</dcterms:created>
  <dcterms:modified xsi:type="dcterms:W3CDTF">2026-05-15T17:39:14Z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2026-05-14</vt:lpwstr>
  </property>
  <property fmtid="{D5CDD505-2E9C-101B-9397-08002B2CF9AE}" pid="3" name="tags">
    <vt:lpwstr/>
  </property>
  <property fmtid="{D5CDD505-2E9C-101B-9397-08002B2CF9AE}" pid="4" name="type">
    <vt:lpwstr>recommendations</vt:lpwstr>
  </property>
</Properties>
</file>