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doartigo"/>
        <w:spacing w:lineRule="auto" w:line="240" w:before="0" w:after="0"/>
        <w:rPr>
          <w:rFonts w:ascii="Times New Roman" w:hAnsi="Times New Roman" w:cs="Times New Roman"/>
          <w:bCs/>
          <w:sz w:val="32"/>
          <w:szCs w:val="32"/>
        </w:rPr>
      </w:pPr>
      <w:r>
        <w:rPr>
          <w:rFonts w:cs="Times New Roman" w:ascii="Times New Roman" w:hAnsi="Times New Roman"/>
          <w:bCs/>
          <w:sz w:val="32"/>
          <w:szCs w:val="32"/>
        </w:rPr>
        <w:t>Centro Paula Souza</w:t>
      </w:r>
    </w:p>
    <w:p>
      <w:pPr>
        <w:pStyle w:val="Ttulodoartigo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  <w:sz w:val="24"/>
        </w:rPr>
        <w:t>Etec Vasco Antonio Venchiarutti – Jundiaí - SP</w:t>
      </w:r>
    </w:p>
    <w:p>
      <w:pPr>
        <w:pStyle w:val="Normal"/>
        <w:spacing w:lineRule="auto" w:line="240" w:before="0" w:after="0"/>
        <w:jc w:val="center"/>
        <w:rPr>
          <w:rFonts w:cs="Times New Roman"/>
        </w:rPr>
      </w:pPr>
      <w:r>
        <w:rPr>
          <w:rFonts w:cs="Times New Roman"/>
        </w:rPr>
        <w:t>Técnico em Desenvolvimento de Sistemas – Junho/2026</w:t>
      </w:r>
    </w:p>
    <w:p>
      <w:pPr>
        <w:pStyle w:val="Normal"/>
        <w:spacing w:lineRule="auto" w:line="240" w:before="0" w:after="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240" w:before="0" w:after="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240" w:before="0" w:after="0"/>
        <w:ind w:start="4546"/>
        <w:jc w:val="both"/>
        <w:rPr>
          <w:rFonts w:cs="Times New Roman"/>
        </w:rPr>
      </w:pPr>
      <w:r>
        <w:rPr>
          <w:rFonts w:cs="Times New Roman"/>
          <w:sz w:val="20"/>
          <w:szCs w:val="20"/>
        </w:rPr>
        <w:t>Artigo desenvolvido na disciplina de Planejamento e Desenvolvimento do TCC em Desenvolvimento de Sistemas sob orientação dos professores Ronildo Aparecido Ferreira e Luciana Ferreira Baptista.</w:t>
      </w:r>
    </w:p>
    <w:p>
      <w:pPr>
        <w:pStyle w:val="Ttulodoartigo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Ttulodoartigo"/>
        <w:spacing w:lineRule="auto" w:line="240" w:before="0" w:after="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cs="Times New Roman" w:ascii="Times New Roman" w:hAnsi="Times New Roman"/>
          <w:color w:val="FF0000"/>
          <w:sz w:val="28"/>
          <w:szCs w:val="28"/>
        </w:rPr>
      </w:r>
    </w:p>
    <w:p>
      <w:pPr>
        <w:pStyle w:val="Ttulodoartigo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Ttulodoartigo"/>
        <w:spacing w:lineRule="auto" w:line="240" w:before="0" w:after="0"/>
        <w:rPr>
          <w:rFonts w:ascii="Times New Roman" w:hAnsi="Times New Roman" w:cs="Times New Roman"/>
          <w:color w:val="auto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Times New Roman" w:ascii="Times New Roman" w:hAnsi="Times New Roman"/>
          <w:color w:val="auto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CURSO WEB PREPARATÓRIO PARA COMPETIÇÕES DE XADREZ: ORGANIZAÇÃO E TREINAMENTO ENXADRÍSTICO</w:t>
      </w:r>
    </w:p>
    <w:p>
      <w:pPr>
        <w:pStyle w:val="Ttulodoartigo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Ttulodoartigo"/>
        <w:spacing w:lineRule="auto" w:line="240" w:before="0" w:after="0"/>
        <w:jc w:val="start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cs="Times New Roman" w:ascii="Times New Roman" w:hAnsi="Times New Roman"/>
          <w:color w:val="FF0000"/>
          <w:sz w:val="28"/>
          <w:szCs w:val="28"/>
        </w:rPr>
      </w:r>
    </w:p>
    <w:p>
      <w:pPr>
        <w:pStyle w:val="Normal"/>
        <w:spacing w:lineRule="auto" w:line="240" w:before="0" w:after="0"/>
        <w:ind w:start="4546"/>
        <w:jc w:val="both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240" w:before="0" w:after="0"/>
        <w:ind w:start="4546"/>
        <w:jc w:val="both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240" w:before="0" w:after="0"/>
        <w:jc w:val="end"/>
        <w:rPr>
          <w:rFonts w:cs="Times New Roman"/>
        </w:rPr>
      </w:pPr>
      <w:r>
        <w:rPr>
          <w:rFonts w:cs="Times New Roman"/>
        </w:rPr>
        <w:t>Adrian Morales Fernandes de Lima</w:t>
      </w:r>
    </w:p>
    <w:p>
      <w:pPr>
        <w:pStyle w:val="Normal"/>
        <w:spacing w:lineRule="auto" w:line="240" w:before="0" w:after="0"/>
        <w:jc w:val="end"/>
        <w:rPr>
          <w:rFonts w:cs="Times New Roman"/>
        </w:rPr>
      </w:pPr>
      <w:r>
        <w:rPr>
          <w:rFonts w:cs="Times New Roman"/>
        </w:rPr>
        <w:t>Antonio Miguel Alves dos Santos</w:t>
      </w:r>
    </w:p>
    <w:p>
      <w:pPr>
        <w:pStyle w:val="Normal"/>
        <w:spacing w:lineRule="auto" w:line="240" w:before="0" w:after="0"/>
        <w:jc w:val="end"/>
        <w:rPr>
          <w:rFonts w:cs="Times New Roman"/>
        </w:rPr>
      </w:pPr>
      <w:r>
        <w:rPr>
          <w:rFonts w:cs="Times New Roman"/>
        </w:rPr>
        <w:t>João Vitor Gomes Santos</w:t>
      </w:r>
    </w:p>
    <w:p>
      <w:pPr>
        <w:pStyle w:val="Normal"/>
        <w:spacing w:lineRule="auto" w:line="240" w:before="0" w:after="0"/>
        <w:jc w:val="end"/>
        <w:rPr>
          <w:rFonts w:cs="Times New Roman"/>
          <w:color w:val="FF0000"/>
        </w:rPr>
      </w:pPr>
      <w:r>
        <w:rPr>
          <w:rFonts w:cs="Times New Roman"/>
          <w:color w:val="FF0000"/>
        </w:rPr>
      </w:r>
    </w:p>
    <w:p>
      <w:pPr>
        <w:pStyle w:val="TituloRESUMO"/>
        <w:spacing w:lineRule="auto" w:line="360" w:before="0" w:after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RESUMO</w:t>
      </w:r>
    </w:p>
    <w:p>
      <w:pPr>
        <w:pStyle w:val="Normal"/>
        <w:spacing w:lineRule="auto" w:line="360"/>
        <w:jc w:val="both"/>
        <w:rPr>
          <w:rFonts w:cs="Times New Roman"/>
        </w:rPr>
      </w:pPr>
      <w:r>
        <w:rPr>
          <w:rFonts w:cs="Times New Roman"/>
        </w:rPr>
        <w:t>Este estudo tem como objetivo desenvolver um curso web preparatório para competições de xadrez, visando auxiliar jogadores na organização de seus estudos e no aprimoramento de suas habilidades estratégicas. Dentre os autores pesquisados para a constituição conceitual deste trabalho, destacaram-se Reinfeld (1979) e Neto (2018), cujas obras apresentam fundamentos importantes para o ensino e treinamento enxadrístico. A metodologia utilizada foi a pesquisa descritiva, tendo como coleta de dados o levantamento bibliográfico, a análise de plataformas digitais voltadas ao ensino de xadrez. As conclusões mais relevantes indicam que a utilização de uma plataforma organizada e direcionada pode contribuir significativamente para a melhoria da preparação dos jogadores para competições, facilitando o acesso aos conteúdos, o acompanhamento do progresso e a prática orientada.</w:t>
      </w:r>
    </w:p>
    <w:p>
      <w:pPr>
        <w:pStyle w:val="Normal"/>
        <w:rPr>
          <w:rFonts w:cs="Times New Roman"/>
        </w:rPr>
      </w:pPr>
      <w:r>
        <w:rPr>
          <w:rFonts w:cs="Times New Roman"/>
          <w:b/>
        </w:rPr>
        <w:t>Palavras-chave</w:t>
      </w:r>
      <w:r>
        <w:rPr>
          <w:rFonts w:cs="Times New Roman"/>
        </w:rPr>
        <w:t xml:space="preserve">: </w:t>
      </w:r>
      <w:r>
        <w:rPr/>
        <w:t>Curso online. Xadrez. Preparação para competições. Treinamento.</w:t>
      </w:r>
    </w:p>
    <w:p>
      <w:pPr>
        <w:pStyle w:val="Normal"/>
        <w:rPr>
          <w:rFonts w:cs="Times New Roman"/>
          <w:color w:val="FF0000"/>
        </w:rPr>
      </w:pPr>
      <w:r>
        <w:rPr>
          <w:rFonts w:cs="Times New Roman"/>
          <w:color w:val="FF0000"/>
        </w:rPr>
      </w:r>
    </w:p>
    <w:p>
      <w:pPr>
        <w:pStyle w:val="Ttulodoartigo"/>
        <w:spacing w:lineRule="auto" w:line="240" w:before="0" w:after="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cs="Times New Roman" w:ascii="Times New Roman" w:hAnsi="Times New Roman"/>
          <w:color w:val="FF0000"/>
          <w:sz w:val="28"/>
          <w:szCs w:val="28"/>
        </w:rPr>
      </w:r>
    </w:p>
    <w:p>
      <w:pPr>
        <w:pStyle w:val="TituloRESUMO"/>
        <w:spacing w:lineRule="auto" w:line="360" w:before="0" w:after="200"/>
        <w:jc w:val="both"/>
        <w:rPr>
          <w:rFonts w:cs="Times New Roman"/>
          <w:color w:val="FF0000"/>
          <w:highlight w:val="yellow"/>
        </w:rPr>
      </w:pPr>
      <w:r>
        <w:rPr>
          <w:rFonts w:cs="Times New Roman" w:ascii="Times New Roman" w:hAnsi="Times New Roman"/>
          <w:sz w:val="24"/>
        </w:rPr>
        <w:t>INTRODUÇÃO</w:t>
      </w:r>
    </w:p>
    <w:p>
      <w:pPr>
        <w:pStyle w:val="Normal"/>
        <w:spacing w:lineRule="auto" w:line="360"/>
        <w:ind w:firstLine="709"/>
        <w:jc w:val="both"/>
        <w:rPr>
          <w:rFonts w:cs="Times New Roman"/>
          <w:color w:val="000000"/>
        </w:rPr>
      </w:pPr>
      <w:r>
        <w:rPr>
          <w:rFonts w:cs="Times New Roman"/>
          <w:color w:val="000000"/>
        </w:rPr>
        <w:t>O xadrez é um jogo de estratégia amplamente reconhecido por estimular habilidades cognitivas como raciocínio lógico, concentração, memória e tomada de decisões. Além de sua relevância esportiva, o xadrez também possui aplicações educacionais, sendo utilizado em diferentes contextos para auxiliar no desenvolvimento intelectual dos praticantes. Com o avanço das tecnologias digitais e a popularização dos ambientes virtuais, o acesso ao aprendizado do jogo tornou-se mais amplo e acessível.</w:t>
      </w:r>
    </w:p>
    <w:p>
      <w:pPr>
        <w:pStyle w:val="Normal"/>
        <w:spacing w:lineRule="auto" w:line="360"/>
        <w:ind w:firstLine="709"/>
        <w:jc w:val="both"/>
        <w:rPr>
          <w:rFonts w:cs="Times New Roman"/>
        </w:rPr>
      </w:pPr>
      <w:r>
        <w:rPr>
          <w:rFonts w:cs="Times New Roman"/>
        </w:rPr>
        <w:t>O presente estudo delimita-se ao desenvolvimento de um curso web preparatório para competições de xadrez, direcionado principalmente aos jogadores que necessitam de maior organização em seus estudos e treinamento. O foco do trabalho está na estruturação de conteúdos relacionados às fases do jogo, especialmente aberturas, meio-jogo e finais, além do acompanhamento do desempenho dos usuários.</w:t>
      </w:r>
    </w:p>
    <w:p>
      <w:pPr>
        <w:pStyle w:val="BodyText"/>
        <w:spacing w:lineRule="auto" w:line="360"/>
        <w:ind w:firstLine="708"/>
        <w:jc w:val="both"/>
        <w:rPr>
          <w:rFonts w:cs="Times New Roman"/>
        </w:rPr>
      </w:pPr>
      <w:r>
        <w:rPr>
          <w:rFonts w:cs="Times New Roman"/>
        </w:rPr>
        <w:t>O objetivo geral é desenvolver um curso web preparatório para torneios de xadrez, com o objetivo de ajudar os jogadores a aprimorarem seu jogo e sua organização nos estudos de xadrez.</w:t>
      </w:r>
    </w:p>
    <w:p>
      <w:pPr>
        <w:pStyle w:val="Normal"/>
        <w:spacing w:lineRule="auto" w:line="360"/>
        <w:ind w:firstLine="708"/>
        <w:jc w:val="both"/>
        <w:rPr>
          <w:rFonts w:cs="Times New Roman"/>
        </w:rPr>
      </w:pPr>
      <w:r>
        <w:rPr>
          <w:rFonts w:cs="Times New Roman"/>
        </w:rPr>
        <w:t>Esta pesquisa justifica-se pela dificuldade encontrada por muitos jogadores em estruturar seus estudos de forma eficiente. Embora existam diversas plataformas voltadas ao ensino do xadrez, nem sempre elas oferecem uma organização adequada para o treinamento competitivo. Dessa forma, a proposta busca contribuir para a melhoria do processo de aprendizagem e preparação dos enxadristas, oferecendo uma ferramenta acessível e direcionada às suas necessidades.</w:t>
      </w:r>
    </w:p>
    <w:p>
      <w:pPr>
        <w:pStyle w:val="Normal"/>
        <w:spacing w:lineRule="auto" w:line="360"/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A metodologia deste trabalho é a pesquisa descritiva, tendo como coleta de dados o levantamento bibliográfico, a análise documental de plataformas digitais relacionadas ao xadrez e entrevistas com jogadores da escola, permitindo compreender as principais dificuldades enfrentadas pelos usuários e os recursos mais relevantes para o desenvolvimento da plataforma. </w:t>
      </w:r>
    </w:p>
    <w:p>
      <w:pPr>
        <w:pStyle w:val="Normal"/>
        <w:spacing w:lineRule="auto" w:line="360"/>
        <w:ind w:firstLine="708"/>
        <w:jc w:val="both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ind w:firstLine="708"/>
        <w:jc w:val="both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ind w:firstLine="708"/>
        <w:jc w:val="both"/>
        <w:rPr>
          <w:rFonts w:cs="Times New Roman"/>
        </w:rPr>
      </w:pPr>
      <w:r>
        <w:rPr>
          <w:rFonts w:cs="Times New Roman"/>
        </w:rPr>
      </w:r>
    </w:p>
    <w:p>
      <w:pPr>
        <w:pStyle w:val="TituloRESUMO"/>
        <w:spacing w:lineRule="auto" w:line="360" w:before="0" w:after="200"/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Fonts w:cs="Times New Roman" w:ascii="Times New Roman" w:hAnsi="Times New Roman"/>
          <w:sz w:val="24"/>
        </w:rPr>
        <w:t xml:space="preserve">O XADREZ COMO FERRAMENTA DE DESENVOLVIMENTO COGNITIVO </w:t>
      </w:r>
    </w:p>
    <w:p>
      <w:pPr>
        <w:pStyle w:val="BodyText"/>
        <w:widowControl w:val="false"/>
        <w:suppressAutoHyphens w:val="true"/>
        <w:overflowPunct w:val="false"/>
        <w:bidi w:val="0"/>
        <w:spacing w:lineRule="auto" w:line="360" w:before="0" w:after="200"/>
        <w:ind w:firstLine="709"/>
        <w:jc w:val="both"/>
        <w:rPr/>
      </w:pPr>
      <w:r>
        <w:rPr/>
        <w:t>O xadrez é considerado uma atividade que promove o desenvolvimento intelectual dos praticantes. Segundo Neto (2018), o aprendizado do jogo contribui para o aprimoramento do raciocínio lógico, da capacidade de planejamento e da resolução de problemas. Essas habilidades são constantemente exercitadas durante as partidas, exigindo dos jogadores análise, concentração e tomada de decisões em diferentes situações. concentração e tomada de decisões em diferentes situações.</w:t>
      </w:r>
    </w:p>
    <w:p>
      <w:pPr>
        <w:pStyle w:val="BodyText"/>
        <w:widowControl w:val="false"/>
        <w:suppressAutoHyphens w:val="true"/>
        <w:overflowPunct w:val="false"/>
        <w:bidi w:val="0"/>
        <w:spacing w:lineRule="auto" w:line="360" w:before="0" w:after="200"/>
        <w:ind w:firstLine="709"/>
        <w:jc w:val="both"/>
        <w:rPr/>
      </w:pPr>
      <w:r>
        <w:rPr/>
        <w:t xml:space="preserve">Essas competências são úteis em vários campos do intelecto inclusive na criatividade. A figura 1 </w:t>
      </w:r>
      <w:r>
        <w:rPr/>
        <w:t>apresenta um</w:t>
      </w:r>
      <w:r>
        <w:rPr/>
        <w:t xml:space="preserve"> gráfico refere</w:t>
      </w:r>
      <w:r>
        <w:rPr/>
        <w:t>nte</w:t>
      </w:r>
      <w:r>
        <w:rPr/>
        <w:t xml:space="preserve"> a uma pesquisa da “</w:t>
      </w:r>
      <w:r>
        <w:rPr>
          <w:i/>
          <w:iCs/>
        </w:rPr>
        <w:t xml:space="preserve">The American Chess School” </w:t>
      </w:r>
      <w:r>
        <w:rPr>
          <w:i w:val="false"/>
          <w:iCs w:val="false"/>
        </w:rPr>
        <w:t>dos anos 80, e compara o desempenho em um teste de criatividade entre dois grupos de crianças com o qi maior de 130, onde um grupo joga xadrez e o outro não</w:t>
      </w:r>
      <w:r>
        <w:rPr>
          <w:i/>
          <w:iCs/>
        </w:rPr>
        <w:t>,</w:t>
      </w:r>
      <w:r>
        <w:rPr>
          <w:i w:val="false"/>
          <w:iCs w:val="false"/>
        </w:rPr>
        <w:t xml:space="preserve"> nota-se uma grande diferença entre os dois grupos, onde o primeiro, o que joga xadrez, teve um desempenho </w:t>
      </w:r>
      <w:r>
        <w:rPr>
          <w:i w:val="false"/>
          <w:iCs w:val="false"/>
        </w:rPr>
        <w:t>superior</w:t>
      </w:r>
      <w:r>
        <w:rPr>
          <w:i w:val="false"/>
          <w:iCs w:val="false"/>
        </w:rPr>
        <w:t xml:space="preserve"> ao do segundo, o grupo que não joga.</w:t>
      </w:r>
    </w:p>
    <w:p>
      <w:pPr>
        <w:pStyle w:val="BodyText"/>
        <w:widowControl w:val="false"/>
        <w:suppressAutoHyphens w:val="true"/>
        <w:overflowPunct w:val="false"/>
        <w:bidi w:val="0"/>
        <w:spacing w:lineRule="auto" w:line="360" w:before="0" w:after="200"/>
        <w:ind w:hanging="0" w:start="0"/>
        <w:jc w:val="both"/>
        <w:rPr/>
      </w:pPr>
      <w:r>
        <w:rPr/>
        <w:t xml:space="preserve">           </w:t>
      </w:r>
      <w:r>
        <w:rPr>
          <w:sz w:val="16"/>
          <w:szCs w:val="16"/>
        </w:rPr>
        <w:t>Figura 1 : Gráfico de comparação do teste</w:t>
      </w:r>
    </w:p>
    <w:p>
      <w:pPr>
        <w:pStyle w:val="BodyText"/>
        <w:widowControl w:val="false"/>
        <w:suppressAutoHyphens w:val="true"/>
        <w:overflowPunct w:val="false"/>
        <w:bidi w:val="0"/>
        <w:spacing w:lineRule="auto" w:line="360" w:before="0" w:after="200"/>
        <w:ind w:firstLine="709"/>
        <w:jc w:val="both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39995" cy="313944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139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 w:val="false"/>
        <w:suppressAutoHyphens w:val="true"/>
        <w:overflowPunct w:val="false"/>
        <w:bidi w:val="0"/>
        <w:spacing w:lineRule="auto" w:line="360" w:before="0" w:after="200"/>
        <w:ind w:hanging="0" w:start="0"/>
        <w:jc w:val="both"/>
        <w:rPr>
          <w:sz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Fonte: Study I. The ESEA Title IV-C Project: Developing Critical and Creative Thinking Through Chess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2C3E50"/>
          <w:spacing w:val="0"/>
          <w:sz w:val="23"/>
          <w:szCs w:val="16"/>
        </w:rPr>
        <w:t xml:space="preserve"> </w:t>
      </w:r>
    </w:p>
    <w:p>
      <w:pPr>
        <w:pStyle w:val="BodyText"/>
        <w:widowControl w:val="false"/>
        <w:suppressAutoHyphens w:val="true"/>
        <w:overflowPunct w:val="false"/>
        <w:bidi w:val="0"/>
        <w:spacing w:lineRule="auto" w:line="360" w:before="0" w:after="200"/>
        <w:jc w:val="both"/>
        <w:rPr>
          <w:rFonts w:cs="Times New Roman"/>
        </w:rPr>
      </w:pPr>
      <w:r>
        <w:rPr>
          <w:rFonts w:cs="Times New Roman"/>
        </w:rPr>
        <w:t xml:space="preserve">        </w:t>
      </w:r>
      <w:r>
        <w:rPr>
          <w:rFonts w:cs="Times New Roman"/>
        </w:rPr>
        <w:t xml:space="preserve">Além disso, a prática do xadrez estimula aspectos </w:t>
      </w:r>
      <w:r>
        <w:rPr>
          <w:rFonts w:eastAsia="Droid Sans Fallback" w:cs="Lohit Hindi"/>
          <w:color w:val="00000A"/>
          <w:sz w:val="24"/>
          <w:szCs w:val="24"/>
          <w:lang w:eastAsia="zh-CN" w:bidi="hi-IN"/>
        </w:rPr>
        <w:t>emocionais</w:t>
      </w:r>
      <w:r>
        <w:rPr>
          <w:rFonts w:cs="Times New Roman"/>
        </w:rPr>
        <w:t xml:space="preserve"> importantes, como o controle da ansiedade, a disciplina e a responsabilidade pelas próprias escolhas. Tais características tornam o jogo uma ferramenta valiosa tanto para fins educacionais quanto para o desenvolvimento pessoal dos praticantes.</w:t>
      </w:r>
    </w:p>
    <w:p>
      <w:pPr>
        <w:pStyle w:val="TituloRESUMO"/>
        <w:spacing w:lineRule="auto" w:line="360" w:before="0" w:after="200"/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/>
          <w:sz w:val="24"/>
        </w:rPr>
        <w:t>PLATAFORMAS DIGITAIS E O ENSINO DO XADREZ</w:t>
      </w:r>
    </w:p>
    <w:p>
      <w:pPr>
        <w:pStyle w:val="BodyText"/>
        <w:spacing w:lineRule="auto" w:line="360" w:before="0" w:after="200"/>
        <w:jc w:val="both"/>
        <w:rPr>
          <w:rFonts w:ascii="Times New Roman" w:hAnsi="Times New Roman"/>
          <w:b w:val="false"/>
          <w:bCs w:val="false"/>
          <w:sz w:val="24"/>
        </w:rPr>
      </w:pPr>
      <w:r>
        <w:rPr>
          <w:b w:val="false"/>
          <w:bCs w:val="false"/>
          <w:sz w:val="24"/>
        </w:rPr>
        <w:t xml:space="preserve">          </w:t>
      </w:r>
      <w:r>
        <w:rPr>
          <w:b w:val="false"/>
          <w:bCs w:val="false"/>
          <w:sz w:val="24"/>
        </w:rPr>
        <w:t>Nos últimos anos, o crescimento das plataformas digitais ampliou significativamente o acesso ao ensino do xadrez. Ambientes virtuais permitem que jogadores realizem partidas, resolvam exercícios e acompanhem seu desempenho por meio de recursos tecnológicos.</w:t>
      </w:r>
    </w:p>
    <w:p>
      <w:pPr>
        <w:pStyle w:val="BodyText"/>
        <w:spacing w:lineRule="auto" w:line="360" w:before="0" w:after="200"/>
        <w:jc w:val="both"/>
        <w:rPr>
          <w:rFonts w:ascii="Times New Roman" w:hAnsi="Times New Roman"/>
          <w:b w:val="false"/>
          <w:bCs w:val="false"/>
          <w:sz w:val="24"/>
        </w:rPr>
      </w:pPr>
      <w:r>
        <w:rPr>
          <w:b w:val="false"/>
          <w:bCs w:val="false"/>
          <w:sz w:val="24"/>
        </w:rPr>
        <w:t xml:space="preserve">         </w:t>
      </w:r>
      <w:r>
        <w:rPr>
          <w:b w:val="false"/>
          <w:bCs w:val="false"/>
          <w:sz w:val="24"/>
        </w:rPr>
        <w:t xml:space="preserve">Plataformas como </w:t>
      </w:r>
      <w:r>
        <w:rPr>
          <w:b w:val="false"/>
          <w:bCs w:val="false"/>
          <w:i/>
          <w:iCs/>
          <w:sz w:val="24"/>
        </w:rPr>
        <w:t>Lichess</w:t>
      </w:r>
      <w:r>
        <w:rPr>
          <w:b w:val="false"/>
          <w:bCs w:val="false"/>
          <w:sz w:val="24"/>
        </w:rPr>
        <w:t xml:space="preserve"> e </w:t>
      </w:r>
      <w:r>
        <w:rPr>
          <w:b w:val="false"/>
          <w:bCs w:val="false"/>
          <w:i/>
          <w:iCs/>
          <w:sz w:val="24"/>
        </w:rPr>
        <w:t>Chess.com</w:t>
      </w:r>
      <w:r>
        <w:rPr>
          <w:b w:val="false"/>
          <w:bCs w:val="false"/>
          <w:sz w:val="24"/>
        </w:rPr>
        <w:t xml:space="preserve"> oferecem diversas funcionalidades voltadas ao aprendizado, incluindo análise de partidas, resolução de problemas táticos e acesso a conteúdos educacionais (Como exemplificado na figura 2, </w:t>
      </w:r>
      <w:r>
        <w:rPr>
          <w:b w:val="false"/>
          <w:bCs w:val="false"/>
          <w:sz w:val="24"/>
        </w:rPr>
        <w:t xml:space="preserve">a esquerda da tela existem várias opções para pratica e estudo </w:t>
      </w:r>
      <w:r>
        <w:rPr>
          <w:b w:val="false"/>
          <w:bCs w:val="false"/>
          <w:sz w:val="24"/>
        </w:rPr>
        <w:t>) . Apesar disso, muitos usuários ainda encontram dificuldades para estabelecer uma rotina organizada de estudos, especialmente quando o objetivo é a preparação para competições.</w:t>
      </w:r>
    </w:p>
    <w:p>
      <w:pPr>
        <w:pStyle w:val="BodyText"/>
        <w:spacing w:lineRule="auto" w:line="360" w:before="0" w:after="200"/>
        <w:jc w:val="both"/>
        <w:rPr>
          <w:rFonts w:ascii="Times New Roman" w:hAnsi="Times New Roman"/>
          <w:b w:val="false"/>
          <w:bCs w:val="false"/>
          <w:sz w:val="24"/>
        </w:rPr>
      </w:pPr>
      <w:r>
        <w:rPr>
          <w:b w:val="false"/>
          <w:bCs w:val="false"/>
          <w:sz w:val="24"/>
        </w:rPr>
        <w:t xml:space="preserve">          </w:t>
      </w:r>
      <w:r>
        <w:rPr>
          <w:b w:val="false"/>
          <w:bCs w:val="false"/>
          <w:sz w:val="16"/>
          <w:szCs w:val="16"/>
        </w:rPr>
        <w:t xml:space="preserve">Figura 2: </w:t>
      </w:r>
      <w:r>
        <w:rPr>
          <w:b w:val="false"/>
          <w:bCs w:val="false"/>
          <w:i/>
          <w:iCs/>
          <w:sz w:val="16"/>
          <w:szCs w:val="16"/>
        </w:rPr>
        <w:t>Home</w:t>
      </w:r>
      <w:r>
        <w:rPr>
          <w:b w:val="false"/>
          <w:bCs w:val="false"/>
          <w:sz w:val="16"/>
          <w:szCs w:val="16"/>
        </w:rPr>
        <w:t xml:space="preserve"> do </w:t>
      </w:r>
      <w:r>
        <w:rPr>
          <w:b w:val="false"/>
          <w:bCs w:val="false"/>
          <w:i/>
          <w:iCs/>
          <w:sz w:val="16"/>
          <w:szCs w:val="16"/>
        </w:rPr>
        <w:t>chess.com</w:t>
      </w:r>
    </w:p>
    <w:p>
      <w:pPr>
        <w:pStyle w:val="BodyText"/>
        <w:spacing w:lineRule="auto" w:line="360" w:before="0" w:after="200"/>
        <w:jc w:val="both"/>
        <w:rPr>
          <w:rFonts w:ascii="Times New Roman" w:hAnsi="Times New Roman"/>
          <w:b w:val="false"/>
          <w:bCs w:val="false"/>
          <w:sz w:val="24"/>
        </w:rPr>
      </w:pPr>
      <w:r>
        <w:rPr>
          <w:b w:val="false"/>
          <w:bCs w:val="false"/>
          <w:sz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39995" cy="2887345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887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200"/>
        <w:jc w:val="both"/>
        <w:rPr>
          <w:rFonts w:ascii="Times New Roman" w:hAnsi="Times New Roman"/>
          <w:b w:val="false"/>
          <w:bCs w:val="false"/>
          <w:sz w:val="24"/>
        </w:rPr>
      </w:pPr>
      <w:r>
        <w:rPr>
          <w:b w:val="false"/>
          <w:bCs w:val="false"/>
          <w:sz w:val="24"/>
        </w:rPr>
      </w:r>
    </w:p>
    <w:p>
      <w:pPr>
        <w:pStyle w:val="TituloRESUMO"/>
        <w:spacing w:lineRule="auto" w:line="360" w:before="0" w:after="200"/>
        <w:jc w:val="both"/>
        <w:rPr>
          <w:rFonts w:ascii="Times New Roman" w:hAnsi="Times New Roman"/>
          <w:b w:val="false"/>
          <w:bCs w:val="false"/>
          <w:sz w:val="24"/>
        </w:rPr>
      </w:pPr>
      <w:r>
        <w:rPr>
          <w:rFonts w:ascii="Times New Roman" w:hAnsi="Times New Roman"/>
          <w:b w:val="false"/>
          <w:bCs w:val="false"/>
          <w:sz w:val="24"/>
        </w:rPr>
      </w:r>
    </w:p>
    <w:p>
      <w:pPr>
        <w:pStyle w:val="TituloRESUMO"/>
        <w:spacing w:lineRule="auto" w:line="360" w:before="0" w:after="200"/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Fonts w:cs="Times New Roman" w:ascii="Times New Roman" w:hAnsi="Times New Roman"/>
          <w:color w:val="FF0000"/>
          <w:sz w:val="24"/>
        </w:rPr>
      </w:r>
    </w:p>
    <w:p>
      <w:pPr>
        <w:pStyle w:val="Textonormal"/>
        <w:spacing w:lineRule="auto" w:line="360"/>
        <w:ind w:firstLine="709"/>
        <w:jc w:val="both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 xml:space="preserve">Fonte: </w:t>
      </w:r>
      <w:r>
        <w:rPr>
          <w:rFonts w:cs="Times New Roman"/>
          <w:i/>
          <w:iCs/>
          <w:sz w:val="16"/>
          <w:szCs w:val="16"/>
        </w:rPr>
        <w:t>chess.com</w:t>
      </w:r>
    </w:p>
    <w:p>
      <w:pPr>
        <w:pStyle w:val="Textonormal"/>
        <w:spacing w:lineRule="auto" w:line="360"/>
        <w:ind w:firstLine="709"/>
        <w:jc w:val="both"/>
        <w:rPr>
          <w:rFonts w:cs="Times New Roman"/>
          <w:color w:val="000000"/>
          <w:highlight w:val="none"/>
          <w:shd w:fill="auto" w:val="clear"/>
        </w:rPr>
      </w:pPr>
      <w:r>
        <w:rPr>
          <w:rFonts w:cs="Times New Roman"/>
          <w:color w:val="000000"/>
          <w:shd w:fill="auto" w:val="clear"/>
        </w:rPr>
        <w:t xml:space="preserve"> </w:t>
      </w:r>
      <w:r>
        <w:rPr>
          <w:rFonts w:cs="Times New Roman"/>
          <w:color w:val="000000"/>
          <w:shd w:fill="auto" w:val="clear"/>
        </w:rPr>
        <w:t>Diante desse cenário, torna-se relevante o desenvolvimento de sistemas que integrem conteúdos teóricos, exercícios e mecanismos de acompanhamento do progresso dos jogadores, proporcionando uma experiência mais estruturada de aprendizagem.</w:t>
      </w:r>
    </w:p>
    <w:p>
      <w:pPr>
        <w:pStyle w:val="Textonormal"/>
        <w:spacing w:lineRule="auto" w:line="360"/>
        <w:ind w:firstLine="709"/>
        <w:jc w:val="both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 </w:t>
      </w:r>
    </w:p>
    <w:p>
      <w:pPr>
        <w:pStyle w:val="TituloRESUMO"/>
        <w:spacing w:lineRule="auto" w:line="360" w:before="0" w:after="200"/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Fonts w:cs="Times New Roman" w:ascii="Times New Roman" w:hAnsi="Times New Roman"/>
          <w:sz w:val="24"/>
        </w:rPr>
        <w:t>DESENVOLVIMENTO DA PLATAFORMA WEB</w:t>
      </w:r>
    </w:p>
    <w:p>
      <w:pPr>
        <w:pStyle w:val="Normal"/>
        <w:ind w:firstLine="709"/>
        <w:jc w:val="both"/>
        <w:rPr>
          <w:rFonts w:cs="Times New Roman"/>
        </w:rPr>
      </w:pPr>
      <w:r>
        <w:rPr>
          <w:rFonts w:cs="Times New Roman"/>
        </w:rPr>
        <w:t>O sistema proposto será desenvolvido como uma plataforma web voltada ao treinamento enxadrístico. A estrutura do curso será organizada em módulos que abordarão as principais áreas de estudo do jogo, incluindo aberturas, estratégias de meio-jogo, finais e exercícios práticos.</w:t>
      </w:r>
    </w:p>
    <w:p>
      <w:pPr>
        <w:pStyle w:val="BodyText"/>
        <w:ind w:firstLine="709"/>
        <w:jc w:val="both"/>
        <w:rPr>
          <w:rFonts w:cs="Times New Roman"/>
          <w:i w:val="false"/>
          <w:i w:val="false"/>
          <w:iCs w:val="false"/>
        </w:rPr>
      </w:pPr>
      <w:r>
        <w:rPr>
          <w:rFonts w:cs="Times New Roman"/>
        </w:rPr>
        <w:t xml:space="preserve">Além do conteúdo teórico, a plataforma contará com funcionalidades destinadas ao acompanhamento do desempenho dos usuários. Dessa forma, os jogadores poderão visualizar sua evolução ao longo do tempo, identificar pontos de melhoria e organizar seus estudos de maneira mais eficiente. Algumas das </w:t>
      </w:r>
      <w:r>
        <w:rPr>
          <w:rFonts w:cs="Times New Roman"/>
        </w:rPr>
        <w:t>funcionalidades</w:t>
      </w:r>
      <w:r>
        <w:rPr>
          <w:rFonts w:cs="Times New Roman"/>
          <w:i/>
          <w:iCs/>
        </w:rPr>
        <w:t xml:space="preserve"> </w:t>
      </w:r>
      <w:r>
        <w:rPr>
          <w:rFonts w:cs="Times New Roman"/>
          <w:i w:val="false"/>
          <w:iCs w:val="false"/>
        </w:rPr>
        <w:t xml:space="preserve">já estão sendo introduzidas no site, a </w:t>
      </w:r>
      <w:r>
        <w:rPr>
          <w:rFonts w:cs="Times New Roman"/>
          <w:i/>
          <w:iCs/>
        </w:rPr>
        <w:t xml:space="preserve">home </w:t>
      </w:r>
      <w:r>
        <w:rPr>
          <w:rFonts w:cs="Times New Roman"/>
          <w:i w:val="false"/>
          <w:iCs w:val="false"/>
        </w:rPr>
        <w:t xml:space="preserve">do site na figura 3 </w:t>
      </w:r>
      <w:r>
        <w:rPr>
          <w:rFonts w:cs="Times New Roman"/>
          <w:i w:val="false"/>
          <w:iCs w:val="false"/>
        </w:rPr>
        <w:t>onde já pode ser visto o começo dessas funcionalidades</w:t>
      </w:r>
    </w:p>
    <w:p>
      <w:pPr>
        <w:pStyle w:val="Normal"/>
        <w:ind w:firstLine="709"/>
        <w:jc w:val="both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 xml:space="preserve">Figura 3: </w:t>
      </w:r>
      <w:r>
        <w:rPr>
          <w:rFonts w:cs="Times New Roman"/>
          <w:i/>
          <w:iCs/>
          <w:sz w:val="16"/>
          <w:szCs w:val="16"/>
        </w:rPr>
        <w:t>Home</w:t>
      </w:r>
      <w:r>
        <w:rPr>
          <w:rFonts w:cs="Times New Roman"/>
          <w:sz w:val="16"/>
          <w:szCs w:val="16"/>
        </w:rPr>
        <w:t xml:space="preserve"> do site</w:t>
      </w:r>
    </w:p>
    <w:p>
      <w:pPr>
        <w:pStyle w:val="Normal"/>
        <w:ind w:firstLine="709"/>
        <w:jc w:val="both"/>
        <w:rPr>
          <w:rFonts w:cs="Times New Roman"/>
          <w:sz w:val="16"/>
          <w:szCs w:val="16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39995" cy="2566670"/>
            <wp:effectExtent l="0" t="0" r="0" b="0"/>
            <wp:wrapSquare wrapText="largest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56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sz w:val="16"/>
          <w:szCs w:val="16"/>
        </w:rPr>
        <w:t>F</w:t>
      </w:r>
      <w:r>
        <w:rPr>
          <w:rFonts w:cs="Times New Roman"/>
          <w:sz w:val="16"/>
          <w:szCs w:val="16"/>
        </w:rPr>
        <w:t xml:space="preserve">onte: </w:t>
      </w:r>
      <w:r>
        <w:rPr>
          <w:rFonts w:cs="Times New Roman"/>
          <w:sz w:val="16"/>
          <w:szCs w:val="16"/>
        </w:rPr>
        <w:t>P</w:t>
      </w:r>
      <w:r>
        <w:rPr>
          <w:rFonts w:cs="Times New Roman"/>
          <w:sz w:val="16"/>
          <w:szCs w:val="16"/>
          <w:shd w:fill="auto" w:val="clear"/>
        </w:rPr>
        <w:t>róprio autores</w:t>
      </w:r>
    </w:p>
    <w:p>
      <w:pPr>
        <w:pStyle w:val="Normal"/>
        <w:ind w:hanging="0" w:start="0"/>
        <w:jc w:val="both"/>
        <w:rPr>
          <w:rFonts w:cs="Times New Roman"/>
        </w:rPr>
      </w:pPr>
      <w:r>
        <w:rPr>
          <w:rStyle w:val="Strong"/>
          <w:rFonts w:cs="Times New Roman"/>
        </w:rPr>
        <w:t>TECNOLOGIAS UTILIZADAS</w:t>
      </w:r>
      <w:r>
        <w:rPr>
          <w:rFonts w:cs="Times New Roman"/>
        </w:rPr>
        <w:t>:</w:t>
      </w:r>
    </w:p>
    <w:p>
      <w:pPr>
        <w:pStyle w:val="Normal"/>
        <w:ind w:hanging="0" w:start="0"/>
        <w:jc w:val="both"/>
        <w:rPr/>
      </w:pPr>
      <w:r>
        <w:rPr>
          <w:rFonts w:cs="Times New Roman"/>
        </w:rPr>
        <w:t xml:space="preserve">              </w:t>
      </w:r>
      <w:r>
        <w:rPr/>
        <w:t xml:space="preserve">O desenvolvimento da plataforma está sendo realizado utilizando tecnologias amplamente empregadas na criação de sistemas web. A estrutura das páginas é construída com HTML, responsável pela organização dos elementos da interface, enquanto o CSS é utilizado para a estilização visual e melhoria da experiência do usuário. Para tornar a plataforma mais dinâmica e interativa, são empregados recursos da linguagem JavaScript. O processamento das informações e a lógica principal do sistema são desenvolvidos em PHP, linguagem amplamente utilizada no desenvolvimento de aplicações web. Além disso, a linguagem Python é utilizada no desenvolvimento de funcionalidades complementares, automação de processos e implementação de recursos específicos relacionados ao tratamento e análise de dados. Para o armazenamento e gerenciamento dos dados dos usuários, conteúdos e registros de desempenho, é utilizado o sistema gerenciador de banco de dados MySQL. A combinação dessas tecnologias permite o desenvolvimento de uma plataforma funcional, acessível, escalável e capaz de atender aos requisitos propostos pelo projeto. </w:t>
      </w:r>
      <w:r>
        <w:rPr/>
        <w:t xml:space="preserve">Essa parte ainda é especulativa, nem todas as ferramenta vão ser implementadas ou usadas como o jeito descrito, </w:t>
      </w:r>
      <w:r>
        <w:rPr/>
        <w:t xml:space="preserve">tudo está sujeito a mudanças. </w:t>
      </w:r>
    </w:p>
    <w:p>
      <w:pPr>
        <w:pStyle w:val="TituloRESUMO"/>
        <w:spacing w:lineRule="auto" w:line="360" w:before="0" w:after="200"/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Fonts w:cs="Times New Roman" w:ascii="Times New Roman" w:hAnsi="Times New Roman"/>
          <w:sz w:val="24"/>
        </w:rPr>
        <w:t>DISCUSSÕES E RESULTADOS</w:t>
      </w:r>
    </w:p>
    <w:p>
      <w:pPr>
        <w:pStyle w:val="Normal"/>
        <w:ind w:firstLine="709"/>
        <w:jc w:val="both"/>
        <w:rPr>
          <w:rFonts w:cs="Times New Roman"/>
        </w:rPr>
      </w:pPr>
      <w:r>
        <w:rPr>
          <w:rFonts w:cs="Times New Roman"/>
        </w:rPr>
      </w:r>
    </w:p>
    <w:p>
      <w:pPr>
        <w:pStyle w:val="TituloRESUMO"/>
        <w:spacing w:lineRule="auto" w:line="360" w:before="0" w:after="20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CONSIDERAÇÕES FINAIS </w:t>
      </w:r>
    </w:p>
    <w:p>
      <w:pPr>
        <w:pStyle w:val="BodyText"/>
        <w:spacing w:lineRule="auto" w:line="360"/>
        <w:ind w:firstLine="709"/>
        <w:jc w:val="both"/>
        <w:rPr>
          <w:rFonts w:cs="Times New Roman"/>
          <w:color w:val="000000"/>
        </w:rPr>
      </w:pPr>
      <w:r>
        <w:rPr>
          <w:rFonts w:cs="Times New Roman"/>
          <w:color w:val="000000"/>
        </w:rPr>
        <w:t>Este trabalho apresentou a proposta de desenvolvimento de um curso web preparatório para competições de xadrez, com foco na organização dos estudos e no aprimoramento das habilidades dos jogadores. Foram abordados aspectos relacionados ao ensino do xadrez, à preparação competitiva e ao uso das tecnologias digitais como ferramentas de aprendizagem.</w:t>
      </w:r>
    </w:p>
    <w:p>
      <w:pPr>
        <w:pStyle w:val="BodyText"/>
        <w:spacing w:lineRule="auto" w:line="360"/>
        <w:jc w:val="both"/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            </w:t>
      </w:r>
      <w:r>
        <w:rPr>
          <w:rFonts w:cs="Times New Roman"/>
          <w:color w:val="000000"/>
        </w:rPr>
        <w:t>Os resultados esperados indicam que a plataforma poderá contribuir para a melhoria do desempenho dos usuários por meio de conteúdos estruturados, exercícios direcionados e acompanhamento do progresso. A pesquisa também evidenciou a importância de métodos organizados de treinamento para a evolução técnica dos enxadristas.</w:t>
      </w:r>
    </w:p>
    <w:p>
      <w:pPr>
        <w:pStyle w:val="BodyText"/>
        <w:spacing w:lineRule="auto" w:line="360"/>
        <w:jc w:val="both"/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      </w:t>
      </w:r>
      <w:r>
        <w:rPr>
          <w:rFonts w:cs="Times New Roman"/>
          <w:color w:val="000000"/>
        </w:rPr>
        <w:t>Como continuidade do projeto, sugere-se a implementação de novos recursos, como análises automáticas de partidas, recomendações personalizadas de estudo e integração com plataformas enxadrísticas já consolidadas. Essas funcionalidades poderão ampliar ainda mais a eficiência do sistema e seu potencial educacional.</w:t>
      </w:r>
    </w:p>
    <w:p>
      <w:pPr>
        <w:pStyle w:val="Textonormal"/>
        <w:spacing w:lineRule="auto" w:line="360"/>
        <w:ind w:firstLine="709"/>
        <w:jc w:val="both"/>
        <w:rPr>
          <w:rFonts w:cs="Times New Roman"/>
          <w:color w:val="FF0000"/>
        </w:rPr>
      </w:pPr>
      <w:r>
        <w:rPr>
          <w:rFonts w:cs="Times New Roman"/>
          <w:color w:val="FF0000"/>
        </w:rPr>
      </w:r>
    </w:p>
    <w:p>
      <w:pPr>
        <w:pStyle w:val="TituloRESUMO"/>
        <w:spacing w:lineRule="auto" w:line="360" w:before="0" w:after="20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REFERÊNCIAS </w:t>
      </w:r>
      <w:r>
        <w:rPr>
          <w:rFonts w:cs="Times New Roman" w:ascii="Times New Roman" w:hAnsi="Times New Roman"/>
          <w:color w:val="FF0000"/>
          <w:sz w:val="24"/>
        </w:rPr>
        <w:t xml:space="preserve"> </w:t>
      </w:r>
    </w:p>
    <w:p>
      <w:pPr>
        <w:pStyle w:val="BodyText"/>
        <w:spacing w:lineRule="auto" w:line="360" w:before="0" w:after="200"/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Style w:val="Strong"/>
          <w:rFonts w:cs="Times New Roman"/>
          <w:b w:val="false"/>
          <w:bCs w:val="false"/>
          <w:color w:val="000000"/>
          <w:sz w:val="24"/>
        </w:rPr>
        <w:t>ALVES, Lynn; COUTINHO, Isa.</w:t>
      </w:r>
      <w:r>
        <w:rPr>
          <w:rFonts w:cs="Times New Roman"/>
          <w:b w:val="false"/>
          <w:bCs w:val="false"/>
          <w:color w:val="000000"/>
          <w:sz w:val="24"/>
        </w:rPr>
        <w:t xml:space="preserve"> </w:t>
      </w:r>
      <w:r>
        <w:rPr>
          <w:rStyle w:val="Emphasis"/>
          <w:rFonts w:cs="Times New Roman"/>
          <w:b w:val="false"/>
          <w:bCs w:val="false"/>
          <w:color w:val="000000"/>
          <w:sz w:val="24"/>
        </w:rPr>
        <w:t>Jogos digitais e aprendizagem: fundamentos para uma prática baseada em evidências</w:t>
      </w:r>
      <w:r>
        <w:rPr>
          <w:rFonts w:cs="Times New Roman"/>
          <w:b w:val="false"/>
          <w:bCs w:val="false"/>
          <w:color w:val="000000"/>
          <w:sz w:val="24"/>
        </w:rPr>
        <w:t>. Salvador: EDUFBA, 2016.</w:t>
      </w:r>
    </w:p>
    <w:p>
      <w:pPr>
        <w:pStyle w:val="BodyText"/>
        <w:spacing w:lineRule="auto" w:line="240"/>
        <w:rPr>
          <w:rFonts w:cs="Times New Roman"/>
        </w:rPr>
      </w:pPr>
      <w:r>
        <w:rPr>
          <w:rFonts w:cs="Times New Roman"/>
        </w:rPr>
        <w:t xml:space="preserve">NETO, Hélio. Manual de xadrez: curso básico. Brasil: Sesc – Serviço Social do Comércio, 2018. Disponível em: </w:t>
      </w:r>
      <w:hyperlink r:id="rId5">
        <w:r>
          <w:rPr>
            <w:rStyle w:val="Hyperlink"/>
            <w:rFonts w:cs="Times New Roman"/>
          </w:rPr>
          <w:t>https://upload.wikimedia.org/wikipedia/commons/8/8b/Manual_xadrez.pdf</w:t>
        </w:r>
      </w:hyperlink>
      <w:r>
        <w:rPr>
          <w:rFonts w:cs="Times New Roman"/>
        </w:rPr>
        <w:t>. Acesso em: 28 mar. 2026.</w:t>
      </w:r>
    </w:p>
    <w:p>
      <w:pPr>
        <w:pStyle w:val="BodyText"/>
        <w:spacing w:lineRule="auto" w:line="240" w:before="0" w:after="200"/>
        <w:rPr>
          <w:rFonts w:cs="Times New Roman"/>
        </w:rPr>
      </w:pPr>
      <w:r>
        <w:rPr>
          <w:rFonts w:cs="Times New Roman"/>
        </w:rPr>
        <w:t xml:space="preserve">REINFELD, Fred. Manual completo de aberturas de xadrez. São Paulo: Ibrasa, 1979. Disponível em: </w:t>
      </w:r>
      <w:hyperlink r:id="rId6">
        <w:r>
          <w:rPr>
            <w:rStyle w:val="Hyperlink"/>
            <w:rFonts w:cs="Times New Roman"/>
          </w:rPr>
          <w:t>https://pt.scribd.com/document/577943064/Manual-Completo-de-Aberturas-de-Xadrez-Fred-Reinfeld</w:t>
        </w:r>
      </w:hyperlink>
      <w:r>
        <w:rPr>
          <w:rFonts w:cs="Times New Roman"/>
        </w:rPr>
        <w:t>. Acesso em: 30 mar. 2026.</w:t>
      </w:r>
    </w:p>
    <w:p>
      <w:pPr>
        <w:pStyle w:val="BodyText"/>
        <w:spacing w:lineRule="auto" w:line="240" w:before="0" w:after="200"/>
        <w:rPr>
          <w:rFonts w:cs="Times New Roman"/>
        </w:rPr>
      </w:pPr>
      <w:r>
        <w:rPr>
          <w:rFonts w:cs="Times New Roman"/>
        </w:rPr>
        <w:t>SILVA, João Carlos. Tecnologias digitais aplicadas ao ensino e aprendizagem. São Paulo: Atlas, 2020.</w:t>
      </w:r>
    </w:p>
    <w:p>
      <w:pPr>
        <w:pStyle w:val="Normal"/>
        <w:spacing w:lineRule="auto" w:line="240" w:before="0" w:after="200"/>
        <w:rPr>
          <w:rFonts w:cs="Times New Roman"/>
        </w:rPr>
      </w:pPr>
      <w:r>
        <w:rPr>
          <w:rFonts w:cs="Times New Roman"/>
        </w:rPr>
        <w:t>Study I. The ESEA Title IV-C Project: Developing Critical and Creative Thinking Through Chess. [s.l: s.n.]. Disponível em: &lt;https://www.geocities.ws/chess_camp/study_1.pdf&gt;. Acesso em: 14 jun. 2026.</w:t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24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Roboto">
    <w:altName w:val="sans-serif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33c65"/>
    <w:pPr>
      <w:widowControl w:val="false"/>
      <w:suppressAutoHyphens w:val="true"/>
      <w:overflowPunct w:val="false"/>
      <w:bidi w:val="0"/>
      <w:spacing w:lineRule="auto" w:line="276" w:before="0" w:after="200"/>
      <w:jc w:val="start"/>
    </w:pPr>
    <w:rPr>
      <w:rFonts w:ascii="Times New Roman" w:hAnsi="Times New Roman" w:eastAsia="Droid Sans Fallback" w:cs="Lohit Hindi"/>
      <w:color w:val="00000A"/>
      <w:kern w:val="0"/>
      <w:sz w:val="24"/>
      <w:szCs w:val="24"/>
      <w:lang w:val="pt-BR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436e9f"/>
    <w:rPr>
      <w:color w:themeColor="hyperlink" w:val="0000FF"/>
      <w:u w:val="single"/>
    </w:rPr>
  </w:style>
  <w:style w:type="character" w:styleId="FootnoteReference" w:customStyle="1">
    <w:name w:val="footnote reference"/>
    <w:qFormat/>
    <w:rsid w:val="00a33c65"/>
    <w:rPr>
      <w:vertAlign w:val="superscript"/>
    </w:rPr>
  </w:style>
  <w:style w:type="character" w:styleId="EndnoteReference" w:customStyle="1">
    <w:name w:val="endnote reference"/>
    <w:qFormat/>
    <w:rsid w:val="00a33c65"/>
    <w:rPr>
      <w:vertAlign w:val="superscript"/>
    </w:rPr>
  </w:style>
  <w:style w:type="character" w:styleId="Caracteresdenotaderodap" w:customStyle="1">
    <w:name w:val="Caracteres de nota de rodapé"/>
    <w:qFormat/>
    <w:rsid w:val="00a33c65"/>
    <w:rPr>
      <w:vertAlign w:val="superscript"/>
    </w:rPr>
  </w:style>
  <w:style w:type="character" w:styleId="Caracteresdenotadefim" w:customStyle="1">
    <w:name w:val="Caracteres de nota de fim"/>
    <w:qFormat/>
    <w:rsid w:val="00a33c65"/>
    <w:rPr/>
  </w:style>
  <w:style w:type="character" w:styleId="CabealhoChar" w:customStyle="1">
    <w:name w:val="Cabeçalho Char"/>
    <w:basedOn w:val="DefaultParagraphFont"/>
    <w:uiPriority w:val="99"/>
    <w:semiHidden/>
    <w:qFormat/>
    <w:rsid w:val="00946634"/>
    <w:rPr>
      <w:rFonts w:ascii="Times New Roman" w:hAnsi="Times New Roman" w:eastAsia="Droid Sans Fallback" w:cs="Mangal"/>
      <w:color w:val="00000A"/>
      <w:sz w:val="24"/>
      <w:szCs w:val="21"/>
      <w:lang w:eastAsia="zh-CN" w:bidi="hi-IN"/>
    </w:rPr>
  </w:style>
  <w:style w:type="character" w:styleId="RodapChar" w:customStyle="1">
    <w:name w:val="Rodapé Char"/>
    <w:basedOn w:val="DefaultParagraphFont"/>
    <w:uiPriority w:val="99"/>
    <w:semiHidden/>
    <w:qFormat/>
    <w:rsid w:val="00946634"/>
    <w:rPr>
      <w:rFonts w:ascii="Times New Roman" w:hAnsi="Times New Roman" w:eastAsia="Droid Sans Fallback" w:cs="Mangal"/>
      <w:color w:val="00000A"/>
      <w:sz w:val="24"/>
      <w:szCs w:val="21"/>
      <w:lang w:eastAsia="zh-CN" w:bidi="hi-IN"/>
    </w:rPr>
  </w:style>
  <w:style w:type="character" w:styleId="TextodenotaderodapChar" w:customStyle="1">
    <w:name w:val="Texto de nota de rodapé Char"/>
    <w:basedOn w:val="DefaultParagraphFont"/>
    <w:uiPriority w:val="99"/>
    <w:semiHidden/>
    <w:qFormat/>
    <w:rsid w:val="00946634"/>
    <w:rPr>
      <w:rFonts w:ascii="Times New Roman" w:hAnsi="Times New Roman" w:eastAsia="Droid Sans Fallback" w:cs="Mangal"/>
      <w:color w:val="00000A"/>
      <w:sz w:val="20"/>
      <w:szCs w:val="18"/>
      <w:lang w:eastAsia="zh-CN" w:bidi="hi-IN"/>
    </w:rPr>
  </w:style>
  <w:style w:type="character" w:styleId="Caracteresdenotaderodapuser">
    <w:name w:val="Caracteres de nota de rodapé (user)"/>
    <w:basedOn w:val="DefaultParagraphFont"/>
    <w:uiPriority w:val="99"/>
    <w:semiHidden/>
    <w:unhideWhenUsed/>
    <w:qFormat/>
    <w:rsid w:val="00946634"/>
    <w:rPr>
      <w:vertAlign w:val="superscript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436e9f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Corpodotexto"/>
    <w:rsid w:val="00a33c65"/>
    <w:pPr/>
    <w:rPr/>
  </w:style>
  <w:style w:type="paragraph" w:styleId="Caption">
    <w:name w:val="caption"/>
    <w:basedOn w:val="Normal"/>
    <w:qFormat/>
    <w:rsid w:val="00a33c65"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rsid w:val="00a33c65"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Title" w:customStyle="1">
    <w:name w:val="Title"/>
    <w:basedOn w:val="Normal"/>
    <w:next w:val="Corpodotexto"/>
    <w:qFormat/>
    <w:rsid w:val="00a33c65"/>
    <w:pPr>
      <w:keepNext w:val="true"/>
      <w:spacing w:before="240" w:after="120"/>
    </w:pPr>
    <w:rPr>
      <w:rFonts w:ascii="Arial" w:hAnsi="Arial"/>
      <w:sz w:val="28"/>
      <w:szCs w:val="28"/>
    </w:rPr>
  </w:style>
  <w:style w:type="paragraph" w:styleId="Corpodotexto" w:customStyle="1">
    <w:name w:val="Corpo do texto"/>
    <w:basedOn w:val="Normal"/>
    <w:qFormat/>
    <w:rsid w:val="00a33c65"/>
    <w:pPr>
      <w:spacing w:before="0" w:after="120"/>
    </w:pPr>
    <w:rPr/>
  </w:style>
  <w:style w:type="paragraph" w:styleId="Ttuloprincipal" w:customStyle="1">
    <w:name w:val="Título principal"/>
    <w:basedOn w:val="Normal"/>
    <w:qFormat/>
    <w:rsid w:val="00a33c65"/>
    <w:pPr>
      <w:keepNext w:val="true"/>
      <w:spacing w:before="240" w:after="120"/>
    </w:pPr>
    <w:rPr>
      <w:rFonts w:ascii="Arial" w:hAnsi="Arial"/>
      <w:sz w:val="28"/>
      <w:szCs w:val="28"/>
    </w:rPr>
  </w:style>
  <w:style w:type="paragraph" w:styleId="Subtitle">
    <w:name w:val="Subtitle"/>
    <w:basedOn w:val="Ttuloprincipal"/>
    <w:qFormat/>
    <w:rsid w:val="00a33c65"/>
    <w:pPr>
      <w:jc w:val="center"/>
    </w:pPr>
    <w:rPr>
      <w:i/>
      <w:iCs/>
    </w:rPr>
  </w:style>
  <w:style w:type="paragraph" w:styleId="Ttulodesubseo" w:customStyle="1">
    <w:name w:val="Título de subseção"/>
    <w:basedOn w:val="Normal"/>
    <w:qFormat/>
    <w:rsid w:val="00a33c65"/>
    <w:pPr>
      <w:spacing w:before="40" w:after="0"/>
    </w:pPr>
    <w:rPr>
      <w:rFonts w:ascii="Arial" w:hAnsi="Arial"/>
      <w:b/>
      <w:sz w:val="18"/>
    </w:rPr>
  </w:style>
  <w:style w:type="paragraph" w:styleId="TituloRESUMO" w:customStyle="1">
    <w:name w:val="Titulo:&quot;RESUMO&quot;"/>
    <w:basedOn w:val="Ttulodesubseo"/>
    <w:qFormat/>
    <w:rsid w:val="00a33c65"/>
    <w:pPr/>
    <w:rPr/>
  </w:style>
  <w:style w:type="paragraph" w:styleId="Textonormal" w:customStyle="1">
    <w:name w:val="Texto normal"/>
    <w:basedOn w:val="Normal"/>
    <w:qFormat/>
    <w:rsid w:val="00a33c65"/>
    <w:pPr/>
    <w:rPr/>
  </w:style>
  <w:style w:type="paragraph" w:styleId="TtuloABSTRACT" w:customStyle="1">
    <w:name w:val="Título:&quot;ABSTRACT&quot;"/>
    <w:basedOn w:val="Textonormal"/>
    <w:qFormat/>
    <w:rsid w:val="00a33c65"/>
    <w:pPr>
      <w:spacing w:before="40" w:after="0"/>
    </w:pPr>
    <w:rPr>
      <w:rFonts w:ascii="Arial" w:hAnsi="Arial"/>
      <w:b/>
      <w:sz w:val="18"/>
    </w:rPr>
  </w:style>
  <w:style w:type="paragraph" w:styleId="Ttulodoartigo" w:customStyle="1">
    <w:name w:val="Título do artigo"/>
    <w:basedOn w:val="Normal"/>
    <w:qFormat/>
    <w:rsid w:val="00a33c65"/>
    <w:pPr>
      <w:spacing w:before="0" w:after="60"/>
      <w:jc w:val="center"/>
    </w:pPr>
    <w:rPr>
      <w:rFonts w:ascii="Arial" w:hAnsi="Arial"/>
      <w:b/>
      <w:sz w:val="36"/>
    </w:rPr>
  </w:style>
  <w:style w:type="paragraph" w:styleId="FootnoteText">
    <w:name w:val="footnote text"/>
    <w:basedOn w:val="Normal"/>
    <w:link w:val="TextodenotaderodapChar"/>
    <w:uiPriority w:val="99"/>
    <w:semiHidden/>
    <w:unhideWhenUsed/>
    <w:qFormat/>
    <w:rsid w:val="00946634"/>
    <w:pPr>
      <w:spacing w:lineRule="auto" w:line="240" w:before="0" w:after="0"/>
    </w:pPr>
    <w:rPr>
      <w:rFonts w:cs="Mangal"/>
      <w:sz w:val="20"/>
      <w:szCs w:val="18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semiHidden/>
    <w:unhideWhenUsed/>
    <w:rsid w:val="00946634"/>
    <w:pPr>
      <w:tabs>
        <w:tab w:val="clear" w:pos="709"/>
        <w:tab w:val="center" w:pos="4252" w:leader="none"/>
        <w:tab w:val="right" w:pos="8504" w:leader="none"/>
      </w:tabs>
      <w:spacing w:lineRule="auto" w:line="240" w:before="0" w:after="0"/>
    </w:pPr>
    <w:rPr>
      <w:rFonts w:cs="Mangal"/>
      <w:szCs w:val="21"/>
    </w:rPr>
  </w:style>
  <w:style w:type="paragraph" w:styleId="Footer">
    <w:name w:val="footer"/>
    <w:basedOn w:val="Normal"/>
    <w:link w:val="RodapChar"/>
    <w:uiPriority w:val="99"/>
    <w:semiHidden/>
    <w:unhideWhenUsed/>
    <w:rsid w:val="00946634"/>
    <w:pPr>
      <w:tabs>
        <w:tab w:val="clear" w:pos="709"/>
        <w:tab w:val="center" w:pos="4252" w:leader="none"/>
        <w:tab w:val="right" w:pos="8504" w:leader="none"/>
      </w:tabs>
      <w:spacing w:lineRule="auto" w:line="240" w:before="0" w:after="0"/>
    </w:pPr>
    <w:rPr>
      <w:rFonts w:cs="Mangal"/>
      <w:szCs w:val="21"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upload.wikimedia.org/wikipedia/commons/8/8b/Manual_xadrez.pdf" TargetMode="External"/><Relationship Id="rId6" Type="http://schemas.openxmlformats.org/officeDocument/2006/relationships/hyperlink" Target="https://pt.scribd.com/document/577943064/Manual-Completo-de-Aberturas-de-Xadrez-Fred-Reinfeld" TargetMode="Externa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676222D6-9013-40A2-A061-5A79D0921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Application>LibreOffice/25.8.3.2$Linux_X86_64 LibreOffice_project/580$Build-2</Application>
  <AppVersion>15.0000</AppVersion>
  <Pages>6</Pages>
  <Words>1359</Words>
  <Characters>8464</Characters>
  <CharactersWithSpaces>9884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2019-06-13T19:40:00Z</dcterms:created>
  <dc:creator>ronildo </dc:creator>
  <dc:description/>
  <dc:language>pt-BR</dc:language>
  <cp:lastModifiedBy/>
  <cp:lastPrinted>2019-06-13T19:38:00Z</cp:lastPrinted>
  <dcterms:modified xsi:type="dcterms:W3CDTF">2026-06-14T22:47:48Z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