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8"/>
        </w:rPr>
        <w:t xml:space="preserve">REFERÊNCIAS BIBLIOGRÁFICAS </w:t>
        <w:br/>
      </w:r>
    </w:p>
    <w:p>
      <w:pPr>
        <w:pStyle w:val="Normal"/>
        <w:rPr/>
      </w:pPr>
      <w:r>
        <w:rPr/>
        <w:t>Referências utilizadas para fundamentar o site sobre a profissão de Desenvolvedor de Jogos.</w:t>
        <w:br/>
        <w:br/>
      </w:r>
    </w:p>
    <w:p>
      <w:pPr>
        <w:pStyle w:val="Normal"/>
        <w:rPr/>
      </w:pPr>
      <w:r>
        <w:rPr/>
        <w:t>SCHUYTEMA, Paul. Design de Games: uma abordagem prática. São Paulo: Cengage Learning, 2008.</w:t>
      </w:r>
    </w:p>
    <w:p>
      <w:pPr>
        <w:pStyle w:val="Normal"/>
        <w:rPr/>
      </w:pPr>
      <w:r>
        <w:rPr/>
        <w:t>RABIN, Steve. Introdução ao Desenvolvimento de Games. São Paulo: Cengage Learning, 2012.</w:t>
      </w:r>
    </w:p>
    <w:p>
      <w:pPr>
        <w:pStyle w:val="Normal"/>
        <w:rPr/>
      </w:pPr>
      <w:r>
        <w:rPr/>
        <w:t>ROGERS, Scott. Level Up! The Guide to Great Video Game Design. 2. ed. Hoboken: Wiley, 2014.</w:t>
      </w:r>
    </w:p>
    <w:p>
      <w:pPr>
        <w:pStyle w:val="Normal"/>
        <w:rPr/>
      </w:pPr>
      <w:r>
        <w:rPr/>
        <w:t>NOVAK, Jeannie. Desenvolvimento de Games. São Paulo: Cengage Learning, 2010.</w:t>
      </w:r>
    </w:p>
    <w:p>
      <w:pPr>
        <w:pStyle w:val="Normal"/>
        <w:rPr/>
      </w:pPr>
      <w:r>
        <w:rPr/>
        <w:t>FULLERTON, Tracy. Game Design Workshop: A Playcentric Approach to Creating Innovative Games. 4. ed. Boca Raton: CRC Press, 2018.</w:t>
      </w:r>
    </w:p>
    <w:p>
      <w:pPr>
        <w:pStyle w:val="Normal"/>
        <w:rPr/>
      </w:pPr>
      <w:r>
        <w:rPr/>
        <w:t>UNITY TECHNOLOGIES. Manual da Unity. Disponível em: https://docs.unity3d.com/. Acesso em: 10 jun. 2026.</w:t>
      </w:r>
    </w:p>
    <w:p>
      <w:pPr>
        <w:pStyle w:val="Normal"/>
        <w:rPr/>
      </w:pPr>
      <w:r>
        <w:rPr/>
        <w:t>EPIC GAMES. Unreal Engine Documentation. Disponível em: https://dev.epicgames.com/documentation/. Acesso em: 10 jun. 2026.</w:t>
      </w:r>
    </w:p>
    <w:p>
      <w:pPr>
        <w:pStyle w:val="Normal"/>
        <w:rPr/>
      </w:pPr>
      <w:r>
        <w:rPr/>
        <w:t>BLENDER FOUNDATION. Blender Manual. Disponível em: https://docs.blender.org/manual/. Acesso em: 10 jun. 2026.</w:t>
      </w:r>
    </w:p>
    <w:p>
      <w:pPr>
        <w:pStyle w:val="Normal"/>
        <w:rPr/>
      </w:pPr>
      <w:r>
        <w:rPr/>
        <w:t>BRASIL. Ministério da Educação. Catálogo Nacional de Cursos Técnicos. Brasília: MEC.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  <w:t>ASSOCIAÇÃO BRASILEIRA DAS DESENVOLVEDORAS DE JOGOS DIGITAIS (ABRAGAMES). Pesquisa da Indústria Brasileira de Games. São Paulo: Abragames.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rsid w:val="00e618bf"/>
    <w:rPr/>
  </w:style>
  <w:style w:type="character" w:styleId="FooterChar" w:customStyle="1">
    <w:name w:val="Footer Char"/>
    <w:basedOn w:val="DefaultParagraphFont"/>
    <w:uiPriority w:val="99"/>
    <w:rsid w:val="00e618bf"/>
    <w:rPr/>
  </w:style>
  <w:style w:type="character" w:styleId="DefaultParagraphFont" w:default="1">
    <w:name w:val="Default Paragraph Font"/>
    <w:uiPriority w:val="1"/>
    <w:semiHidden/>
    <w:unhideWhenUsed/>
    <w:rPr/>
  </w:style>
  <w:style w:type="character" w:styleId="Heading1Char" w:customStyle="1">
    <w:name w:val="Heading 1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Collabora_Office/25.04.9.2$Linux_X86_64 LibreOffice_project/e3742eddf280d42763de19c0fc29178a4d24c7e7</Application>
  <AppVersion>15.0000</AppVersion>
  <Pages>1</Pages>
  <Words>151</Words>
  <Characters>1007</Characters>
  <CharactersWithSpaces>1150</CharactersWithSpaces>
  <Paragraphs>12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pt-BR</dc:language>
  <cp:lastModifiedBy/>
  <dcterms:modified xsi:type="dcterms:W3CDTF">2026-06-10T18:53:32Z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