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bottomFromText="360" w:tblpXSpec="right" w:tblpY="-239"/>
        <w:tblOverlap w:val="never"/>
        <w:tblW w:w="10348" w:type="dxa"/>
        <w:tblCaption w:val="[Table_Title]"/>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7643"/>
        <w:gridCol w:w="2705"/>
      </w:tblGrid>
      <w:tr w14:paraId="2EFB7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23" w:hRule="exact"/>
        </w:trPr>
        <w:tc>
          <w:tcPr>
            <w:tcW w:w="10348" w:type="dxa"/>
            <w:gridSpan w:val="2"/>
          </w:tcPr>
          <w:p w14:paraId="19ECDD88">
            <w:pPr>
              <w:pStyle w:val="37"/>
              <w:framePr w:hRule="auto" w:wrap="auto" w:vAnchor="margin" w:hAnchor="text" w:xAlign="left" w:yAlign="inline"/>
              <w:rPr>
                <w:rFonts w:hint="default" w:ascii="Calibri" w:hAnsi="Calibri" w:eastAsia="楷体_GB2312" w:cs="Calibri"/>
              </w:rPr>
            </w:pPr>
            <w:r>
              <w:rPr>
                <w:rFonts w:hint="default" w:ascii="Calibri" w:hAnsi="Calibri" w:eastAsia="楷体_GB2312" w:cs="Calibri"/>
                <w:b w:val="0"/>
                <w:color w:val="FFFFFF" w:themeColor="background1"/>
                <w:sz w:val="16"/>
                <w:lang w:eastAsia="zh-CN"/>
                <w14:textFill>
                  <w14:solidFill>
                    <w14:schemeClr w14:val="bg1"/>
                  </w14:solidFill>
                </w14:textFill>
              </w:rPr>
              <w:t>[Table_Title]</w:t>
            </w:r>
          </w:p>
        </w:tc>
      </w:tr>
      <w:tr w14:paraId="07E46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18" w:hRule="exact"/>
        </w:trPr>
        <w:tc>
          <w:tcPr>
            <w:tcW w:w="7643" w:type="dxa"/>
            <w:vAlign w:val="center"/>
          </w:tcPr>
          <w:p w14:paraId="00CF94DA">
            <w:pPr>
              <w:pStyle w:val="37"/>
              <w:framePr w:hRule="auto" w:wrap="auto" w:vAnchor="margin" w:hAnchor="text" w:xAlign="left" w:yAlign="inline"/>
              <w:rPr>
                <w:rFonts w:hint="default" w:ascii="Calibri" w:hAnsi="Calibri" w:eastAsia="楷体_GB2312" w:cs="Calibri"/>
                <w:b w:val="0"/>
                <w:sz w:val="16"/>
                <w:lang w:eastAsia="zh-CN"/>
              </w:rPr>
            </w:pPr>
            <w:r>
              <w:rPr>
                <w:rFonts w:hint="default" w:ascii="Calibri" w:hAnsi="Calibri" w:eastAsia="楷体_GB2312" w:cs="Calibri"/>
                <w:b w:val="0"/>
                <w:sz w:val="16"/>
                <w:lang w:eastAsia="zh-CN"/>
              </w:rPr>
              <w:t>研究报告Research Report</w:t>
            </w:r>
          </w:p>
        </w:tc>
        <w:tc>
          <w:tcPr>
            <w:tcW w:w="2705" w:type="dxa"/>
            <w:vAlign w:val="center"/>
          </w:tcPr>
          <w:p w14:paraId="368E306C">
            <w:pPr>
              <w:pStyle w:val="37"/>
              <w:framePr w:hRule="auto" w:wrap="auto" w:vAnchor="margin" w:hAnchor="text" w:xAlign="left" w:yAlign="inline"/>
              <w:rPr>
                <w:rFonts w:hint="default" w:ascii="Calibri" w:hAnsi="Calibri" w:eastAsia="楷体_GB2312" w:cs="Calibri"/>
              </w:rPr>
            </w:pPr>
          </w:p>
        </w:tc>
      </w:tr>
      <w:tr w14:paraId="0554A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20" w:hRule="atLeast"/>
        </w:trPr>
        <w:tc>
          <w:tcPr>
            <w:tcW w:w="7643" w:type="dxa"/>
            <w:vAlign w:val="center"/>
          </w:tcPr>
          <w:p w14:paraId="60D3B45B">
            <w:pPr>
              <w:pStyle w:val="37"/>
              <w:framePr w:hRule="auto" w:wrap="auto" w:vAnchor="margin" w:hAnchor="text" w:xAlign="left" w:yAlign="inline"/>
              <w:rPr>
                <w:rFonts w:hint="default" w:ascii="Calibri" w:hAnsi="Calibri" w:eastAsia="楷体_GB2312" w:cs="Calibri"/>
                <w:b w:val="0"/>
                <w:sz w:val="20"/>
                <w:szCs w:val="20"/>
              </w:rPr>
            </w:pPr>
            <w:r>
              <w:rPr>
                <w:rFonts w:hint="default" w:ascii="Calibri" w:hAnsi="Calibri" w:eastAsia="楷体_GB2312" w:cs="Calibri"/>
                <w:b w:val="0"/>
                <w:i w:val="0"/>
                <w:color w:val="215E99"/>
                <w:sz w:val="16"/>
              </w:rPr>
              <w:t>{{ report_date }}</w:t>
            </w:r>
          </w:p>
        </w:tc>
        <w:tc>
          <w:tcPr>
            <w:tcW w:w="2705" w:type="dxa"/>
            <w:vAlign w:val="center"/>
          </w:tcPr>
          <w:p w14:paraId="34BB0251">
            <w:pPr>
              <w:pStyle w:val="37"/>
              <w:framePr w:hRule="auto" w:wrap="auto" w:vAnchor="margin" w:hAnchor="text" w:xAlign="left" w:yAlign="inline"/>
              <w:wordWrap w:val="0"/>
              <w:jc w:val="right"/>
              <w:rPr>
                <w:rFonts w:hint="default" w:ascii="Calibri" w:hAnsi="Calibri" w:eastAsia="楷体_GB2312" w:cs="Calibri"/>
                <w:lang w:eastAsia="zh-CN"/>
              </w:rPr>
            </w:pPr>
          </w:p>
        </w:tc>
      </w:tr>
      <w:tr w14:paraId="0959A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4" w:hRule="exact"/>
        </w:trPr>
        <w:tc>
          <w:tcPr>
            <w:tcW w:w="7643" w:type="dxa"/>
          </w:tcPr>
          <w:p w14:paraId="1CDF6AB3">
            <w:pPr>
              <w:pStyle w:val="104"/>
              <w:framePr w:w="0" w:hRule="auto" w:wrap="auto" w:vAnchor="margin" w:hAnchor="text" w:xAlign="left" w:yAlign="inline"/>
              <w:rPr>
                <w:rFonts w:hint="default" w:ascii="Calibri" w:hAnsi="Calibri" w:eastAsia="楷体_GB2312" w:cs="Calibri"/>
                <w:sz w:val="16"/>
                <w:szCs w:val="16"/>
                <w:lang w:val="en-GB" w:eastAsia="zh-CN"/>
              </w:rPr>
            </w:pPr>
          </w:p>
        </w:tc>
        <w:tc>
          <w:tcPr>
            <w:tcW w:w="2705" w:type="dxa"/>
            <w:vAlign w:val="center"/>
          </w:tcPr>
          <w:p w14:paraId="420D0A87">
            <w:pPr>
              <w:pStyle w:val="37"/>
              <w:framePr w:hRule="auto" w:wrap="auto" w:vAnchor="margin" w:hAnchor="text" w:xAlign="left" w:yAlign="inline"/>
              <w:jc w:val="right"/>
              <w:rPr>
                <w:rFonts w:hint="default" w:ascii="Calibri" w:hAnsi="Calibri" w:eastAsia="楷体_GB2312" w:cs="Calibri"/>
              </w:rPr>
            </w:pPr>
          </w:p>
        </w:tc>
      </w:tr>
      <w:tr w14:paraId="66FAD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563" w:hRule="exact"/>
        </w:trPr>
        <w:tc>
          <w:tcPr>
            <w:tcW w:w="10348" w:type="dxa"/>
            <w:gridSpan w:val="2"/>
          </w:tcPr>
          <w:p w14:paraId="1DC60121">
            <w:pPr>
              <w:pStyle w:val="37"/>
              <w:framePr w:hRule="auto" w:wrap="auto" w:vAnchor="margin" w:hAnchor="text" w:xAlign="left" w:yAlign="inline"/>
              <w:rPr>
                <w:rFonts w:hint="default" w:ascii="Calibri" w:hAnsi="Calibri" w:eastAsia="楷体_GB2312" w:cs="Calibri"/>
                <w:color w:val="215E99"/>
                <w:sz w:val="32"/>
                <w:szCs w:val="13"/>
                <w:lang w:val="en-US"/>
              </w:rPr>
            </w:pPr>
            <w:r>
              <w:rPr>
                <w:rFonts w:hint="default" w:ascii="Calibri" w:hAnsi="Calibri" w:eastAsia="楷体_GB2312" w:cs="Calibri"/>
                <w:color w:val="215E99"/>
                <w:sz w:val="32"/>
                <w:szCs w:val="13"/>
                <w:lang w:eastAsia="zh-CN"/>
              </w:rPr>
              <w:t>{{ theme_ch }}{{ theme_en }}</w:t>
            </w:r>
            <w:r>
              <w:rPr>
                <w:rFonts w:hint="default" w:ascii="Calibri" w:hAnsi="Calibri" w:eastAsia="楷体_GB2312" w:cs="Calibri"/>
                <w:color w:val="215E99"/>
                <w:sz w:val="32"/>
                <w:szCs w:val="13"/>
                <w:lang w:eastAsia="zh-CN"/>
              </w:rPr>
            </w:r>
            <w:r>
              <w:rPr>
                <w:rFonts w:hint="default" w:ascii="Calibri" w:hAnsi="Calibri" w:eastAsia="楷体_GB2312" w:cs="Calibri"/>
                <w:color w:val="215E99"/>
                <w:sz w:val="32"/>
                <w:szCs w:val="13"/>
                <w:lang w:val="en-US"/>
              </w:rPr>
            </w:r>
          </w:p>
          <w:p w14:paraId="5003A235">
            <w:pPr>
              <w:pStyle w:val="37"/>
              <w:framePr w:hRule="auto" w:wrap="auto" w:vAnchor="margin" w:hAnchor="text" w:xAlign="left" w:yAlign="inline"/>
              <w:rPr>
                <w:rFonts w:hint="default" w:ascii="Calibri" w:hAnsi="Calibri" w:eastAsia="楷体_GB2312" w:cs="Calibri"/>
                <w:color w:val="215E99"/>
                <w:sz w:val="32"/>
                <w:szCs w:val="13"/>
                <w:lang w:eastAsia="zh-CN"/>
              </w:rPr>
            </w:pPr>
          </w:p>
          <w:p w14:paraId="3672A398">
            <w:pPr>
              <w:pStyle w:val="37"/>
              <w:framePr w:hRule="auto" w:wrap="auto" w:vAnchor="margin" w:hAnchor="text" w:xAlign="left" w:yAlign="inline"/>
              <w:rPr>
                <w:rFonts w:hint="default" w:ascii="Calibri" w:hAnsi="Calibri" w:eastAsia="楷体_GB2312" w:cs="Calibri"/>
                <w:sz w:val="30"/>
                <w:szCs w:val="30"/>
                <w:lang w:eastAsia="zh-CN"/>
              </w:rPr>
            </w:pPr>
          </w:p>
        </w:tc>
      </w:tr>
      <w:tr w14:paraId="1EC8E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43" w:hRule="exact"/>
        </w:trPr>
        <w:tc>
          <w:tcPr>
            <w:tcW w:w="10348" w:type="dxa"/>
            <w:gridSpan w:val="2"/>
            <w:vAlign w:val="center"/>
          </w:tcPr>
          <w:p w14:paraId="141884A5">
            <w:pPr>
              <w:pStyle w:val="153"/>
              <w:spacing w:line="192" w:lineRule="auto"/>
              <w:rPr>
                <w:rFonts w:hint="default" w:ascii="Calibri" w:hAnsi="Calibri" w:eastAsia="楷体_GB2312" w:cs="Calibri"/>
                <w:b w:val="0"/>
                <w:color w:val="215E99"/>
                <w:sz w:val="24"/>
                <w:szCs w:val="16"/>
                <w:lang w:eastAsia="zh-CN"/>
              </w:rPr>
            </w:pPr>
            <w:r>
              <w:rPr>
                <w:rFonts w:hint="default" w:ascii="Calibri" w:hAnsi="Calibri" w:eastAsia="楷体_GB2312" w:cs="Calibri"/>
                <w:b w:val="0"/>
                <w:i w:val="0"/>
                <w:color w:val="215E99"/>
                <w:sz w:val="28"/>
                <w:szCs w:val="18"/>
              </w:rPr>
              <w:t>{{ title_ch }}</w:t>
            </w:r>
          </w:p>
          <w:p w14:paraId="6836F103">
            <w:pPr>
              <w:pStyle w:val="153"/>
              <w:spacing w:line="192" w:lineRule="auto"/>
              <w:rPr>
                <w:rFonts w:hint="default" w:ascii="Calibri" w:hAnsi="Calibri" w:eastAsia="楷体_GB2312" w:cs="Calibri"/>
                <w:lang w:eastAsia="zh-CN"/>
              </w:rPr>
            </w:pPr>
            <w:r>
              <w:rPr>
                <w:rFonts w:hint="default" w:ascii="Calibri" w:hAnsi="Calibri" w:eastAsia="楷体_GB2312" w:cs="Calibri"/>
                <w:b w:val="0"/>
                <w:i w:val="0"/>
                <w:color w:val="215E99"/>
                <w:sz w:val="26"/>
                <w:szCs w:val="26"/>
              </w:rPr>
              <w:t>{{ title_en }}</w:t>
            </w:r>
          </w:p>
        </w:tc>
      </w:tr>
      <w:tr w14:paraId="5C82C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20" w:hRule="atLeast"/>
        </w:trPr>
        <w:tc>
          <w:tcPr>
            <w:tcW w:w="10348" w:type="dxa"/>
            <w:gridSpan w:val="2"/>
          </w:tcPr>
          <w:tbl>
            <w:tblPr>
              <w:tblStyle w:val="27"/>
              <w:tblW w:w="10448"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13"/>
              <w:gridCol w:w="2000"/>
              <w:gridCol w:w="2111"/>
              <w:gridCol w:w="2111"/>
              <w:gridCol w:w="2113"/>
            </w:tblGrid>
            <w:tr w14:paraId="4AFB3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55" w:hRule="exact"/>
              </w:trPr>
              <w:tc>
                <w:tcPr>
                  <w:tcW w:w="2113" w:type="dxa"/>
                  <w:tcMar>
                    <w:right w:w="60" w:type="dxa"/>
                  </w:tcMar>
                </w:tcPr>
                <w:p w14:paraId="1D0F3219">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r>
                    <w:rPr>
                      <w:rFonts w:hint="default" w:ascii="Calibri" w:hAnsi="Calibri" w:eastAsia="楷体_GB2312" w:cs="Calibri"/>
                      <w:color w:val="FFFFFF" w:themeColor="background1"/>
                      <w14:textFill>
                        <w14:solidFill>
                          <w14:schemeClr w14:val="bg1"/>
                        </w14:solidFill>
                      </w14:textFill>
                    </w:rPr>
                    <w:t>[Table_Author]</w:t>
                  </w:r>
                </w:p>
              </w:tc>
              <w:tc>
                <w:tcPr>
                  <w:tcW w:w="2000" w:type="dxa"/>
                </w:tcPr>
                <w:p w14:paraId="6B01A47F">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111" w:type="dxa"/>
                </w:tcPr>
                <w:p w14:paraId="6917C375">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111" w:type="dxa"/>
                </w:tcPr>
                <w:p w14:paraId="39109DEA">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113" w:type="dxa"/>
                </w:tcPr>
                <w:p w14:paraId="4D86E490">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r>
            <w:tr w14:paraId="6B550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06" w:hRule="atLeast"/>
              </w:trPr>
              <w:tc>
                <w:tcPr>
                  <w:tcW w:w="2113" w:type="dxa"/>
                </w:tcPr>
                <w:p w14:paraId="229BD58F">
                  <w:pPr>
                    <w:pStyle w:val="114"/>
                    <w:framePr w:wrap="auto" w:vAnchor="margin" w:hAnchor="text" w:yAlign="inline"/>
                    <w:rPr>
                      <w:rFonts w:hint="default" w:ascii="Calibri" w:hAnsi="Calibri" w:eastAsia="楷体_GB2312" w:cs="Calibri"/>
                    </w:rPr>
                  </w:pPr>
                  <w:r>
                    <w:rPr>
                      <w:rFonts w:hint="default" w:ascii="Calibri" w:hAnsi="Calibri" w:eastAsia="楷体_GB2312" w:cs="Calibri"/>
                      <w:b/>
                      <w:i w:val="0"/>
                      <w:color w:val="000000"/>
                      <w:sz w:val="16"/>
                    </w:rPr>
                    <w:t>{{ a1_cn }} {{ a1_en }}], SFC:{{ a1_sfc }}</w:t>
                  </w:r>
                </w:p>
              </w:tc>
              <w:tc>
                <w:tcPr>
                  <w:tcW w:w="2000" w:type="dxa"/>
                </w:tcPr>
                <w:p w14:paraId="4F5C9D79">
                  <w:pPr>
                    <w:pStyle w:val="114"/>
                    <w:framePr w:wrap="auto" w:vAnchor="margin" w:hAnchor="text" w:yAlign="inline"/>
                    <w:rPr>
                      <w:rFonts w:hint="default" w:ascii="Calibri" w:hAnsi="Calibri" w:eastAsia="楷体_GB2312" w:cs="Calibri"/>
                    </w:rPr>
                  </w:pPr>
                </w:p>
              </w:tc>
              <w:tc>
                <w:tcPr>
                  <w:tcW w:w="2111" w:type="dxa"/>
                </w:tcPr>
                <w:p w14:paraId="127821B7">
                  <w:pPr>
                    <w:pStyle w:val="114"/>
                    <w:framePr w:wrap="auto" w:vAnchor="margin" w:hAnchor="text" w:yAlign="inline"/>
                    <w:rPr>
                      <w:rFonts w:hint="default" w:ascii="Calibri" w:hAnsi="Calibri" w:eastAsia="楷体_GB2312" w:cs="Calibri"/>
                    </w:rPr>
                  </w:pPr>
                </w:p>
              </w:tc>
              <w:tc>
                <w:tcPr>
                  <w:tcW w:w="2111" w:type="dxa"/>
                </w:tcPr>
                <w:p w14:paraId="2F121296">
                  <w:pPr>
                    <w:pStyle w:val="114"/>
                    <w:framePr w:wrap="auto" w:vAnchor="margin" w:hAnchor="text" w:yAlign="inline"/>
                    <w:rPr>
                      <w:rFonts w:hint="default" w:ascii="Calibri" w:hAnsi="Calibri" w:eastAsia="楷体_GB2312" w:cs="Calibri"/>
                    </w:rPr>
                  </w:pPr>
                </w:p>
              </w:tc>
              <w:tc>
                <w:tcPr>
                  <w:tcW w:w="2113" w:type="dxa"/>
                </w:tcPr>
                <w:p w14:paraId="635FBFFC">
                  <w:pPr>
                    <w:pStyle w:val="114"/>
                    <w:framePr w:wrap="auto" w:vAnchor="margin" w:hAnchor="text" w:yAlign="inline"/>
                    <w:rPr>
                      <w:rFonts w:hint="default" w:ascii="Calibri" w:hAnsi="Calibri" w:eastAsia="楷体_GB2312" w:cs="Calibri"/>
                    </w:rPr>
                  </w:pPr>
                </w:p>
              </w:tc>
            </w:tr>
            <w:tr w14:paraId="4B29C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06" w:hRule="atLeast"/>
              </w:trPr>
              <w:tc>
                <w:tcPr>
                  <w:tcW w:w="2113" w:type="dxa"/>
                </w:tcPr>
                <w:p w14:paraId="384458E5">
                  <w:pPr>
                    <w:pStyle w:val="114"/>
                    <w:framePr w:wrap="auto" w:vAnchor="margin" w:hAnchor="text" w:yAlign="inline"/>
                    <w:rPr>
                      <w:rFonts w:hint="default" w:ascii="Calibri" w:hAnsi="Calibri" w:eastAsia="楷体_GB2312" w:cs="Calibri"/>
                      <w:b w:val="0"/>
                    </w:rPr>
                  </w:pPr>
                  <w:r>
                    <w:rPr>
                      <w:rFonts w:hint="default" w:ascii="Calibri" w:hAnsi="Calibri" w:eastAsia="楷体_GB2312" w:cs="Calibri"/>
                      <w:b w:val="0"/>
                      <w:i w:val="0"/>
                      <w:color w:val="000000"/>
                      <w:sz w:val="16"/>
                    </w:rPr>
                    <w:t>{{ a1_email }}</w:t>
                  </w:r>
                </w:p>
              </w:tc>
              <w:tc>
                <w:tcPr>
                  <w:tcW w:w="2000" w:type="dxa"/>
                </w:tcPr>
                <w:p w14:paraId="31131924">
                  <w:pPr>
                    <w:pStyle w:val="114"/>
                    <w:framePr w:wrap="auto" w:vAnchor="margin" w:hAnchor="text" w:yAlign="inline"/>
                    <w:rPr>
                      <w:rFonts w:hint="default" w:ascii="Calibri" w:hAnsi="Calibri" w:eastAsia="楷体_GB2312" w:cs="Calibri"/>
                      <w:b w:val="0"/>
                    </w:rPr>
                  </w:pPr>
                </w:p>
              </w:tc>
              <w:tc>
                <w:tcPr>
                  <w:tcW w:w="2111" w:type="dxa"/>
                </w:tcPr>
                <w:p w14:paraId="06A52B7C">
                  <w:pPr>
                    <w:pStyle w:val="114"/>
                    <w:framePr w:wrap="auto" w:vAnchor="margin" w:hAnchor="text" w:yAlign="inline"/>
                    <w:rPr>
                      <w:rFonts w:hint="default" w:ascii="Calibri" w:hAnsi="Calibri" w:eastAsia="楷体_GB2312" w:cs="Calibri"/>
                      <w:b w:val="0"/>
                    </w:rPr>
                  </w:pPr>
                </w:p>
              </w:tc>
              <w:tc>
                <w:tcPr>
                  <w:tcW w:w="2111" w:type="dxa"/>
                </w:tcPr>
                <w:p w14:paraId="44B84CA6">
                  <w:pPr>
                    <w:pStyle w:val="114"/>
                    <w:framePr w:wrap="auto" w:vAnchor="margin" w:hAnchor="text" w:yAlign="inline"/>
                    <w:rPr>
                      <w:rFonts w:hint="default" w:ascii="Calibri" w:hAnsi="Calibri" w:eastAsia="楷体_GB2312" w:cs="Calibri"/>
                      <w:b w:val="0"/>
                    </w:rPr>
                  </w:pPr>
                </w:p>
              </w:tc>
              <w:tc>
                <w:tcPr>
                  <w:tcW w:w="2113" w:type="dxa"/>
                </w:tcPr>
                <w:p w14:paraId="6D615C96">
                  <w:pPr>
                    <w:pStyle w:val="114"/>
                    <w:framePr w:wrap="auto" w:vAnchor="margin" w:hAnchor="text" w:yAlign="inline"/>
                    <w:rPr>
                      <w:rFonts w:hint="default" w:ascii="Calibri" w:hAnsi="Calibri" w:eastAsia="楷体_GB2312" w:cs="Calibri"/>
                      <w:b w:val="0"/>
                    </w:rPr>
                  </w:pPr>
                </w:p>
              </w:tc>
            </w:tr>
          </w:tbl>
          <w:p w14:paraId="1E1D1386">
            <w:pPr>
              <w:pStyle w:val="114"/>
              <w:framePr w:wrap="auto" w:vAnchor="margin" w:hAnchor="text" w:yAlign="inline"/>
              <w:rPr>
                <w:rFonts w:hint="default" w:ascii="Calibri" w:hAnsi="Calibri" w:eastAsia="楷体_GB2312" w:cs="Calibri"/>
                <w:sz w:val="18"/>
                <w:szCs w:val="18"/>
                <w:lang w:val="en-GB"/>
              </w:rPr>
            </w:pPr>
          </w:p>
        </w:tc>
      </w:tr>
      <w:tr w14:paraId="603C5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48" w:type="dxa"/>
            <w:gridSpan w:val="2"/>
          </w:tcPr>
          <w:p w14:paraId="1F9CDFA4">
            <w:pPr>
              <w:pStyle w:val="114"/>
              <w:framePr w:wrap="auto" w:vAnchor="margin" w:hAnchor="text" w:yAlign="inline"/>
              <w:rPr>
                <w:rFonts w:hint="default" w:ascii="Calibri" w:hAnsi="Calibri" w:eastAsia="楷体_GB2312" w:cs="Calibri"/>
                <w:b w:val="0"/>
                <w:lang w:val="en-GB"/>
              </w:rPr>
            </w:pPr>
          </w:p>
        </w:tc>
      </w:tr>
      <w:tr w14:paraId="25F32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48" w:type="dxa"/>
            <w:gridSpan w:val="2"/>
          </w:tcPr>
          <w:p w14:paraId="2EAFB658">
            <w:pPr>
              <w:pStyle w:val="114"/>
              <w:framePr w:wrap="auto" w:vAnchor="margin" w:hAnchor="text" w:yAlign="inline"/>
              <w:rPr>
                <w:rFonts w:hint="default" w:ascii="Calibri" w:hAnsi="Calibri" w:eastAsia="楷体_GB2312" w:cs="Calibri"/>
                <w:b w:val="0"/>
              </w:rPr>
            </w:pPr>
          </w:p>
        </w:tc>
      </w:tr>
    </w:tbl>
    <w:p w14:paraId="06840F25">
      <w:pPr>
        <w:overflowPunct w:val="0"/>
        <w:spacing w:after="120" w:afterLines="50"/>
        <w:jc w:val="both"/>
        <w:rPr>
          <w:rFonts w:hint="default" w:ascii="Calibri" w:hAnsi="Calibri" w:eastAsia="楷体_GB2312" w:cs="Calibri"/>
          <w:color w:val="1F497D" w:themeColor="text2"/>
          <w:sz w:val="28"/>
          <w:szCs w:val="28"/>
          <w:lang w:val="en-US" w:eastAsia="zh-CN"/>
          <w14:textFill>
            <w14:solidFill>
              <w14:schemeClr w14:val="tx2"/>
            </w14:solidFill>
          </w14:textFill>
        </w:rPr>
      </w:pPr>
      <w:r>
        <w:rPr>
          <w:rFonts w:hint="default" w:ascii="Calibri" w:hAnsi="Calibri" w:eastAsia="楷体_GB2312" w:cs="Calibri"/>
          <w:sz w:val="20"/>
          <w:szCs w:val="20"/>
          <w:lang w:val="en-US" w:eastAsia="zh-CN"/>
        </w:rPr>
        <w:t>(Please see APPENDIX 1 for English summary)</w:t>
      </w:r>
    </w:p>
    <w:p w14:paraId="1345C0D5">
      <w:pPr>
        <w:overflowPunct w:val="0"/>
        <w:spacing w:after="120" w:afterLines="50" w:line="228" w:lineRule="auto"/>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 abstract }}</w:t>
      </w:r>
      <w:bookmarkStart w:id="0" w:name="OLE_LINK16"/>
    </w:p>
    <w:p w14:paraId="2CBEA0E4">
      <w:pPr>
        <w:overflowPunct w:val="0"/>
        <w:spacing w:after="120" w:afterLines="50"/>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val="en-US" w:eastAsia="zh-CN"/>
          <w14:textFill>
            <w14:solidFill>
              <w14:schemeClr w14:val="tx2"/>
            </w14:solidFill>
          </w14:textFill>
        </w:rPr>
      </w:r>
    </w:p>
    <w:p w14:paraId="473165F2">
      <w:pPr>
        <w:overflowPunct w:val="0"/>
        <w:spacing w:after="120" w:afterLines="50"/>
        <w:jc w:val="both"/>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p>
    <w:p w14:paraId="73716549">
      <w:pPr>
        <w:overflowPunct w:val="0"/>
        <w:spacing w:after="120" w:afterLines="50"/>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eastAsia="zh-CN"/>
          <w14:textFill>
            <w14:solidFill>
              <w14:schemeClr w14:val="tx2"/>
            </w14:solidFill>
          </w14:textFill>
        </w:rPr>
      </w:r>
      <w:r>
        <w:rPr>
          <w:rFonts w:hint="default" w:ascii="Calibri" w:hAnsi="Calibri" w:eastAsia="楷体_GB2312" w:cs="Calibri"/>
          <w:b/>
          <w:bCs/>
          <w:color w:val="1F497D" w:themeColor="text2"/>
          <w:sz w:val="22"/>
          <w:szCs w:val="22"/>
          <w:lang w:eastAsia="zh-CN"/>
          <w14:textFill>
            <w14:solidFill>
              <w14:schemeClr w14:val="tx2"/>
            </w14:solidFill>
          </w14:textFill>
        </w:rPr>
      </w:r>
      <w:r>
        <w:rPr>
          <w:rFonts w:hint="default" w:ascii="Calibri" w:hAnsi="Calibri" w:eastAsia="楷体_GB2312" w:cs="Calibri"/>
          <w:b/>
          <w:bCs/>
          <w:color w:val="1F497D" w:themeColor="text2"/>
          <w:sz w:val="22"/>
          <w:szCs w:val="22"/>
          <w:lang w:eastAsia="zh-CN"/>
          <w14:textFill>
            <w14:solidFill>
              <w14:schemeClr w14:val="tx2"/>
            </w14:solidFill>
          </w14:textFill>
        </w:rPr>
      </w:r>
      <w:r>
        <w:rPr>
          <w:rFonts w:hint="default" w:ascii="Calibri" w:hAnsi="Calibri" w:eastAsia="楷体_GB2312" w:cs="Calibri"/>
          <w:b/>
          <w:bCs/>
          <w:color w:val="1F497D" w:themeColor="text2"/>
          <w:sz w:val="22"/>
          <w:szCs w:val="22"/>
          <w:lang w:eastAsia="zh-CN"/>
          <w14:textFill>
            <w14:solidFill>
              <w14:schemeClr w14:val="tx2"/>
            </w14:solidFill>
          </w14:textFill>
        </w:rPr>
      </w:r>
    </w:p>
    <w:p w14:paraId="2E6F9299">
      <w:pPr>
        <w:overflowPunct w:val="0"/>
        <w:spacing w:after="120" w:afterLines="50"/>
        <w:jc w:val="both"/>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eastAsia="zh-CN" w:bidi="ar"/>
        </w:rPr>
      </w:r>
      <w:r>
        <w:rPr>
          <w:rFonts w:hint="default" w:ascii="Calibri" w:hAnsi="Calibri" w:eastAsia="楷体_GB2312" w:cs="Calibri"/>
          <w:sz w:val="20"/>
          <w:szCs w:val="20"/>
          <w:lang w:eastAsia="zh-CN" w:bidi="ar"/>
        </w:rPr>
      </w:r>
      <w:r>
        <w:rPr>
          <w:rFonts w:hint="default" w:ascii="Calibri" w:hAnsi="Calibri" w:eastAsia="楷体_GB2312" w:cs="Calibri"/>
          <w:sz w:val="20"/>
          <w:szCs w:val="20"/>
          <w:lang w:eastAsia="zh-CN" w:bidi="ar"/>
        </w:rPr>
      </w:r>
      <w:r>
        <w:rPr>
          <w:rFonts w:hint="default" w:ascii="Calibri" w:hAnsi="Calibri" w:eastAsia="楷体_GB2312" w:cs="Calibri"/>
          <w:sz w:val="20"/>
          <w:szCs w:val="20"/>
          <w:lang w:eastAsia="zh-CN" w:bidi="ar"/>
        </w:rPr>
      </w:r>
      <w:r>
        <w:rPr>
          <w:rFonts w:hint="default" w:ascii="Calibri" w:hAnsi="Calibri" w:eastAsia="楷体_GB2312" w:cs="Calibri"/>
          <w:sz w:val="20"/>
          <w:szCs w:val="20"/>
          <w:lang w:eastAsia="zh-CN" w:bidi="ar"/>
        </w:rPr>
      </w:r>
    </w:p>
    <w:p w14:paraId="0957D0FA">
      <w:pPr>
        <w:overflowPunct w:val="0"/>
        <w:spacing w:after="120" w:afterLines="50"/>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val="en-US" w:eastAsia="zh-CN"/>
          <w14:textFill>
            <w14:solidFill>
              <w14:schemeClr w14:val="tx2"/>
            </w14:solidFill>
          </w14:textFill>
        </w:rPr>
      </w:r>
    </w:p>
    <w:p w14:paraId="47523B54">
      <w:pPr>
        <w:overflowPunct w:val="0"/>
        <w:spacing w:after="120" w:afterLines="50"/>
        <w:jc w:val="both"/>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p>
    <w:bookmarkEnd w:id="0"/>
    <w:p w14:paraId="7CAF20D2">
      <w:pPr>
        <w:overflowPunct w:val="0"/>
        <w:spacing w:after="120" w:afterLines="50" w:line="228" w:lineRule="auto"/>
        <w:jc w:val="both"/>
        <w:rPr>
          <w:rFonts w:hint="default" w:ascii="Calibri" w:hAnsi="Calibri" w:eastAsia="楷体_GB2312" w:cs="Calibri"/>
          <w:sz w:val="22"/>
          <w:szCs w:val="22"/>
          <w:lang w:val="en-US" w:eastAsia="zh-CN"/>
        </w:rPr>
      </w:pPr>
      <w:r>
        <w:rPr>
          <w:rFonts w:hint="default" w:ascii="Calibri" w:hAnsi="Calibri" w:eastAsia="楷体_GB2312" w:cs="Calibri"/>
          <w:b/>
          <w:bCs/>
          <w:color w:val="1F497D" w:themeColor="text2"/>
          <w:sz w:val="22"/>
          <w:szCs w:val="22"/>
          <w:lang w:val="en-US" w:eastAsia="zh-CN"/>
          <w14:textFill>
            <w14:solidFill>
              <w14:schemeClr w14:val="tx2"/>
            </w14:solidFill>
          </w14:textFill>
        </w:rPr>
      </w:r>
    </w:p>
    <w:p w14:paraId="67A06570">
      <w:pPr>
        <w:overflowPunct w:val="0"/>
        <w:spacing w:after="120" w:afterLines="50" w:line="228" w:lineRule="auto"/>
        <w:jc w:val="both"/>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bidi="ar"/>
        </w:rPr>
      </w:r>
    </w:p>
    <w:p w14:paraId="0964F1F0">
      <w:pPr>
        <w:overflowPunct w:val="0"/>
        <w:spacing w:after="120" w:afterLines="50" w:line="228" w:lineRule="auto"/>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r>
    </w:p>
    <w:p w14:paraId="00A2459B">
      <w:pPr>
        <w:overflowPunct w:val="0"/>
        <w:spacing w:after="120" w:afterLines="50" w:line="228" w:lineRule="auto"/>
        <w:jc w:val="both"/>
        <w:rPr>
          <w:rFonts w:hint="default" w:ascii="Calibri" w:hAnsi="Calibri" w:eastAsia="楷体_GB2312" w:cs="Calibri"/>
          <w:lang w:eastAsia="zh-CN"/>
        </w:rPr>
        <w:sectPr>
          <w:headerReference r:id="rId3" w:type="default"/>
          <w:footerReference r:id="rId4" w:type="default"/>
          <w:pgSz w:w="11909" w:h="16834"/>
          <w:pgMar w:top="1134" w:right="851" w:bottom="1321" w:left="851" w:header="284" w:footer="1157" w:gutter="0"/>
          <w:cols w:space="720" w:num="1"/>
          <w:docGrid w:linePitch="360" w:charSpace="0"/>
        </w:sectPr>
      </w:pP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p>
    <w:p w14:paraId="6C54EE5F">
      <w:pPr>
        <w:overflowPunct w:val="0"/>
        <w:jc w:val="both"/>
        <w:rPr>
          <w:rFonts w:hint="default" w:ascii="Calibri" w:hAnsi="Calibri" w:eastAsia="楷体_GB2312" w:cs="Calibri"/>
          <w:sz w:val="20"/>
          <w:szCs w:val="20"/>
          <w:lang w:val="en-US" w:eastAsia="zh-CN"/>
        </w:rPr>
      </w:pPr>
      <w:bookmarkStart w:id="1" w:name="_Toc145691341"/>
      <w:bookmarkStart w:id="2" w:name="_Toc145713253"/>
      <w:bookmarkStart w:id="3" w:name="_Toc185497681"/>
      <w:bookmarkStart w:id="4" w:name="_Toc2091320906"/>
      <w:r>
        <w:t>{{ body }}</w:t>
      </w:r>
    </w:p>
    <w:bookmarkEnd w:id="14"/>
    <w:p w14:paraId="02528E66">
      <w:pPr>
        <w:pStyle w:val="12"/>
        <w:spacing w:before="120" w:beforeLines="50" w:after="120" w:afterLines="50" w:line="260" w:lineRule="exact"/>
        <w:ind w:left="0" w:leftChars="0" w:right="42" w:firstLine="0"/>
        <w:jc w:val="both"/>
        <w:rPr>
          <w:rFonts w:hint="default" w:ascii="Calibri" w:hAnsi="Calibri" w:eastAsia="楷体_GB2312" w:cs="Calibri"/>
          <w:b/>
          <w:sz w:val="20"/>
          <w:szCs w:val="20"/>
        </w:rPr>
      </w:pPr>
      <w:r>
        <w:rPr>
          <w:rFonts w:hint="default" w:ascii="Calibri" w:hAnsi="Calibri" w:eastAsia="楷体_GB2312" w:cs="Calibri"/>
          <w:b/>
          <w:sz w:val="20"/>
          <w:szCs w:val="20"/>
        </w:rPr>
        <w:t>{{ appendix }}</w:t>
      </w:r>
    </w:p>
    <w:tbl>
      <w:tblPr>
        <w:tblStyle w:val="27"/>
        <w:tblW w:w="11252"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252"/>
      </w:tblGrid>
      <w:tr w14:paraId="754C884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252" w:type="dxa"/>
          </w:tcPr>
          <w:p w14:paraId="7D7E6744">
            <w:pPr>
              <w:rPr>
                <w:rFonts w:hint="default" w:ascii="Calibri" w:hAnsi="Calibri" w:eastAsia="楷体_GB2312" w:cs="Calibri"/>
                <w:color w:val="FF0000"/>
              </w:rPr>
            </w:pPr>
            <w:r>
              <w:rPr>
                <w:rFonts w:hint="default" w:ascii="Calibri" w:hAnsi="Calibri" w:eastAsia="楷体_GB2312" w:cs="Calibri"/>
                <w:color w:val="FFFFFF" w:themeColor="background1"/>
                <w14:textFill>
                  <w14:solidFill>
                    <w14:schemeClr w14:val="bg1"/>
                  </w14:solidFill>
                </w14:textFill>
              </w:rPr>
              <w:t>[Table_APPENDIX]</w:t>
            </w:r>
          </w:p>
        </w:tc>
      </w:tr>
      <w:tr w14:paraId="78A6456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1843" w:hRule="atLeast"/>
        </w:trPr>
        <w:tc>
          <w:tcPr>
            <w:tcW w:w="11252" w:type="dxa"/>
          </w:tcPr>
          <w:tbl>
            <w:tblPr>
              <w:tblStyle w:val="27"/>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7C1FBE9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1414C6EA">
                  <w:pPr>
                    <w:pStyle w:val="44"/>
                    <w:spacing w:after="60"/>
                    <w:rPr>
                      <w:rFonts w:hint="default" w:ascii="Calibri" w:hAnsi="Calibri" w:eastAsia="楷体_GB2312" w:cs="Calibri"/>
                      <w:b/>
                      <w:bCs/>
                      <w:w w:val="70"/>
                      <w:sz w:val="22"/>
                      <w:szCs w:val="22"/>
                    </w:rPr>
                  </w:pPr>
                  <w:r>
                    <w:rPr>
                      <w:rFonts w:hint="default" w:ascii="Calibri" w:hAnsi="Calibri" w:eastAsia="楷体_GB2312" w:cs="Calibri"/>
                      <w:b/>
                      <w:bCs/>
                      <w:color w:val="FFFFFF" w:themeColor="background1"/>
                      <w:w w:val="70"/>
                      <w:sz w:val="22"/>
                      <w:szCs w:val="22"/>
                      <w14:textFill>
                        <w14:solidFill>
                          <w14:schemeClr w14:val="bg1"/>
                        </w14:solidFill>
                      </w14:textFill>
                    </w:rPr>
                    <w:t>[Table_disclaimer]</w:t>
                  </w:r>
                </w:p>
              </w:tc>
            </w:tr>
            <w:tr w14:paraId="797DCF6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68E0BBC4">
                  <w:pPr>
                    <w:pStyle w:val="44"/>
                    <w:spacing w:after="60"/>
                    <w:rPr>
                      <w:rFonts w:hint="default" w:ascii="Calibri" w:hAnsi="Calibri" w:eastAsia="楷体_GB2312" w:cs="Calibri"/>
                      <w:b/>
                      <w:bCs/>
                      <w:w w:val="70"/>
                      <w:sz w:val="22"/>
                      <w:szCs w:val="22"/>
                      <w:lang w:eastAsia="zh-CN"/>
                    </w:rPr>
                  </w:pPr>
                  <w:r>
                    <w:rPr>
                      <w:rFonts w:hint="default" w:ascii="Calibri" w:hAnsi="Calibri" w:eastAsia="楷体_GB2312" w:cs="Calibri"/>
                      <w:b/>
                      <w:bCs/>
                      <w:w w:val="70"/>
                      <w:sz w:val="22"/>
                      <w:szCs w:val="22"/>
                      <w:lang w:eastAsia="zh-CN"/>
                    </w:rPr>
                    <w:t>附录APPENDIX</w:t>
                  </w:r>
                </w:p>
                <w:p w14:paraId="10903E86">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重要信息披露</w:t>
                  </w:r>
                </w:p>
                <w:p w14:paraId="08BB58E0">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本研究报告由华福国际（香港）金融控股有限公司（下称华福国际）分销，在其许可的司法管辖区内从事证券活动。</w:t>
                  </w:r>
                </w:p>
                <w:p w14:paraId="164D33B6">
                  <w:pPr>
                    <w:pStyle w:val="44"/>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DISCLOSURES</w:t>
                  </w:r>
                </w:p>
                <w:p w14:paraId="2AC598A6">
                  <w:pPr>
                    <w:pStyle w:val="44"/>
                    <w:spacing w:after="60"/>
                    <w:rPr>
                      <w:rFonts w:hint="default" w:ascii="Calibri" w:hAnsi="Calibri" w:eastAsia="楷体_GB2312" w:cs="Calibri"/>
                      <w:lang w:eastAsia="zh-CN"/>
                    </w:rPr>
                  </w:pPr>
                  <w:r>
                    <w:rPr>
                      <w:rFonts w:hint="default" w:ascii="Calibri" w:hAnsi="Calibri" w:eastAsia="楷体_GB2312" w:cs="Calibri"/>
                      <w:w w:val="70"/>
                      <w:sz w:val="20"/>
                      <w:szCs w:val="20"/>
                    </w:rPr>
                    <w:t xml:space="preserve">This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(HK) Financial Holdings Limited (referred as HuaFu International below)</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which</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is </w:t>
                  </w:r>
                  <w:r>
                    <w:rPr>
                      <w:rFonts w:hint="default" w:ascii="Calibri" w:hAnsi="Calibri" w:eastAsia="楷体_GB2312" w:cs="Calibri"/>
                      <w:w w:val="70"/>
                      <w:sz w:val="20"/>
                      <w:szCs w:val="20"/>
                    </w:rPr>
                    <w:t>authorized to engage in securities activities in its respective jurisdiction.</w:t>
                  </w:r>
                </w:p>
              </w:tc>
            </w:tr>
            <w:tr w14:paraId="38780FC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6A89831E">
                  <w:pPr>
                    <w:pStyle w:val="44"/>
                    <w:spacing w:after="48" w:afterLines="20"/>
                    <w:rPr>
                      <w:rFonts w:hint="default" w:ascii="Calibri" w:hAnsi="Calibri" w:eastAsia="楷体_GB2312" w:cs="Calibri"/>
                      <w:w w:val="70"/>
                      <w:sz w:val="20"/>
                      <w:szCs w:val="20"/>
                    </w:rPr>
                  </w:pPr>
                  <w:r>
                    <w:rPr>
                      <w:rFonts w:hint="default" w:ascii="Calibri" w:hAnsi="Calibri" w:eastAsia="楷体_GB2312" w:cs="Calibri"/>
                      <w:b/>
                      <w:w w:val="70"/>
                      <w:sz w:val="20"/>
                      <w:szCs w:val="20"/>
                    </w:rPr>
                    <w:t>分析师认证Analyst Certification</w:t>
                  </w:r>
                  <w:r>
                    <w:rPr>
                      <w:rFonts w:hint="default" w:ascii="Calibri" w:hAnsi="Calibri" w:eastAsia="楷体_GB2312" w:cs="Calibri"/>
                      <w:w w:val="70"/>
                      <w:sz w:val="20"/>
                      <w:szCs w:val="20"/>
                    </w:rPr>
                    <w:t>:</w:t>
                  </w:r>
                </w:p>
              </w:tc>
            </w:tr>
            <w:tr w14:paraId="24BA5A7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71033FFA">
                  <w:pPr>
                    <w:jc w:val="both"/>
                    <w:rPr>
                      <w:rFonts w:hint="default" w:ascii="Calibri" w:hAnsi="Calibri" w:eastAsia="楷体_GB2312" w:cs="Calibri"/>
                    </w:rPr>
                  </w:pPr>
                  <w:r>
                    <w:rPr>
                      <w:rFonts w:hint="default" w:ascii="Calibri" w:hAnsi="Calibri" w:eastAsia="楷体_GB2312" w:cs="Calibri"/>
                      <w:b w:val="0"/>
                      <w:i w:val="0"/>
                      <w:color w:val="000000"/>
                      <w:w w:val="70"/>
                      <w:sz w:val="20"/>
                    </w:rPr>
                    <w:t>我， {{ a1_cn }}，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 a1_en }},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1EBF04C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1C2DA927">
                  <w:pPr>
                    <w:pStyle w:val="44"/>
                    <w:spacing w:after="48" w:afterLines="2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利益冲突披露Conflict of Interest Disclosures</w:t>
                  </w:r>
                </w:p>
              </w:tc>
            </w:tr>
            <w:tr w14:paraId="27181D5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2127F8D4">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华福国际及其某些关联公司可从事投资银行业务和/或对本研究中的特定股票或公司进行做市或持有自营头寸。就本研究报告而言，如需了解其中提到的某一公司信息，</w:t>
                  </w:r>
                  <w:r>
                    <w:rPr>
                      <w:rFonts w:hint="default" w:ascii="Calibri" w:hAnsi="Calibri" w:eastAsia="楷体_GB2312" w:cs="Calibri"/>
                    </w:rPr>
                    <w:fldChar w:fldCharType="begin"/>
                  </w:r>
                  <w:r>
                    <w:rPr>
                      <w:rFonts w:hint="default" w:ascii="Calibri" w:hAnsi="Calibri" w:eastAsia="楷体_GB2312" w:cs="Calibri"/>
                    </w:rPr>
                    <w:instrText xml:space="preserve">HYPERLINK "mailto:请发邮件至lcd@hfisec.com.hk"</w:instrText>
                  </w:r>
                  <w:r>
                    <w:rPr>
                      <w:rFonts w:hint="default" w:ascii="Calibri" w:hAnsi="Calibri" w:eastAsia="楷体_GB2312" w:cs="Calibri"/>
                    </w:rPr>
                    <w:fldChar w:fldCharType="separate"/>
                  </w:r>
                  <w:r>
                    <w:rPr>
                      <w:rStyle w:val="32"/>
                      <w:rFonts w:hint="default" w:ascii="Calibri" w:hAnsi="Calibri" w:eastAsia="楷体_GB2312" w:cs="Calibri"/>
                      <w:w w:val="70"/>
                      <w:sz w:val="20"/>
                      <w:szCs w:val="20"/>
                      <w:lang w:eastAsia="zh-CN"/>
                    </w:rPr>
                    <w:t>请发邮件至lcd@hfisec.com.hk</w:t>
                  </w:r>
                  <w:r>
                    <w:rPr>
                      <w:rFonts w:hint="default" w:ascii="Calibri" w:hAnsi="Calibri" w:eastAsia="楷体_GB2312" w:cs="Calibri"/>
                    </w:rPr>
                    <w:fldChar w:fldCharType="end"/>
                  </w:r>
                  <w:r>
                    <w:rPr>
                      <w:rFonts w:hint="default" w:ascii="Calibri" w:hAnsi="Calibri" w:eastAsia="楷体_GB2312" w:cs="Calibri"/>
                      <w:w w:val="70"/>
                      <w:sz w:val="20"/>
                      <w:szCs w:val="20"/>
                      <w:lang w:eastAsia="zh-CN"/>
                    </w:rPr>
                    <w:t>）</w:t>
                  </w:r>
                </w:p>
                <w:p w14:paraId="15819404">
                  <w:pPr>
                    <w:pStyle w:val="44"/>
                    <w:rPr>
                      <w:rFonts w:hint="default" w:ascii="Calibri" w:hAnsi="Calibri" w:eastAsia="楷体_GB2312" w:cs="Calibri"/>
                      <w:b/>
                      <w:bCs/>
                      <w:w w:val="70"/>
                      <w:sz w:val="20"/>
                      <w:szCs w:val="20"/>
                      <w:lang w:eastAsia="zh-CN"/>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hint="default" w:ascii="Calibri" w:hAnsi="Calibri" w:eastAsia="楷体_GB2312" w:cs="Calibri"/>
                      <w:color w:val="000000" w:themeColor="text1"/>
                      <w:w w:val="70"/>
                      <w:sz w:val="20"/>
                      <w:szCs w:val="20"/>
                      <w14:textFill>
                        <w14:solidFill>
                          <w14:schemeClr w14:val="tx1"/>
                        </w14:solidFill>
                      </w14:textFill>
                    </w:rPr>
                    <w:t xml:space="preserve">please send an email to </w:t>
                  </w:r>
                  <w:r>
                    <w:rPr>
                      <w:rFonts w:hint="default" w:ascii="Calibri" w:hAnsi="Calibri" w:eastAsia="楷体_GB2312" w:cs="Calibri"/>
                      <w:color w:val="000000" w:themeColor="text1"/>
                      <w:w w:val="70"/>
                      <w:sz w:val="20"/>
                      <w:szCs w:val="20"/>
                      <w:lang w:eastAsia="zh-CN"/>
                      <w14:textFill>
                        <w14:solidFill>
                          <w14:schemeClr w14:val="tx1"/>
                        </w14:solidFill>
                      </w14:textFill>
                    </w:rPr>
                    <w:t>lcd</w:t>
                  </w:r>
                  <w:r>
                    <w:rPr>
                      <w:rFonts w:hint="default" w:ascii="Calibri" w:hAnsi="Calibri" w:eastAsia="楷体_GB2312" w:cs="Calibri"/>
                      <w:color w:val="000000" w:themeColor="text1"/>
                      <w:w w:val="70"/>
                      <w:sz w:val="20"/>
                      <w:szCs w:val="20"/>
                      <w14:textFill>
                        <w14:solidFill>
                          <w14:schemeClr w14:val="tx1"/>
                        </w14:solidFill>
                      </w14:textFill>
                    </w:rPr>
                    <w:t>@</w:t>
                  </w:r>
                  <w:r>
                    <w:rPr>
                      <w:rFonts w:hint="default" w:ascii="Calibri" w:hAnsi="Calibri" w:eastAsia="楷体_GB2312" w:cs="Calibri"/>
                      <w:color w:val="000000" w:themeColor="text1"/>
                      <w:w w:val="70"/>
                      <w:sz w:val="20"/>
                      <w:szCs w:val="20"/>
                      <w:lang w:eastAsia="zh-CN"/>
                      <w14:textFill>
                        <w14:solidFill>
                          <w14:schemeClr w14:val="tx1"/>
                        </w14:solidFill>
                      </w14:textFill>
                    </w:rPr>
                    <w:t>hfisec</w:t>
                  </w:r>
                  <w:r>
                    <w:rPr>
                      <w:rFonts w:hint="default" w:ascii="Calibri" w:hAnsi="Calibri" w:eastAsia="楷体_GB2312" w:cs="Calibri"/>
                      <w:color w:val="000000" w:themeColor="text1"/>
                      <w:w w:val="70"/>
                      <w:sz w:val="20"/>
                      <w:szCs w:val="20"/>
                      <w14:textFill>
                        <w14:solidFill>
                          <w14:schemeClr w14:val="tx1"/>
                        </w14:solidFill>
                      </w14:textFill>
                    </w:rPr>
                    <w:t>.com</w:t>
                  </w:r>
                  <w:r>
                    <w:rPr>
                      <w:rFonts w:hint="default" w:ascii="Calibri" w:hAnsi="Calibri" w:eastAsia="楷体_GB2312" w:cs="Calibri"/>
                      <w:color w:val="000000" w:themeColor="text1"/>
                      <w:w w:val="70"/>
                      <w:sz w:val="20"/>
                      <w:szCs w:val="20"/>
                      <w:lang w:eastAsia="zh-CN"/>
                      <w14:textFill>
                        <w14:solidFill>
                          <w14:schemeClr w14:val="tx1"/>
                        </w14:solidFill>
                      </w14:textFill>
                    </w:rPr>
                    <w:t>.hk</w:t>
                  </w:r>
                  <w:r>
                    <w:rPr>
                      <w:rFonts w:hint="default" w:ascii="Calibri" w:hAnsi="Calibri" w:eastAsia="楷体_GB2312" w:cs="Calibri"/>
                      <w:color w:val="000000" w:themeColor="text1"/>
                      <w:w w:val="70"/>
                      <w:sz w:val="20"/>
                      <w:szCs w:val="20"/>
                      <w14:textFill>
                        <w14:solidFill>
                          <w14:schemeClr w14:val="tx1"/>
                        </w14:solidFill>
                      </w14:textFill>
                    </w:rPr>
                    <w:t xml:space="preserve"> if </w:t>
                  </w:r>
                  <w:r>
                    <w:rPr>
                      <w:rFonts w:hint="default" w:ascii="Calibri" w:hAnsi="Calibri" w:eastAsia="楷体_GB2312" w:cs="Calibri"/>
                      <w:color w:val="000000" w:themeColor="text1"/>
                      <w:w w:val="70"/>
                      <w:sz w:val="20"/>
                      <w:szCs w:val="20"/>
                      <w:lang w:eastAsia="zh-CN"/>
                      <w14:textFill>
                        <w14:solidFill>
                          <w14:schemeClr w14:val="tx1"/>
                        </w14:solidFill>
                      </w14:textFill>
                    </w:rPr>
                    <w:t>the</w:t>
                  </w:r>
                  <w:r>
                    <w:rPr>
                      <w:rFonts w:hint="default" w:ascii="Calibri" w:hAnsi="Calibri" w:eastAsia="楷体_GB2312" w:cs="Calibri"/>
                      <w:color w:val="000000" w:themeColor="text1"/>
                      <w:w w:val="70"/>
                      <w:sz w:val="20"/>
                      <w:szCs w:val="20"/>
                      <w14:textFill>
                        <w14:solidFill>
                          <w14:schemeClr w14:val="tx1"/>
                        </w14:solidFill>
                      </w14:textFill>
                    </w:rPr>
                    <w:t xml:space="preserve"> information </w:t>
                  </w:r>
                  <w:r>
                    <w:rPr>
                      <w:rFonts w:hint="default" w:ascii="Calibri" w:hAnsi="Calibri"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hint="default" w:ascii="Calibri" w:hAnsi="Calibri" w:eastAsia="楷体_GB2312" w:cs="Calibri"/>
                      <w:color w:val="000000" w:themeColor="text1"/>
                      <w:w w:val="70"/>
                      <w:sz w:val="20"/>
                      <w:szCs w:val="20"/>
                      <w14:textFill>
                        <w14:solidFill>
                          <w14:schemeClr w14:val="tx1"/>
                        </w14:solidFill>
                      </w14:textFill>
                    </w:rPr>
                    <w:t>is needed).</w:t>
                  </w:r>
                </w:p>
              </w:tc>
            </w:tr>
            <w:tr w14:paraId="1574379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32B76AA">
                  <w:pPr>
                    <w:pStyle w:val="44"/>
                    <w:rPr>
                      <w:rFonts w:hint="default" w:ascii="Calibri" w:hAnsi="Calibri" w:eastAsia="楷体_GB2312" w:cs="Calibri"/>
                      <w:w w:val="70"/>
                      <w:sz w:val="20"/>
                      <w:szCs w:val="20"/>
                    </w:rPr>
                  </w:pPr>
                </w:p>
              </w:tc>
            </w:tr>
            <w:tr w14:paraId="5DE635A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268581E9">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评级定义（从2020年7月1日开始执行）：</w:t>
                  </w:r>
                </w:p>
                <w:p w14:paraId="6AD58A41">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华福国际采用相对评级系统来为投资者推荐我们覆盖的公司：优于大市、中性或弱于大市。投资者应仔细阅读华福国际的评级定义。并且华福国际发布分析师观点的完整信息，投资者应仔细阅读全文而非仅看评级。在任何情况下，分析师的评级和研究都不能作为投资建议。投资者的买卖股票的决策应基于各自情况（比如投资者的现有持仓）以及其他因素。</w:t>
                  </w:r>
                </w:p>
                <w:p w14:paraId="1D25CBD0">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分析师股票评级</w:t>
                  </w:r>
                </w:p>
                <w:p w14:paraId="4E08A921">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优于大市</w:t>
                  </w:r>
                  <w:r>
                    <w:rPr>
                      <w:rFonts w:hint="default" w:ascii="Calibri" w:hAnsi="Calibri" w:eastAsia="楷体_GB2312" w:cs="Calibri"/>
                      <w:w w:val="70"/>
                      <w:sz w:val="20"/>
                      <w:szCs w:val="20"/>
                      <w:lang w:eastAsia="zh-CN"/>
                    </w:rPr>
                    <w:t>，未来12-18个月内预期相对基准指数涨幅在10%以上，基准定义如下</w:t>
                  </w:r>
                </w:p>
                <w:p w14:paraId="3D4D242A">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中性</w:t>
                  </w:r>
                  <w:r>
                    <w:rPr>
                      <w:rFonts w:hint="default" w:ascii="Calibri" w:hAnsi="Calibri" w:eastAsia="楷体_GB2312" w:cs="Calibri"/>
                      <w:w w:val="70"/>
                      <w:sz w:val="20"/>
                      <w:szCs w:val="20"/>
                      <w:lang w:eastAsia="zh-CN"/>
                    </w:rPr>
                    <w:t>，未来12-18个月内预期相对基准指数变化不大，基准定义如下</w:t>
                  </w:r>
                </w:p>
                <w:p w14:paraId="53713C8B">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弱于大市</w:t>
                  </w:r>
                  <w:r>
                    <w:rPr>
                      <w:rFonts w:hint="default" w:ascii="Calibri" w:hAnsi="Calibri" w:eastAsia="楷体_GB2312" w:cs="Calibri"/>
                      <w:w w:val="70"/>
                      <w:sz w:val="20"/>
                      <w:szCs w:val="20"/>
                      <w:lang w:eastAsia="zh-CN"/>
                    </w:rPr>
                    <w:t>，未来12-18个月内预期相对基准指数跌幅在10%以上，基准定义如下</w:t>
                  </w:r>
                </w:p>
                <w:p w14:paraId="3A2C7FCE">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各地股票基准指数：日本 – TOPIX, 韩国 – KOSPI, 台湾 – TAIEX, 印度 – Nifty100, 美国 – SP500; 其他所有中国概念股 – MSCI China.</w:t>
                  </w:r>
                </w:p>
                <w:p w14:paraId="582FDD79">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rPr>
                    <w:t xml:space="preserve">Ratings Definitions (from 1 Jul 2020): </w:t>
                  </w:r>
                </w:p>
                <w:p w14:paraId="3F504A6B">
                  <w:pPr>
                    <w:pStyle w:val="44"/>
                    <w:rPr>
                      <w:rFonts w:hint="default" w:ascii="Calibri" w:hAnsi="Calibri" w:eastAsia="楷体_GB2312" w:cs="Calibri"/>
                      <w:w w:val="79"/>
                      <w:sz w:val="20"/>
                      <w:szCs w:val="20"/>
                    </w:rPr>
                  </w:pP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uses a relative rating system using </w:t>
                  </w:r>
                  <w:r>
                    <w:rPr>
                      <w:rFonts w:hint="default" w:ascii="Calibri" w:hAnsi="Calibri" w:eastAsia="楷体_GB2312" w:cs="Calibri"/>
                      <w:w w:val="79"/>
                      <w:sz w:val="20"/>
                      <w:szCs w:val="20"/>
                      <w:lang w:eastAsia="zh-HK"/>
                    </w:rPr>
                    <w:t>Outperform</w:t>
                  </w:r>
                  <w:r>
                    <w:rPr>
                      <w:rFonts w:hint="default" w:ascii="Calibri" w:hAnsi="Calibri" w:eastAsia="楷体_GB2312" w:cs="Calibri"/>
                      <w:w w:val="79"/>
                      <w:sz w:val="20"/>
                      <w:szCs w:val="20"/>
                    </w:rPr>
                    <w:t>, Neutral</w:t>
                  </w:r>
                  <w:r>
                    <w:rPr>
                      <w:rFonts w:hint="default" w:ascii="Calibri" w:hAnsi="Calibri" w:eastAsia="楷体_GB2312" w:cs="Calibri"/>
                      <w:w w:val="79"/>
                      <w:sz w:val="20"/>
                      <w:szCs w:val="20"/>
                      <w:lang w:eastAsia="zh-HK"/>
                    </w:rPr>
                    <w:t>,</w:t>
                  </w:r>
                  <w:r>
                    <w:rPr>
                      <w:rFonts w:hint="default" w:ascii="Calibri" w:hAnsi="Calibri" w:eastAsia="楷体_GB2312" w:cs="Calibri"/>
                      <w:w w:val="79"/>
                      <w:sz w:val="20"/>
                      <w:szCs w:val="20"/>
                    </w:rPr>
                    <w:t xml:space="preserve"> or </w:t>
                  </w:r>
                  <w:r>
                    <w:rPr>
                      <w:rFonts w:hint="default" w:ascii="Calibri" w:hAnsi="Calibri" w:eastAsia="楷体_GB2312" w:cs="Calibri"/>
                      <w:w w:val="79"/>
                      <w:sz w:val="20"/>
                      <w:szCs w:val="20"/>
                      <w:lang w:eastAsia="zh-HK"/>
                    </w:rPr>
                    <w:t xml:space="preserve">Underperform </w:t>
                  </w:r>
                  <w:r>
                    <w:rPr>
                      <w:rFonts w:hint="default" w:ascii="Calibri" w:hAnsi="Calibri" w:eastAsia="楷体_GB2312" w:cs="Calibri"/>
                      <w:w w:val="79"/>
                      <w:sz w:val="20"/>
                      <w:szCs w:val="20"/>
                    </w:rPr>
                    <w:t xml:space="preserve">for recommending the stocks we cover to investors. Investors should carefully read the definitions of all ratings used in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In addition, since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contains more complete information concerning the analyst's views, investors should carefully read </w:t>
                  </w:r>
                  <w:r>
                    <w:rPr>
                      <w:rFonts w:hint="default" w:ascii="Calibri" w:hAnsi="Calibri" w:eastAsia="楷体_GB2312" w:cs="Calibri"/>
                      <w:w w:val="79"/>
                      <w:sz w:val="20"/>
                      <w:szCs w:val="20"/>
                      <w:lang w:eastAsia="zh-CN"/>
                    </w:rPr>
                    <w:t xml:space="preserve">HuaFu </w:t>
                  </w:r>
                  <w:r>
                    <w:rPr>
                      <w:rFonts w:hint="default" w:ascii="Calibri" w:hAnsi="Calibri"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0643AE16">
                  <w:pPr>
                    <w:pStyle w:val="44"/>
                    <w:rPr>
                      <w:rFonts w:hint="default" w:ascii="Calibri" w:hAnsi="Calibri" w:eastAsia="楷体_GB2312" w:cs="Calibri"/>
                      <w:b/>
                      <w:w w:val="79"/>
                      <w:sz w:val="20"/>
                      <w:szCs w:val="20"/>
                    </w:rPr>
                  </w:pPr>
                  <w:r>
                    <w:rPr>
                      <w:rFonts w:hint="default" w:ascii="Calibri" w:hAnsi="Calibri" w:eastAsia="楷体_GB2312" w:cs="Calibri"/>
                      <w:b/>
                      <w:w w:val="79"/>
                      <w:sz w:val="20"/>
                      <w:szCs w:val="20"/>
                    </w:rPr>
                    <w:t>Analyst Stock Ratings</w:t>
                  </w:r>
                </w:p>
                <w:p w14:paraId="6D7A32D8">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lang w:eastAsia="zh-HK"/>
                    </w:rPr>
                    <w:t>Outperform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exceed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xml:space="preserve">, as indicated below. </w:t>
                  </w:r>
                </w:p>
                <w:p w14:paraId="03FD72CC">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rPr>
                    <w:t>Neutral:</w:t>
                  </w:r>
                  <w:r>
                    <w:rPr>
                      <w:rFonts w:hint="default" w:ascii="Calibri" w:hAnsi="Calibri" w:eastAsia="楷体_GB2312" w:cs="Calibri"/>
                      <w:w w:val="79"/>
                      <w:sz w:val="20"/>
                      <w:szCs w:val="20"/>
                    </w:rPr>
                    <w:t xml:space="preserve"> The stock’s total return over the next 12-18 months is expected to be in line with the return of its relevant broad market benchmark, as indicated below. </w:t>
                  </w:r>
                  <w:r>
                    <w:rPr>
                      <w:rFonts w:hint="default" w:ascii="Calibri" w:hAnsi="Calibri" w:eastAsia="楷体_GB2312" w:cs="Calibri"/>
                      <w:b/>
                      <w:w w:val="79"/>
                      <w:sz w:val="20"/>
                      <w:szCs w:val="20"/>
                      <w:lang w:eastAsia="zh-HK"/>
                    </w:rPr>
                    <w:t>Underperform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be below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as indicated below.</w:t>
                  </w:r>
                </w:p>
                <w:p w14:paraId="2D29A5FF">
                  <w:pPr>
                    <w:pStyle w:val="44"/>
                    <w:rPr>
                      <w:rFonts w:hint="default" w:ascii="Calibri" w:hAnsi="Calibri" w:eastAsia="楷体_GB2312" w:cs="Calibri"/>
                      <w:b/>
                      <w:w w:val="79"/>
                      <w:sz w:val="20"/>
                      <w:szCs w:val="20"/>
                    </w:rPr>
                  </w:pPr>
                  <w:r>
                    <w:rPr>
                      <w:rFonts w:hint="default" w:ascii="Calibri" w:hAnsi="Calibri" w:eastAsia="楷体_GB2312" w:cs="Calibri"/>
                      <w:b/>
                      <w:w w:val="79"/>
                      <w:sz w:val="20"/>
                      <w:szCs w:val="20"/>
                    </w:rPr>
                    <w:t>Benchmarks for each stock’s listed region are as follows: Japan – TOPIX, Korea – KOSPI, Taiwan – TAIEX, India – Nifty100, US – SP500; for all other China-concept stocks – MSCI China.</w:t>
                  </w:r>
                </w:p>
                <w:p w14:paraId="31D1EFB8">
                  <w:pPr>
                    <w:pStyle w:val="44"/>
                    <w:rPr>
                      <w:rFonts w:hint="default" w:ascii="Calibri" w:hAnsi="Calibri" w:eastAsia="楷体_GB2312" w:cs="Calibri"/>
                      <w:w w:val="70"/>
                      <w:sz w:val="20"/>
                      <w:szCs w:val="20"/>
                      <w:lang w:eastAsia="zh-CN"/>
                    </w:rPr>
                  </w:pPr>
                </w:p>
              </w:tc>
            </w:tr>
            <w:tr w14:paraId="04B836D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3A4BF93">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华福国际非评级研究：</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lang w:eastAsia="zh-CN"/>
                    </w:rPr>
                    <w:t>国际发布计量、筛选或短篇报告，并在报告中根据估值和其他指标对股票进行排名，或者基于可能的估值倍数提出建议价格。这种排名或建议价格并非为了进行股票评级、提出目标价格或进行基本面估值，而仅供参考使用。</w:t>
                  </w:r>
                </w:p>
                <w:p w14:paraId="425652ED">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Non-Rated Research</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081BDBA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A1CFA20">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华福国际A股覆盖：</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lang w:eastAsia="zh-CN"/>
                    </w:rPr>
                    <w:t>国际可能会就中国A股进行覆盖及评级。华福证券，华福国际于福州的母公司，也会于中国发布中国A股的研究报告。但是，华福国际使用与华福证券不同的评级系统，且可能有完全独立的不同研究覆盖团队，所以华福国际与华福证券的中国A股评级、目标价乃至分析逻辑可能有所不同。</w:t>
                  </w:r>
                </w:p>
                <w:p w14:paraId="34B4688E">
                  <w:pPr>
                    <w:pStyle w:val="44"/>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Coverage of A-Shares</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may cover and rate A-Shares .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Securities, the ultimate parent company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based in </w:t>
                  </w:r>
                  <w:r>
                    <w:rPr>
                      <w:rFonts w:hint="default" w:ascii="Calibri" w:hAnsi="Calibri" w:eastAsia="楷体_GB2312" w:cs="Calibri"/>
                      <w:w w:val="70"/>
                      <w:sz w:val="20"/>
                      <w:szCs w:val="20"/>
                      <w:lang w:eastAsia="zh-CN"/>
                    </w:rPr>
                    <w:t>FuZhou</w:t>
                  </w:r>
                  <w:r>
                    <w:rPr>
                      <w:rFonts w:hint="default" w:ascii="Calibri" w:hAnsi="Calibri" w:eastAsia="楷体_GB2312" w:cs="Calibri"/>
                      <w:w w:val="70"/>
                      <w:sz w:val="20"/>
                      <w:szCs w:val="20"/>
                    </w:rPr>
                    <w:t>, covers and publishes research on these same A-Shares for distribution in mainland China. However, the rating system employed by H</w:t>
                  </w:r>
                  <w:r>
                    <w:rPr>
                      <w:rFonts w:hint="default" w:ascii="Calibri" w:hAnsi="Calibri" w:eastAsia="楷体_GB2312" w:cs="Calibri"/>
                      <w:w w:val="70"/>
                      <w:sz w:val="20"/>
                      <w:szCs w:val="20"/>
                      <w:lang w:eastAsia="zh-CN"/>
                    </w:rPr>
                    <w:t>uaFu International</w:t>
                  </w:r>
                  <w:r>
                    <w:rPr>
                      <w:rFonts w:hint="default" w:ascii="Calibri" w:hAnsi="Calibri" w:eastAsia="楷体_GB2312" w:cs="Calibri"/>
                      <w:w w:val="70"/>
                      <w:sz w:val="20"/>
                      <w:szCs w:val="20"/>
                    </w:rPr>
                    <w:t xml:space="preserve"> differs from that used by </w:t>
                  </w:r>
                  <w:r>
                    <w:rPr>
                      <w:rFonts w:hint="default" w:ascii="Calibri" w:hAnsi="Calibri" w:eastAsia="楷体_GB2312" w:cs="Calibri"/>
                      <w:w w:val="70"/>
                      <w:sz w:val="20"/>
                      <w:szCs w:val="20"/>
                      <w:lang w:eastAsia="zh-CN"/>
                    </w:rPr>
                    <w:t>HuaFu Securites</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 xml:space="preserve">even the teams covering the same A-share stocks might be totally independently different, </w:t>
                  </w:r>
                  <w:r>
                    <w:rPr>
                      <w:rFonts w:hint="default" w:ascii="Calibri" w:hAnsi="Calibri" w:eastAsia="楷体_GB2312" w:cs="Calibri"/>
                      <w:w w:val="70"/>
                      <w:sz w:val="20"/>
                      <w:szCs w:val="20"/>
                    </w:rPr>
                    <w:t xml:space="preserve">as a result there may be a difference in </w:t>
                  </w:r>
                  <w:r>
                    <w:rPr>
                      <w:rFonts w:hint="default" w:ascii="Calibri" w:hAnsi="Calibri" w:eastAsia="楷体_GB2312" w:cs="Calibri"/>
                      <w:w w:val="70"/>
                      <w:sz w:val="20"/>
                      <w:szCs w:val="20"/>
                      <w:lang w:eastAsia="zh-CN"/>
                    </w:rPr>
                    <w:t>their coverage</w:t>
                  </w:r>
                  <w:r>
                    <w:rPr>
                      <w:rFonts w:hint="default" w:ascii="Calibri" w:hAnsi="Calibri" w:eastAsia="楷体_GB2312" w:cs="Calibri"/>
                      <w:w w:val="70"/>
                      <w:sz w:val="20"/>
                      <w:szCs w:val="20"/>
                    </w:rPr>
                    <w:t xml:space="preserve"> ratings</w:t>
                  </w:r>
                  <w:r>
                    <w:rPr>
                      <w:rFonts w:hint="default" w:ascii="Calibri" w:hAnsi="Calibri" w:eastAsia="楷体_GB2312" w:cs="Calibri"/>
                      <w:w w:val="70"/>
                      <w:sz w:val="20"/>
                      <w:szCs w:val="20"/>
                      <w:lang w:eastAsia="zh-CN"/>
                    </w:rPr>
                    <w:t>, target prices</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and research logics </w:t>
                  </w:r>
                  <w:r>
                    <w:rPr>
                      <w:rFonts w:hint="default" w:ascii="Calibri" w:hAnsi="Calibri" w:eastAsia="楷体_GB2312" w:cs="Calibri"/>
                      <w:w w:val="70"/>
                      <w:sz w:val="20"/>
                      <w:szCs w:val="20"/>
                    </w:rPr>
                    <w:t>for the same A-share stocks.</w:t>
                  </w:r>
                </w:p>
              </w:tc>
            </w:tr>
            <w:tr w14:paraId="55CB309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FC5E411">
                  <w:pPr>
                    <w:pStyle w:val="44"/>
                    <w:rPr>
                      <w:rFonts w:hint="default" w:ascii="Calibri" w:hAnsi="Calibri" w:eastAsia="楷体_GB2312" w:cs="Calibri"/>
                      <w:w w:val="70"/>
                      <w:sz w:val="20"/>
                      <w:szCs w:val="20"/>
                    </w:rPr>
                  </w:pPr>
                </w:p>
              </w:tc>
            </w:tr>
            <w:tr w14:paraId="22B0DBD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F134D6B">
                  <w:pPr>
                    <w:pStyle w:val="44"/>
                    <w:spacing w:after="60"/>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重要免责声明：</w:t>
                  </w:r>
                </w:p>
                <w:p w14:paraId="528DEFCA">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本报告由华福国际发行，该公司是根据香港证券及期货条例（第571章）持有第4类受规管活动（就证券提供意见）的持牌法团。</w:t>
                  </w:r>
                </w:p>
                <w:p w14:paraId="2A350435">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 xml:space="preserve">本文件所载信息和观点已被编译或源自可靠来源，但华福国际或任何其他属于华福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华福国际及其董事、雇员或代理人对此均不承担任何责任。 </w:t>
                  </w:r>
                </w:p>
                <w:p w14:paraId="4EEF2757">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除对本文内容承担责任的分析师除外，华福国际及我们的关联公司、高级管理人员、董事和雇员，均可不时作为主事人就本文件所述的任何证券或衍生品持有长仓或短仓以及进行买卖。华福国际的销售员、交易员和其他专业人士均可向华福国际的相关客户和公司提供与本文件所述意见相反的口头或书面市场评论意见或交易策略。华福国际可做出与本文件所述建议或意见不一致的投资决策。但华福国际没有义务来确保本文件的收件人了解到该等交易决定、思路或建议。</w:t>
                  </w:r>
                </w:p>
                <w:p w14:paraId="47C51663">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snapToGrid/>
                      <w:w w:val="70"/>
                      <w:sz w:val="20"/>
                      <w:szCs w:val="20"/>
                      <w:lang w:eastAsia="zh-CN"/>
                    </w:rPr>
                    <w:t>请访问华福</w:t>
                  </w:r>
                  <w:r>
                    <w:rPr>
                      <w:rFonts w:hint="default" w:ascii="Calibri" w:hAnsi="Calibri" w:eastAsia="楷体_GB2312" w:cs="Calibri"/>
                      <w:w w:val="70"/>
                      <w:sz w:val="20"/>
                      <w:szCs w:val="20"/>
                      <w:lang w:eastAsia="zh-CN"/>
                    </w:rPr>
                    <w:t>国际</w:t>
                  </w:r>
                  <w:r>
                    <w:rPr>
                      <w:rFonts w:hint="default" w:ascii="Calibri" w:hAnsi="Calibri" w:eastAsia="楷体_GB2312" w:cs="Calibri"/>
                      <w:snapToGrid/>
                      <w:w w:val="70"/>
                      <w:sz w:val="20"/>
                      <w:szCs w:val="20"/>
                      <w:lang w:eastAsia="zh-CN"/>
                    </w:rPr>
                    <w:t xml:space="preserve">网站 </w:t>
                  </w:r>
                  <w:r>
                    <w:rPr>
                      <w:rFonts w:hint="default" w:ascii="Calibri" w:hAnsi="Calibri" w:eastAsia="楷体_GB2312" w:cs="Calibri"/>
                    </w:rPr>
                    <w:fldChar w:fldCharType="begin"/>
                  </w:r>
                  <w:r>
                    <w:rPr>
                      <w:rFonts w:hint="default" w:ascii="Calibri" w:hAnsi="Calibri" w:eastAsia="楷体_GB2312" w:cs="Calibri"/>
                    </w:rPr>
                    <w:instrText xml:space="preserve"> HYPERLINK "http://www.hfisec.com.hk" </w:instrText>
                  </w:r>
                  <w:r>
                    <w:rPr>
                      <w:rFonts w:hint="default" w:ascii="Calibri" w:hAnsi="Calibri" w:eastAsia="楷体_GB2312" w:cs="Calibri"/>
                    </w:rPr>
                    <w:fldChar w:fldCharType="separate"/>
                  </w:r>
                  <w:r>
                    <w:rPr>
                      <w:rStyle w:val="32"/>
                      <w:rFonts w:hint="default" w:ascii="Calibri" w:hAnsi="Calibri" w:eastAsia="楷体_GB2312" w:cs="Calibri"/>
                      <w:snapToGrid/>
                      <w:w w:val="70"/>
                      <w:sz w:val="20"/>
                      <w:szCs w:val="20"/>
                      <w:lang w:eastAsia="zh-CN"/>
                    </w:rPr>
                    <w:t>www.hfisec.com.hk</w:t>
                  </w:r>
                  <w:r>
                    <w:rPr>
                      <w:rStyle w:val="32"/>
                      <w:rFonts w:hint="default" w:ascii="Calibri" w:hAnsi="Calibri" w:eastAsia="楷体_GB2312" w:cs="Calibri"/>
                      <w:snapToGrid/>
                      <w:w w:val="70"/>
                      <w:sz w:val="20"/>
                      <w:szCs w:val="20"/>
                      <w:lang w:eastAsia="zh-CN"/>
                    </w:rPr>
                    <w:fldChar w:fldCharType="end"/>
                  </w:r>
                  <w:r>
                    <w:rPr>
                      <w:rFonts w:hint="default" w:ascii="Calibri" w:hAnsi="Calibri" w:eastAsia="楷体_GB2312" w:cs="Calibri"/>
                      <w:snapToGrid/>
                      <w:w w:val="70"/>
                      <w:sz w:val="20"/>
                      <w:szCs w:val="20"/>
                      <w:lang w:eastAsia="zh-CN"/>
                    </w:rPr>
                    <w:t xml:space="preserve"> ，查阅更多有关华福</w:t>
                  </w:r>
                  <w:r>
                    <w:rPr>
                      <w:rFonts w:hint="default" w:ascii="Calibri" w:hAnsi="Calibri" w:eastAsia="楷体_GB2312" w:cs="Calibri"/>
                      <w:w w:val="70"/>
                      <w:sz w:val="20"/>
                      <w:szCs w:val="20"/>
                      <w:lang w:eastAsia="zh-CN"/>
                    </w:rPr>
                    <w:t>国际</w:t>
                  </w:r>
                  <w:r>
                    <w:rPr>
                      <w:rFonts w:hint="default" w:ascii="Calibri" w:hAnsi="Calibri" w:eastAsia="楷体_GB2312" w:cs="Calibri"/>
                      <w:snapToGrid/>
                      <w:w w:val="70"/>
                      <w:sz w:val="20"/>
                      <w:szCs w:val="20"/>
                      <w:lang w:eastAsia="zh-CN"/>
                    </w:rPr>
                    <w:t>为预防和避免利益冲突设立的组织和行政安排的内容信息。</w:t>
                  </w:r>
                </w:p>
                <w:p w14:paraId="6EF8AF60">
                  <w:pPr>
                    <w:pStyle w:val="44"/>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DISCLAIMER</w:t>
                  </w:r>
                </w:p>
                <w:p w14:paraId="556CE6CA">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research report is issued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a licensed corporation to carry on Type 4 regulated activity (advising on securities) for the purpose of the Securities and Futures Ordinance (Cap. 571)</w:t>
                  </w:r>
                  <w:r>
                    <w:rPr>
                      <w:rFonts w:hint="default" w:ascii="Calibri" w:hAnsi="Calibri" w:eastAsia="楷体_GB2312" w:cs="Calibri"/>
                      <w:w w:val="70"/>
                      <w:sz w:val="20"/>
                      <w:szCs w:val="20"/>
                      <w:lang w:eastAsia="zh-HK"/>
                    </w:rPr>
                    <w:t xml:space="preserve"> of Hong Kong</w:t>
                  </w:r>
                  <w:r>
                    <w:rPr>
                      <w:rFonts w:hint="default" w:ascii="Calibri" w:hAnsi="Calibri" w:eastAsia="楷体_GB2312" w:cs="Calibri"/>
                      <w:w w:val="70"/>
                      <w:sz w:val="20"/>
                      <w:szCs w:val="20"/>
                    </w:rPr>
                    <w:t>.</w:t>
                  </w:r>
                </w:p>
                <w:p w14:paraId="4DDEC965">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or any other </w:t>
                  </w:r>
                  <w:r>
                    <w:rPr>
                      <w:rFonts w:hint="default" w:ascii="Calibri" w:hAnsi="Calibri" w:eastAsia="楷体_GB2312" w:cs="Calibri"/>
                      <w:w w:val="70"/>
                      <w:sz w:val="20"/>
                      <w:szCs w:val="20"/>
                      <w:lang w:eastAsia="zh-CN"/>
                    </w:rPr>
                    <w:t xml:space="preserve">related </w:t>
                  </w:r>
                  <w:r>
                    <w:rPr>
                      <w:rFonts w:hint="default" w:ascii="Calibri" w:hAnsi="Calibri" w:eastAsia="楷体_GB2312" w:cs="Calibri"/>
                      <w:w w:val="70"/>
                      <w:sz w:val="20"/>
                      <w:szCs w:val="20"/>
                    </w:rPr>
                    <w:t>members</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76E104C0">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its</w:t>
                  </w:r>
                  <w:r>
                    <w:rPr>
                      <w:rFonts w:hint="default" w:ascii="Calibri" w:hAnsi="Calibri"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 xml:space="preserve">may provide oral or written market commentary or trading strategies to the relevant clients and the companies within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that reflect opinions that are contrary to the opinions expressed in this research report. </w:t>
                  </w:r>
                  <w:r>
                    <w:rPr>
                      <w:rFonts w:hint="default" w:ascii="Calibri" w:hAnsi="Calibri" w:eastAsia="楷体_GB2312" w:cs="Calibri"/>
                      <w:w w:val="70"/>
                      <w:sz w:val="20"/>
                      <w:szCs w:val="20"/>
                      <w:lang w:eastAsia="zh-CN"/>
                    </w:rPr>
                    <w:t>HuaFu Internatioal</w:t>
                  </w:r>
                  <w:r>
                    <w:rPr>
                      <w:rFonts w:hint="default" w:ascii="Calibri" w:hAnsi="Calibri" w:eastAsia="楷体_GB2312" w:cs="Calibri"/>
                      <w:w w:val="70"/>
                      <w:sz w:val="20"/>
                      <w:szCs w:val="20"/>
                    </w:rPr>
                    <w:t xml:space="preserve"> may make investment decisions that are inconsistent with the recommendations or views expressed in this research report.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is under no obligation to ensure that such other trading decisions, ideas or recommendations are brought to the attention of any recipient of this research report.</w:t>
                  </w:r>
                </w:p>
                <w:p w14:paraId="31802A85">
                  <w:pPr>
                    <w:pStyle w:val="44"/>
                    <w:spacing w:after="40"/>
                    <w:rPr>
                      <w:rFonts w:hint="default" w:ascii="Calibri" w:hAnsi="Calibri" w:eastAsia="楷体_GB2312" w:cs="Calibri"/>
                      <w:bCs/>
                      <w:w w:val="70"/>
                      <w:sz w:val="20"/>
                      <w:szCs w:val="20"/>
                    </w:rPr>
                  </w:pPr>
                  <w:r>
                    <w:rPr>
                      <w:rFonts w:hint="default" w:ascii="Calibri" w:hAnsi="Calibri" w:eastAsia="楷体_GB2312" w:cs="Calibri"/>
                      <w:bCs/>
                      <w:w w:val="70"/>
                      <w:sz w:val="20"/>
                      <w:szCs w:val="20"/>
                    </w:rPr>
                    <w:t xml:space="preserve">Please refer to </w:t>
                  </w:r>
                  <w:r>
                    <w:rPr>
                      <w:rFonts w:hint="default" w:ascii="Calibri" w:hAnsi="Calibri" w:eastAsia="楷体_GB2312" w:cs="Calibri"/>
                      <w:bCs/>
                      <w:w w:val="70"/>
                      <w:sz w:val="20"/>
                      <w:szCs w:val="20"/>
                      <w:lang w:eastAsia="zh-CN"/>
                    </w:rPr>
                    <w:t xml:space="preserve">HuaFu International’s </w:t>
                  </w:r>
                  <w:r>
                    <w:rPr>
                      <w:rFonts w:hint="default" w:ascii="Calibri" w:hAnsi="Calibri" w:eastAsia="楷体_GB2312" w:cs="Calibri"/>
                      <w:bCs/>
                      <w:w w:val="70"/>
                      <w:sz w:val="20"/>
                      <w:szCs w:val="20"/>
                    </w:rPr>
                    <w:t xml:space="preserve">website </w:t>
                  </w:r>
                  <w:r>
                    <w:rPr>
                      <w:rFonts w:hint="default" w:ascii="Calibri" w:hAnsi="Calibri" w:eastAsia="楷体_GB2312" w:cs="Calibri"/>
                    </w:rPr>
                    <w:fldChar w:fldCharType="begin"/>
                  </w:r>
                  <w:r>
                    <w:rPr>
                      <w:rFonts w:hint="default" w:ascii="Calibri" w:hAnsi="Calibri" w:eastAsia="楷体_GB2312" w:cs="Calibri"/>
                    </w:rPr>
                    <w:instrText xml:space="preserve"> HYPERLINK "http://www.hfisec.com.hk" </w:instrText>
                  </w:r>
                  <w:r>
                    <w:rPr>
                      <w:rFonts w:hint="default" w:ascii="Calibri" w:hAnsi="Calibri" w:eastAsia="楷体_GB2312" w:cs="Calibri"/>
                    </w:rPr>
                    <w:fldChar w:fldCharType="separate"/>
                  </w:r>
                  <w:r>
                    <w:rPr>
                      <w:rStyle w:val="32"/>
                      <w:rFonts w:hint="default" w:ascii="Calibri" w:hAnsi="Calibri" w:eastAsia="楷体_GB2312" w:cs="Calibri"/>
                      <w:bCs/>
                      <w:w w:val="70"/>
                      <w:sz w:val="20"/>
                      <w:szCs w:val="20"/>
                    </w:rPr>
                    <w:t>www.hfisec.com.hk</w:t>
                  </w:r>
                  <w:r>
                    <w:rPr>
                      <w:rStyle w:val="32"/>
                      <w:rFonts w:hint="default" w:ascii="Calibri" w:hAnsi="Calibri" w:eastAsia="楷体_GB2312" w:cs="Calibri"/>
                      <w:bCs/>
                      <w:w w:val="70"/>
                      <w:sz w:val="20"/>
                      <w:szCs w:val="20"/>
                    </w:rPr>
                    <w:fldChar w:fldCharType="end"/>
                  </w:r>
                  <w:r>
                    <w:rPr>
                      <w:rFonts w:hint="default" w:ascii="Calibri" w:hAnsi="Calibri" w:eastAsia="楷体_GB2312" w:cs="Calibri"/>
                      <w:w w:val="70"/>
                      <w:sz w:val="20"/>
                      <w:szCs w:val="20"/>
                    </w:rPr>
                    <w:t xml:space="preserve"> </w:t>
                  </w:r>
                  <w:r>
                    <w:rPr>
                      <w:rFonts w:hint="default" w:ascii="Calibri" w:hAnsi="Calibri" w:eastAsia="楷体_GB2312" w:cs="Calibri"/>
                      <w:bCs/>
                      <w:w w:val="70"/>
                      <w:sz w:val="20"/>
                      <w:szCs w:val="20"/>
                    </w:rPr>
                    <w:t xml:space="preserve">for further </w:t>
                  </w:r>
                  <w:r>
                    <w:rPr>
                      <w:rFonts w:hint="default" w:ascii="Calibri" w:hAnsi="Calibri" w:eastAsia="楷体_GB2312" w:cs="Calibri"/>
                      <w:w w:val="70"/>
                      <w:sz w:val="20"/>
                      <w:szCs w:val="20"/>
                    </w:rPr>
                    <w:t>information</w:t>
                  </w:r>
                  <w:r>
                    <w:rPr>
                      <w:rFonts w:hint="default" w:ascii="Calibri" w:hAnsi="Calibri" w:eastAsia="楷体_GB2312" w:cs="Calibri"/>
                      <w:bCs/>
                      <w:w w:val="70"/>
                      <w:sz w:val="20"/>
                      <w:szCs w:val="20"/>
                    </w:rPr>
                    <w:t xml:space="preserve"> on </w:t>
                  </w:r>
                  <w:r>
                    <w:rPr>
                      <w:rFonts w:hint="default" w:ascii="Calibri" w:hAnsi="Calibri" w:eastAsia="楷体_GB2312" w:cs="Calibri"/>
                      <w:bCs/>
                      <w:w w:val="70"/>
                      <w:sz w:val="20"/>
                      <w:szCs w:val="20"/>
                      <w:lang w:eastAsia="zh-CN"/>
                    </w:rPr>
                    <w:t xml:space="preserve">HuaFu International’s </w:t>
                  </w:r>
                  <w:r>
                    <w:rPr>
                      <w:rFonts w:hint="default" w:ascii="Calibri" w:hAnsi="Calibri" w:eastAsia="楷体_GB2312" w:cs="Calibri"/>
                      <w:bCs/>
                      <w:w w:val="70"/>
                      <w:sz w:val="20"/>
                      <w:szCs w:val="20"/>
                    </w:rPr>
                    <w:t>organizational and administrative arrangements set up for the prevention and avoidance of conflicts of interest with respect to Research.</w:t>
                  </w:r>
                </w:p>
                <w:p w14:paraId="1CEBF208">
                  <w:pPr>
                    <w:pStyle w:val="44"/>
                    <w:spacing w:after="60"/>
                    <w:rPr>
                      <w:rFonts w:hint="default" w:ascii="Calibri" w:hAnsi="Calibri" w:eastAsia="楷体_GB2312" w:cs="Calibri"/>
                      <w:b/>
                      <w:w w:val="70"/>
                      <w:sz w:val="20"/>
                      <w:szCs w:val="20"/>
                    </w:rPr>
                  </w:pPr>
                </w:p>
              </w:tc>
            </w:tr>
            <w:tr w14:paraId="5456491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5EEDD7C">
                  <w:pPr>
                    <w:pStyle w:val="44"/>
                    <w:spacing w:after="60"/>
                    <w:rPr>
                      <w:rFonts w:hint="default" w:ascii="Calibri" w:hAnsi="Calibri" w:eastAsia="楷体_GB2312" w:cs="Calibri"/>
                      <w:b/>
                      <w:snapToGrid/>
                      <w:w w:val="70"/>
                      <w:sz w:val="20"/>
                      <w:szCs w:val="20"/>
                      <w:lang w:eastAsia="zh-CN"/>
                    </w:rPr>
                  </w:pPr>
                  <w:r>
                    <w:rPr>
                      <w:rFonts w:hint="default" w:ascii="Calibri" w:hAnsi="Calibri" w:eastAsia="楷体_GB2312" w:cs="Calibri"/>
                      <w:b/>
                      <w:snapToGrid/>
                      <w:w w:val="70"/>
                      <w:sz w:val="20"/>
                      <w:szCs w:val="20"/>
                      <w:lang w:eastAsia="zh-CN"/>
                    </w:rPr>
                    <w:t>分发和地区通知：</w:t>
                  </w:r>
                </w:p>
                <w:p w14:paraId="67B3CD17">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snapToGrid/>
                      <w:w w:val="70"/>
                      <w:sz w:val="20"/>
                      <w:szCs w:val="20"/>
                      <w:lang w:eastAsia="zh-CN"/>
                    </w:rPr>
                    <w:t xml:space="preserve">除非下文另有规定，否则任何希望讨论本报告或者就本项研究中讨论的任何证券进行任何交易的收件人均应联系其所在国家或地区的华福国际销售人员。  </w:t>
                  </w:r>
                </w:p>
                <w:p w14:paraId="77CFCCAF">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b/>
                      <w:snapToGrid/>
                      <w:w w:val="70"/>
                      <w:sz w:val="20"/>
                      <w:szCs w:val="20"/>
                      <w:lang w:eastAsia="zh-CN"/>
                    </w:rPr>
                    <w:t>香港投资者的通知事项：</w:t>
                  </w:r>
                  <w:r>
                    <w:rPr>
                      <w:rFonts w:hint="default" w:ascii="Calibri" w:hAnsi="Calibri" w:eastAsia="楷体_GB2312" w:cs="Calibri"/>
                      <w:bCs/>
                      <w:snapToGrid/>
                      <w:w w:val="70"/>
                      <w:sz w:val="20"/>
                      <w:szCs w:val="20"/>
                      <w:lang w:eastAsia="zh-CN"/>
                    </w:rPr>
                    <w:t>华福</w:t>
                  </w:r>
                  <w:r>
                    <w:rPr>
                      <w:rFonts w:hint="default" w:ascii="Calibri" w:hAnsi="Calibri" w:eastAsia="楷体_GB2312" w:cs="Calibri"/>
                      <w:snapToGrid/>
                      <w:w w:val="70"/>
                      <w:sz w:val="20"/>
                      <w:szCs w:val="20"/>
                      <w:lang w:eastAsia="zh-CN"/>
                    </w:rPr>
                    <w:t>国际负责分发该研究报告，华福国际是在香港有权实施第1类受规管活动（从事证券交易）的持牌公司。该研究报告并不构成《证券及期货条例》</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香港法例第571章</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以下简称“SFO”</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所界定的要约邀请，证券要约或公众要约。本研究报告仅提供给SFO所界定的“专业投资者”。本研究报告未经过证券及期货事务监察委员会的审查。您不应仅根据本研究报告中所载的信息做出投资决定。本研究报告的收件人就研究报告中产生或与之相关的任何事宜请联系华福国际销售人员。</w:t>
                  </w:r>
                </w:p>
                <w:p w14:paraId="79EC53E6">
                  <w:pPr>
                    <w:pStyle w:val="44"/>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DISTRIBUTION AND REGIONAL NOTICES</w:t>
                  </w:r>
                </w:p>
                <w:p w14:paraId="7A5BA858">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Except as otherwise indicated below, any Recipient wishing to discuss this research report or effect any transaction in any security discussed 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’s research should contact the </w:t>
                  </w:r>
                  <w:r>
                    <w:rPr>
                      <w:rFonts w:hint="default" w:ascii="Calibri" w:hAnsi="Calibri" w:eastAsia="楷体_GB2312" w:cs="Calibri"/>
                      <w:w w:val="70"/>
                      <w:sz w:val="20"/>
                      <w:szCs w:val="20"/>
                      <w:lang w:eastAsia="zh-CN"/>
                    </w:rPr>
                    <w:t xml:space="preserve">HuaFu </w:t>
                  </w:r>
                  <w:r>
                    <w:rPr>
                      <w:rFonts w:hint="default" w:ascii="Calibri" w:hAnsi="Calibri" w:eastAsia="楷体_GB2312" w:cs="Calibri"/>
                      <w:w w:val="70"/>
                      <w:sz w:val="20"/>
                      <w:szCs w:val="20"/>
                    </w:rPr>
                    <w:t xml:space="preserve">International salesperson in their own country or region.  </w:t>
                  </w:r>
                </w:p>
                <w:p w14:paraId="295639AC">
                  <w:pPr>
                    <w:pStyle w:val="44"/>
                    <w:spacing w:after="40"/>
                    <w:rPr>
                      <w:rFonts w:hint="default" w:ascii="Calibri" w:hAnsi="Calibri" w:eastAsia="楷体_GB2312" w:cs="Calibri"/>
                      <w:w w:val="70"/>
                      <w:sz w:val="20"/>
                      <w:szCs w:val="20"/>
                    </w:rPr>
                  </w:pPr>
                  <w:r>
                    <w:rPr>
                      <w:rFonts w:hint="default" w:ascii="Calibri" w:hAnsi="Calibri" w:eastAsia="楷体_GB2312" w:cs="Calibri"/>
                      <w:b/>
                      <w:bCs/>
                      <w:w w:val="70"/>
                      <w:sz w:val="20"/>
                      <w:szCs w:val="20"/>
                    </w:rPr>
                    <w:t xml:space="preserve">Notice to Hong Kong investors: </w:t>
                  </w:r>
                  <w:r>
                    <w:rPr>
                      <w:rFonts w:hint="default" w:ascii="Calibri" w:hAnsi="Calibri" w:eastAsia="楷体_GB2312" w:cs="Calibri"/>
                      <w:w w:val="70"/>
                      <w:sz w:val="20"/>
                      <w:szCs w:val="20"/>
                    </w:rPr>
                    <w:t xml:space="preserve">The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salespersons in respect of any matters arising from, or in connection with, the research report.</w:t>
                  </w:r>
                </w:p>
                <w:p w14:paraId="6BEF3F24">
                  <w:pPr>
                    <w:pStyle w:val="44"/>
                    <w:spacing w:after="60"/>
                    <w:rPr>
                      <w:rFonts w:hint="default" w:ascii="Calibri" w:hAnsi="Calibri" w:eastAsia="楷体_GB2312" w:cs="Calibri"/>
                      <w:b/>
                      <w:w w:val="70"/>
                      <w:sz w:val="20"/>
                      <w:szCs w:val="20"/>
                    </w:rPr>
                  </w:pPr>
                </w:p>
              </w:tc>
            </w:tr>
            <w:tr w14:paraId="412B21A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D3F628F">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中华人民共和国的通知事项：</w:t>
                  </w:r>
                  <w:r>
                    <w:rPr>
                      <w:rFonts w:hint="default" w:ascii="Calibri" w:hAnsi="Calibri" w:eastAsia="楷体_GB2312" w:cs="Calibri"/>
                      <w:w w:val="70"/>
                      <w:sz w:val="20"/>
                      <w:szCs w:val="20"/>
                      <w:lang w:eastAsia="zh-CN"/>
                    </w:rPr>
                    <w:t>在中华人民共和国</w:t>
                  </w:r>
                  <w:r>
                    <w:rPr>
                      <w:rFonts w:hint="default" w:ascii="Calibri" w:hAnsi="Calibri" w:eastAsia="楷体_GB2312" w:cs="Calibri"/>
                      <w:snapToGrid/>
                      <w:w w:val="70"/>
                      <w:sz w:val="20"/>
                      <w:szCs w:val="20"/>
                      <w:lang w:eastAsia="zh-CN"/>
                    </w:rPr>
                    <w:t>（</w:t>
                  </w:r>
                  <w:r>
                    <w:rPr>
                      <w:rFonts w:hint="default" w:ascii="Calibri" w:hAnsi="Calibri" w:eastAsia="楷体_GB2312" w:cs="Calibri"/>
                      <w:w w:val="70"/>
                      <w:sz w:val="20"/>
                      <w:szCs w:val="20"/>
                      <w:lang w:eastAsia="zh-CN"/>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53B4C1F1">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本项研究仅供收件人使用，未经华福国际的书面同意不得予以复制和再次分发。</w:t>
                  </w:r>
                </w:p>
                <w:p w14:paraId="58812B04">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版权所有：华福国际2025年。保留所有权利。</w:t>
                  </w:r>
                </w:p>
                <w:p w14:paraId="6E5C2AF1">
                  <w:pPr>
                    <w:pStyle w:val="44"/>
                    <w:spacing w:after="120"/>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People’s Republic of China (PRC):</w:t>
                  </w:r>
                  <w:r>
                    <w:rPr>
                      <w:rFonts w:hint="default" w:ascii="Calibri" w:hAnsi="Calibri" w:eastAsia="楷体_GB2312" w:cs="Calibri"/>
                      <w:w w:val="70"/>
                      <w:sz w:val="20"/>
                      <w:szCs w:val="20"/>
                      <w:lang w:eastAsia="zh-CN"/>
                    </w:rPr>
                    <w:t xml:space="preserve"> In the PRC, the research report is directed for the sole use of those who receive the research report in accordance with the applicable PRC laws and regulations. </w:t>
                  </w:r>
                  <w:r>
                    <w:rPr>
                      <w:rFonts w:hint="default" w:ascii="Calibri" w:hAnsi="Calibri" w:eastAsia="楷体_GB2312" w:cs="Calibri"/>
                      <w:w w:val="70"/>
                      <w:sz w:val="20"/>
                      <w:szCs w:val="20"/>
                    </w:rPr>
                    <w:t>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0E84E5E">
                  <w:pPr>
                    <w:pStyle w:val="44"/>
                    <w:spacing w:after="12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This research report is intended for the recipients only and may not be reproduced or redistributed without the written consent of an authorized signatory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w:t>
                  </w:r>
                </w:p>
                <w:p w14:paraId="4B135EDD">
                  <w:pPr>
                    <w:pStyle w:val="44"/>
                    <w:spacing w:after="60"/>
                    <w:rPr>
                      <w:rFonts w:hint="default" w:ascii="Calibri" w:hAnsi="Calibri" w:eastAsia="楷体_GB2312" w:cs="Calibri"/>
                      <w:b/>
                      <w:w w:val="70"/>
                      <w:sz w:val="20"/>
                      <w:szCs w:val="20"/>
                    </w:rPr>
                  </w:pPr>
                  <w:r>
                    <w:rPr>
                      <w:rFonts w:hint="default" w:ascii="Calibri" w:hAnsi="Calibri" w:eastAsia="楷体_GB2312" w:cs="Calibri"/>
                      <w:w w:val="70"/>
                      <w:sz w:val="20"/>
                      <w:szCs w:val="20"/>
                    </w:rPr>
                    <w:t xml:space="preserve">Copyright: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t>
                  </w:r>
                  <w:r>
                    <w:rPr>
                      <w:rFonts w:hint="default" w:ascii="Calibri" w:hAnsi="Calibri" w:eastAsia="楷体_GB2312" w:cs="Calibri"/>
                      <w:w w:val="70"/>
                      <w:sz w:val="20"/>
                      <w:szCs w:val="20"/>
                      <w:lang w:eastAsia="zh-CN"/>
                    </w:rPr>
                    <w:t>2025</w:t>
                  </w:r>
                  <w:r>
                    <w:rPr>
                      <w:rFonts w:hint="default" w:ascii="Calibri" w:hAnsi="Calibri" w:eastAsia="楷体_GB2312" w:cs="Calibri"/>
                      <w:w w:val="70"/>
                      <w:sz w:val="20"/>
                      <w:szCs w:val="20"/>
                    </w:rPr>
                    <w:t>. All rights reserved</w:t>
                  </w:r>
                </w:p>
              </w:tc>
            </w:tr>
            <w:tr w14:paraId="2EBA44D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EB69D38">
                  <w:pPr>
                    <w:pStyle w:val="44"/>
                    <w:spacing w:after="60"/>
                    <w:rPr>
                      <w:rFonts w:hint="default" w:ascii="Calibri" w:hAnsi="Calibri" w:eastAsia="楷体_GB2312" w:cs="Calibri"/>
                      <w:b/>
                      <w:w w:val="70"/>
                      <w:sz w:val="20"/>
                      <w:szCs w:val="20"/>
                    </w:rPr>
                  </w:pPr>
                </w:p>
              </w:tc>
            </w:tr>
            <w:tr w14:paraId="392E512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3AF08BC1">
                  <w:pPr>
                    <w:pStyle w:val="44"/>
                    <w:spacing w:after="60"/>
                    <w:rPr>
                      <w:rFonts w:hint="default" w:ascii="Calibri" w:hAnsi="Calibri" w:eastAsia="楷体_GB2312" w:cs="Calibri"/>
                      <w:b/>
                      <w:w w:val="70"/>
                      <w:sz w:val="20"/>
                      <w:szCs w:val="20"/>
                      <w:lang w:eastAsia="zh-CN"/>
                    </w:rPr>
                  </w:pPr>
                </w:p>
              </w:tc>
            </w:tr>
          </w:tbl>
          <w:p w14:paraId="40ECA13C">
            <w:pPr>
              <w:pStyle w:val="81"/>
              <w:rPr>
                <w:rFonts w:hint="default" w:ascii="Calibri" w:hAnsi="Calibri" w:eastAsia="楷体_GB2312" w:cs="Calibri"/>
                <w:sz w:val="16"/>
              </w:rPr>
            </w:pPr>
          </w:p>
          <w:p w14:paraId="50F240A1">
            <w:pPr>
              <w:rPr>
                <w:rFonts w:hint="default" w:ascii="Calibri" w:hAnsi="Calibri" w:eastAsia="楷体_GB2312" w:cs="Calibri"/>
                <w:lang w:val="en-US"/>
              </w:rPr>
            </w:pPr>
          </w:p>
        </w:tc>
      </w:tr>
      <w:tr w14:paraId="5EC8E9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848" w:hRule="atLeast"/>
        </w:trPr>
        <w:tc>
          <w:tcPr>
            <w:tcW w:w="11252" w:type="dxa"/>
          </w:tcPr>
          <w:p w14:paraId="1DC1E70D">
            <w:pPr>
              <w:pStyle w:val="44"/>
              <w:spacing w:line="100" w:lineRule="exact"/>
              <w:rPr>
                <w:rFonts w:hint="default" w:ascii="Calibri" w:hAnsi="Calibri" w:eastAsia="楷体_GB2312" w:cs="Calibri"/>
                <w:b/>
                <w:bCs/>
                <w:w w:val="70"/>
                <w:sz w:val="22"/>
                <w:szCs w:val="22"/>
              </w:rPr>
            </w:pPr>
          </w:p>
          <w:tbl>
            <w:tblPr>
              <w:tblStyle w:val="27"/>
              <w:tblW w:w="0" w:type="auto"/>
              <w:tblCaption w:val="[Table_RecommendationChart]"/>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6"/>
            </w:tblGrid>
            <w:tr w14:paraId="7A5E1CF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199" w:type="dxa"/>
                </w:tcPr>
                <w:p w14:paraId="32C994CC">
                  <w:pPr>
                    <w:pStyle w:val="44"/>
                    <w:rPr>
                      <w:rFonts w:hint="default" w:ascii="Calibri" w:hAnsi="Calibri" w:eastAsia="楷体_GB2312" w:cs="Calibri"/>
                      <w:b/>
                      <w:color w:val="FFFFFF" w:themeColor="background1"/>
                      <w:w w:val="70"/>
                      <w:sz w:val="20"/>
                      <w:szCs w:val="20"/>
                      <w:lang w:eastAsia="zh-CN"/>
                      <w14:textFill>
                        <w14:solidFill>
                          <w14:schemeClr w14:val="bg1"/>
                        </w14:solidFill>
                      </w14:textFill>
                    </w:rPr>
                  </w:pPr>
                  <w:r>
                    <w:rPr>
                      <w:rFonts w:hint="default" w:ascii="Calibri" w:hAnsi="Calibri" w:eastAsia="楷体_GB2312" w:cs="Calibri"/>
                      <w:b/>
                      <w:color w:val="FFFFFF" w:themeColor="background1"/>
                      <w:w w:val="70"/>
                      <w:sz w:val="20"/>
                      <w:szCs w:val="20"/>
                      <w:lang w:eastAsia="zh-CN"/>
                      <w14:textFill>
                        <w14:solidFill>
                          <w14:schemeClr w14:val="bg1"/>
                        </w14:solidFill>
                      </w14:textFill>
                    </w:rPr>
                    <w:t>[Table_RecommendationChart]</w:t>
                  </w:r>
                </w:p>
              </w:tc>
            </w:tr>
            <w:tr w14:paraId="7CE4F36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078B0FAC">
                  <w:pPr>
                    <w:pStyle w:val="44"/>
                    <w:rPr>
                      <w:rFonts w:hint="default" w:ascii="Calibri" w:hAnsi="Calibri" w:eastAsia="楷体_GB2312" w:cs="Calibri"/>
                      <w:lang w:eastAsia="zh-CN"/>
                    </w:rPr>
                  </w:pPr>
                </w:p>
              </w:tc>
            </w:tr>
            <w:tr w14:paraId="0DB5CA9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765A9FEA">
                  <w:pPr>
                    <w:pStyle w:val="44"/>
                    <w:rPr>
                      <w:rFonts w:hint="default" w:ascii="Calibri" w:hAnsi="Calibri" w:eastAsia="楷体_GB2312" w:cs="Calibri"/>
                      <w:b/>
                      <w:w w:val="70"/>
                      <w:sz w:val="20"/>
                      <w:szCs w:val="20"/>
                    </w:rPr>
                  </w:pPr>
                </w:p>
              </w:tc>
            </w:tr>
            <w:tr w14:paraId="165BF72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122AFDEC">
                  <w:pPr>
                    <w:pStyle w:val="44"/>
                    <w:rPr>
                      <w:rFonts w:hint="default" w:ascii="Calibri" w:hAnsi="Calibri" w:eastAsia="楷体_GB2312" w:cs="Calibri"/>
                      <w:b/>
                      <w:w w:val="70"/>
                      <w:sz w:val="20"/>
                      <w:szCs w:val="20"/>
                    </w:rPr>
                  </w:pPr>
                </w:p>
              </w:tc>
            </w:tr>
          </w:tbl>
          <w:p w14:paraId="6124E097">
            <w:pPr>
              <w:pStyle w:val="44"/>
              <w:spacing w:after="60"/>
              <w:rPr>
                <w:rFonts w:hint="default" w:ascii="Calibri" w:hAnsi="Calibri" w:eastAsia="楷体_GB2312" w:cs="Calibri"/>
                <w:b/>
                <w:bCs/>
                <w:w w:val="70"/>
                <w:sz w:val="22"/>
                <w:szCs w:val="22"/>
              </w:rPr>
            </w:pPr>
          </w:p>
        </w:tc>
      </w:tr>
    </w:tbl>
    <w:p w14:paraId="5CBC7657">
      <w:pPr>
        <w:pStyle w:val="81"/>
        <w:rPr>
          <w:rFonts w:hint="default" w:ascii="Calibri" w:hAnsi="Calibri" w:eastAsia="楷体_GB2312" w:cs="Calibri"/>
          <w:w w:val="70"/>
          <w:sz w:val="20"/>
          <w:szCs w:val="20"/>
          <w:lang w:val="en-GB"/>
        </w:rPr>
      </w:pPr>
    </w:p>
    <w:p w14:paraId="4514D0A8">
      <w:pPr>
        <w:pStyle w:val="81"/>
        <w:rPr>
          <w:rFonts w:hint="default" w:ascii="Calibri" w:hAnsi="Calibri" w:eastAsia="楷体_GB2312" w:cs="Calibri"/>
          <w:lang w:val="en-GB"/>
        </w:rPr>
      </w:pPr>
    </w:p>
    <w:sectPr>
      <w:headerReference r:id="rId8" w:type="first"/>
      <w:footerReference r:id="rId10" w:type="first"/>
      <w:headerReference r:id="rId7" w:type="default"/>
      <w:footerReference r:id="rId9" w:type="default"/>
      <w:pgSz w:w="11909" w:h="16834"/>
      <w:pgMar w:top="1077" w:right="567" w:bottom="1021" w:left="329" w:header="720" w:footer="115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汉仪楷体简">
    <w:altName w:val="微软雅黑"/>
    <w:panose1 w:val="00000000000000000000"/>
    <w:charset w:val="86"/>
    <w:family w:val="modern"/>
    <w:pitch w:val="default"/>
    <w:sig w:usb0="00000000" w:usb1="00000000" w:usb2="00000002" w:usb3="00000000" w:csb0="00040000" w:csb1="00000000"/>
  </w:font>
  <w:font w:name="微软雅黑">
    <w:panose1 w:val="020B0503020204020204"/>
    <w:charset w:val="86"/>
    <w:family w:val="auto"/>
    <w:pitch w:val="default"/>
    <w:sig w:usb0="80000287" w:usb1="2ACF3C50" w:usb2="00000016" w:usb3="00000000" w:csb0="0004001F" w:csb1="00000000"/>
  </w:font>
  <w:font w:name="汉仪大黑简">
    <w:altName w:val="黑体"/>
    <w:panose1 w:val="00000000000000000000"/>
    <w:charset w:val="86"/>
    <w:family w:val="roman"/>
    <w:pitch w:val="default"/>
    <w:sig w:usb0="00000000" w:usb1="00000000" w:usb2="00000002" w:usb3="00000000" w:csb0="00040000"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roman"/>
    <w:pitch w:val=""/>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96307">
    <w:pPr>
      <w:pStyle w:val="42"/>
    </w:pPr>
    <w:r>
      <w:rPr>
        <w:lang w:eastAsia="zh-CN"/>
      </w:rPr>
      <mc:AlternateContent>
        <mc:Choice Requires="wps">
          <w:drawing>
            <wp:anchor distT="0" distB="0" distL="114300" distR="114300" simplePos="0" relativeHeight="251661312" behindDoc="0" locked="1" layoutInCell="1" allowOverlap="1">
              <wp:simplePos x="0" y="0"/>
              <wp:positionH relativeFrom="column">
                <wp:posOffset>-441325</wp:posOffset>
              </wp:positionH>
              <wp:positionV relativeFrom="page">
                <wp:posOffset>9845040</wp:posOffset>
              </wp:positionV>
              <wp:extent cx="7376160" cy="807720"/>
              <wp:effectExtent l="0" t="0" r="1524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376160" cy="807720"/>
                      </a:xfrm>
                      <a:prstGeom prst="rect">
                        <a:avLst/>
                      </a:prstGeom>
                      <a:noFill/>
                      <a:ln>
                        <a:noFill/>
                      </a:ln>
                    </wps:spPr>
                    <wps:txbx>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4AE0872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42B5934B">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7CDFD6E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22ADB405">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44CA91">
                          <w:pPr>
                            <w:pStyle w:val="5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34.75pt;margin-top:775.2pt;height:63.6pt;width:580.8pt;mso-position-vertical-relative:page;z-index:251661312;mso-width-relative:page;mso-height-relative:page;" filled="f" stroked="f" coordsize="21600,21600" o:gfxdata="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xclB9wAAAAOAQAADwAAAAAAAAABACAAAAAiAAAAZHJzL2Rv&#10;d25yZXYueG1sUEsBAhQAFAAAAAgAh07iQNFGDl/9AQAABwQAAA4AAAAAAAAAAQAgAAAAKwEAAGRy&#10;cy9lMm9Eb2MueG1sUEsFBgAAAAAGAAYAWQEAAJoFAAAAAA==&#10;">
              <v:fill on="f" focussize="0,0"/>
              <v:stroke on="f"/>
              <v:imagedata o:title=""/>
              <o:lock v:ext="edit" aspectratio="f"/>
              <v:textbox inset="0mm,0mm,0mm,0mm">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4AE0872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42B5934B">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7CDFD6E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22ADB405">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44CA91">
                    <w:pPr>
                      <w:pStyle w:val="59"/>
                      <w:rPr>
                        <w:rFonts w:eastAsia="楷体_GB2312" w:cs="Calibri"/>
                        <w:b w:val="0"/>
                        <w:sz w:val="21"/>
                        <w:szCs w:val="21"/>
                      </w:rPr>
                    </w:pPr>
                  </w:p>
                </w:txbxContent>
              </v:textbox>
              <w10:anchorlock/>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page">
                <wp:posOffset>85090</wp:posOffset>
              </wp:positionH>
              <wp:positionV relativeFrom="page">
                <wp:posOffset>9789160</wp:posOffset>
              </wp:positionV>
              <wp:extent cx="7404100" cy="50165"/>
              <wp:effectExtent l="0" t="0" r="6350" b="6985"/>
              <wp:wrapNone/>
              <wp:docPr id="15"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0D1556ED">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6.7pt;margin-top:770.8pt;height:3.95pt;width:583pt;mso-position-horizontal-relative:page;mso-position-vertical-relative:page;z-index:251659264;mso-width-relative:page;mso-height-relative:page;" fillcolor="#005BAC" filled="t" stroked="f" coordsize="21600,21600" o:gfxdata="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MjSbtoA&#10;AAANAQAADwAAAAAAAAABACAAAAAiAAAAZHJzL2Rvd25yZXYueG1sUEsBAhQAFAAAAAgAh07iQI7t&#10;BuodAgAAPgQAAA4AAAAAAAAAAQAgAAAAKQEAAGRycy9lMm9Eb2MueG1sUEsFBgAAAAAGAAYAWQEA&#10;ALgFAAAAAA==&#10;">
              <v:fill on="t" focussize="0,0"/>
              <v:stroke on="f"/>
              <v:imagedata o:title=""/>
              <o:lock v:ext="edit" aspectratio="f"/>
              <v:textbox>
                <w:txbxContent>
                  <w:p w14:paraId="0D1556ED">
                    <w:pPr>
                      <w:ind w:left="-18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4B7E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5CBCA11F">
          <w:pPr>
            <w:pStyle w:val="49"/>
            <w:framePr w:wrap="auto" w:vAnchor="margin" w:hAnchor="text" w:xAlign="left" w:yAlign="inline"/>
          </w:pPr>
          <w:r>
            <w:fldChar w:fldCharType="begin"/>
          </w:r>
          <w:r>
            <w:instrText xml:space="preserve"> DATE  \@ "d MMM yyyy"  \* MERGEFORMAT </w:instrText>
          </w:r>
          <w:r>
            <w:fldChar w:fldCharType="separate"/>
          </w:r>
          <w:r>
            <w:t>20 Mar 2026</w:t>
          </w:r>
          <w:r>
            <w:fldChar w:fldCharType="end"/>
          </w:r>
          <w:r>
            <w:tab/>
          </w:r>
          <w:r>
            <w:fldChar w:fldCharType="begin"/>
          </w:r>
          <w:r>
            <w:instrText xml:space="preserve"> PAGE </w:instrText>
          </w:r>
          <w:r>
            <w:fldChar w:fldCharType="separate"/>
          </w:r>
          <w:r>
            <w:t>2</w:t>
          </w:r>
          <w:r>
            <w:fldChar w:fldCharType="end"/>
          </w:r>
        </w:p>
      </w:tc>
    </w:tr>
  </w:tbl>
  <w:p w14:paraId="3DBB6668">
    <w:pPr>
      <w:pStyle w:val="4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B764F">
    <w:pPr>
      <w:pStyle w:val="42"/>
      <w:spacing w:line="20" w:lineRule="exact"/>
    </w:pPr>
  </w:p>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3AA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55766913">
          <w:pPr>
            <w:pStyle w:val="49"/>
            <w:framePr w:wrap="auto" w:vAnchor="margin" w:hAnchor="text" w:xAlign="left" w:yAlign="inline"/>
          </w:pPr>
          <w:r>
            <w:tab/>
          </w:r>
          <w:r>
            <w:fldChar w:fldCharType="begin"/>
          </w:r>
          <w:r>
            <w:instrText xml:space="preserve"> PAGE </w:instrText>
          </w:r>
          <w:r>
            <w:fldChar w:fldCharType="separate"/>
          </w:r>
          <w:r>
            <w:t>4</w:t>
          </w:r>
          <w:r>
            <w:fldChar w:fldCharType="end"/>
          </w:r>
        </w:p>
      </w:tc>
    </w:tr>
  </w:tbl>
  <w:p w14:paraId="20959EE6">
    <w:pPr>
      <w:pStyle w:val="4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40CD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50DE5">
    <w:pPr>
      <w:pStyle w:val="42"/>
    </w:pPr>
  </w:p>
  <w:p w14:paraId="0222CB02"/>
  <w:p w14:paraId="0BD2C3C7">
    <w:pPr>
      <w:jc w:val="right"/>
    </w:pPr>
    <w:r>
      <w:rPr>
        <w:snapToGrid/>
      </w:rPr>
      <w:drawing>
        <wp:anchor distT="0" distB="0" distL="114300" distR="114300" simplePos="0" relativeHeight="251663360" behindDoc="0" locked="0" layoutInCell="1" allowOverlap="1">
          <wp:simplePos x="0" y="0"/>
          <wp:positionH relativeFrom="margin">
            <wp:align>right</wp:align>
          </wp:positionH>
          <wp:positionV relativeFrom="paragraph">
            <wp:posOffset>71120</wp:posOffset>
          </wp:positionV>
          <wp:extent cx="1925955" cy="651510"/>
          <wp:effectExtent l="0" t="0" r="0" b="0"/>
          <wp:wrapNone/>
          <wp:docPr id="1881123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2314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val="en-US" w:eastAsia="zh-CN"/>
      </w:rPr>
      <mc:AlternateContent>
        <mc:Choice Requires="wps">
          <w:drawing>
            <wp:anchor distT="0" distB="0" distL="114300" distR="114300" simplePos="0" relativeHeight="251662336" behindDoc="0" locked="0" layoutInCell="1" allowOverlap="1">
              <wp:simplePos x="0" y="0"/>
              <wp:positionH relativeFrom="column">
                <wp:posOffset>343535</wp:posOffset>
              </wp:positionH>
              <wp:positionV relativeFrom="paragraph">
                <wp:posOffset>2223135</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164F13B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46C8897B">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2CB06E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72B5349D">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0779300D">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7.05pt;margin-top:175.05pt;height:22.8pt;width:180.45pt;z-index:251662336;mso-width-relative:page;mso-height-relative:page;" filled="f" stroked="f" coordsize="21600,21600" o:gfxdata="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1lHhFtcAAAAKAQAADwAAAAAAAAABACAAAAAiAAAAZHJzL2Rvd25yZXYueG1sUEsBAhQAFAAAAAgA&#10;h07iQEQ8CgsmAgAAKwQAAA4AAAAAAAAAAQAgAAAAJgEAAGRycy9lMm9Eb2MueG1sUEsFBgAAAAAG&#10;AAYAWQEAAL4FAAAAAA==&#10;">
              <v:fill on="f" focussize="0,0"/>
              <v:stroke on="f" miterlimit="8" joinstyle="miter"/>
              <v:imagedata o:title=""/>
              <o:lock v:ext="edit" aspectratio="f"/>
              <v:textbo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164F13B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46C8897B">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2CB06E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72B5349D">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0779300D">
                    <w:pPr>
                      <w:spacing w:line="40" w:lineRule="exact"/>
                      <w:rPr>
                        <w:rFonts w:eastAsia="楷体_GB2312"/>
                        <w:color w:val="23558C"/>
                        <w:sz w:val="10"/>
                        <w:szCs w:val="10"/>
                        <w:lang w:eastAsia="zh-CN"/>
                      </w:rPr>
                    </w:pPr>
                  </w:p>
                </w:txbxContent>
              </v:textbox>
            </v:shape>
          </w:pict>
        </mc:Fallback>
      </mc:AlternateContent>
    </w:r>
    <w:r>
      <w:rPr>
        <w:lang w:val="en-US" w:eastAsia="zh-CN"/>
      </w:rPr>
      <w:drawing>
        <wp:anchor distT="0" distB="0" distL="114300" distR="114300" simplePos="0" relativeHeight="251660288" behindDoc="1" locked="0" layoutInCell="1" allowOverlap="1">
          <wp:simplePos x="0" y="0"/>
          <wp:positionH relativeFrom="column">
            <wp:posOffset>-60960</wp:posOffset>
          </wp:positionH>
          <wp:positionV relativeFrom="paragraph">
            <wp:posOffset>2253615</wp:posOffset>
          </wp:positionV>
          <wp:extent cx="360045" cy="179705"/>
          <wp:effectExtent l="0" t="0" r="2540" b="0"/>
          <wp:wrapNone/>
          <wp:docPr id="548883324" name="图片 548883324"/>
          <wp:cNvGraphicFramePr/>
          <a:graphic xmlns:a="http://schemas.openxmlformats.org/drawingml/2006/main">
            <a:graphicData uri="http://schemas.openxmlformats.org/drawingml/2006/picture">
              <pic:pic xmlns:pic="http://schemas.openxmlformats.org/drawingml/2006/picture">
                <pic:nvPicPr>
                  <pic:cNvPr id="548883324" name="图片 548883324"/>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7"/>
      <w:tblW w:w="10632" w:type="dxa"/>
      <w:tblCaption w:val="[Table_header1]"/>
      <w:tblInd w:w="108"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0632"/>
    </w:tblGrid>
    <w:tr w14:paraId="2F7A8AE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10632" w:type="dxa"/>
        </w:tcPr>
        <w:p w14:paraId="37CC30D7">
          <w:pPr>
            <w:pStyle w:val="42"/>
            <w:rPr>
              <w:color w:val="FF0000"/>
              <w:lang w:val="en-GB"/>
            </w:rPr>
          </w:pPr>
          <w:r>
            <w:rPr>
              <w:color w:val="FFFFFF" w:themeColor="background1"/>
              <w:lang w:val="en-GB"/>
              <w14:textFill>
                <w14:solidFill>
                  <w14:schemeClr w14:val="bg1"/>
                </w14:solidFill>
              </w14:textFill>
            </w:rPr>
            <w:t>[Table_header1]</w:t>
          </w:r>
        </w:p>
      </w:tc>
    </w:tr>
    <w:tr w14:paraId="36621B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0632" w:type="dxa"/>
        </w:tcPr>
        <w:p w14:paraId="0B2F732C">
          <w:pPr>
            <w:pStyle w:val="42"/>
            <w:wordWrap w:val="0"/>
            <w:jc w:val="right"/>
            <w:rPr>
              <w:rFonts w:eastAsia="楷体_GB2312" w:cs="Calibri"/>
              <w:sz w:val="24"/>
              <w:lang w:val="en-GB"/>
            </w:rPr>
          </w:pPr>
          <w:r>
            <w:rPr>
              <w:rFonts w:ascii="Calibri" w:eastAsia="楷体_GB2312"/>
              <w:b w:val="0"/>
              <w:i w:val="0"/>
              <w:color w:val="215E99"/>
              <w:sz w:val="24"/>
              <w:lang w:eastAsia="zh-CN"/>
            </w:rPr>
            <w:t>全球</w:t>
          </w:r>
          <w:r>
            <w:rPr>
              <w:rFonts w:hint="eastAsia" w:ascii="Calibri" w:eastAsia="楷体_GB2312"/>
              <w:b w:val="0"/>
              <w:i w:val="0"/>
              <w:color w:val="215E99"/>
              <w:sz w:val="24"/>
              <w:lang w:eastAsia="zh-CN"/>
            </w:rPr>
            <w:t>消费及互联网</w:t>
          </w:r>
          <w:r>
            <w:rPr>
              <w:rFonts w:ascii="Calibri" w:eastAsia="楷体_GB2312"/>
              <w:b w:val="0"/>
              <w:i w:val="0"/>
              <w:color w:val="215E99"/>
              <w:sz w:val="24"/>
              <w:lang w:val="en-US"/>
            </w:rPr>
            <w:t>Global Consumption &amp; Internet Sector</w:t>
          </w:r>
        </w:p>
      </w:tc>
    </w:tr>
  </w:tbl>
  <w:p w14:paraId="6CCF7A80">
    <w:pPr>
      <w:pStyle w:val="42"/>
      <w:rPr>
        <w:lang w:val="en-G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30520">
    <w:pPr>
      <w:pStyle w:val="42"/>
      <w:spacing w:line="360" w:lineRule="aut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48B4C">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34AC8"/>
    <w:multiLevelType w:val="multilevel"/>
    <w:tmpl w:val="02634AC8"/>
    <w:lvl w:ilvl="0" w:tentative="0">
      <w:start w:val="1"/>
      <w:numFmt w:val="bullet"/>
      <w:pStyle w:val="13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3935DA5"/>
    <w:multiLevelType w:val="multilevel"/>
    <w:tmpl w:val="03935DA5"/>
    <w:lvl w:ilvl="0" w:tentative="0">
      <w:start w:val="1"/>
      <w:numFmt w:val="bullet"/>
      <w:pStyle w:val="4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C657F7"/>
    <w:multiLevelType w:val="multilevel"/>
    <w:tmpl w:val="04C657F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rPr>
    </w:lvl>
    <w:lvl w:ilvl="2" w:tentative="0">
      <w:start w:val="1"/>
      <w:numFmt w:val="decimal"/>
      <w:lvlText w:val="%1.%2.%3."/>
      <w:lvlJc w:val="left"/>
      <w:pPr>
        <w:tabs>
          <w:tab w:val="left" w:pos="709"/>
        </w:tabs>
        <w:ind w:left="709" w:hanging="709"/>
      </w:pPr>
      <w:rPr>
        <w:rFonts w:hint="eastAsia"/>
      </w:rPr>
    </w:lvl>
    <w:lvl w:ilvl="3" w:tentative="0">
      <w:start w:val="1"/>
      <w:numFmt w:val="decimal"/>
      <w:pStyle w:val="5"/>
      <w:lvlText w:val="%1.%2.%3.%4."/>
      <w:lvlJc w:val="left"/>
      <w:pPr>
        <w:tabs>
          <w:tab w:val="left" w:pos="3911"/>
        </w:tabs>
        <w:ind w:left="391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238731C4"/>
    <w:multiLevelType w:val="multilevel"/>
    <w:tmpl w:val="238731C4"/>
    <w:lvl w:ilvl="0" w:tentative="0">
      <w:start w:val="1"/>
      <w:numFmt w:val="upperRoman"/>
      <w:pStyle w:val="87"/>
      <w:lvlText w:val="PART %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31A2D25"/>
    <w:multiLevelType w:val="multilevel"/>
    <w:tmpl w:val="331A2D25"/>
    <w:lvl w:ilvl="0" w:tentative="0">
      <w:start w:val="1"/>
      <w:numFmt w:val="bullet"/>
      <w:pStyle w:val="68"/>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8A55B35"/>
    <w:multiLevelType w:val="multilevel"/>
    <w:tmpl w:val="38A55B35"/>
    <w:lvl w:ilvl="0" w:tentative="0">
      <w:start w:val="1"/>
      <w:numFmt w:val="bullet"/>
      <w:pStyle w:val="9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41772804"/>
    <w:multiLevelType w:val="multilevel"/>
    <w:tmpl w:val="41772804"/>
    <w:lvl w:ilvl="0" w:tentative="0">
      <w:start w:val="1"/>
      <w:numFmt w:val="bullet"/>
      <w:pStyle w:val="67"/>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1EA01BD"/>
    <w:multiLevelType w:val="multilevel"/>
    <w:tmpl w:val="41EA01BD"/>
    <w:lvl w:ilvl="0" w:tentative="0">
      <w:start w:val="1"/>
      <w:numFmt w:val="bullet"/>
      <w:pStyle w:val="84"/>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79321DC"/>
    <w:multiLevelType w:val="multilevel"/>
    <w:tmpl w:val="479321DC"/>
    <w:lvl w:ilvl="0" w:tentative="0">
      <w:start w:val="1"/>
      <w:numFmt w:val="bullet"/>
      <w:pStyle w:val="39"/>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8B20CCA"/>
    <w:multiLevelType w:val="multilevel"/>
    <w:tmpl w:val="48B20CCA"/>
    <w:lvl w:ilvl="0" w:tentative="0">
      <w:start w:val="1"/>
      <w:numFmt w:val="decimal"/>
      <w:lvlText w:val="%1）"/>
      <w:lvlJc w:val="left"/>
      <w:pPr>
        <w:ind w:left="3560" w:hanging="360"/>
      </w:pPr>
      <w:rPr>
        <w:rFonts w:hint="default"/>
      </w:rPr>
    </w:lvl>
    <w:lvl w:ilvl="1" w:tentative="0">
      <w:start w:val="1"/>
      <w:numFmt w:val="lowerLetter"/>
      <w:lvlText w:val="%2)"/>
      <w:lvlJc w:val="left"/>
      <w:pPr>
        <w:ind w:left="4080" w:hanging="440"/>
      </w:pPr>
    </w:lvl>
    <w:lvl w:ilvl="2" w:tentative="0">
      <w:start w:val="1"/>
      <w:numFmt w:val="lowerRoman"/>
      <w:lvlText w:val="%3."/>
      <w:lvlJc w:val="right"/>
      <w:pPr>
        <w:ind w:left="4520" w:hanging="440"/>
      </w:pPr>
    </w:lvl>
    <w:lvl w:ilvl="3" w:tentative="0">
      <w:start w:val="1"/>
      <w:numFmt w:val="decimal"/>
      <w:lvlText w:val="%4."/>
      <w:lvlJc w:val="left"/>
      <w:pPr>
        <w:ind w:left="4960" w:hanging="440"/>
      </w:pPr>
    </w:lvl>
    <w:lvl w:ilvl="4" w:tentative="0">
      <w:start w:val="1"/>
      <w:numFmt w:val="lowerLetter"/>
      <w:lvlText w:val="%5)"/>
      <w:lvlJc w:val="left"/>
      <w:pPr>
        <w:ind w:left="5400" w:hanging="440"/>
      </w:pPr>
    </w:lvl>
    <w:lvl w:ilvl="5" w:tentative="0">
      <w:start w:val="1"/>
      <w:numFmt w:val="lowerRoman"/>
      <w:lvlText w:val="%6."/>
      <w:lvlJc w:val="right"/>
      <w:pPr>
        <w:ind w:left="5840" w:hanging="440"/>
      </w:pPr>
    </w:lvl>
    <w:lvl w:ilvl="6" w:tentative="0">
      <w:start w:val="1"/>
      <w:numFmt w:val="decimal"/>
      <w:lvlText w:val="%7."/>
      <w:lvlJc w:val="left"/>
      <w:pPr>
        <w:ind w:left="6280" w:hanging="440"/>
      </w:pPr>
    </w:lvl>
    <w:lvl w:ilvl="7" w:tentative="0">
      <w:start w:val="1"/>
      <w:numFmt w:val="lowerLetter"/>
      <w:lvlText w:val="%8)"/>
      <w:lvlJc w:val="left"/>
      <w:pPr>
        <w:ind w:left="6720" w:hanging="440"/>
      </w:pPr>
    </w:lvl>
    <w:lvl w:ilvl="8" w:tentative="0">
      <w:start w:val="1"/>
      <w:numFmt w:val="lowerRoman"/>
      <w:lvlText w:val="%9."/>
      <w:lvlJc w:val="right"/>
      <w:pPr>
        <w:ind w:left="7160" w:hanging="440"/>
      </w:pPr>
    </w:lvl>
  </w:abstractNum>
  <w:abstractNum w:abstractNumId="10">
    <w:nsid w:val="662B5102"/>
    <w:multiLevelType w:val="multilevel"/>
    <w:tmpl w:val="662B5102"/>
    <w:lvl w:ilvl="0" w:tentative="0">
      <w:start w:val="1"/>
      <w:numFmt w:val="bullet"/>
      <w:pStyle w:val="93"/>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1">
    <w:nsid w:val="6B531506"/>
    <w:multiLevelType w:val="multilevel"/>
    <w:tmpl w:val="6B531506"/>
    <w:lvl w:ilvl="0" w:tentative="0">
      <w:start w:val="1"/>
      <w:numFmt w:val="upperRoman"/>
      <w:pStyle w:val="99"/>
      <w:lvlText w:val="PART %1."/>
      <w:lvlJc w:val="left"/>
      <w:pPr>
        <w:ind w:left="480" w:hanging="480"/>
      </w:pPr>
      <w:rPr>
        <w:rFonts w:hint="eastAsia"/>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2">
    <w:nsid w:val="6C4E34EC"/>
    <w:multiLevelType w:val="multilevel"/>
    <w:tmpl w:val="6C4E34EC"/>
    <w:lvl w:ilvl="0" w:tentative="0">
      <w:start w:val="1"/>
      <w:numFmt w:val="bullet"/>
      <w:pStyle w:val="66"/>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8"/>
  </w:num>
  <w:num w:numId="3">
    <w:abstractNumId w:val="1"/>
  </w:num>
  <w:num w:numId="4">
    <w:abstractNumId w:val="12"/>
  </w:num>
  <w:num w:numId="5">
    <w:abstractNumId w:val="6"/>
  </w:num>
  <w:num w:numId="6">
    <w:abstractNumId w:val="4"/>
  </w:num>
  <w:num w:numId="7">
    <w:abstractNumId w:val="7"/>
  </w:num>
  <w:num w:numId="8">
    <w:abstractNumId w:val="3"/>
  </w:num>
  <w:num w:numId="9">
    <w:abstractNumId w:val="5"/>
  </w:num>
  <w:num w:numId="10">
    <w:abstractNumId w:val="10"/>
  </w:num>
  <w:num w:numId="11">
    <w:abstractNumId w:val="11"/>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ocumentProtection w:enforcement="0"/>
  <w:defaultTabStop w:val="400"/>
  <w:drawingGridHorizontalSpacing w:val="80"/>
  <w:drawingGridVerticalSpacing w:val="20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A27"/>
    <w:rsid w:val="00001C0E"/>
    <w:rsid w:val="0000224B"/>
    <w:rsid w:val="00002DDC"/>
    <w:rsid w:val="00003E75"/>
    <w:rsid w:val="00004BAA"/>
    <w:rsid w:val="00004FB5"/>
    <w:rsid w:val="0000558A"/>
    <w:rsid w:val="000063F1"/>
    <w:rsid w:val="00006910"/>
    <w:rsid w:val="0000732D"/>
    <w:rsid w:val="00007B49"/>
    <w:rsid w:val="00010774"/>
    <w:rsid w:val="0001184F"/>
    <w:rsid w:val="00012258"/>
    <w:rsid w:val="00013043"/>
    <w:rsid w:val="000130D9"/>
    <w:rsid w:val="00013244"/>
    <w:rsid w:val="00014086"/>
    <w:rsid w:val="000146CB"/>
    <w:rsid w:val="00014976"/>
    <w:rsid w:val="000171D2"/>
    <w:rsid w:val="000201AE"/>
    <w:rsid w:val="00020B7A"/>
    <w:rsid w:val="00021DAC"/>
    <w:rsid w:val="00021DD0"/>
    <w:rsid w:val="00022C11"/>
    <w:rsid w:val="00022DB6"/>
    <w:rsid w:val="00023367"/>
    <w:rsid w:val="00024F59"/>
    <w:rsid w:val="0002500A"/>
    <w:rsid w:val="00025E71"/>
    <w:rsid w:val="00025F59"/>
    <w:rsid w:val="00026DCC"/>
    <w:rsid w:val="00026E0B"/>
    <w:rsid w:val="00027183"/>
    <w:rsid w:val="000275CC"/>
    <w:rsid w:val="00027FEF"/>
    <w:rsid w:val="0003028B"/>
    <w:rsid w:val="00032B31"/>
    <w:rsid w:val="000334F3"/>
    <w:rsid w:val="000336AF"/>
    <w:rsid w:val="00033DF7"/>
    <w:rsid w:val="000347D5"/>
    <w:rsid w:val="00034B8E"/>
    <w:rsid w:val="00035535"/>
    <w:rsid w:val="00035E45"/>
    <w:rsid w:val="0003686B"/>
    <w:rsid w:val="00036BDA"/>
    <w:rsid w:val="00040734"/>
    <w:rsid w:val="00041387"/>
    <w:rsid w:val="00041A6F"/>
    <w:rsid w:val="0004283E"/>
    <w:rsid w:val="00043062"/>
    <w:rsid w:val="00043657"/>
    <w:rsid w:val="00043BDD"/>
    <w:rsid w:val="00043D26"/>
    <w:rsid w:val="0004549E"/>
    <w:rsid w:val="00047D52"/>
    <w:rsid w:val="000516AD"/>
    <w:rsid w:val="00051EC9"/>
    <w:rsid w:val="00052838"/>
    <w:rsid w:val="00052DCF"/>
    <w:rsid w:val="00053373"/>
    <w:rsid w:val="00053BBB"/>
    <w:rsid w:val="00054224"/>
    <w:rsid w:val="00054451"/>
    <w:rsid w:val="00055381"/>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2E6"/>
    <w:rsid w:val="00084B49"/>
    <w:rsid w:val="000860EA"/>
    <w:rsid w:val="00086E96"/>
    <w:rsid w:val="00090800"/>
    <w:rsid w:val="0009177A"/>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13B5"/>
    <w:rsid w:val="000A1F58"/>
    <w:rsid w:val="000A23D4"/>
    <w:rsid w:val="000A2C9D"/>
    <w:rsid w:val="000A30E9"/>
    <w:rsid w:val="000A40FE"/>
    <w:rsid w:val="000A461B"/>
    <w:rsid w:val="000A6794"/>
    <w:rsid w:val="000A726A"/>
    <w:rsid w:val="000B13C1"/>
    <w:rsid w:val="000B18D6"/>
    <w:rsid w:val="000B2336"/>
    <w:rsid w:val="000B465C"/>
    <w:rsid w:val="000B6CF1"/>
    <w:rsid w:val="000B792D"/>
    <w:rsid w:val="000B7DE2"/>
    <w:rsid w:val="000C02AE"/>
    <w:rsid w:val="000C02F6"/>
    <w:rsid w:val="000C1F65"/>
    <w:rsid w:val="000C2B68"/>
    <w:rsid w:val="000C2E9E"/>
    <w:rsid w:val="000C39D2"/>
    <w:rsid w:val="000C3D03"/>
    <w:rsid w:val="000C3D77"/>
    <w:rsid w:val="000C3F5C"/>
    <w:rsid w:val="000C4852"/>
    <w:rsid w:val="000C627B"/>
    <w:rsid w:val="000C7332"/>
    <w:rsid w:val="000C77D8"/>
    <w:rsid w:val="000C7E1A"/>
    <w:rsid w:val="000D1903"/>
    <w:rsid w:val="000D19B0"/>
    <w:rsid w:val="000D1A3C"/>
    <w:rsid w:val="000D3F1A"/>
    <w:rsid w:val="000E0A01"/>
    <w:rsid w:val="000E1FB8"/>
    <w:rsid w:val="000E35E3"/>
    <w:rsid w:val="000E3E8B"/>
    <w:rsid w:val="000E5287"/>
    <w:rsid w:val="000E664D"/>
    <w:rsid w:val="000E6BA6"/>
    <w:rsid w:val="000F098D"/>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84"/>
    <w:rsid w:val="001009C1"/>
    <w:rsid w:val="00100F5F"/>
    <w:rsid w:val="001029E6"/>
    <w:rsid w:val="00103105"/>
    <w:rsid w:val="001031DB"/>
    <w:rsid w:val="00103CDB"/>
    <w:rsid w:val="001059C9"/>
    <w:rsid w:val="0010656E"/>
    <w:rsid w:val="00106DF2"/>
    <w:rsid w:val="00110533"/>
    <w:rsid w:val="00110B26"/>
    <w:rsid w:val="00110FF3"/>
    <w:rsid w:val="0011245A"/>
    <w:rsid w:val="00113DC0"/>
    <w:rsid w:val="00114755"/>
    <w:rsid w:val="001154B0"/>
    <w:rsid w:val="0011588A"/>
    <w:rsid w:val="001164AF"/>
    <w:rsid w:val="00116626"/>
    <w:rsid w:val="00117571"/>
    <w:rsid w:val="00117BD2"/>
    <w:rsid w:val="00117C9F"/>
    <w:rsid w:val="001207E4"/>
    <w:rsid w:val="00120A7B"/>
    <w:rsid w:val="0012100A"/>
    <w:rsid w:val="00123AC1"/>
    <w:rsid w:val="0012412A"/>
    <w:rsid w:val="00124271"/>
    <w:rsid w:val="0012686A"/>
    <w:rsid w:val="00126871"/>
    <w:rsid w:val="00127309"/>
    <w:rsid w:val="0012751B"/>
    <w:rsid w:val="00127CD0"/>
    <w:rsid w:val="00130BC2"/>
    <w:rsid w:val="001311FC"/>
    <w:rsid w:val="00132285"/>
    <w:rsid w:val="001326E1"/>
    <w:rsid w:val="0013302A"/>
    <w:rsid w:val="00133D86"/>
    <w:rsid w:val="001345B6"/>
    <w:rsid w:val="00135A41"/>
    <w:rsid w:val="00137678"/>
    <w:rsid w:val="00140ED9"/>
    <w:rsid w:val="001434AA"/>
    <w:rsid w:val="00145B09"/>
    <w:rsid w:val="00145E14"/>
    <w:rsid w:val="001473CF"/>
    <w:rsid w:val="0014788D"/>
    <w:rsid w:val="00147C4A"/>
    <w:rsid w:val="00147D4C"/>
    <w:rsid w:val="00147D9D"/>
    <w:rsid w:val="00150630"/>
    <w:rsid w:val="0015086D"/>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576B2"/>
    <w:rsid w:val="00160306"/>
    <w:rsid w:val="0016407E"/>
    <w:rsid w:val="00164CA4"/>
    <w:rsid w:val="00165FE3"/>
    <w:rsid w:val="001669C8"/>
    <w:rsid w:val="00166E15"/>
    <w:rsid w:val="00167695"/>
    <w:rsid w:val="00170C3B"/>
    <w:rsid w:val="00170DCB"/>
    <w:rsid w:val="001721EC"/>
    <w:rsid w:val="001763B0"/>
    <w:rsid w:val="001771D0"/>
    <w:rsid w:val="00177C30"/>
    <w:rsid w:val="001807CA"/>
    <w:rsid w:val="00181893"/>
    <w:rsid w:val="00182B36"/>
    <w:rsid w:val="00183A3D"/>
    <w:rsid w:val="001849FE"/>
    <w:rsid w:val="0018583D"/>
    <w:rsid w:val="00185B06"/>
    <w:rsid w:val="0018617F"/>
    <w:rsid w:val="001872F4"/>
    <w:rsid w:val="001875FC"/>
    <w:rsid w:val="00191469"/>
    <w:rsid w:val="001922CB"/>
    <w:rsid w:val="0019345E"/>
    <w:rsid w:val="0019383A"/>
    <w:rsid w:val="00194662"/>
    <w:rsid w:val="00195C32"/>
    <w:rsid w:val="00197CAF"/>
    <w:rsid w:val="001A1911"/>
    <w:rsid w:val="001A2C85"/>
    <w:rsid w:val="001A3692"/>
    <w:rsid w:val="001A4F63"/>
    <w:rsid w:val="001A563D"/>
    <w:rsid w:val="001A571E"/>
    <w:rsid w:val="001A6C17"/>
    <w:rsid w:val="001A7AE5"/>
    <w:rsid w:val="001B0473"/>
    <w:rsid w:val="001B0E69"/>
    <w:rsid w:val="001B1F03"/>
    <w:rsid w:val="001B27A0"/>
    <w:rsid w:val="001B2F6F"/>
    <w:rsid w:val="001B3090"/>
    <w:rsid w:val="001B31CA"/>
    <w:rsid w:val="001B3D32"/>
    <w:rsid w:val="001B3E45"/>
    <w:rsid w:val="001B45FD"/>
    <w:rsid w:val="001B77D2"/>
    <w:rsid w:val="001C020B"/>
    <w:rsid w:val="001C105A"/>
    <w:rsid w:val="001C20AC"/>
    <w:rsid w:val="001C23C5"/>
    <w:rsid w:val="001C2549"/>
    <w:rsid w:val="001C2BEB"/>
    <w:rsid w:val="001C3243"/>
    <w:rsid w:val="001C3BF9"/>
    <w:rsid w:val="001C3C78"/>
    <w:rsid w:val="001C577A"/>
    <w:rsid w:val="001C5D7B"/>
    <w:rsid w:val="001C62E1"/>
    <w:rsid w:val="001C637C"/>
    <w:rsid w:val="001C7739"/>
    <w:rsid w:val="001C7FED"/>
    <w:rsid w:val="001D00D0"/>
    <w:rsid w:val="001D2DEF"/>
    <w:rsid w:val="001D345B"/>
    <w:rsid w:val="001D4C97"/>
    <w:rsid w:val="001D58D6"/>
    <w:rsid w:val="001D663F"/>
    <w:rsid w:val="001D6B4F"/>
    <w:rsid w:val="001D6F5B"/>
    <w:rsid w:val="001D7F4E"/>
    <w:rsid w:val="001E04EA"/>
    <w:rsid w:val="001E0900"/>
    <w:rsid w:val="001E4AE1"/>
    <w:rsid w:val="001E4BA2"/>
    <w:rsid w:val="001E59E2"/>
    <w:rsid w:val="001E60AA"/>
    <w:rsid w:val="001E6C6E"/>
    <w:rsid w:val="001E7BEF"/>
    <w:rsid w:val="001E7FF3"/>
    <w:rsid w:val="001F0651"/>
    <w:rsid w:val="001F1906"/>
    <w:rsid w:val="001F1C59"/>
    <w:rsid w:val="001F2CEC"/>
    <w:rsid w:val="001F3F20"/>
    <w:rsid w:val="001F4135"/>
    <w:rsid w:val="001F5572"/>
    <w:rsid w:val="001F5A51"/>
    <w:rsid w:val="001F75AC"/>
    <w:rsid w:val="00200B71"/>
    <w:rsid w:val="00201113"/>
    <w:rsid w:val="00201302"/>
    <w:rsid w:val="002017C5"/>
    <w:rsid w:val="0020268B"/>
    <w:rsid w:val="00203E93"/>
    <w:rsid w:val="00205477"/>
    <w:rsid w:val="00205F60"/>
    <w:rsid w:val="0020724C"/>
    <w:rsid w:val="00210A0C"/>
    <w:rsid w:val="0021325D"/>
    <w:rsid w:val="00214810"/>
    <w:rsid w:val="00214CA6"/>
    <w:rsid w:val="00215AB9"/>
    <w:rsid w:val="00215D4D"/>
    <w:rsid w:val="002179B7"/>
    <w:rsid w:val="0022007B"/>
    <w:rsid w:val="002207F6"/>
    <w:rsid w:val="00221734"/>
    <w:rsid w:val="00221CAF"/>
    <w:rsid w:val="00221D28"/>
    <w:rsid w:val="002229E1"/>
    <w:rsid w:val="0022396B"/>
    <w:rsid w:val="00225267"/>
    <w:rsid w:val="00225ADD"/>
    <w:rsid w:val="00226246"/>
    <w:rsid w:val="00227B8A"/>
    <w:rsid w:val="00227E8E"/>
    <w:rsid w:val="0023015F"/>
    <w:rsid w:val="002323DB"/>
    <w:rsid w:val="00232C95"/>
    <w:rsid w:val="002333C1"/>
    <w:rsid w:val="002334CD"/>
    <w:rsid w:val="00237306"/>
    <w:rsid w:val="00237325"/>
    <w:rsid w:val="00237463"/>
    <w:rsid w:val="002408B0"/>
    <w:rsid w:val="002409CB"/>
    <w:rsid w:val="00240D3A"/>
    <w:rsid w:val="00240FE3"/>
    <w:rsid w:val="0024314C"/>
    <w:rsid w:val="002434FB"/>
    <w:rsid w:val="00243985"/>
    <w:rsid w:val="00243BC1"/>
    <w:rsid w:val="00244462"/>
    <w:rsid w:val="0024707C"/>
    <w:rsid w:val="00247965"/>
    <w:rsid w:val="00247BCD"/>
    <w:rsid w:val="002501F5"/>
    <w:rsid w:val="00250E07"/>
    <w:rsid w:val="0025139A"/>
    <w:rsid w:val="00251638"/>
    <w:rsid w:val="00251CD4"/>
    <w:rsid w:val="00251EC5"/>
    <w:rsid w:val="00253320"/>
    <w:rsid w:val="00253D92"/>
    <w:rsid w:val="0025406B"/>
    <w:rsid w:val="00255E22"/>
    <w:rsid w:val="00256095"/>
    <w:rsid w:val="002562BC"/>
    <w:rsid w:val="002567B0"/>
    <w:rsid w:val="00257140"/>
    <w:rsid w:val="00257AC0"/>
    <w:rsid w:val="00257F10"/>
    <w:rsid w:val="00261434"/>
    <w:rsid w:val="002617C7"/>
    <w:rsid w:val="00262A58"/>
    <w:rsid w:val="00262C21"/>
    <w:rsid w:val="0026432E"/>
    <w:rsid w:val="00264B84"/>
    <w:rsid w:val="002666AC"/>
    <w:rsid w:val="00267EFE"/>
    <w:rsid w:val="00273FB3"/>
    <w:rsid w:val="00274E8C"/>
    <w:rsid w:val="00275A6D"/>
    <w:rsid w:val="00275B79"/>
    <w:rsid w:val="00275FBC"/>
    <w:rsid w:val="00276A7D"/>
    <w:rsid w:val="002772E9"/>
    <w:rsid w:val="00277681"/>
    <w:rsid w:val="002777FE"/>
    <w:rsid w:val="00280FB4"/>
    <w:rsid w:val="002817A0"/>
    <w:rsid w:val="00281946"/>
    <w:rsid w:val="0028248E"/>
    <w:rsid w:val="00282B2F"/>
    <w:rsid w:val="00282B6C"/>
    <w:rsid w:val="002833B6"/>
    <w:rsid w:val="002843D0"/>
    <w:rsid w:val="002846D0"/>
    <w:rsid w:val="00284BE9"/>
    <w:rsid w:val="00285753"/>
    <w:rsid w:val="00286353"/>
    <w:rsid w:val="00286E37"/>
    <w:rsid w:val="00286F2F"/>
    <w:rsid w:val="002870CD"/>
    <w:rsid w:val="0029063B"/>
    <w:rsid w:val="00290715"/>
    <w:rsid w:val="00293E45"/>
    <w:rsid w:val="00296000"/>
    <w:rsid w:val="002968E7"/>
    <w:rsid w:val="00296930"/>
    <w:rsid w:val="002969CE"/>
    <w:rsid w:val="00297780"/>
    <w:rsid w:val="00297C2B"/>
    <w:rsid w:val="00297EF5"/>
    <w:rsid w:val="002A0BCF"/>
    <w:rsid w:val="002A0FF7"/>
    <w:rsid w:val="002A1AF8"/>
    <w:rsid w:val="002A20F7"/>
    <w:rsid w:val="002A2A17"/>
    <w:rsid w:val="002A2EB2"/>
    <w:rsid w:val="002A30AA"/>
    <w:rsid w:val="002A3710"/>
    <w:rsid w:val="002A3E5A"/>
    <w:rsid w:val="002A5BD9"/>
    <w:rsid w:val="002A6465"/>
    <w:rsid w:val="002A7BB7"/>
    <w:rsid w:val="002B03B4"/>
    <w:rsid w:val="002B15B5"/>
    <w:rsid w:val="002B1747"/>
    <w:rsid w:val="002B1CC9"/>
    <w:rsid w:val="002B2C18"/>
    <w:rsid w:val="002B3B08"/>
    <w:rsid w:val="002B40A7"/>
    <w:rsid w:val="002B439E"/>
    <w:rsid w:val="002B4AC7"/>
    <w:rsid w:val="002B4E5C"/>
    <w:rsid w:val="002B516B"/>
    <w:rsid w:val="002B6571"/>
    <w:rsid w:val="002B68AF"/>
    <w:rsid w:val="002B709B"/>
    <w:rsid w:val="002C07D1"/>
    <w:rsid w:val="002C0CCE"/>
    <w:rsid w:val="002C0D89"/>
    <w:rsid w:val="002C2D27"/>
    <w:rsid w:val="002C3E56"/>
    <w:rsid w:val="002C44EB"/>
    <w:rsid w:val="002C4E72"/>
    <w:rsid w:val="002C51E2"/>
    <w:rsid w:val="002C5BFC"/>
    <w:rsid w:val="002C6FAE"/>
    <w:rsid w:val="002D11BD"/>
    <w:rsid w:val="002D1C70"/>
    <w:rsid w:val="002D2336"/>
    <w:rsid w:val="002D2431"/>
    <w:rsid w:val="002D4A31"/>
    <w:rsid w:val="002D4D68"/>
    <w:rsid w:val="002D524C"/>
    <w:rsid w:val="002D5EA5"/>
    <w:rsid w:val="002D761C"/>
    <w:rsid w:val="002D78E2"/>
    <w:rsid w:val="002D7CB8"/>
    <w:rsid w:val="002E0E93"/>
    <w:rsid w:val="002E29EA"/>
    <w:rsid w:val="002E2D7C"/>
    <w:rsid w:val="002E3F60"/>
    <w:rsid w:val="002E400B"/>
    <w:rsid w:val="002E4090"/>
    <w:rsid w:val="002E4D19"/>
    <w:rsid w:val="002E53C1"/>
    <w:rsid w:val="002E5AF9"/>
    <w:rsid w:val="002E6704"/>
    <w:rsid w:val="002E6900"/>
    <w:rsid w:val="002E7FF0"/>
    <w:rsid w:val="002F09F8"/>
    <w:rsid w:val="002F0EEC"/>
    <w:rsid w:val="002F1534"/>
    <w:rsid w:val="002F18F4"/>
    <w:rsid w:val="002F3F48"/>
    <w:rsid w:val="002F437F"/>
    <w:rsid w:val="002F65E1"/>
    <w:rsid w:val="0030077C"/>
    <w:rsid w:val="003007A4"/>
    <w:rsid w:val="0030101D"/>
    <w:rsid w:val="003015C5"/>
    <w:rsid w:val="0030327A"/>
    <w:rsid w:val="00304467"/>
    <w:rsid w:val="00304E2E"/>
    <w:rsid w:val="003104B3"/>
    <w:rsid w:val="003137DC"/>
    <w:rsid w:val="003142B9"/>
    <w:rsid w:val="00316786"/>
    <w:rsid w:val="003170E4"/>
    <w:rsid w:val="00317AD1"/>
    <w:rsid w:val="003200D1"/>
    <w:rsid w:val="00320995"/>
    <w:rsid w:val="00320FC6"/>
    <w:rsid w:val="003226E3"/>
    <w:rsid w:val="0032349C"/>
    <w:rsid w:val="003246B4"/>
    <w:rsid w:val="003248CF"/>
    <w:rsid w:val="00325AF1"/>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6891"/>
    <w:rsid w:val="00337886"/>
    <w:rsid w:val="00337CD7"/>
    <w:rsid w:val="003408AF"/>
    <w:rsid w:val="003418D2"/>
    <w:rsid w:val="00342E7B"/>
    <w:rsid w:val="0034304F"/>
    <w:rsid w:val="00343447"/>
    <w:rsid w:val="00343583"/>
    <w:rsid w:val="00344135"/>
    <w:rsid w:val="00345486"/>
    <w:rsid w:val="00346D6E"/>
    <w:rsid w:val="00347720"/>
    <w:rsid w:val="0035072E"/>
    <w:rsid w:val="003514ED"/>
    <w:rsid w:val="003516DE"/>
    <w:rsid w:val="003519F8"/>
    <w:rsid w:val="00352D75"/>
    <w:rsid w:val="003533A0"/>
    <w:rsid w:val="00353500"/>
    <w:rsid w:val="0035369E"/>
    <w:rsid w:val="00353FA6"/>
    <w:rsid w:val="00356791"/>
    <w:rsid w:val="00356FAA"/>
    <w:rsid w:val="00357651"/>
    <w:rsid w:val="00357B9C"/>
    <w:rsid w:val="00360383"/>
    <w:rsid w:val="00360BD6"/>
    <w:rsid w:val="00360E3F"/>
    <w:rsid w:val="00363BD9"/>
    <w:rsid w:val="00364AF9"/>
    <w:rsid w:val="00364B54"/>
    <w:rsid w:val="00365E9C"/>
    <w:rsid w:val="00366288"/>
    <w:rsid w:val="00366310"/>
    <w:rsid w:val="00366ED6"/>
    <w:rsid w:val="003677DE"/>
    <w:rsid w:val="00372B4C"/>
    <w:rsid w:val="00373624"/>
    <w:rsid w:val="00373BBC"/>
    <w:rsid w:val="003747D4"/>
    <w:rsid w:val="00375270"/>
    <w:rsid w:val="00375A75"/>
    <w:rsid w:val="00375F8D"/>
    <w:rsid w:val="003807D7"/>
    <w:rsid w:val="0038264E"/>
    <w:rsid w:val="003827A2"/>
    <w:rsid w:val="00382E5B"/>
    <w:rsid w:val="00383DC8"/>
    <w:rsid w:val="003856F2"/>
    <w:rsid w:val="00385A0D"/>
    <w:rsid w:val="0038635C"/>
    <w:rsid w:val="00386CC7"/>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246"/>
    <w:rsid w:val="003A3982"/>
    <w:rsid w:val="003A4499"/>
    <w:rsid w:val="003A5479"/>
    <w:rsid w:val="003A5A36"/>
    <w:rsid w:val="003A61BB"/>
    <w:rsid w:val="003A6201"/>
    <w:rsid w:val="003A6448"/>
    <w:rsid w:val="003A6917"/>
    <w:rsid w:val="003A76FD"/>
    <w:rsid w:val="003A7A6B"/>
    <w:rsid w:val="003A7FED"/>
    <w:rsid w:val="003B0274"/>
    <w:rsid w:val="003B05D3"/>
    <w:rsid w:val="003B3DFE"/>
    <w:rsid w:val="003B3E37"/>
    <w:rsid w:val="003B42E0"/>
    <w:rsid w:val="003B509D"/>
    <w:rsid w:val="003B583F"/>
    <w:rsid w:val="003B5DAD"/>
    <w:rsid w:val="003B69AF"/>
    <w:rsid w:val="003B78FD"/>
    <w:rsid w:val="003B7A01"/>
    <w:rsid w:val="003C0ECB"/>
    <w:rsid w:val="003C2B67"/>
    <w:rsid w:val="003C3701"/>
    <w:rsid w:val="003C3ED1"/>
    <w:rsid w:val="003C50EE"/>
    <w:rsid w:val="003C635C"/>
    <w:rsid w:val="003C6529"/>
    <w:rsid w:val="003C704F"/>
    <w:rsid w:val="003D0442"/>
    <w:rsid w:val="003D0A11"/>
    <w:rsid w:val="003D0FF4"/>
    <w:rsid w:val="003D1349"/>
    <w:rsid w:val="003D2FBC"/>
    <w:rsid w:val="003D5B68"/>
    <w:rsid w:val="003D60E8"/>
    <w:rsid w:val="003E0384"/>
    <w:rsid w:val="003E1544"/>
    <w:rsid w:val="003E1742"/>
    <w:rsid w:val="003E1947"/>
    <w:rsid w:val="003E20CF"/>
    <w:rsid w:val="003E356D"/>
    <w:rsid w:val="003E46AE"/>
    <w:rsid w:val="003E6A30"/>
    <w:rsid w:val="003E70FD"/>
    <w:rsid w:val="003E7202"/>
    <w:rsid w:val="003E759D"/>
    <w:rsid w:val="003E7E4D"/>
    <w:rsid w:val="003F0606"/>
    <w:rsid w:val="003F0B9B"/>
    <w:rsid w:val="003F3133"/>
    <w:rsid w:val="003F3890"/>
    <w:rsid w:val="003F3B50"/>
    <w:rsid w:val="003F3D61"/>
    <w:rsid w:val="003F4470"/>
    <w:rsid w:val="003F471A"/>
    <w:rsid w:val="003F6107"/>
    <w:rsid w:val="003F6324"/>
    <w:rsid w:val="00401A4E"/>
    <w:rsid w:val="00401B4F"/>
    <w:rsid w:val="00402599"/>
    <w:rsid w:val="00402B6F"/>
    <w:rsid w:val="00402BC7"/>
    <w:rsid w:val="00402DAC"/>
    <w:rsid w:val="004040BC"/>
    <w:rsid w:val="00407335"/>
    <w:rsid w:val="00407691"/>
    <w:rsid w:val="00410565"/>
    <w:rsid w:val="00411712"/>
    <w:rsid w:val="00411FBC"/>
    <w:rsid w:val="0041212F"/>
    <w:rsid w:val="0041231B"/>
    <w:rsid w:val="004128B0"/>
    <w:rsid w:val="00414F0C"/>
    <w:rsid w:val="00415073"/>
    <w:rsid w:val="00415733"/>
    <w:rsid w:val="00417818"/>
    <w:rsid w:val="00420FFA"/>
    <w:rsid w:val="00422FA4"/>
    <w:rsid w:val="00424051"/>
    <w:rsid w:val="00424323"/>
    <w:rsid w:val="00425738"/>
    <w:rsid w:val="00425799"/>
    <w:rsid w:val="004268E2"/>
    <w:rsid w:val="00426E9A"/>
    <w:rsid w:val="00426F97"/>
    <w:rsid w:val="0043142D"/>
    <w:rsid w:val="004317E7"/>
    <w:rsid w:val="00432736"/>
    <w:rsid w:val="0043381E"/>
    <w:rsid w:val="00436E43"/>
    <w:rsid w:val="00437AE7"/>
    <w:rsid w:val="00437C5D"/>
    <w:rsid w:val="004401E6"/>
    <w:rsid w:val="004419D5"/>
    <w:rsid w:val="00442011"/>
    <w:rsid w:val="004427CF"/>
    <w:rsid w:val="00443A2F"/>
    <w:rsid w:val="004455BA"/>
    <w:rsid w:val="004459F7"/>
    <w:rsid w:val="00445B35"/>
    <w:rsid w:val="00446E1E"/>
    <w:rsid w:val="00447892"/>
    <w:rsid w:val="00447F55"/>
    <w:rsid w:val="00451B81"/>
    <w:rsid w:val="00451D9F"/>
    <w:rsid w:val="00451EBF"/>
    <w:rsid w:val="004522CB"/>
    <w:rsid w:val="00453AA2"/>
    <w:rsid w:val="00454315"/>
    <w:rsid w:val="00454CC4"/>
    <w:rsid w:val="0045656D"/>
    <w:rsid w:val="004614F7"/>
    <w:rsid w:val="0046476B"/>
    <w:rsid w:val="00465CDD"/>
    <w:rsid w:val="00465F11"/>
    <w:rsid w:val="00465F7C"/>
    <w:rsid w:val="00466070"/>
    <w:rsid w:val="00471BD4"/>
    <w:rsid w:val="00471D17"/>
    <w:rsid w:val="00476676"/>
    <w:rsid w:val="00477B76"/>
    <w:rsid w:val="0048066D"/>
    <w:rsid w:val="00480CEB"/>
    <w:rsid w:val="004828E7"/>
    <w:rsid w:val="00482B8A"/>
    <w:rsid w:val="00482E33"/>
    <w:rsid w:val="00483D89"/>
    <w:rsid w:val="00484733"/>
    <w:rsid w:val="004858DE"/>
    <w:rsid w:val="00486709"/>
    <w:rsid w:val="00487D32"/>
    <w:rsid w:val="00490D07"/>
    <w:rsid w:val="00491C58"/>
    <w:rsid w:val="004921D5"/>
    <w:rsid w:val="00493228"/>
    <w:rsid w:val="00493ED4"/>
    <w:rsid w:val="004957E9"/>
    <w:rsid w:val="00496F1D"/>
    <w:rsid w:val="004974F4"/>
    <w:rsid w:val="004A16A4"/>
    <w:rsid w:val="004A41E3"/>
    <w:rsid w:val="004A5616"/>
    <w:rsid w:val="004A5666"/>
    <w:rsid w:val="004A58D1"/>
    <w:rsid w:val="004A69D0"/>
    <w:rsid w:val="004A7634"/>
    <w:rsid w:val="004B0D20"/>
    <w:rsid w:val="004B1788"/>
    <w:rsid w:val="004B1AB5"/>
    <w:rsid w:val="004B2AB5"/>
    <w:rsid w:val="004B3CEA"/>
    <w:rsid w:val="004B3EC7"/>
    <w:rsid w:val="004B4238"/>
    <w:rsid w:val="004B6529"/>
    <w:rsid w:val="004B7BB5"/>
    <w:rsid w:val="004C095C"/>
    <w:rsid w:val="004C09CF"/>
    <w:rsid w:val="004C349E"/>
    <w:rsid w:val="004C4436"/>
    <w:rsid w:val="004C4CA4"/>
    <w:rsid w:val="004C581E"/>
    <w:rsid w:val="004C5D85"/>
    <w:rsid w:val="004C6485"/>
    <w:rsid w:val="004C6939"/>
    <w:rsid w:val="004C6B74"/>
    <w:rsid w:val="004D04E2"/>
    <w:rsid w:val="004D07D7"/>
    <w:rsid w:val="004D0B93"/>
    <w:rsid w:val="004D11C3"/>
    <w:rsid w:val="004D179A"/>
    <w:rsid w:val="004D21CE"/>
    <w:rsid w:val="004D2B04"/>
    <w:rsid w:val="004D3BD5"/>
    <w:rsid w:val="004D414B"/>
    <w:rsid w:val="004D766B"/>
    <w:rsid w:val="004D7E88"/>
    <w:rsid w:val="004E1DBE"/>
    <w:rsid w:val="004E2483"/>
    <w:rsid w:val="004E24CF"/>
    <w:rsid w:val="004E42A4"/>
    <w:rsid w:val="004E44EA"/>
    <w:rsid w:val="004E503B"/>
    <w:rsid w:val="004E5961"/>
    <w:rsid w:val="004E6C5D"/>
    <w:rsid w:val="004E6DFD"/>
    <w:rsid w:val="004F01A1"/>
    <w:rsid w:val="004F045F"/>
    <w:rsid w:val="004F10EF"/>
    <w:rsid w:val="004F240C"/>
    <w:rsid w:val="004F2539"/>
    <w:rsid w:val="004F3F6A"/>
    <w:rsid w:val="004F43A8"/>
    <w:rsid w:val="004F4D03"/>
    <w:rsid w:val="004F54F7"/>
    <w:rsid w:val="004F68C4"/>
    <w:rsid w:val="00501811"/>
    <w:rsid w:val="0050337A"/>
    <w:rsid w:val="00504579"/>
    <w:rsid w:val="005053B2"/>
    <w:rsid w:val="0050661D"/>
    <w:rsid w:val="00506C1E"/>
    <w:rsid w:val="00507CBE"/>
    <w:rsid w:val="00510770"/>
    <w:rsid w:val="005121D1"/>
    <w:rsid w:val="00512B60"/>
    <w:rsid w:val="00513B31"/>
    <w:rsid w:val="00514459"/>
    <w:rsid w:val="0051447F"/>
    <w:rsid w:val="005162B9"/>
    <w:rsid w:val="00516335"/>
    <w:rsid w:val="005168A7"/>
    <w:rsid w:val="0051783A"/>
    <w:rsid w:val="005208AE"/>
    <w:rsid w:val="00521943"/>
    <w:rsid w:val="0052229B"/>
    <w:rsid w:val="005232E3"/>
    <w:rsid w:val="00524BBF"/>
    <w:rsid w:val="00526866"/>
    <w:rsid w:val="005345BE"/>
    <w:rsid w:val="00535196"/>
    <w:rsid w:val="00535B57"/>
    <w:rsid w:val="00535FC6"/>
    <w:rsid w:val="00537FCA"/>
    <w:rsid w:val="00540A1F"/>
    <w:rsid w:val="00540E1E"/>
    <w:rsid w:val="00541053"/>
    <w:rsid w:val="00541FF6"/>
    <w:rsid w:val="00543909"/>
    <w:rsid w:val="00543C68"/>
    <w:rsid w:val="00546269"/>
    <w:rsid w:val="00546EDD"/>
    <w:rsid w:val="005470AD"/>
    <w:rsid w:val="00547190"/>
    <w:rsid w:val="00547212"/>
    <w:rsid w:val="00550819"/>
    <w:rsid w:val="00551E3D"/>
    <w:rsid w:val="00552ABB"/>
    <w:rsid w:val="00552EA0"/>
    <w:rsid w:val="00553786"/>
    <w:rsid w:val="0055395D"/>
    <w:rsid w:val="00553A79"/>
    <w:rsid w:val="00553ED4"/>
    <w:rsid w:val="00554097"/>
    <w:rsid w:val="00554174"/>
    <w:rsid w:val="00554428"/>
    <w:rsid w:val="005554D3"/>
    <w:rsid w:val="005556D9"/>
    <w:rsid w:val="00555A69"/>
    <w:rsid w:val="00556102"/>
    <w:rsid w:val="0055730F"/>
    <w:rsid w:val="00560063"/>
    <w:rsid w:val="005600C6"/>
    <w:rsid w:val="00560A60"/>
    <w:rsid w:val="00561830"/>
    <w:rsid w:val="00561FC9"/>
    <w:rsid w:val="00564CBC"/>
    <w:rsid w:val="0056504D"/>
    <w:rsid w:val="005654CF"/>
    <w:rsid w:val="00565A42"/>
    <w:rsid w:val="005706CD"/>
    <w:rsid w:val="00570BC4"/>
    <w:rsid w:val="00570D9C"/>
    <w:rsid w:val="00570E72"/>
    <w:rsid w:val="00570EC0"/>
    <w:rsid w:val="00571378"/>
    <w:rsid w:val="00571862"/>
    <w:rsid w:val="00571CB9"/>
    <w:rsid w:val="00573577"/>
    <w:rsid w:val="0057520F"/>
    <w:rsid w:val="005779C2"/>
    <w:rsid w:val="00580930"/>
    <w:rsid w:val="00580CF8"/>
    <w:rsid w:val="0058321A"/>
    <w:rsid w:val="00584671"/>
    <w:rsid w:val="005854F9"/>
    <w:rsid w:val="00585ECA"/>
    <w:rsid w:val="0058688D"/>
    <w:rsid w:val="00586ED1"/>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1ECE"/>
    <w:rsid w:val="005A37E8"/>
    <w:rsid w:val="005A4320"/>
    <w:rsid w:val="005A4568"/>
    <w:rsid w:val="005A5B64"/>
    <w:rsid w:val="005A6BC2"/>
    <w:rsid w:val="005A70A6"/>
    <w:rsid w:val="005A77B9"/>
    <w:rsid w:val="005B0456"/>
    <w:rsid w:val="005B0707"/>
    <w:rsid w:val="005B0BAC"/>
    <w:rsid w:val="005B174E"/>
    <w:rsid w:val="005B2D1A"/>
    <w:rsid w:val="005B3DD7"/>
    <w:rsid w:val="005B403B"/>
    <w:rsid w:val="005B4BA6"/>
    <w:rsid w:val="005B5EA9"/>
    <w:rsid w:val="005B63F0"/>
    <w:rsid w:val="005B6506"/>
    <w:rsid w:val="005B6591"/>
    <w:rsid w:val="005C04B0"/>
    <w:rsid w:val="005C1540"/>
    <w:rsid w:val="005C18C3"/>
    <w:rsid w:val="005C1CF1"/>
    <w:rsid w:val="005C31A9"/>
    <w:rsid w:val="005C4930"/>
    <w:rsid w:val="005C4CDC"/>
    <w:rsid w:val="005C61D7"/>
    <w:rsid w:val="005C6F27"/>
    <w:rsid w:val="005D054C"/>
    <w:rsid w:val="005D27B4"/>
    <w:rsid w:val="005D419C"/>
    <w:rsid w:val="005D4F80"/>
    <w:rsid w:val="005D53CD"/>
    <w:rsid w:val="005D5E45"/>
    <w:rsid w:val="005D6BB5"/>
    <w:rsid w:val="005E2F8C"/>
    <w:rsid w:val="005E322A"/>
    <w:rsid w:val="005E3B8F"/>
    <w:rsid w:val="005E3F8F"/>
    <w:rsid w:val="005E420F"/>
    <w:rsid w:val="005E46DB"/>
    <w:rsid w:val="005E665B"/>
    <w:rsid w:val="005E699B"/>
    <w:rsid w:val="005F0FB2"/>
    <w:rsid w:val="005F193F"/>
    <w:rsid w:val="005F1C13"/>
    <w:rsid w:val="005F204A"/>
    <w:rsid w:val="005F2F76"/>
    <w:rsid w:val="005F33EE"/>
    <w:rsid w:val="005F3BA0"/>
    <w:rsid w:val="005F4C10"/>
    <w:rsid w:val="005F5414"/>
    <w:rsid w:val="005F59A7"/>
    <w:rsid w:val="005F5CBE"/>
    <w:rsid w:val="005F6E38"/>
    <w:rsid w:val="0060050E"/>
    <w:rsid w:val="0060090A"/>
    <w:rsid w:val="00600D92"/>
    <w:rsid w:val="00600DB7"/>
    <w:rsid w:val="00601EA2"/>
    <w:rsid w:val="00602D99"/>
    <w:rsid w:val="00602DD5"/>
    <w:rsid w:val="006037B8"/>
    <w:rsid w:val="00603F0D"/>
    <w:rsid w:val="00604EA4"/>
    <w:rsid w:val="0060511B"/>
    <w:rsid w:val="00605334"/>
    <w:rsid w:val="0060590D"/>
    <w:rsid w:val="0060756F"/>
    <w:rsid w:val="00607E41"/>
    <w:rsid w:val="006103E2"/>
    <w:rsid w:val="0061378B"/>
    <w:rsid w:val="00613888"/>
    <w:rsid w:val="00613A82"/>
    <w:rsid w:val="00616808"/>
    <w:rsid w:val="006203C0"/>
    <w:rsid w:val="00620A28"/>
    <w:rsid w:val="00620A80"/>
    <w:rsid w:val="00621E59"/>
    <w:rsid w:val="00622772"/>
    <w:rsid w:val="0062285F"/>
    <w:rsid w:val="006229CA"/>
    <w:rsid w:val="006234FF"/>
    <w:rsid w:val="00624DB1"/>
    <w:rsid w:val="00624FCF"/>
    <w:rsid w:val="00625A26"/>
    <w:rsid w:val="006260CE"/>
    <w:rsid w:val="006260F8"/>
    <w:rsid w:val="0063008E"/>
    <w:rsid w:val="00630818"/>
    <w:rsid w:val="00632076"/>
    <w:rsid w:val="0063311F"/>
    <w:rsid w:val="00633456"/>
    <w:rsid w:val="00633C40"/>
    <w:rsid w:val="00634861"/>
    <w:rsid w:val="00634A29"/>
    <w:rsid w:val="00634D33"/>
    <w:rsid w:val="00634D92"/>
    <w:rsid w:val="00634E90"/>
    <w:rsid w:val="00635858"/>
    <w:rsid w:val="00636FAA"/>
    <w:rsid w:val="00636FEA"/>
    <w:rsid w:val="0063744B"/>
    <w:rsid w:val="00637601"/>
    <w:rsid w:val="00637824"/>
    <w:rsid w:val="00640719"/>
    <w:rsid w:val="00640F23"/>
    <w:rsid w:val="00641930"/>
    <w:rsid w:val="00641BC0"/>
    <w:rsid w:val="00642189"/>
    <w:rsid w:val="00643125"/>
    <w:rsid w:val="00643831"/>
    <w:rsid w:val="00644D44"/>
    <w:rsid w:val="00647178"/>
    <w:rsid w:val="0064748B"/>
    <w:rsid w:val="00647698"/>
    <w:rsid w:val="00647E4C"/>
    <w:rsid w:val="00647E9E"/>
    <w:rsid w:val="0065015C"/>
    <w:rsid w:val="00650AD1"/>
    <w:rsid w:val="00651357"/>
    <w:rsid w:val="00653CE0"/>
    <w:rsid w:val="00654941"/>
    <w:rsid w:val="006554AB"/>
    <w:rsid w:val="00656A25"/>
    <w:rsid w:val="00657881"/>
    <w:rsid w:val="00657A98"/>
    <w:rsid w:val="0066094D"/>
    <w:rsid w:val="006627A7"/>
    <w:rsid w:val="00665B6E"/>
    <w:rsid w:val="00665CA9"/>
    <w:rsid w:val="00666BD8"/>
    <w:rsid w:val="006671B2"/>
    <w:rsid w:val="006700EB"/>
    <w:rsid w:val="00670489"/>
    <w:rsid w:val="00671B9B"/>
    <w:rsid w:val="006726FB"/>
    <w:rsid w:val="0067272A"/>
    <w:rsid w:val="00672D5A"/>
    <w:rsid w:val="00673324"/>
    <w:rsid w:val="006754D5"/>
    <w:rsid w:val="00675F54"/>
    <w:rsid w:val="00676DE9"/>
    <w:rsid w:val="00676E38"/>
    <w:rsid w:val="006772FC"/>
    <w:rsid w:val="00680135"/>
    <w:rsid w:val="0068066B"/>
    <w:rsid w:val="00681037"/>
    <w:rsid w:val="006819DE"/>
    <w:rsid w:val="00681D43"/>
    <w:rsid w:val="00682641"/>
    <w:rsid w:val="006832EE"/>
    <w:rsid w:val="00683475"/>
    <w:rsid w:val="00683A2A"/>
    <w:rsid w:val="00683D44"/>
    <w:rsid w:val="00683E9C"/>
    <w:rsid w:val="0068626B"/>
    <w:rsid w:val="00687E1E"/>
    <w:rsid w:val="0069079A"/>
    <w:rsid w:val="00690DED"/>
    <w:rsid w:val="0069142C"/>
    <w:rsid w:val="00692634"/>
    <w:rsid w:val="00692771"/>
    <w:rsid w:val="006939A2"/>
    <w:rsid w:val="00694022"/>
    <w:rsid w:val="006956C5"/>
    <w:rsid w:val="00695726"/>
    <w:rsid w:val="006962D7"/>
    <w:rsid w:val="00696EF6"/>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6603"/>
    <w:rsid w:val="006B677D"/>
    <w:rsid w:val="006B6DC6"/>
    <w:rsid w:val="006B72FC"/>
    <w:rsid w:val="006B746D"/>
    <w:rsid w:val="006B797F"/>
    <w:rsid w:val="006C05F9"/>
    <w:rsid w:val="006C09B8"/>
    <w:rsid w:val="006C1052"/>
    <w:rsid w:val="006C2C62"/>
    <w:rsid w:val="006C319B"/>
    <w:rsid w:val="006C34CB"/>
    <w:rsid w:val="006C4236"/>
    <w:rsid w:val="006C43C1"/>
    <w:rsid w:val="006C4687"/>
    <w:rsid w:val="006C5C78"/>
    <w:rsid w:val="006C5DF3"/>
    <w:rsid w:val="006C61E6"/>
    <w:rsid w:val="006C6F7D"/>
    <w:rsid w:val="006C7548"/>
    <w:rsid w:val="006C78AD"/>
    <w:rsid w:val="006D14C1"/>
    <w:rsid w:val="006D14EC"/>
    <w:rsid w:val="006D1E8A"/>
    <w:rsid w:val="006D3905"/>
    <w:rsid w:val="006D3D1D"/>
    <w:rsid w:val="006D3F3A"/>
    <w:rsid w:val="006D56D4"/>
    <w:rsid w:val="006D709B"/>
    <w:rsid w:val="006D7950"/>
    <w:rsid w:val="006D797C"/>
    <w:rsid w:val="006E0668"/>
    <w:rsid w:val="006E0FB2"/>
    <w:rsid w:val="006E3C9A"/>
    <w:rsid w:val="006E4225"/>
    <w:rsid w:val="006E4752"/>
    <w:rsid w:val="006E4B44"/>
    <w:rsid w:val="006E6710"/>
    <w:rsid w:val="006E6A4C"/>
    <w:rsid w:val="006E6C49"/>
    <w:rsid w:val="006E6FA6"/>
    <w:rsid w:val="006E746C"/>
    <w:rsid w:val="006F1F73"/>
    <w:rsid w:val="006F2022"/>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EC1"/>
    <w:rsid w:val="00707403"/>
    <w:rsid w:val="00707768"/>
    <w:rsid w:val="00710759"/>
    <w:rsid w:val="00710F76"/>
    <w:rsid w:val="00712178"/>
    <w:rsid w:val="0071239E"/>
    <w:rsid w:val="00712606"/>
    <w:rsid w:val="007133D1"/>
    <w:rsid w:val="00714ABF"/>
    <w:rsid w:val="00715528"/>
    <w:rsid w:val="00716363"/>
    <w:rsid w:val="00717115"/>
    <w:rsid w:val="0072046F"/>
    <w:rsid w:val="007207EC"/>
    <w:rsid w:val="0072126C"/>
    <w:rsid w:val="007224DE"/>
    <w:rsid w:val="007234E6"/>
    <w:rsid w:val="007245D3"/>
    <w:rsid w:val="00726DA5"/>
    <w:rsid w:val="00730428"/>
    <w:rsid w:val="00731B12"/>
    <w:rsid w:val="00731D6D"/>
    <w:rsid w:val="00732258"/>
    <w:rsid w:val="007339CE"/>
    <w:rsid w:val="00733A7D"/>
    <w:rsid w:val="00733B04"/>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7C"/>
    <w:rsid w:val="00756CCA"/>
    <w:rsid w:val="0076116D"/>
    <w:rsid w:val="0076152D"/>
    <w:rsid w:val="00761FB9"/>
    <w:rsid w:val="007632A8"/>
    <w:rsid w:val="007635F6"/>
    <w:rsid w:val="00764320"/>
    <w:rsid w:val="00764F27"/>
    <w:rsid w:val="00765210"/>
    <w:rsid w:val="00765F03"/>
    <w:rsid w:val="00765F9E"/>
    <w:rsid w:val="00766973"/>
    <w:rsid w:val="0076715E"/>
    <w:rsid w:val="0077482E"/>
    <w:rsid w:val="0077501D"/>
    <w:rsid w:val="00775636"/>
    <w:rsid w:val="00776FDA"/>
    <w:rsid w:val="00781411"/>
    <w:rsid w:val="00781690"/>
    <w:rsid w:val="00783043"/>
    <w:rsid w:val="0078393B"/>
    <w:rsid w:val="007849F9"/>
    <w:rsid w:val="00784ACD"/>
    <w:rsid w:val="00784C5B"/>
    <w:rsid w:val="00784F28"/>
    <w:rsid w:val="0078589A"/>
    <w:rsid w:val="00785D74"/>
    <w:rsid w:val="0078790B"/>
    <w:rsid w:val="00787B46"/>
    <w:rsid w:val="00787E95"/>
    <w:rsid w:val="00791E51"/>
    <w:rsid w:val="007928DE"/>
    <w:rsid w:val="00792CE3"/>
    <w:rsid w:val="0079327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14F2"/>
    <w:rsid w:val="007B49B6"/>
    <w:rsid w:val="007B4A58"/>
    <w:rsid w:val="007B5D4E"/>
    <w:rsid w:val="007B6782"/>
    <w:rsid w:val="007B6957"/>
    <w:rsid w:val="007B7581"/>
    <w:rsid w:val="007B7A7A"/>
    <w:rsid w:val="007C06C1"/>
    <w:rsid w:val="007C070F"/>
    <w:rsid w:val="007C180E"/>
    <w:rsid w:val="007C1812"/>
    <w:rsid w:val="007C1AF4"/>
    <w:rsid w:val="007C29E7"/>
    <w:rsid w:val="007C49CD"/>
    <w:rsid w:val="007C4B87"/>
    <w:rsid w:val="007C5422"/>
    <w:rsid w:val="007C56ED"/>
    <w:rsid w:val="007C60BE"/>
    <w:rsid w:val="007C60F0"/>
    <w:rsid w:val="007C75E7"/>
    <w:rsid w:val="007C7BA8"/>
    <w:rsid w:val="007D0947"/>
    <w:rsid w:val="007D0B3A"/>
    <w:rsid w:val="007D20BA"/>
    <w:rsid w:val="007D22AA"/>
    <w:rsid w:val="007D3B05"/>
    <w:rsid w:val="007D5851"/>
    <w:rsid w:val="007D64F5"/>
    <w:rsid w:val="007D6A4B"/>
    <w:rsid w:val="007D6FBB"/>
    <w:rsid w:val="007D71D0"/>
    <w:rsid w:val="007D7F76"/>
    <w:rsid w:val="007D7FF3"/>
    <w:rsid w:val="007E0534"/>
    <w:rsid w:val="007E0753"/>
    <w:rsid w:val="007E0825"/>
    <w:rsid w:val="007E26E2"/>
    <w:rsid w:val="007E3865"/>
    <w:rsid w:val="007E3C27"/>
    <w:rsid w:val="007E429C"/>
    <w:rsid w:val="007E49E1"/>
    <w:rsid w:val="007E744F"/>
    <w:rsid w:val="007E7869"/>
    <w:rsid w:val="007E7F70"/>
    <w:rsid w:val="007F17DD"/>
    <w:rsid w:val="007F239F"/>
    <w:rsid w:val="007F25B0"/>
    <w:rsid w:val="007F276A"/>
    <w:rsid w:val="007F2DA7"/>
    <w:rsid w:val="007F4DC9"/>
    <w:rsid w:val="007F6648"/>
    <w:rsid w:val="007F706B"/>
    <w:rsid w:val="007F79AC"/>
    <w:rsid w:val="008003F4"/>
    <w:rsid w:val="00800589"/>
    <w:rsid w:val="008011EA"/>
    <w:rsid w:val="00802223"/>
    <w:rsid w:val="00802793"/>
    <w:rsid w:val="008029D0"/>
    <w:rsid w:val="00804AFD"/>
    <w:rsid w:val="00804BE0"/>
    <w:rsid w:val="0080519A"/>
    <w:rsid w:val="00805ED6"/>
    <w:rsid w:val="00806538"/>
    <w:rsid w:val="00806D1E"/>
    <w:rsid w:val="008073B8"/>
    <w:rsid w:val="00810151"/>
    <w:rsid w:val="008102A6"/>
    <w:rsid w:val="0081109E"/>
    <w:rsid w:val="00811498"/>
    <w:rsid w:val="00811534"/>
    <w:rsid w:val="00811597"/>
    <w:rsid w:val="00811A5B"/>
    <w:rsid w:val="008120F8"/>
    <w:rsid w:val="008124F4"/>
    <w:rsid w:val="00815141"/>
    <w:rsid w:val="008157EC"/>
    <w:rsid w:val="0081608B"/>
    <w:rsid w:val="00816811"/>
    <w:rsid w:val="00816CE0"/>
    <w:rsid w:val="008204F1"/>
    <w:rsid w:val="008205E9"/>
    <w:rsid w:val="00821304"/>
    <w:rsid w:val="00823286"/>
    <w:rsid w:val="0082334C"/>
    <w:rsid w:val="00823B5C"/>
    <w:rsid w:val="008259DF"/>
    <w:rsid w:val="00825F4A"/>
    <w:rsid w:val="00826CA7"/>
    <w:rsid w:val="008271D6"/>
    <w:rsid w:val="00827430"/>
    <w:rsid w:val="008276D2"/>
    <w:rsid w:val="008309D9"/>
    <w:rsid w:val="00830CAF"/>
    <w:rsid w:val="00831529"/>
    <w:rsid w:val="00833019"/>
    <w:rsid w:val="008336DD"/>
    <w:rsid w:val="00833FF4"/>
    <w:rsid w:val="00834875"/>
    <w:rsid w:val="008352A7"/>
    <w:rsid w:val="008356E4"/>
    <w:rsid w:val="00836421"/>
    <w:rsid w:val="00836F18"/>
    <w:rsid w:val="00837129"/>
    <w:rsid w:val="008372A1"/>
    <w:rsid w:val="00837B3D"/>
    <w:rsid w:val="008433DF"/>
    <w:rsid w:val="008442F5"/>
    <w:rsid w:val="0084438E"/>
    <w:rsid w:val="00844992"/>
    <w:rsid w:val="00844EDE"/>
    <w:rsid w:val="0084555C"/>
    <w:rsid w:val="008472D0"/>
    <w:rsid w:val="0085064A"/>
    <w:rsid w:val="00850BF8"/>
    <w:rsid w:val="00851C99"/>
    <w:rsid w:val="00851FD3"/>
    <w:rsid w:val="00852341"/>
    <w:rsid w:val="00852CCF"/>
    <w:rsid w:val="00852D66"/>
    <w:rsid w:val="00855A34"/>
    <w:rsid w:val="0085641F"/>
    <w:rsid w:val="00857BAF"/>
    <w:rsid w:val="008613BF"/>
    <w:rsid w:val="00861A3A"/>
    <w:rsid w:val="00861E51"/>
    <w:rsid w:val="0086276F"/>
    <w:rsid w:val="00862E13"/>
    <w:rsid w:val="00863349"/>
    <w:rsid w:val="00863DAF"/>
    <w:rsid w:val="0086487A"/>
    <w:rsid w:val="00864B11"/>
    <w:rsid w:val="00864B81"/>
    <w:rsid w:val="008666C0"/>
    <w:rsid w:val="0086689F"/>
    <w:rsid w:val="00870ED2"/>
    <w:rsid w:val="00870F1C"/>
    <w:rsid w:val="0087310F"/>
    <w:rsid w:val="0087369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571"/>
    <w:rsid w:val="00890CDB"/>
    <w:rsid w:val="00891FDB"/>
    <w:rsid w:val="008920E3"/>
    <w:rsid w:val="00892D3F"/>
    <w:rsid w:val="00893041"/>
    <w:rsid w:val="00894248"/>
    <w:rsid w:val="00895031"/>
    <w:rsid w:val="00895E8A"/>
    <w:rsid w:val="00897D5C"/>
    <w:rsid w:val="008A00AA"/>
    <w:rsid w:val="008A053A"/>
    <w:rsid w:val="008A1623"/>
    <w:rsid w:val="008A3ED4"/>
    <w:rsid w:val="008A4555"/>
    <w:rsid w:val="008A5B6E"/>
    <w:rsid w:val="008A6029"/>
    <w:rsid w:val="008A6FC2"/>
    <w:rsid w:val="008A70B8"/>
    <w:rsid w:val="008B07CC"/>
    <w:rsid w:val="008B0DBE"/>
    <w:rsid w:val="008B156A"/>
    <w:rsid w:val="008B1576"/>
    <w:rsid w:val="008B25C0"/>
    <w:rsid w:val="008B272B"/>
    <w:rsid w:val="008B3093"/>
    <w:rsid w:val="008B3BC9"/>
    <w:rsid w:val="008B462F"/>
    <w:rsid w:val="008B5555"/>
    <w:rsid w:val="008B6ED2"/>
    <w:rsid w:val="008C034F"/>
    <w:rsid w:val="008C0421"/>
    <w:rsid w:val="008C130F"/>
    <w:rsid w:val="008C13D7"/>
    <w:rsid w:val="008C198F"/>
    <w:rsid w:val="008C4022"/>
    <w:rsid w:val="008C55B9"/>
    <w:rsid w:val="008C7E04"/>
    <w:rsid w:val="008D00A2"/>
    <w:rsid w:val="008D00B7"/>
    <w:rsid w:val="008D046B"/>
    <w:rsid w:val="008D04A2"/>
    <w:rsid w:val="008D1C72"/>
    <w:rsid w:val="008D2B18"/>
    <w:rsid w:val="008D360C"/>
    <w:rsid w:val="008D479D"/>
    <w:rsid w:val="008D5CBB"/>
    <w:rsid w:val="008D6ABE"/>
    <w:rsid w:val="008E02C4"/>
    <w:rsid w:val="008E0A2E"/>
    <w:rsid w:val="008E1B77"/>
    <w:rsid w:val="008E2C86"/>
    <w:rsid w:val="008E2F9B"/>
    <w:rsid w:val="008E3170"/>
    <w:rsid w:val="008E33C0"/>
    <w:rsid w:val="008E3C50"/>
    <w:rsid w:val="008E4920"/>
    <w:rsid w:val="008E5F12"/>
    <w:rsid w:val="008E5F49"/>
    <w:rsid w:val="008E6401"/>
    <w:rsid w:val="008F0D41"/>
    <w:rsid w:val="008F11D8"/>
    <w:rsid w:val="008F1B58"/>
    <w:rsid w:val="008F2B0C"/>
    <w:rsid w:val="008F52E0"/>
    <w:rsid w:val="008F5519"/>
    <w:rsid w:val="008F56EE"/>
    <w:rsid w:val="008F6392"/>
    <w:rsid w:val="008F63A9"/>
    <w:rsid w:val="008F67DB"/>
    <w:rsid w:val="008F6ADC"/>
    <w:rsid w:val="008F6EE5"/>
    <w:rsid w:val="009004AA"/>
    <w:rsid w:val="00900647"/>
    <w:rsid w:val="00900F7A"/>
    <w:rsid w:val="009013F5"/>
    <w:rsid w:val="00904623"/>
    <w:rsid w:val="009049C8"/>
    <w:rsid w:val="0090788B"/>
    <w:rsid w:val="009117F0"/>
    <w:rsid w:val="00912B3D"/>
    <w:rsid w:val="0091317C"/>
    <w:rsid w:val="00913433"/>
    <w:rsid w:val="00913F76"/>
    <w:rsid w:val="0091421D"/>
    <w:rsid w:val="009143F7"/>
    <w:rsid w:val="00914EE9"/>
    <w:rsid w:val="00915DDC"/>
    <w:rsid w:val="009160D7"/>
    <w:rsid w:val="00920C04"/>
    <w:rsid w:val="0092240B"/>
    <w:rsid w:val="009228B4"/>
    <w:rsid w:val="00922908"/>
    <w:rsid w:val="00922BEA"/>
    <w:rsid w:val="00923797"/>
    <w:rsid w:val="00924F38"/>
    <w:rsid w:val="00927DBB"/>
    <w:rsid w:val="00930445"/>
    <w:rsid w:val="009311CE"/>
    <w:rsid w:val="00932222"/>
    <w:rsid w:val="00932291"/>
    <w:rsid w:val="00932DB6"/>
    <w:rsid w:val="00932DC8"/>
    <w:rsid w:val="00932DE9"/>
    <w:rsid w:val="00934232"/>
    <w:rsid w:val="009345FB"/>
    <w:rsid w:val="00934D58"/>
    <w:rsid w:val="00934EB1"/>
    <w:rsid w:val="00934FDB"/>
    <w:rsid w:val="00935283"/>
    <w:rsid w:val="009352A6"/>
    <w:rsid w:val="009358D9"/>
    <w:rsid w:val="00935F05"/>
    <w:rsid w:val="00937073"/>
    <w:rsid w:val="00940348"/>
    <w:rsid w:val="009411B9"/>
    <w:rsid w:val="00944DC6"/>
    <w:rsid w:val="00945B83"/>
    <w:rsid w:val="009468BF"/>
    <w:rsid w:val="0094726A"/>
    <w:rsid w:val="0094759D"/>
    <w:rsid w:val="009476DE"/>
    <w:rsid w:val="00954096"/>
    <w:rsid w:val="00955101"/>
    <w:rsid w:val="009552BF"/>
    <w:rsid w:val="009557B6"/>
    <w:rsid w:val="0095597C"/>
    <w:rsid w:val="009566AB"/>
    <w:rsid w:val="00956744"/>
    <w:rsid w:val="00957131"/>
    <w:rsid w:val="00957CB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77FEE"/>
    <w:rsid w:val="009801CE"/>
    <w:rsid w:val="009812AA"/>
    <w:rsid w:val="00981726"/>
    <w:rsid w:val="00981943"/>
    <w:rsid w:val="00982E03"/>
    <w:rsid w:val="00982EFE"/>
    <w:rsid w:val="00984EDD"/>
    <w:rsid w:val="0098612C"/>
    <w:rsid w:val="009864DF"/>
    <w:rsid w:val="0098686E"/>
    <w:rsid w:val="00986907"/>
    <w:rsid w:val="0099085E"/>
    <w:rsid w:val="00990BF0"/>
    <w:rsid w:val="00990F54"/>
    <w:rsid w:val="009915DD"/>
    <w:rsid w:val="0099480C"/>
    <w:rsid w:val="00994A9A"/>
    <w:rsid w:val="00995D4D"/>
    <w:rsid w:val="00995E92"/>
    <w:rsid w:val="00996AAC"/>
    <w:rsid w:val="009970F9"/>
    <w:rsid w:val="0099780E"/>
    <w:rsid w:val="009A03A3"/>
    <w:rsid w:val="009A430D"/>
    <w:rsid w:val="009A4935"/>
    <w:rsid w:val="009A4E27"/>
    <w:rsid w:val="009A5625"/>
    <w:rsid w:val="009A6A61"/>
    <w:rsid w:val="009B19B4"/>
    <w:rsid w:val="009B1E6D"/>
    <w:rsid w:val="009B30B8"/>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68E9"/>
    <w:rsid w:val="009D71D0"/>
    <w:rsid w:val="009D7291"/>
    <w:rsid w:val="009D7F09"/>
    <w:rsid w:val="009E0380"/>
    <w:rsid w:val="009E11AD"/>
    <w:rsid w:val="009E250E"/>
    <w:rsid w:val="009E2B8F"/>
    <w:rsid w:val="009E38A0"/>
    <w:rsid w:val="009E3A86"/>
    <w:rsid w:val="009E3F27"/>
    <w:rsid w:val="009E40CD"/>
    <w:rsid w:val="009E5144"/>
    <w:rsid w:val="009E7854"/>
    <w:rsid w:val="009F2B81"/>
    <w:rsid w:val="009F3412"/>
    <w:rsid w:val="009F399F"/>
    <w:rsid w:val="009F41E5"/>
    <w:rsid w:val="009F4B84"/>
    <w:rsid w:val="009F5B76"/>
    <w:rsid w:val="009F5E85"/>
    <w:rsid w:val="009F62BD"/>
    <w:rsid w:val="009F667A"/>
    <w:rsid w:val="009F68EE"/>
    <w:rsid w:val="009F6E9C"/>
    <w:rsid w:val="00A0269F"/>
    <w:rsid w:val="00A029B0"/>
    <w:rsid w:val="00A0555E"/>
    <w:rsid w:val="00A0603A"/>
    <w:rsid w:val="00A077C5"/>
    <w:rsid w:val="00A07C79"/>
    <w:rsid w:val="00A07E9F"/>
    <w:rsid w:val="00A108FA"/>
    <w:rsid w:val="00A109FF"/>
    <w:rsid w:val="00A1275A"/>
    <w:rsid w:val="00A12B20"/>
    <w:rsid w:val="00A13C3E"/>
    <w:rsid w:val="00A13DED"/>
    <w:rsid w:val="00A15467"/>
    <w:rsid w:val="00A15859"/>
    <w:rsid w:val="00A167A3"/>
    <w:rsid w:val="00A16E45"/>
    <w:rsid w:val="00A17FE5"/>
    <w:rsid w:val="00A220A2"/>
    <w:rsid w:val="00A23AB7"/>
    <w:rsid w:val="00A24EC6"/>
    <w:rsid w:val="00A25D98"/>
    <w:rsid w:val="00A30D22"/>
    <w:rsid w:val="00A32571"/>
    <w:rsid w:val="00A35C44"/>
    <w:rsid w:val="00A36AC4"/>
    <w:rsid w:val="00A37F08"/>
    <w:rsid w:val="00A40F4A"/>
    <w:rsid w:val="00A41855"/>
    <w:rsid w:val="00A4226D"/>
    <w:rsid w:val="00A42474"/>
    <w:rsid w:val="00A4299A"/>
    <w:rsid w:val="00A43113"/>
    <w:rsid w:val="00A43A56"/>
    <w:rsid w:val="00A466BC"/>
    <w:rsid w:val="00A469B1"/>
    <w:rsid w:val="00A46BAE"/>
    <w:rsid w:val="00A47406"/>
    <w:rsid w:val="00A474ED"/>
    <w:rsid w:val="00A47AD1"/>
    <w:rsid w:val="00A502C7"/>
    <w:rsid w:val="00A5101E"/>
    <w:rsid w:val="00A518E4"/>
    <w:rsid w:val="00A533FB"/>
    <w:rsid w:val="00A538D8"/>
    <w:rsid w:val="00A54E3C"/>
    <w:rsid w:val="00A55D34"/>
    <w:rsid w:val="00A56331"/>
    <w:rsid w:val="00A56429"/>
    <w:rsid w:val="00A5693F"/>
    <w:rsid w:val="00A57BB5"/>
    <w:rsid w:val="00A610CE"/>
    <w:rsid w:val="00A61197"/>
    <w:rsid w:val="00A630C4"/>
    <w:rsid w:val="00A63499"/>
    <w:rsid w:val="00A6535D"/>
    <w:rsid w:val="00A65D1B"/>
    <w:rsid w:val="00A6698E"/>
    <w:rsid w:val="00A66C44"/>
    <w:rsid w:val="00A702A0"/>
    <w:rsid w:val="00A709AE"/>
    <w:rsid w:val="00A70D62"/>
    <w:rsid w:val="00A718C0"/>
    <w:rsid w:val="00A7204F"/>
    <w:rsid w:val="00A728B6"/>
    <w:rsid w:val="00A729F2"/>
    <w:rsid w:val="00A748D2"/>
    <w:rsid w:val="00A76340"/>
    <w:rsid w:val="00A766C3"/>
    <w:rsid w:val="00A769FE"/>
    <w:rsid w:val="00A7717F"/>
    <w:rsid w:val="00A77BAE"/>
    <w:rsid w:val="00A80990"/>
    <w:rsid w:val="00A80E75"/>
    <w:rsid w:val="00A81543"/>
    <w:rsid w:val="00A81DF9"/>
    <w:rsid w:val="00A832FB"/>
    <w:rsid w:val="00A83BC7"/>
    <w:rsid w:val="00A84238"/>
    <w:rsid w:val="00A861EE"/>
    <w:rsid w:val="00A8751B"/>
    <w:rsid w:val="00A875A2"/>
    <w:rsid w:val="00A929F9"/>
    <w:rsid w:val="00A93235"/>
    <w:rsid w:val="00A96347"/>
    <w:rsid w:val="00A97E9A"/>
    <w:rsid w:val="00AA04F0"/>
    <w:rsid w:val="00AA35AB"/>
    <w:rsid w:val="00AA3A64"/>
    <w:rsid w:val="00AA6479"/>
    <w:rsid w:val="00AB0A54"/>
    <w:rsid w:val="00AB14A9"/>
    <w:rsid w:val="00AB1F0D"/>
    <w:rsid w:val="00AB2AB5"/>
    <w:rsid w:val="00AB337B"/>
    <w:rsid w:val="00AB6566"/>
    <w:rsid w:val="00AB6B96"/>
    <w:rsid w:val="00AB7470"/>
    <w:rsid w:val="00AB7AA7"/>
    <w:rsid w:val="00AC0E4C"/>
    <w:rsid w:val="00AC11C4"/>
    <w:rsid w:val="00AC133B"/>
    <w:rsid w:val="00AC1564"/>
    <w:rsid w:val="00AC1818"/>
    <w:rsid w:val="00AC227D"/>
    <w:rsid w:val="00AC2CDC"/>
    <w:rsid w:val="00AC3F0A"/>
    <w:rsid w:val="00AC5182"/>
    <w:rsid w:val="00AC590D"/>
    <w:rsid w:val="00AC5D5D"/>
    <w:rsid w:val="00AC6E35"/>
    <w:rsid w:val="00AC796C"/>
    <w:rsid w:val="00AC7BD2"/>
    <w:rsid w:val="00AD0245"/>
    <w:rsid w:val="00AD04F0"/>
    <w:rsid w:val="00AD1581"/>
    <w:rsid w:val="00AD1DE8"/>
    <w:rsid w:val="00AD24B4"/>
    <w:rsid w:val="00AD2734"/>
    <w:rsid w:val="00AD2D06"/>
    <w:rsid w:val="00AD3520"/>
    <w:rsid w:val="00AD3BBC"/>
    <w:rsid w:val="00AD49E8"/>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AA"/>
    <w:rsid w:val="00AF38E9"/>
    <w:rsid w:val="00AF3A97"/>
    <w:rsid w:val="00AF3EF6"/>
    <w:rsid w:val="00AF4FDD"/>
    <w:rsid w:val="00AF608F"/>
    <w:rsid w:val="00AF6CA7"/>
    <w:rsid w:val="00AF6F59"/>
    <w:rsid w:val="00B0053A"/>
    <w:rsid w:val="00B006B9"/>
    <w:rsid w:val="00B00EE7"/>
    <w:rsid w:val="00B01140"/>
    <w:rsid w:val="00B02045"/>
    <w:rsid w:val="00B03571"/>
    <w:rsid w:val="00B04931"/>
    <w:rsid w:val="00B051F8"/>
    <w:rsid w:val="00B05EED"/>
    <w:rsid w:val="00B0667C"/>
    <w:rsid w:val="00B06B06"/>
    <w:rsid w:val="00B07984"/>
    <w:rsid w:val="00B107CE"/>
    <w:rsid w:val="00B118EB"/>
    <w:rsid w:val="00B126F7"/>
    <w:rsid w:val="00B12C89"/>
    <w:rsid w:val="00B13DF4"/>
    <w:rsid w:val="00B15A48"/>
    <w:rsid w:val="00B16DBE"/>
    <w:rsid w:val="00B17B0D"/>
    <w:rsid w:val="00B20715"/>
    <w:rsid w:val="00B21427"/>
    <w:rsid w:val="00B22CD8"/>
    <w:rsid w:val="00B22E62"/>
    <w:rsid w:val="00B24A34"/>
    <w:rsid w:val="00B25BB7"/>
    <w:rsid w:val="00B26CC0"/>
    <w:rsid w:val="00B26E58"/>
    <w:rsid w:val="00B315FB"/>
    <w:rsid w:val="00B31F3C"/>
    <w:rsid w:val="00B327E6"/>
    <w:rsid w:val="00B33824"/>
    <w:rsid w:val="00B341BA"/>
    <w:rsid w:val="00B341D2"/>
    <w:rsid w:val="00B342BA"/>
    <w:rsid w:val="00B342FA"/>
    <w:rsid w:val="00B361F6"/>
    <w:rsid w:val="00B37006"/>
    <w:rsid w:val="00B40C36"/>
    <w:rsid w:val="00B42732"/>
    <w:rsid w:val="00B43126"/>
    <w:rsid w:val="00B43723"/>
    <w:rsid w:val="00B4508B"/>
    <w:rsid w:val="00B45322"/>
    <w:rsid w:val="00B4661E"/>
    <w:rsid w:val="00B46C01"/>
    <w:rsid w:val="00B471E8"/>
    <w:rsid w:val="00B47A38"/>
    <w:rsid w:val="00B5065C"/>
    <w:rsid w:val="00B516D4"/>
    <w:rsid w:val="00B51B91"/>
    <w:rsid w:val="00B51CF1"/>
    <w:rsid w:val="00B52274"/>
    <w:rsid w:val="00B53150"/>
    <w:rsid w:val="00B554CA"/>
    <w:rsid w:val="00B556DA"/>
    <w:rsid w:val="00B55E3E"/>
    <w:rsid w:val="00B561AB"/>
    <w:rsid w:val="00B56359"/>
    <w:rsid w:val="00B56B85"/>
    <w:rsid w:val="00B56E8B"/>
    <w:rsid w:val="00B60541"/>
    <w:rsid w:val="00B6066B"/>
    <w:rsid w:val="00B61A7B"/>
    <w:rsid w:val="00B6278F"/>
    <w:rsid w:val="00B63D00"/>
    <w:rsid w:val="00B646F2"/>
    <w:rsid w:val="00B64F5F"/>
    <w:rsid w:val="00B670F9"/>
    <w:rsid w:val="00B677AF"/>
    <w:rsid w:val="00B70836"/>
    <w:rsid w:val="00B71E5D"/>
    <w:rsid w:val="00B724A6"/>
    <w:rsid w:val="00B72AEA"/>
    <w:rsid w:val="00B73D63"/>
    <w:rsid w:val="00B740DB"/>
    <w:rsid w:val="00B75C2D"/>
    <w:rsid w:val="00B76378"/>
    <w:rsid w:val="00B76523"/>
    <w:rsid w:val="00B779A3"/>
    <w:rsid w:val="00B77B9A"/>
    <w:rsid w:val="00B77DF3"/>
    <w:rsid w:val="00B8103E"/>
    <w:rsid w:val="00B8145D"/>
    <w:rsid w:val="00B821C4"/>
    <w:rsid w:val="00B82347"/>
    <w:rsid w:val="00B826A6"/>
    <w:rsid w:val="00B8331D"/>
    <w:rsid w:val="00B8334B"/>
    <w:rsid w:val="00B83A29"/>
    <w:rsid w:val="00B83BD6"/>
    <w:rsid w:val="00B83EC3"/>
    <w:rsid w:val="00B84E01"/>
    <w:rsid w:val="00B8757A"/>
    <w:rsid w:val="00B90DE5"/>
    <w:rsid w:val="00B939FD"/>
    <w:rsid w:val="00B952DD"/>
    <w:rsid w:val="00B9593D"/>
    <w:rsid w:val="00B96024"/>
    <w:rsid w:val="00B96E45"/>
    <w:rsid w:val="00B9729F"/>
    <w:rsid w:val="00BA006E"/>
    <w:rsid w:val="00BA110C"/>
    <w:rsid w:val="00BA23F7"/>
    <w:rsid w:val="00BA3DFB"/>
    <w:rsid w:val="00BA4DAF"/>
    <w:rsid w:val="00BA53AB"/>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1B2A"/>
    <w:rsid w:val="00BC278D"/>
    <w:rsid w:val="00BC2F60"/>
    <w:rsid w:val="00BC3DF7"/>
    <w:rsid w:val="00BC3FF0"/>
    <w:rsid w:val="00BC4E3A"/>
    <w:rsid w:val="00BC55E1"/>
    <w:rsid w:val="00BC5879"/>
    <w:rsid w:val="00BC5E68"/>
    <w:rsid w:val="00BC5FA2"/>
    <w:rsid w:val="00BC726E"/>
    <w:rsid w:val="00BD0140"/>
    <w:rsid w:val="00BD19BF"/>
    <w:rsid w:val="00BD1A1F"/>
    <w:rsid w:val="00BD3CFF"/>
    <w:rsid w:val="00BD444B"/>
    <w:rsid w:val="00BD45A1"/>
    <w:rsid w:val="00BD4933"/>
    <w:rsid w:val="00BD5EE3"/>
    <w:rsid w:val="00BD7907"/>
    <w:rsid w:val="00BE0730"/>
    <w:rsid w:val="00BE075B"/>
    <w:rsid w:val="00BE1986"/>
    <w:rsid w:val="00BE211C"/>
    <w:rsid w:val="00BE3047"/>
    <w:rsid w:val="00BE38C9"/>
    <w:rsid w:val="00BE42FB"/>
    <w:rsid w:val="00BE5756"/>
    <w:rsid w:val="00BE657A"/>
    <w:rsid w:val="00BE6F02"/>
    <w:rsid w:val="00BF2D5C"/>
    <w:rsid w:val="00BF2FAA"/>
    <w:rsid w:val="00BF3C85"/>
    <w:rsid w:val="00BF425F"/>
    <w:rsid w:val="00BF668F"/>
    <w:rsid w:val="00BF6B22"/>
    <w:rsid w:val="00C03C87"/>
    <w:rsid w:val="00C04A80"/>
    <w:rsid w:val="00C05571"/>
    <w:rsid w:val="00C06235"/>
    <w:rsid w:val="00C07480"/>
    <w:rsid w:val="00C07E3A"/>
    <w:rsid w:val="00C1027C"/>
    <w:rsid w:val="00C10DF4"/>
    <w:rsid w:val="00C1119D"/>
    <w:rsid w:val="00C11BC3"/>
    <w:rsid w:val="00C11BEE"/>
    <w:rsid w:val="00C12446"/>
    <w:rsid w:val="00C134C5"/>
    <w:rsid w:val="00C13584"/>
    <w:rsid w:val="00C13919"/>
    <w:rsid w:val="00C139EE"/>
    <w:rsid w:val="00C13CE0"/>
    <w:rsid w:val="00C145D4"/>
    <w:rsid w:val="00C150CB"/>
    <w:rsid w:val="00C16FF4"/>
    <w:rsid w:val="00C20CEA"/>
    <w:rsid w:val="00C217A5"/>
    <w:rsid w:val="00C22B4F"/>
    <w:rsid w:val="00C23BAD"/>
    <w:rsid w:val="00C24702"/>
    <w:rsid w:val="00C247B9"/>
    <w:rsid w:val="00C24833"/>
    <w:rsid w:val="00C25060"/>
    <w:rsid w:val="00C256EE"/>
    <w:rsid w:val="00C25700"/>
    <w:rsid w:val="00C26927"/>
    <w:rsid w:val="00C27899"/>
    <w:rsid w:val="00C300AC"/>
    <w:rsid w:val="00C30902"/>
    <w:rsid w:val="00C30EF4"/>
    <w:rsid w:val="00C31FD3"/>
    <w:rsid w:val="00C324DA"/>
    <w:rsid w:val="00C33D63"/>
    <w:rsid w:val="00C35685"/>
    <w:rsid w:val="00C402B6"/>
    <w:rsid w:val="00C4087E"/>
    <w:rsid w:val="00C40F41"/>
    <w:rsid w:val="00C41B0C"/>
    <w:rsid w:val="00C430F8"/>
    <w:rsid w:val="00C439E9"/>
    <w:rsid w:val="00C43AA2"/>
    <w:rsid w:val="00C4424F"/>
    <w:rsid w:val="00C46B02"/>
    <w:rsid w:val="00C47A39"/>
    <w:rsid w:val="00C47D60"/>
    <w:rsid w:val="00C47D70"/>
    <w:rsid w:val="00C50235"/>
    <w:rsid w:val="00C51A6C"/>
    <w:rsid w:val="00C522C2"/>
    <w:rsid w:val="00C52B39"/>
    <w:rsid w:val="00C53C26"/>
    <w:rsid w:val="00C547B7"/>
    <w:rsid w:val="00C54B6B"/>
    <w:rsid w:val="00C55164"/>
    <w:rsid w:val="00C55C55"/>
    <w:rsid w:val="00C55E58"/>
    <w:rsid w:val="00C56346"/>
    <w:rsid w:val="00C57013"/>
    <w:rsid w:val="00C570BE"/>
    <w:rsid w:val="00C57F58"/>
    <w:rsid w:val="00C62DCD"/>
    <w:rsid w:val="00C63719"/>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196"/>
    <w:rsid w:val="00C73688"/>
    <w:rsid w:val="00C746A5"/>
    <w:rsid w:val="00C74734"/>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45EB"/>
    <w:rsid w:val="00C8641D"/>
    <w:rsid w:val="00C866C6"/>
    <w:rsid w:val="00C86A89"/>
    <w:rsid w:val="00C86F65"/>
    <w:rsid w:val="00C9093D"/>
    <w:rsid w:val="00C90FD1"/>
    <w:rsid w:val="00C91F21"/>
    <w:rsid w:val="00C93A4E"/>
    <w:rsid w:val="00C94A7B"/>
    <w:rsid w:val="00C95A9C"/>
    <w:rsid w:val="00CA2B69"/>
    <w:rsid w:val="00CA332A"/>
    <w:rsid w:val="00CA3591"/>
    <w:rsid w:val="00CA3A94"/>
    <w:rsid w:val="00CA3E00"/>
    <w:rsid w:val="00CA684F"/>
    <w:rsid w:val="00CA7E34"/>
    <w:rsid w:val="00CB1204"/>
    <w:rsid w:val="00CB218A"/>
    <w:rsid w:val="00CB2CC0"/>
    <w:rsid w:val="00CB2DFD"/>
    <w:rsid w:val="00CB344D"/>
    <w:rsid w:val="00CB514A"/>
    <w:rsid w:val="00CB73B5"/>
    <w:rsid w:val="00CB76EF"/>
    <w:rsid w:val="00CC046B"/>
    <w:rsid w:val="00CC22A7"/>
    <w:rsid w:val="00CC274D"/>
    <w:rsid w:val="00CC31E2"/>
    <w:rsid w:val="00CC5170"/>
    <w:rsid w:val="00CC5EDE"/>
    <w:rsid w:val="00CC6182"/>
    <w:rsid w:val="00CC6DD5"/>
    <w:rsid w:val="00CC7992"/>
    <w:rsid w:val="00CD0F83"/>
    <w:rsid w:val="00CD1F57"/>
    <w:rsid w:val="00CD24EB"/>
    <w:rsid w:val="00CD451A"/>
    <w:rsid w:val="00CD52B2"/>
    <w:rsid w:val="00CD554B"/>
    <w:rsid w:val="00CD5B8F"/>
    <w:rsid w:val="00CD6E99"/>
    <w:rsid w:val="00CE05C9"/>
    <w:rsid w:val="00CE0ED0"/>
    <w:rsid w:val="00CE1328"/>
    <w:rsid w:val="00CE1DA5"/>
    <w:rsid w:val="00CE2B6B"/>
    <w:rsid w:val="00CE2C2E"/>
    <w:rsid w:val="00CE3183"/>
    <w:rsid w:val="00CE35FC"/>
    <w:rsid w:val="00CE47AB"/>
    <w:rsid w:val="00CE539F"/>
    <w:rsid w:val="00CE55D8"/>
    <w:rsid w:val="00CE5783"/>
    <w:rsid w:val="00CE5E93"/>
    <w:rsid w:val="00CE61F4"/>
    <w:rsid w:val="00CF0592"/>
    <w:rsid w:val="00CF15BC"/>
    <w:rsid w:val="00CF15F2"/>
    <w:rsid w:val="00CF16D6"/>
    <w:rsid w:val="00CF18BE"/>
    <w:rsid w:val="00CF199B"/>
    <w:rsid w:val="00CF277D"/>
    <w:rsid w:val="00CF3265"/>
    <w:rsid w:val="00CF3741"/>
    <w:rsid w:val="00CF3B96"/>
    <w:rsid w:val="00CF59C9"/>
    <w:rsid w:val="00CF5E5C"/>
    <w:rsid w:val="00D03123"/>
    <w:rsid w:val="00D033EA"/>
    <w:rsid w:val="00D037DA"/>
    <w:rsid w:val="00D03987"/>
    <w:rsid w:val="00D03DA8"/>
    <w:rsid w:val="00D04B94"/>
    <w:rsid w:val="00D04CB7"/>
    <w:rsid w:val="00D06043"/>
    <w:rsid w:val="00D06B9A"/>
    <w:rsid w:val="00D103EB"/>
    <w:rsid w:val="00D12D8B"/>
    <w:rsid w:val="00D136E5"/>
    <w:rsid w:val="00D148F1"/>
    <w:rsid w:val="00D149E0"/>
    <w:rsid w:val="00D151FF"/>
    <w:rsid w:val="00D15962"/>
    <w:rsid w:val="00D15F89"/>
    <w:rsid w:val="00D16F8F"/>
    <w:rsid w:val="00D172DA"/>
    <w:rsid w:val="00D1781A"/>
    <w:rsid w:val="00D20308"/>
    <w:rsid w:val="00D21550"/>
    <w:rsid w:val="00D21943"/>
    <w:rsid w:val="00D21E92"/>
    <w:rsid w:val="00D222C0"/>
    <w:rsid w:val="00D222D3"/>
    <w:rsid w:val="00D22F72"/>
    <w:rsid w:val="00D231D5"/>
    <w:rsid w:val="00D2493A"/>
    <w:rsid w:val="00D24A86"/>
    <w:rsid w:val="00D24E76"/>
    <w:rsid w:val="00D24F4A"/>
    <w:rsid w:val="00D272C3"/>
    <w:rsid w:val="00D27520"/>
    <w:rsid w:val="00D27E71"/>
    <w:rsid w:val="00D31565"/>
    <w:rsid w:val="00D31645"/>
    <w:rsid w:val="00D33958"/>
    <w:rsid w:val="00D3443F"/>
    <w:rsid w:val="00D34687"/>
    <w:rsid w:val="00D34911"/>
    <w:rsid w:val="00D3519A"/>
    <w:rsid w:val="00D355D5"/>
    <w:rsid w:val="00D36541"/>
    <w:rsid w:val="00D366F4"/>
    <w:rsid w:val="00D36CA6"/>
    <w:rsid w:val="00D36D40"/>
    <w:rsid w:val="00D37962"/>
    <w:rsid w:val="00D37D96"/>
    <w:rsid w:val="00D40222"/>
    <w:rsid w:val="00D40C87"/>
    <w:rsid w:val="00D40EDC"/>
    <w:rsid w:val="00D410EF"/>
    <w:rsid w:val="00D425A4"/>
    <w:rsid w:val="00D4266A"/>
    <w:rsid w:val="00D4270C"/>
    <w:rsid w:val="00D4273D"/>
    <w:rsid w:val="00D42972"/>
    <w:rsid w:val="00D450F3"/>
    <w:rsid w:val="00D45610"/>
    <w:rsid w:val="00D45E85"/>
    <w:rsid w:val="00D46012"/>
    <w:rsid w:val="00D46484"/>
    <w:rsid w:val="00D46F34"/>
    <w:rsid w:val="00D507B7"/>
    <w:rsid w:val="00D51093"/>
    <w:rsid w:val="00D51A51"/>
    <w:rsid w:val="00D52894"/>
    <w:rsid w:val="00D54C4A"/>
    <w:rsid w:val="00D56236"/>
    <w:rsid w:val="00D563AE"/>
    <w:rsid w:val="00D57D4F"/>
    <w:rsid w:val="00D57DB7"/>
    <w:rsid w:val="00D60FAC"/>
    <w:rsid w:val="00D61312"/>
    <w:rsid w:val="00D615CA"/>
    <w:rsid w:val="00D61D31"/>
    <w:rsid w:val="00D6265D"/>
    <w:rsid w:val="00D63A1D"/>
    <w:rsid w:val="00D649CF"/>
    <w:rsid w:val="00D64FB1"/>
    <w:rsid w:val="00D65820"/>
    <w:rsid w:val="00D65D52"/>
    <w:rsid w:val="00D6637C"/>
    <w:rsid w:val="00D67436"/>
    <w:rsid w:val="00D70B3A"/>
    <w:rsid w:val="00D71850"/>
    <w:rsid w:val="00D731EE"/>
    <w:rsid w:val="00D734D0"/>
    <w:rsid w:val="00D74513"/>
    <w:rsid w:val="00D74B98"/>
    <w:rsid w:val="00D75C5F"/>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5F3"/>
    <w:rsid w:val="00D87829"/>
    <w:rsid w:val="00D90C06"/>
    <w:rsid w:val="00D91250"/>
    <w:rsid w:val="00D92E24"/>
    <w:rsid w:val="00D93FAE"/>
    <w:rsid w:val="00D94043"/>
    <w:rsid w:val="00D95AA6"/>
    <w:rsid w:val="00D95BBB"/>
    <w:rsid w:val="00D95DA2"/>
    <w:rsid w:val="00D9634B"/>
    <w:rsid w:val="00D974BE"/>
    <w:rsid w:val="00DA0556"/>
    <w:rsid w:val="00DA0E1F"/>
    <w:rsid w:val="00DA0E91"/>
    <w:rsid w:val="00DA2ED0"/>
    <w:rsid w:val="00DA5795"/>
    <w:rsid w:val="00DA63A1"/>
    <w:rsid w:val="00DA6755"/>
    <w:rsid w:val="00DA6AE3"/>
    <w:rsid w:val="00DA6D39"/>
    <w:rsid w:val="00DA72A4"/>
    <w:rsid w:val="00DB0086"/>
    <w:rsid w:val="00DB05C0"/>
    <w:rsid w:val="00DB0846"/>
    <w:rsid w:val="00DB11AA"/>
    <w:rsid w:val="00DB1945"/>
    <w:rsid w:val="00DB1A45"/>
    <w:rsid w:val="00DB39CD"/>
    <w:rsid w:val="00DB42A5"/>
    <w:rsid w:val="00DB4566"/>
    <w:rsid w:val="00DB4CA5"/>
    <w:rsid w:val="00DB5579"/>
    <w:rsid w:val="00DB582C"/>
    <w:rsid w:val="00DB6247"/>
    <w:rsid w:val="00DB7B99"/>
    <w:rsid w:val="00DC0526"/>
    <w:rsid w:val="00DC05CD"/>
    <w:rsid w:val="00DC0F05"/>
    <w:rsid w:val="00DC15AA"/>
    <w:rsid w:val="00DC16A9"/>
    <w:rsid w:val="00DC1B4A"/>
    <w:rsid w:val="00DC26F3"/>
    <w:rsid w:val="00DC2833"/>
    <w:rsid w:val="00DC3031"/>
    <w:rsid w:val="00DC42BD"/>
    <w:rsid w:val="00DC53B9"/>
    <w:rsid w:val="00DC54D4"/>
    <w:rsid w:val="00DC5D39"/>
    <w:rsid w:val="00DC6DA6"/>
    <w:rsid w:val="00DC6F1D"/>
    <w:rsid w:val="00DC72BA"/>
    <w:rsid w:val="00DC7749"/>
    <w:rsid w:val="00DC790A"/>
    <w:rsid w:val="00DC7C03"/>
    <w:rsid w:val="00DD012A"/>
    <w:rsid w:val="00DD0630"/>
    <w:rsid w:val="00DD06F9"/>
    <w:rsid w:val="00DD1B58"/>
    <w:rsid w:val="00DD2540"/>
    <w:rsid w:val="00DD2DF9"/>
    <w:rsid w:val="00DD2EBD"/>
    <w:rsid w:val="00DD465E"/>
    <w:rsid w:val="00DD4C59"/>
    <w:rsid w:val="00DD61C1"/>
    <w:rsid w:val="00DD65CD"/>
    <w:rsid w:val="00DE0A1B"/>
    <w:rsid w:val="00DE109D"/>
    <w:rsid w:val="00DE1D00"/>
    <w:rsid w:val="00DE2114"/>
    <w:rsid w:val="00DE2151"/>
    <w:rsid w:val="00DE2A5D"/>
    <w:rsid w:val="00DE5966"/>
    <w:rsid w:val="00DF053D"/>
    <w:rsid w:val="00DF132E"/>
    <w:rsid w:val="00DF1E1E"/>
    <w:rsid w:val="00DF45F7"/>
    <w:rsid w:val="00DF47CA"/>
    <w:rsid w:val="00DF5B27"/>
    <w:rsid w:val="00DF5E62"/>
    <w:rsid w:val="00DF62EB"/>
    <w:rsid w:val="00E00B1A"/>
    <w:rsid w:val="00E00BB5"/>
    <w:rsid w:val="00E00F07"/>
    <w:rsid w:val="00E02523"/>
    <w:rsid w:val="00E026BA"/>
    <w:rsid w:val="00E03417"/>
    <w:rsid w:val="00E03B14"/>
    <w:rsid w:val="00E04368"/>
    <w:rsid w:val="00E044E3"/>
    <w:rsid w:val="00E047B3"/>
    <w:rsid w:val="00E060F9"/>
    <w:rsid w:val="00E075B9"/>
    <w:rsid w:val="00E105AC"/>
    <w:rsid w:val="00E112D0"/>
    <w:rsid w:val="00E1258A"/>
    <w:rsid w:val="00E12D6F"/>
    <w:rsid w:val="00E130B4"/>
    <w:rsid w:val="00E13356"/>
    <w:rsid w:val="00E13B5E"/>
    <w:rsid w:val="00E13BAE"/>
    <w:rsid w:val="00E13CF8"/>
    <w:rsid w:val="00E13E4E"/>
    <w:rsid w:val="00E13F06"/>
    <w:rsid w:val="00E14465"/>
    <w:rsid w:val="00E14935"/>
    <w:rsid w:val="00E21913"/>
    <w:rsid w:val="00E2231A"/>
    <w:rsid w:val="00E22407"/>
    <w:rsid w:val="00E23031"/>
    <w:rsid w:val="00E23901"/>
    <w:rsid w:val="00E2432F"/>
    <w:rsid w:val="00E24FF2"/>
    <w:rsid w:val="00E30523"/>
    <w:rsid w:val="00E3076A"/>
    <w:rsid w:val="00E3141A"/>
    <w:rsid w:val="00E31B7A"/>
    <w:rsid w:val="00E3267C"/>
    <w:rsid w:val="00E33385"/>
    <w:rsid w:val="00E3347D"/>
    <w:rsid w:val="00E34219"/>
    <w:rsid w:val="00E34981"/>
    <w:rsid w:val="00E3525D"/>
    <w:rsid w:val="00E35902"/>
    <w:rsid w:val="00E3699D"/>
    <w:rsid w:val="00E36A82"/>
    <w:rsid w:val="00E36E68"/>
    <w:rsid w:val="00E37B9D"/>
    <w:rsid w:val="00E402E2"/>
    <w:rsid w:val="00E40D18"/>
    <w:rsid w:val="00E43AD4"/>
    <w:rsid w:val="00E44494"/>
    <w:rsid w:val="00E44E7C"/>
    <w:rsid w:val="00E4525B"/>
    <w:rsid w:val="00E46939"/>
    <w:rsid w:val="00E476A3"/>
    <w:rsid w:val="00E5109F"/>
    <w:rsid w:val="00E51172"/>
    <w:rsid w:val="00E51AD3"/>
    <w:rsid w:val="00E51E14"/>
    <w:rsid w:val="00E528A5"/>
    <w:rsid w:val="00E55C6C"/>
    <w:rsid w:val="00E5611E"/>
    <w:rsid w:val="00E56D4D"/>
    <w:rsid w:val="00E571C1"/>
    <w:rsid w:val="00E60005"/>
    <w:rsid w:val="00E60F0A"/>
    <w:rsid w:val="00E629E3"/>
    <w:rsid w:val="00E65E82"/>
    <w:rsid w:val="00E663FB"/>
    <w:rsid w:val="00E6700A"/>
    <w:rsid w:val="00E67CB9"/>
    <w:rsid w:val="00E71FF3"/>
    <w:rsid w:val="00E73423"/>
    <w:rsid w:val="00E73754"/>
    <w:rsid w:val="00E74672"/>
    <w:rsid w:val="00E74E8C"/>
    <w:rsid w:val="00E7566C"/>
    <w:rsid w:val="00E75E13"/>
    <w:rsid w:val="00E76521"/>
    <w:rsid w:val="00E7663C"/>
    <w:rsid w:val="00E772D4"/>
    <w:rsid w:val="00E77F4C"/>
    <w:rsid w:val="00E80493"/>
    <w:rsid w:val="00E806C6"/>
    <w:rsid w:val="00E8208F"/>
    <w:rsid w:val="00E8219A"/>
    <w:rsid w:val="00E82255"/>
    <w:rsid w:val="00E82757"/>
    <w:rsid w:val="00E82BBD"/>
    <w:rsid w:val="00E837B8"/>
    <w:rsid w:val="00E85527"/>
    <w:rsid w:val="00E85DE8"/>
    <w:rsid w:val="00E85E6C"/>
    <w:rsid w:val="00E912F1"/>
    <w:rsid w:val="00E91320"/>
    <w:rsid w:val="00E919C6"/>
    <w:rsid w:val="00E924E8"/>
    <w:rsid w:val="00E943CB"/>
    <w:rsid w:val="00E96EB7"/>
    <w:rsid w:val="00E9729E"/>
    <w:rsid w:val="00E97D80"/>
    <w:rsid w:val="00EA0E02"/>
    <w:rsid w:val="00EA1C8E"/>
    <w:rsid w:val="00EA230F"/>
    <w:rsid w:val="00EA2950"/>
    <w:rsid w:val="00EA2CD4"/>
    <w:rsid w:val="00EA30F0"/>
    <w:rsid w:val="00EA39AF"/>
    <w:rsid w:val="00EA439C"/>
    <w:rsid w:val="00EA6802"/>
    <w:rsid w:val="00EA69AA"/>
    <w:rsid w:val="00EA6A11"/>
    <w:rsid w:val="00EA6C77"/>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26E3"/>
    <w:rsid w:val="00EC3AD3"/>
    <w:rsid w:val="00EC42B3"/>
    <w:rsid w:val="00EC4DE6"/>
    <w:rsid w:val="00EC532A"/>
    <w:rsid w:val="00EC5F94"/>
    <w:rsid w:val="00EC61CF"/>
    <w:rsid w:val="00EC7B38"/>
    <w:rsid w:val="00EC7BDB"/>
    <w:rsid w:val="00EC7C78"/>
    <w:rsid w:val="00ED00C4"/>
    <w:rsid w:val="00ED224C"/>
    <w:rsid w:val="00ED2B5D"/>
    <w:rsid w:val="00ED3C1B"/>
    <w:rsid w:val="00ED40AB"/>
    <w:rsid w:val="00ED43C3"/>
    <w:rsid w:val="00ED4501"/>
    <w:rsid w:val="00ED48C9"/>
    <w:rsid w:val="00ED51D9"/>
    <w:rsid w:val="00ED6D16"/>
    <w:rsid w:val="00ED7773"/>
    <w:rsid w:val="00ED7950"/>
    <w:rsid w:val="00EE1978"/>
    <w:rsid w:val="00EE2014"/>
    <w:rsid w:val="00EE2781"/>
    <w:rsid w:val="00EE2CDE"/>
    <w:rsid w:val="00EE3A25"/>
    <w:rsid w:val="00EE3A3D"/>
    <w:rsid w:val="00EE3DD7"/>
    <w:rsid w:val="00EE5166"/>
    <w:rsid w:val="00EE569C"/>
    <w:rsid w:val="00EE5CCC"/>
    <w:rsid w:val="00EE72DF"/>
    <w:rsid w:val="00EE7B1A"/>
    <w:rsid w:val="00EF18CB"/>
    <w:rsid w:val="00EF235D"/>
    <w:rsid w:val="00EF23AF"/>
    <w:rsid w:val="00EF25F7"/>
    <w:rsid w:val="00EF2E9C"/>
    <w:rsid w:val="00EF3182"/>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53DC"/>
    <w:rsid w:val="00F05948"/>
    <w:rsid w:val="00F0764D"/>
    <w:rsid w:val="00F102AD"/>
    <w:rsid w:val="00F1092C"/>
    <w:rsid w:val="00F10A55"/>
    <w:rsid w:val="00F1179A"/>
    <w:rsid w:val="00F1180A"/>
    <w:rsid w:val="00F120C8"/>
    <w:rsid w:val="00F123CA"/>
    <w:rsid w:val="00F12549"/>
    <w:rsid w:val="00F12723"/>
    <w:rsid w:val="00F12E46"/>
    <w:rsid w:val="00F133F1"/>
    <w:rsid w:val="00F13A83"/>
    <w:rsid w:val="00F1524B"/>
    <w:rsid w:val="00F169DB"/>
    <w:rsid w:val="00F170B0"/>
    <w:rsid w:val="00F1772A"/>
    <w:rsid w:val="00F218A0"/>
    <w:rsid w:val="00F21EBF"/>
    <w:rsid w:val="00F21F0F"/>
    <w:rsid w:val="00F23F12"/>
    <w:rsid w:val="00F247DE"/>
    <w:rsid w:val="00F252D3"/>
    <w:rsid w:val="00F256D1"/>
    <w:rsid w:val="00F27459"/>
    <w:rsid w:val="00F27705"/>
    <w:rsid w:val="00F30CC0"/>
    <w:rsid w:val="00F31667"/>
    <w:rsid w:val="00F325C3"/>
    <w:rsid w:val="00F32BFD"/>
    <w:rsid w:val="00F32FA8"/>
    <w:rsid w:val="00F33E79"/>
    <w:rsid w:val="00F344EE"/>
    <w:rsid w:val="00F34EAD"/>
    <w:rsid w:val="00F353D2"/>
    <w:rsid w:val="00F363B2"/>
    <w:rsid w:val="00F4208D"/>
    <w:rsid w:val="00F42E84"/>
    <w:rsid w:val="00F44026"/>
    <w:rsid w:val="00F45B43"/>
    <w:rsid w:val="00F4678A"/>
    <w:rsid w:val="00F46A7D"/>
    <w:rsid w:val="00F47BEC"/>
    <w:rsid w:val="00F5054D"/>
    <w:rsid w:val="00F51153"/>
    <w:rsid w:val="00F53669"/>
    <w:rsid w:val="00F54B1C"/>
    <w:rsid w:val="00F55DEA"/>
    <w:rsid w:val="00F56671"/>
    <w:rsid w:val="00F568ED"/>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1DFF"/>
    <w:rsid w:val="00F7264F"/>
    <w:rsid w:val="00F7308B"/>
    <w:rsid w:val="00F73412"/>
    <w:rsid w:val="00F737C8"/>
    <w:rsid w:val="00F75118"/>
    <w:rsid w:val="00F776F8"/>
    <w:rsid w:val="00F77FCE"/>
    <w:rsid w:val="00F81D07"/>
    <w:rsid w:val="00F821DB"/>
    <w:rsid w:val="00F83579"/>
    <w:rsid w:val="00F8438F"/>
    <w:rsid w:val="00F85263"/>
    <w:rsid w:val="00F85772"/>
    <w:rsid w:val="00F85A9D"/>
    <w:rsid w:val="00F85F67"/>
    <w:rsid w:val="00F86C95"/>
    <w:rsid w:val="00F8706F"/>
    <w:rsid w:val="00F870DF"/>
    <w:rsid w:val="00F90448"/>
    <w:rsid w:val="00F90D29"/>
    <w:rsid w:val="00F917FF"/>
    <w:rsid w:val="00F93A03"/>
    <w:rsid w:val="00F94D99"/>
    <w:rsid w:val="00F94E89"/>
    <w:rsid w:val="00F95308"/>
    <w:rsid w:val="00FA0819"/>
    <w:rsid w:val="00FA1BC0"/>
    <w:rsid w:val="00FA2298"/>
    <w:rsid w:val="00FA2786"/>
    <w:rsid w:val="00FA2DAD"/>
    <w:rsid w:val="00FA41CF"/>
    <w:rsid w:val="00FA440B"/>
    <w:rsid w:val="00FA5022"/>
    <w:rsid w:val="00FA5F67"/>
    <w:rsid w:val="00FA5FF1"/>
    <w:rsid w:val="00FA64B9"/>
    <w:rsid w:val="00FA6557"/>
    <w:rsid w:val="00FA6D4D"/>
    <w:rsid w:val="00FA705E"/>
    <w:rsid w:val="00FA73CC"/>
    <w:rsid w:val="00FB0362"/>
    <w:rsid w:val="00FB052F"/>
    <w:rsid w:val="00FB132D"/>
    <w:rsid w:val="00FB1BC9"/>
    <w:rsid w:val="00FB1FEE"/>
    <w:rsid w:val="00FB27C0"/>
    <w:rsid w:val="00FB4401"/>
    <w:rsid w:val="00FB5AA2"/>
    <w:rsid w:val="00FB6539"/>
    <w:rsid w:val="00FB7A30"/>
    <w:rsid w:val="00FC0073"/>
    <w:rsid w:val="00FC0A81"/>
    <w:rsid w:val="00FC0BF9"/>
    <w:rsid w:val="00FC18A6"/>
    <w:rsid w:val="00FC435B"/>
    <w:rsid w:val="00FC474F"/>
    <w:rsid w:val="00FC5466"/>
    <w:rsid w:val="00FC54F6"/>
    <w:rsid w:val="00FC5E3E"/>
    <w:rsid w:val="00FC628B"/>
    <w:rsid w:val="00FC6339"/>
    <w:rsid w:val="00FC6CC8"/>
    <w:rsid w:val="00FC7DA5"/>
    <w:rsid w:val="00FC7E91"/>
    <w:rsid w:val="00FD0780"/>
    <w:rsid w:val="00FD0E83"/>
    <w:rsid w:val="00FD2B5C"/>
    <w:rsid w:val="00FD3008"/>
    <w:rsid w:val="00FD3120"/>
    <w:rsid w:val="00FD3B9C"/>
    <w:rsid w:val="00FD4102"/>
    <w:rsid w:val="00FD6993"/>
    <w:rsid w:val="00FD6A65"/>
    <w:rsid w:val="00FD7A36"/>
    <w:rsid w:val="00FE0E28"/>
    <w:rsid w:val="00FE0E49"/>
    <w:rsid w:val="00FE0EA2"/>
    <w:rsid w:val="00FE4092"/>
    <w:rsid w:val="00FE443A"/>
    <w:rsid w:val="00FE4954"/>
    <w:rsid w:val="00FE4B61"/>
    <w:rsid w:val="00FE4BBD"/>
    <w:rsid w:val="00FE5FB5"/>
    <w:rsid w:val="00FE61E2"/>
    <w:rsid w:val="00FE6A57"/>
    <w:rsid w:val="00FE77E4"/>
    <w:rsid w:val="00FF01C2"/>
    <w:rsid w:val="00FF1124"/>
    <w:rsid w:val="00FF2228"/>
    <w:rsid w:val="00FF22EF"/>
    <w:rsid w:val="00FF2B31"/>
    <w:rsid w:val="00FF35D4"/>
    <w:rsid w:val="00FF55FD"/>
    <w:rsid w:val="00FF5CC4"/>
    <w:rsid w:val="00FF6BF5"/>
    <w:rsid w:val="00FF6C6A"/>
    <w:rsid w:val="00FF7280"/>
    <w:rsid w:val="03D66BA6"/>
    <w:rsid w:val="0E0A401C"/>
    <w:rsid w:val="11FD58A0"/>
    <w:rsid w:val="152476E5"/>
    <w:rsid w:val="156B5856"/>
    <w:rsid w:val="17E7195A"/>
    <w:rsid w:val="193C4CB6"/>
    <w:rsid w:val="20362250"/>
    <w:rsid w:val="2D216218"/>
    <w:rsid w:val="2DAE16C6"/>
    <w:rsid w:val="2DAF22BF"/>
    <w:rsid w:val="307849BD"/>
    <w:rsid w:val="30FA5A3A"/>
    <w:rsid w:val="35E978AA"/>
    <w:rsid w:val="385D6752"/>
    <w:rsid w:val="3BB4D1B6"/>
    <w:rsid w:val="3D001756"/>
    <w:rsid w:val="41E579D9"/>
    <w:rsid w:val="4BB72AB2"/>
    <w:rsid w:val="4D0B5C4E"/>
    <w:rsid w:val="4DDE123C"/>
    <w:rsid w:val="52491E8D"/>
    <w:rsid w:val="57281E1C"/>
    <w:rsid w:val="577613A7"/>
    <w:rsid w:val="59C471CD"/>
    <w:rsid w:val="5FAF4BC7"/>
    <w:rsid w:val="607E751E"/>
    <w:rsid w:val="63F61AE1"/>
    <w:rsid w:val="64566D1C"/>
    <w:rsid w:val="65B2419B"/>
    <w:rsid w:val="67A42616"/>
    <w:rsid w:val="68CC1793"/>
    <w:rsid w:val="6ABD123E"/>
    <w:rsid w:val="6F5054C9"/>
    <w:rsid w:val="6FB40037"/>
    <w:rsid w:val="70BF5715"/>
    <w:rsid w:val="72326CC5"/>
    <w:rsid w:val="78613BAF"/>
    <w:rsid w:val="7A717F49"/>
    <w:rsid w:val="7B7989CB"/>
    <w:rsid w:val="7BC90EC6"/>
    <w:rsid w:val="7C3000C2"/>
    <w:rsid w:val="7C6B4F9D"/>
    <w:rsid w:val="7D2A03BA"/>
    <w:rsid w:val="E7FF828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GB" w:eastAsia="ja-JP" w:bidi="ar-SA"/>
    </w:rPr>
  </w:style>
  <w:style w:type="paragraph" w:styleId="2">
    <w:name w:val="heading 1"/>
    <w:basedOn w:val="1"/>
    <w:next w:val="1"/>
    <w:link w:val="123"/>
    <w:qFormat/>
    <w:uiPriority w:val="0"/>
    <w:pPr>
      <w:keepNext/>
      <w:spacing w:before="240" w:after="60"/>
      <w:outlineLvl w:val="0"/>
    </w:pPr>
    <w:rPr>
      <w:rFonts w:cs="Arial"/>
      <w:b/>
      <w:bCs/>
      <w:kern w:val="32"/>
      <w:sz w:val="24"/>
      <w:szCs w:val="32"/>
    </w:rPr>
  </w:style>
  <w:style w:type="paragraph" w:styleId="3">
    <w:name w:val="heading 2"/>
    <w:basedOn w:val="1"/>
    <w:next w:val="1"/>
    <w:link w:val="156"/>
    <w:qFormat/>
    <w:uiPriority w:val="0"/>
    <w:pPr>
      <w:keepNext/>
      <w:spacing w:before="120" w:after="60"/>
      <w:outlineLvl w:val="1"/>
    </w:pPr>
    <w:rPr>
      <w:rFonts w:cs="Arial"/>
      <w:b/>
      <w:bCs/>
      <w:iCs/>
      <w:sz w:val="20"/>
      <w:szCs w:val="28"/>
    </w:rPr>
  </w:style>
  <w:style w:type="paragraph" w:styleId="4">
    <w:name w:val="heading 3"/>
    <w:basedOn w:val="1"/>
    <w:next w:val="1"/>
    <w:link w:val="140"/>
    <w:qFormat/>
    <w:uiPriority w:val="0"/>
    <w:pPr>
      <w:keepNext/>
      <w:spacing w:before="60" w:after="60"/>
      <w:outlineLvl w:val="2"/>
    </w:pPr>
    <w:rPr>
      <w:rFonts w:cs="Arial"/>
      <w:b/>
      <w:bCs/>
      <w:szCs w:val="26"/>
    </w:rPr>
  </w:style>
  <w:style w:type="paragraph" w:styleId="5">
    <w:name w:val="heading 4"/>
    <w:basedOn w:val="1"/>
    <w:next w:val="1"/>
    <w:link w:val="124"/>
    <w:qFormat/>
    <w:uiPriority w:val="0"/>
    <w:pPr>
      <w:keepNext/>
      <w:keepLines/>
      <w:widowControl w:val="0"/>
      <w:numPr>
        <w:ilvl w:val="3"/>
        <w:numId w:val="1"/>
      </w:numPr>
      <w:spacing w:before="280" w:after="290" w:line="376" w:lineRule="auto"/>
      <w:jc w:val="both"/>
      <w:outlineLvl w:val="3"/>
    </w:pPr>
    <w:rPr>
      <w:rFonts w:ascii="Cambria" w:hAnsi="Cambria" w:eastAsia="宋体"/>
      <w:b/>
      <w:bCs/>
      <w:snapToGrid/>
      <w:kern w:val="2"/>
      <w:sz w:val="28"/>
      <w:szCs w:val="28"/>
      <w:lang w:val="zh-CN" w:eastAsia="zh-CN"/>
    </w:rPr>
  </w:style>
  <w:style w:type="character" w:default="1" w:styleId="28">
    <w:name w:val="Default Paragraph Font"/>
    <w:semiHidden/>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val="0"/>
      <w:spacing w:beforeLines="50" w:line="288" w:lineRule="auto"/>
      <w:ind w:left="1199" w:leftChars="1199" w:firstLine="200" w:firstLineChars="200"/>
      <w:jc w:val="both"/>
    </w:pPr>
    <w:rPr>
      <w:rFonts w:ascii="Times New Roman" w:hAnsi="Times New Roman" w:eastAsia="楷体_GB2312"/>
      <w:snapToGrid/>
      <w:kern w:val="2"/>
      <w:sz w:val="21"/>
      <w:szCs w:val="20"/>
      <w:lang w:val="en-US" w:eastAsia="zh-CN"/>
    </w:rPr>
  </w:style>
  <w:style w:type="paragraph" w:styleId="7">
    <w:name w:val="caption"/>
    <w:basedOn w:val="1"/>
    <w:next w:val="1"/>
    <w:qFormat/>
    <w:uiPriority w:val="0"/>
    <w:pPr>
      <w:widowControl w:val="0"/>
      <w:spacing w:before="120" w:line="300" w:lineRule="auto"/>
      <w:ind w:left="2520" w:leftChars="1200"/>
      <w:jc w:val="center"/>
    </w:pPr>
    <w:rPr>
      <w:rFonts w:ascii="楷体_GB2312" w:hAnsi="Arial" w:eastAsia="楷体_GB2312" w:cs="Arial"/>
      <w:b/>
      <w:bCs/>
      <w:snapToGrid/>
      <w:kern w:val="2"/>
      <w:sz w:val="20"/>
      <w:szCs w:val="20"/>
      <w:lang w:val="en-US" w:eastAsia="zh-CN"/>
    </w:rPr>
  </w:style>
  <w:style w:type="paragraph" w:styleId="8">
    <w:name w:val="annotation text"/>
    <w:basedOn w:val="1"/>
    <w:link w:val="136"/>
    <w:qFormat/>
    <w:uiPriority w:val="0"/>
    <w:pPr>
      <w:widowControl w:val="0"/>
    </w:pPr>
    <w:rPr>
      <w:rFonts w:ascii="Times New Roman" w:hAnsi="Times New Roman" w:eastAsia="宋体"/>
      <w:snapToGrid/>
      <w:kern w:val="2"/>
      <w:sz w:val="21"/>
      <w:szCs w:val="24"/>
      <w:lang w:val="zh-CN" w:eastAsia="zh-CN"/>
    </w:rPr>
  </w:style>
  <w:style w:type="paragraph" w:styleId="9">
    <w:name w:val="Body Text 3"/>
    <w:basedOn w:val="1"/>
    <w:link w:val="128"/>
    <w:qFormat/>
    <w:uiPriority w:val="0"/>
    <w:pPr>
      <w:widowControl w:val="0"/>
      <w:jc w:val="both"/>
    </w:pPr>
    <w:rPr>
      <w:rFonts w:ascii="汉仪楷体简" w:hAnsi="Times New Roman" w:eastAsia="汉仪楷体简"/>
      <w:snapToGrid/>
      <w:color w:val="000000"/>
      <w:sz w:val="18"/>
      <w:lang w:val="en-US" w:eastAsia="zh-CN"/>
    </w:rPr>
  </w:style>
  <w:style w:type="paragraph" w:styleId="10">
    <w:name w:val="Body Text"/>
    <w:basedOn w:val="1"/>
    <w:link w:val="125"/>
    <w:qFormat/>
    <w:uiPriority w:val="0"/>
    <w:pPr>
      <w:widowControl w:val="0"/>
      <w:tabs>
        <w:tab w:val="left" w:pos="3045"/>
      </w:tabs>
      <w:ind w:right="7159" w:rightChars="3409"/>
      <w:jc w:val="both"/>
    </w:pPr>
    <w:rPr>
      <w:rFonts w:ascii="Times New Roman" w:hAnsi="Times New Roman" w:eastAsia="宋体"/>
      <w:snapToGrid/>
      <w:kern w:val="2"/>
      <w:sz w:val="21"/>
      <w:szCs w:val="24"/>
      <w:lang w:val="en-US" w:eastAsia="zh-CN"/>
    </w:rPr>
  </w:style>
  <w:style w:type="paragraph" w:styleId="11">
    <w:name w:val="Body Text Indent"/>
    <w:basedOn w:val="1"/>
    <w:link w:val="126"/>
    <w:qFormat/>
    <w:uiPriority w:val="0"/>
    <w:pPr>
      <w:widowControl w:val="0"/>
      <w:ind w:left="3150" w:leftChars="1500"/>
      <w:jc w:val="both"/>
    </w:pPr>
    <w:rPr>
      <w:rFonts w:ascii="汉仪楷体简" w:hAnsi="Times New Roman" w:eastAsia="汉仪楷体简"/>
      <w:snapToGrid/>
      <w:color w:val="000000"/>
      <w:sz w:val="18"/>
      <w:lang w:val="en-US" w:eastAsia="zh-CN"/>
    </w:rPr>
  </w:style>
  <w:style w:type="paragraph" w:styleId="12">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val="en-US" w:eastAsia="zh-CN"/>
    </w:rPr>
  </w:style>
  <w:style w:type="paragraph" w:styleId="13">
    <w:name w:val="toc 3"/>
    <w:basedOn w:val="1"/>
    <w:next w:val="1"/>
    <w:qFormat/>
    <w:uiPriority w:val="39"/>
    <w:pPr>
      <w:widowControl w:val="0"/>
      <w:tabs>
        <w:tab w:val="left" w:pos="3150"/>
        <w:tab w:val="right" w:leader="dot" w:pos="10537"/>
      </w:tabs>
      <w:spacing w:line="440" w:lineRule="exact"/>
      <w:ind w:left="1700" w:leftChars="1700"/>
      <w:jc w:val="both"/>
    </w:pPr>
    <w:rPr>
      <w:rFonts w:ascii="Arial" w:hAnsi="Arial" w:eastAsia="楷体_GB2312"/>
      <w:snapToGrid/>
      <w:kern w:val="2"/>
      <w:sz w:val="20"/>
      <w:szCs w:val="24"/>
      <w:lang w:val="en-US" w:eastAsia="zh-CN"/>
    </w:rPr>
  </w:style>
  <w:style w:type="paragraph" w:styleId="14">
    <w:name w:val="Date"/>
    <w:basedOn w:val="1"/>
    <w:next w:val="1"/>
    <w:link w:val="131"/>
    <w:qFormat/>
    <w:uiPriority w:val="0"/>
    <w:pPr>
      <w:widowControl w:val="0"/>
      <w:autoSpaceDE w:val="0"/>
      <w:autoSpaceDN w:val="0"/>
      <w:adjustRightInd w:val="0"/>
      <w:jc w:val="both"/>
      <w:textAlignment w:val="baseline"/>
    </w:pPr>
    <w:rPr>
      <w:rFonts w:ascii="宋体" w:hAnsi="Times New Roman" w:eastAsia="宋体"/>
      <w:snapToGrid/>
      <w:kern w:val="2"/>
      <w:sz w:val="28"/>
      <w:szCs w:val="20"/>
      <w:lang w:val="en-US" w:eastAsia="zh-CN"/>
    </w:rPr>
  </w:style>
  <w:style w:type="paragraph" w:styleId="15">
    <w:name w:val="Body Text Indent 2"/>
    <w:basedOn w:val="1"/>
    <w:link w:val="129"/>
    <w:qFormat/>
    <w:uiPriority w:val="0"/>
    <w:pPr>
      <w:widowControl w:val="0"/>
      <w:autoSpaceDE w:val="0"/>
      <w:autoSpaceDN w:val="0"/>
      <w:adjustRightInd w:val="0"/>
      <w:ind w:left="2520" w:leftChars="1200" w:firstLine="360" w:firstLineChars="150"/>
    </w:pPr>
    <w:rPr>
      <w:rFonts w:ascii="楷体_GB2312" w:hAnsi="Times New Roman" w:eastAsia="楷体_GB2312"/>
      <w:snapToGrid/>
      <w:sz w:val="24"/>
      <w:szCs w:val="24"/>
      <w:lang w:val="en-US" w:eastAsia="zh-CN"/>
    </w:rPr>
  </w:style>
  <w:style w:type="paragraph" w:styleId="16">
    <w:name w:val="Balloon Text"/>
    <w:basedOn w:val="1"/>
    <w:link w:val="34"/>
    <w:qFormat/>
    <w:uiPriority w:val="0"/>
    <w:rPr>
      <w:rFonts w:ascii="Tahoma" w:hAnsi="Tahoma" w:cs="Tahoma"/>
    </w:rPr>
  </w:style>
  <w:style w:type="paragraph" w:styleId="17">
    <w:name w:val="footer"/>
    <w:basedOn w:val="1"/>
    <w:qFormat/>
    <w:uiPriority w:val="0"/>
    <w:pPr>
      <w:tabs>
        <w:tab w:val="center" w:pos="4419"/>
        <w:tab w:val="right" w:pos="8838"/>
      </w:tabs>
    </w:pPr>
  </w:style>
  <w:style w:type="paragraph" w:styleId="18">
    <w:name w:val="header"/>
    <w:basedOn w:val="1"/>
    <w:qFormat/>
    <w:uiPriority w:val="0"/>
    <w:pPr>
      <w:tabs>
        <w:tab w:val="center" w:pos="4419"/>
        <w:tab w:val="right" w:pos="8838"/>
      </w:tabs>
    </w:pPr>
  </w:style>
  <w:style w:type="paragraph" w:styleId="19">
    <w:name w:val="toc 1"/>
    <w:basedOn w:val="1"/>
    <w:next w:val="1"/>
    <w:qFormat/>
    <w:uiPriority w:val="39"/>
    <w:pPr>
      <w:widowControl w:val="0"/>
      <w:tabs>
        <w:tab w:val="left" w:pos="2835"/>
        <w:tab w:val="left" w:pos="3325"/>
        <w:tab w:val="right" w:leader="dot" w:pos="10537"/>
      </w:tabs>
      <w:overflowPunct w:val="0"/>
      <w:spacing w:line="440" w:lineRule="exact"/>
      <w:ind w:left="1300" w:leftChars="1300"/>
      <w:jc w:val="both"/>
    </w:pPr>
    <w:rPr>
      <w:rFonts w:ascii="Arial" w:hAnsi="Arial" w:eastAsia="楷体_GB2312"/>
      <w:snapToGrid/>
      <w:kern w:val="2"/>
      <w:sz w:val="21"/>
      <w:szCs w:val="24"/>
      <w:lang w:val="en-US" w:eastAsia="zh-CN"/>
    </w:rPr>
  </w:style>
  <w:style w:type="paragraph" w:styleId="20">
    <w:name w:val="Body Text Indent 3"/>
    <w:basedOn w:val="1"/>
    <w:link w:val="130"/>
    <w:qFormat/>
    <w:uiPriority w:val="0"/>
    <w:pPr>
      <w:framePr w:hSpace="180" w:wrap="around" w:vAnchor="text" w:hAnchor="text" w:xAlign="right" w:y="1"/>
      <w:suppressOverlap/>
      <w:widowControl w:val="0"/>
      <w:spacing w:line="320" w:lineRule="exact"/>
      <w:ind w:left="50" w:leftChars="24" w:firstLine="485" w:firstLineChars="202"/>
      <w:jc w:val="both"/>
    </w:pPr>
    <w:rPr>
      <w:rFonts w:ascii="楷体_GB2312" w:hAnsi="Times New Roman" w:eastAsia="楷体_GB2312"/>
      <w:snapToGrid/>
      <w:color w:val="000000"/>
      <w:kern w:val="2"/>
      <w:sz w:val="24"/>
      <w:szCs w:val="24"/>
      <w:lang w:val="en-US" w:eastAsia="zh-CN"/>
    </w:rPr>
  </w:style>
  <w:style w:type="paragraph" w:styleId="21">
    <w:name w:val="table of figures"/>
    <w:basedOn w:val="1"/>
    <w:next w:val="1"/>
    <w:qFormat/>
    <w:uiPriority w:val="99"/>
    <w:pPr>
      <w:widowControl w:val="0"/>
      <w:spacing w:line="440" w:lineRule="exact"/>
      <w:ind w:left="1300" w:leftChars="1300"/>
    </w:pPr>
    <w:rPr>
      <w:rFonts w:ascii="Arial" w:hAnsi="Arial" w:eastAsia="楷体_GB2312"/>
      <w:snapToGrid/>
      <w:kern w:val="2"/>
      <w:sz w:val="20"/>
      <w:szCs w:val="24"/>
      <w:lang w:val="en-US" w:eastAsia="zh-CN"/>
    </w:rPr>
  </w:style>
  <w:style w:type="paragraph" w:styleId="22">
    <w:name w:val="toc 2"/>
    <w:basedOn w:val="1"/>
    <w:next w:val="1"/>
    <w:qFormat/>
    <w:uiPriority w:val="39"/>
    <w:pPr>
      <w:widowControl w:val="0"/>
      <w:tabs>
        <w:tab w:val="left" w:pos="2835"/>
        <w:tab w:val="right" w:leader="dot" w:pos="10500"/>
      </w:tabs>
      <w:overflowPunct w:val="0"/>
      <w:spacing w:line="440" w:lineRule="exact"/>
      <w:ind w:left="1500" w:leftChars="1500"/>
      <w:jc w:val="both"/>
    </w:pPr>
    <w:rPr>
      <w:rFonts w:ascii="Arial" w:hAnsi="Arial" w:eastAsia="楷体_GB2312"/>
      <w:snapToGrid/>
      <w:kern w:val="2"/>
      <w:sz w:val="20"/>
      <w:szCs w:val="24"/>
      <w:lang w:val="en-US" w:eastAsia="zh-CN"/>
    </w:rPr>
  </w:style>
  <w:style w:type="paragraph" w:styleId="23">
    <w:name w:val="Body Text 2"/>
    <w:basedOn w:val="1"/>
    <w:link w:val="127"/>
    <w:qFormat/>
    <w:uiPriority w:val="0"/>
    <w:pPr>
      <w:widowControl w:val="0"/>
      <w:jc w:val="both"/>
    </w:pPr>
    <w:rPr>
      <w:rFonts w:ascii="Times New Roman" w:hAnsi="Times New Roman" w:eastAsia="汉仪楷体简"/>
      <w:snapToGrid/>
      <w:sz w:val="18"/>
      <w:szCs w:val="24"/>
      <w:lang w:val="en-US" w:eastAsia="zh-CN"/>
    </w:rPr>
  </w:style>
  <w:style w:type="paragraph" w:styleId="24">
    <w:name w:val="Normal (Web)"/>
    <w:basedOn w:val="1"/>
    <w:qFormat/>
    <w:uiPriority w:val="99"/>
    <w:pPr>
      <w:spacing w:before="100" w:beforeAutospacing="1" w:after="100" w:afterAutospacing="1"/>
    </w:pPr>
    <w:rPr>
      <w:rFonts w:ascii="宋体" w:hAnsi="宋体" w:eastAsia="宋体" w:cs="宋体"/>
      <w:snapToGrid/>
      <w:sz w:val="24"/>
      <w:szCs w:val="24"/>
      <w:lang w:val="en-US" w:eastAsia="zh-CN"/>
    </w:rPr>
  </w:style>
  <w:style w:type="paragraph" w:styleId="25">
    <w:name w:val="annotation subject"/>
    <w:basedOn w:val="8"/>
    <w:next w:val="8"/>
    <w:link w:val="13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rPr>
      <w:b/>
      <w:bCs/>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Hyperlink"/>
    <w:basedOn w:val="28"/>
    <w:qFormat/>
    <w:uiPriority w:val="99"/>
    <w:rPr>
      <w:color w:val="0000FF"/>
      <w:u w:val="single"/>
    </w:rPr>
  </w:style>
  <w:style w:type="character" w:styleId="33">
    <w:name w:val="annotation reference"/>
    <w:qFormat/>
    <w:uiPriority w:val="0"/>
    <w:rPr>
      <w:sz w:val="21"/>
      <w:szCs w:val="21"/>
    </w:rPr>
  </w:style>
  <w:style w:type="character" w:customStyle="1" w:styleId="34">
    <w:name w:val="批注框文本 字符"/>
    <w:basedOn w:val="28"/>
    <w:link w:val="16"/>
    <w:qFormat/>
    <w:uiPriority w:val="0"/>
    <w:rPr>
      <w:rFonts w:ascii="Tahoma" w:hAnsi="Tahoma" w:cs="Tahoma"/>
      <w:lang w:eastAsia="ja-JP"/>
    </w:rPr>
  </w:style>
  <w:style w:type="paragraph" w:customStyle="1" w:styleId="35">
    <w:name w:val="EFAFPCompanyName"/>
    <w:next w:val="36"/>
    <w:qFormat/>
    <w:uiPriority w:val="0"/>
    <w:pPr>
      <w:framePr w:w="10858" w:h="1920" w:hRule="exact" w:wrap="around" w:vAnchor="page" w:hAnchor="page" w:x="341" w:y="1107" w:anchorLock="1"/>
      <w:adjustRightInd w:val="0"/>
      <w:snapToGrid w:val="0"/>
    </w:pPr>
    <w:rPr>
      <w:rFonts w:ascii="Calibri" w:hAnsi="Calibri" w:eastAsia="MS Mincho" w:cs="Times New Roman"/>
      <w:b/>
      <w:snapToGrid w:val="0"/>
      <w:sz w:val="36"/>
      <w:szCs w:val="40"/>
      <w:lang w:val="en-US" w:eastAsia="ja-JP" w:bidi="ar-SA"/>
    </w:rPr>
  </w:style>
  <w:style w:type="paragraph" w:customStyle="1" w:styleId="36">
    <w:name w:val="Style EFAFPFrameText_11.5pt + Right"/>
    <w:basedOn w:val="37"/>
    <w:qFormat/>
    <w:uiPriority w:val="0"/>
    <w:pPr>
      <w:framePr w:wrap="around"/>
      <w:jc w:val="right"/>
    </w:pPr>
    <w:rPr>
      <w:bCs/>
      <w:szCs w:val="20"/>
    </w:rPr>
  </w:style>
  <w:style w:type="paragraph" w:customStyle="1" w:styleId="37">
    <w:name w:val="EFAFPFrameText_11.5pt"/>
    <w:basedOn w:val="38"/>
    <w:qFormat/>
    <w:uiPriority w:val="0"/>
    <w:pPr>
      <w:framePr w:h="1520" w:hRule="exact" w:wrap="around" w:x="357" w:y="1072"/>
    </w:pPr>
    <w:rPr>
      <w:color w:val="23558C"/>
    </w:rPr>
  </w:style>
  <w:style w:type="paragraph" w:customStyle="1" w:styleId="38">
    <w:name w:val="EFAFPCompanyInfo"/>
    <w:basedOn w:val="1"/>
    <w:qFormat/>
    <w:uiPriority w:val="0"/>
    <w:pPr>
      <w:framePr w:w="10858" w:h="1920" w:hRule="exact" w:wrap="around" w:vAnchor="page" w:hAnchor="page" w:x="341" w:y="1107" w:anchorLock="1"/>
      <w:adjustRightInd w:val="0"/>
      <w:snapToGrid w:val="0"/>
    </w:pPr>
    <w:rPr>
      <w:b/>
      <w:sz w:val="24"/>
    </w:rPr>
  </w:style>
  <w:style w:type="paragraph" w:customStyle="1" w:styleId="39">
    <w:name w:val="EFABullet"/>
    <w:basedOn w:val="40"/>
    <w:qFormat/>
    <w:uiPriority w:val="0"/>
    <w:pPr>
      <w:numPr>
        <w:ilvl w:val="0"/>
        <w:numId w:val="2"/>
      </w:numPr>
      <w:tabs>
        <w:tab w:val="left" w:pos="480"/>
      </w:tabs>
      <w:ind w:left="192" w:firstLine="0"/>
    </w:pPr>
  </w:style>
  <w:style w:type="paragraph" w:customStyle="1" w:styleId="40">
    <w:name w:val="EFABodyText"/>
    <w:link w:val="5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1">
    <w:name w:val="EFAButton"/>
    <w:basedOn w:val="42"/>
    <w:qFormat/>
    <w:uiPriority w:val="0"/>
    <w:rPr>
      <w:b/>
    </w:rPr>
  </w:style>
  <w:style w:type="paragraph" w:customStyle="1" w:styleId="42">
    <w:name w:val="EFANormal"/>
    <w:link w:val="5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43">
    <w:name w:val="Style EFAFPFrameText_11.5pt_Right"/>
    <w:basedOn w:val="37"/>
    <w:qFormat/>
    <w:uiPriority w:val="0"/>
    <w:pPr>
      <w:framePr w:wrap="around"/>
      <w:jc w:val="right"/>
    </w:pPr>
    <w:rPr>
      <w:bCs/>
      <w:szCs w:val="20"/>
    </w:rPr>
  </w:style>
  <w:style w:type="paragraph" w:customStyle="1" w:styleId="44">
    <w:name w:val="EFADisclaimerText"/>
    <w:basedOn w:val="42"/>
    <w:link w:val="112"/>
    <w:qFormat/>
    <w:uiPriority w:val="99"/>
    <w:pPr>
      <w:jc w:val="both"/>
    </w:pPr>
  </w:style>
  <w:style w:type="paragraph" w:styleId="45">
    <w:name w:val="List Paragraph"/>
    <w:basedOn w:val="1"/>
    <w:qFormat/>
    <w:uiPriority w:val="34"/>
    <w:pPr>
      <w:ind w:left="720"/>
      <w:contextualSpacing/>
    </w:pPr>
  </w:style>
  <w:style w:type="paragraph" w:customStyle="1" w:styleId="46">
    <w:name w:val="EFABullet_Red"/>
    <w:basedOn w:val="47"/>
    <w:qFormat/>
    <w:uiPriority w:val="0"/>
    <w:pPr>
      <w:numPr>
        <w:ilvl w:val="0"/>
        <w:numId w:val="3"/>
      </w:numPr>
      <w:tabs>
        <w:tab w:val="left" w:pos="481"/>
      </w:tabs>
    </w:pPr>
  </w:style>
  <w:style w:type="paragraph" w:customStyle="1" w:styleId="47">
    <w:name w:val="EFAFP_BodyText"/>
    <w:link w:val="5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8">
    <w:name w:val="EFA2ndPageHeader"/>
    <w:basedOn w:val="42"/>
    <w:qFormat/>
    <w:uiPriority w:val="0"/>
    <w:pPr>
      <w:spacing w:before="40" w:after="40"/>
      <w:jc w:val="right"/>
    </w:pPr>
    <w:rPr>
      <w:color w:val="FF0000"/>
      <w:sz w:val="24"/>
    </w:rPr>
  </w:style>
  <w:style w:type="paragraph" w:customStyle="1" w:styleId="49">
    <w:name w:val="EFAPageFooter"/>
    <w:basedOn w:val="42"/>
    <w:qFormat/>
    <w:uiPriority w:val="0"/>
    <w:pPr>
      <w:framePr w:wrap="around" w:vAnchor="page" w:hAnchor="page" w:x="347" w:y="15481"/>
      <w:suppressOverlap/>
      <w:tabs>
        <w:tab w:val="center" w:pos="5165"/>
      </w:tabs>
    </w:pPr>
    <w:rPr>
      <w:b/>
      <w:sz w:val="20"/>
      <w:szCs w:val="20"/>
    </w:rPr>
  </w:style>
  <w:style w:type="paragraph" w:customStyle="1" w:styleId="50">
    <w:name w:val="EFAPageHeader"/>
    <w:basedOn w:val="42"/>
    <w:qFormat/>
    <w:uiPriority w:val="0"/>
    <w:pPr>
      <w:tabs>
        <w:tab w:val="right" w:pos="10692"/>
      </w:tabs>
      <w:spacing w:before="40" w:after="40"/>
    </w:pPr>
    <w:rPr>
      <w:b/>
      <w:bCs/>
      <w:color w:val="005BAC"/>
      <w:sz w:val="24"/>
    </w:rPr>
  </w:style>
  <w:style w:type="paragraph" w:customStyle="1" w:styleId="51">
    <w:name w:val="EFAHiddenBookmark"/>
    <w:basedOn w:val="1"/>
    <w:link w:val="52"/>
    <w:qFormat/>
    <w:uiPriority w:val="99"/>
    <w:pPr>
      <w:adjustRightInd w:val="0"/>
      <w:snapToGrid w:val="0"/>
      <w:spacing w:after="40" w:line="180" w:lineRule="exact"/>
    </w:pPr>
    <w:rPr>
      <w:rFonts w:ascii="Arial" w:hAnsi="Arial" w:eastAsia="Times New Roman"/>
      <w:vanish/>
      <w:kern w:val="2"/>
      <w:sz w:val="14"/>
      <w:szCs w:val="19"/>
      <w:lang w:eastAsia="en-US"/>
    </w:rPr>
  </w:style>
  <w:style w:type="character" w:customStyle="1" w:styleId="52">
    <w:name w:val="EFAHiddenBookmark Char"/>
    <w:link w:val="51"/>
    <w:qFormat/>
    <w:uiPriority w:val="99"/>
    <w:rPr>
      <w:rFonts w:ascii="Arial" w:hAnsi="Arial" w:eastAsia="Times New Roman"/>
      <w:vanish/>
      <w:kern w:val="2"/>
      <w:sz w:val="14"/>
      <w:szCs w:val="19"/>
      <w:lang w:val="en-GB" w:eastAsia="en-US"/>
    </w:rPr>
  </w:style>
  <w:style w:type="paragraph" w:customStyle="1" w:styleId="53">
    <w:name w:val="EFAPoweredByEFA"/>
    <w:link w:val="5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54">
    <w:name w:val="EFAPoweredByEFA Char"/>
    <w:link w:val="53"/>
    <w:qFormat/>
    <w:uiPriority w:val="0"/>
    <w:rPr>
      <w:rFonts w:ascii="Arial" w:hAnsi="Arial" w:eastAsia="PMingLiU"/>
      <w:color w:val="5A5A5A"/>
      <w:sz w:val="9"/>
      <w:szCs w:val="9"/>
      <w:lang w:eastAsia="zh-TW"/>
    </w:rPr>
  </w:style>
  <w:style w:type="character" w:customStyle="1" w:styleId="55">
    <w:name w:val="EFANormal Char"/>
    <w:basedOn w:val="28"/>
    <w:link w:val="42"/>
    <w:qFormat/>
    <w:uiPriority w:val="0"/>
    <w:rPr>
      <w:lang w:eastAsia="ja-JP"/>
    </w:rPr>
  </w:style>
  <w:style w:type="character" w:customStyle="1" w:styleId="56">
    <w:name w:val="EFABodyText Char"/>
    <w:basedOn w:val="28"/>
    <w:link w:val="40"/>
    <w:qFormat/>
    <w:uiPriority w:val="0"/>
    <w:rPr>
      <w:sz w:val="20"/>
      <w:lang w:eastAsia="ja-JP"/>
    </w:rPr>
  </w:style>
  <w:style w:type="character" w:customStyle="1" w:styleId="57">
    <w:name w:val="EFAFP_BodyText Char"/>
    <w:basedOn w:val="28"/>
    <w:link w:val="47"/>
    <w:qFormat/>
    <w:uiPriority w:val="0"/>
    <w:rPr>
      <w:sz w:val="20"/>
      <w:lang w:eastAsia="ja-JP"/>
    </w:rPr>
  </w:style>
  <w:style w:type="paragraph" w:customStyle="1" w:styleId="58">
    <w:name w:val="EFAFPTag"/>
    <w:basedOn w:val="42"/>
    <w:qFormat/>
    <w:uiPriority w:val="0"/>
    <w:pPr>
      <w:jc w:val="center"/>
    </w:pPr>
    <w:rPr>
      <w:b/>
    </w:rPr>
  </w:style>
  <w:style w:type="paragraph" w:customStyle="1" w:styleId="59">
    <w:name w:val="EFAFPFooter"/>
    <w:basedOn w:val="42"/>
    <w:qFormat/>
    <w:uiPriority w:val="0"/>
    <w:pPr>
      <w:tabs>
        <w:tab w:val="right" w:pos="10679"/>
      </w:tabs>
      <w:autoSpaceDE w:val="0"/>
      <w:autoSpaceDN w:val="0"/>
      <w:jc w:val="both"/>
    </w:pPr>
    <w:rPr>
      <w:rFonts w:cs="Arial"/>
      <w:b/>
      <w:sz w:val="14"/>
    </w:rPr>
  </w:style>
  <w:style w:type="character" w:customStyle="1" w:styleId="60">
    <w:name w:val="EFACharGrey"/>
    <w:qFormat/>
    <w:uiPriority w:val="1"/>
    <w:rPr>
      <w:color w:val="808080"/>
    </w:rPr>
  </w:style>
  <w:style w:type="paragraph" w:customStyle="1" w:styleId="61">
    <w:name w:val="EFAFPColFrameText_Left2"/>
    <w:link w:val="80"/>
    <w:qFormat/>
    <w:uiPriority w:val="0"/>
    <w:pPr>
      <w:framePr w:w="3045" w:h="12804" w:hRule="exact" w:hSpace="180" w:wrap="around" w:vAnchor="page" w:hAnchor="page" w:x="340" w:y="2765" w:anchorLock="1"/>
      <w:adjustRightInd w:val="0"/>
      <w:snapToGrid w:val="0"/>
    </w:pPr>
    <w:rPr>
      <w:rFonts w:ascii="Calibri" w:hAnsi="Calibri" w:eastAsia="MS Mincho" w:cs="Times New Roman"/>
      <w:snapToGrid w:val="0"/>
      <w:sz w:val="14"/>
      <w:szCs w:val="14"/>
      <w:lang w:val="en-US" w:eastAsia="zh-CN" w:bidi="ar-SA"/>
    </w:rPr>
  </w:style>
  <w:style w:type="character" w:customStyle="1" w:styleId="62">
    <w:name w:val="EFACharBold"/>
    <w:basedOn w:val="28"/>
    <w:qFormat/>
    <w:uiPriority w:val="1"/>
    <w:rPr>
      <w:b/>
    </w:rPr>
  </w:style>
  <w:style w:type="paragraph" w:customStyle="1" w:styleId="63">
    <w:name w:val="EFAFPColFrame_AnalystName2"/>
    <w:basedOn w:val="61"/>
    <w:link w:val="101"/>
    <w:qFormat/>
    <w:uiPriority w:val="0"/>
    <w:pPr>
      <w:framePr w:wrap="around"/>
    </w:pPr>
    <w:rPr>
      <w:b/>
      <w:sz w:val="16"/>
    </w:rPr>
  </w:style>
  <w:style w:type="paragraph" w:customStyle="1" w:styleId="64">
    <w:name w:val="EFAFP_Source"/>
    <w:basedOn w:val="42"/>
    <w:qFormat/>
    <w:uiPriority w:val="0"/>
    <w:rPr>
      <w:sz w:val="12"/>
      <w:szCs w:val="12"/>
    </w:rPr>
  </w:style>
  <w:style w:type="paragraph" w:customStyle="1" w:styleId="65">
    <w:name w:val="EFAFP_Abstract"/>
    <w:qFormat/>
    <w:uiPriority w:val="0"/>
    <w:rPr>
      <w:rFonts w:ascii="Calibri" w:hAnsi="Calibri" w:eastAsia="MS Mincho" w:cs="Times New Roman"/>
      <w:snapToGrid w:val="0"/>
      <w:sz w:val="18"/>
      <w:szCs w:val="16"/>
      <w:lang w:val="en-US" w:eastAsia="ja-JP" w:bidi="ar-SA"/>
    </w:rPr>
  </w:style>
  <w:style w:type="paragraph" w:customStyle="1" w:styleId="66">
    <w:name w:val="EFABullet_Green"/>
    <w:basedOn w:val="47"/>
    <w:qFormat/>
    <w:uiPriority w:val="0"/>
    <w:pPr>
      <w:numPr>
        <w:ilvl w:val="0"/>
        <w:numId w:val="4"/>
      </w:numPr>
      <w:tabs>
        <w:tab w:val="left" w:pos="468"/>
      </w:tabs>
    </w:pPr>
  </w:style>
  <w:style w:type="paragraph" w:customStyle="1" w:styleId="67">
    <w:name w:val="EFABullet_Blue"/>
    <w:basedOn w:val="47"/>
    <w:qFormat/>
    <w:uiPriority w:val="0"/>
    <w:pPr>
      <w:numPr>
        <w:ilvl w:val="0"/>
        <w:numId w:val="5"/>
      </w:numPr>
      <w:tabs>
        <w:tab w:val="left" w:pos="468"/>
      </w:tabs>
    </w:pPr>
  </w:style>
  <w:style w:type="paragraph" w:customStyle="1" w:styleId="68">
    <w:name w:val="EFABullet_Yellow"/>
    <w:basedOn w:val="47"/>
    <w:qFormat/>
    <w:uiPriority w:val="0"/>
    <w:pPr>
      <w:numPr>
        <w:ilvl w:val="0"/>
        <w:numId w:val="6"/>
      </w:numPr>
      <w:tabs>
        <w:tab w:val="left" w:pos="468"/>
      </w:tabs>
    </w:pPr>
  </w:style>
  <w:style w:type="paragraph" w:customStyle="1" w:styleId="69">
    <w:name w:val="EFASource"/>
    <w:basedOn w:val="40"/>
    <w:qFormat/>
    <w:uiPriority w:val="0"/>
    <w:rPr>
      <w:sz w:val="12"/>
      <w:szCs w:val="14"/>
    </w:rPr>
  </w:style>
  <w:style w:type="paragraph" w:customStyle="1" w:styleId="70">
    <w:name w:val="EFAHeading"/>
    <w:basedOn w:val="1"/>
    <w:next w:val="40"/>
    <w:qFormat/>
    <w:uiPriority w:val="0"/>
    <w:pPr>
      <w:widowControl w:val="0"/>
      <w:adjustRightInd w:val="0"/>
      <w:snapToGrid w:val="0"/>
    </w:pPr>
    <w:rPr>
      <w:b/>
      <w:color w:val="000000"/>
      <w:kern w:val="28"/>
      <w:sz w:val="24"/>
    </w:rPr>
  </w:style>
  <w:style w:type="paragraph" w:customStyle="1" w:styleId="71">
    <w:name w:val="EFADisclaimerHeading"/>
    <w:basedOn w:val="44"/>
    <w:next w:val="44"/>
    <w:qFormat/>
    <w:uiPriority w:val="99"/>
    <w:rPr>
      <w:b/>
    </w:rPr>
  </w:style>
  <w:style w:type="paragraph" w:customStyle="1" w:styleId="72">
    <w:name w:val="EFADisclaimerHeading2"/>
    <w:basedOn w:val="44"/>
    <w:next w:val="44"/>
    <w:qFormat/>
    <w:uiPriority w:val="0"/>
    <w:rPr>
      <w:b/>
      <w:sz w:val="20"/>
      <w:szCs w:val="20"/>
    </w:rPr>
  </w:style>
  <w:style w:type="paragraph" w:customStyle="1" w:styleId="73">
    <w:name w:val="EFADisclaimerHeading3"/>
    <w:basedOn w:val="44"/>
    <w:qFormat/>
    <w:uiPriority w:val="0"/>
    <w:rPr>
      <w:b/>
      <w:sz w:val="18"/>
      <w:szCs w:val="18"/>
    </w:rPr>
  </w:style>
  <w:style w:type="paragraph" w:customStyle="1" w:styleId="74">
    <w:name w:val="EFASideComment"/>
    <w:basedOn w:val="40"/>
    <w:qFormat/>
    <w:uiPriority w:val="0"/>
    <w:pPr>
      <w:framePr w:w="2980" w:hSpace="180" w:wrap="around" w:vAnchor="text" w:hAnchor="text" w:x="-3250" w:y="160"/>
    </w:pPr>
  </w:style>
  <w:style w:type="character" w:customStyle="1" w:styleId="75">
    <w:name w:val="EFACharBold_and_AllCap"/>
    <w:qFormat/>
    <w:uiPriority w:val="1"/>
    <w:rPr>
      <w:b/>
      <w:caps/>
    </w:rPr>
  </w:style>
  <w:style w:type="paragraph" w:customStyle="1" w:styleId="76">
    <w:name w:val="__Table_Normal"/>
    <w:basedOn w:val="1"/>
    <w:link w:val="77"/>
    <w:qFormat/>
    <w:uiPriority w:val="0"/>
    <w:rPr>
      <w:snapToGrid/>
      <w:color w:val="000000"/>
      <w:kern w:val="28"/>
    </w:rPr>
  </w:style>
  <w:style w:type="character" w:customStyle="1" w:styleId="77">
    <w:name w:val="__Table_Normal Char"/>
    <w:basedOn w:val="28"/>
    <w:link w:val="76"/>
    <w:qFormat/>
    <w:uiPriority w:val="0"/>
    <w:rPr>
      <w:snapToGrid/>
      <w:color w:val="000000"/>
      <w:kern w:val="28"/>
      <w:lang w:eastAsia="ja-JP"/>
    </w:rPr>
  </w:style>
  <w:style w:type="paragraph" w:customStyle="1" w:styleId="78">
    <w:name w:val="Front pg Tbl left just 7 pt"/>
    <w:basedOn w:val="1"/>
    <w:link w:val="79"/>
    <w:qFormat/>
    <w:uiPriority w:val="0"/>
    <w:rPr>
      <w:snapToGrid/>
      <w:sz w:val="14"/>
      <w:szCs w:val="24"/>
    </w:rPr>
  </w:style>
  <w:style w:type="character" w:customStyle="1" w:styleId="79">
    <w:name w:val="Front pg Tbl left just 7 pt Char Char"/>
    <w:basedOn w:val="28"/>
    <w:link w:val="78"/>
    <w:qFormat/>
    <w:uiPriority w:val="0"/>
    <w:rPr>
      <w:snapToGrid/>
      <w:sz w:val="14"/>
      <w:szCs w:val="24"/>
      <w:lang w:eastAsia="ja-JP"/>
    </w:rPr>
  </w:style>
  <w:style w:type="character" w:customStyle="1" w:styleId="80">
    <w:name w:val="EFAFPColFrameText_Left2 Char"/>
    <w:basedOn w:val="28"/>
    <w:link w:val="61"/>
    <w:qFormat/>
    <w:uiPriority w:val="0"/>
    <w:rPr>
      <w:sz w:val="14"/>
      <w:szCs w:val="14"/>
    </w:rPr>
  </w:style>
  <w:style w:type="paragraph" w:customStyle="1" w:styleId="81">
    <w:name w:val="EFAAnchor"/>
    <w:basedOn w:val="42"/>
    <w:qFormat/>
    <w:uiPriority w:val="0"/>
    <w:rPr>
      <w:sz w:val="4"/>
      <w:lang w:eastAsia="zh-CN"/>
    </w:rPr>
  </w:style>
  <w:style w:type="paragraph" w:customStyle="1" w:styleId="82">
    <w:name w:val="EFAReportTitle"/>
    <w:basedOn w:val="42"/>
    <w:qFormat/>
    <w:uiPriority w:val="0"/>
    <w:rPr>
      <w:b/>
      <w:sz w:val="48"/>
    </w:rPr>
  </w:style>
  <w:style w:type="paragraph" w:customStyle="1" w:styleId="83">
    <w:name w:val="EFAM_Title"/>
    <w:basedOn w:val="42"/>
    <w:qFormat/>
    <w:uiPriority w:val="0"/>
    <w:pPr>
      <w:framePr w:wrap="around" w:vAnchor="margin" w:hAnchor="text" w:xAlign="right" w:y="1"/>
      <w:suppressOverlap/>
    </w:pPr>
    <w:rPr>
      <w:b/>
      <w:sz w:val="32"/>
      <w:szCs w:val="28"/>
    </w:rPr>
  </w:style>
  <w:style w:type="paragraph" w:customStyle="1" w:styleId="84">
    <w:name w:val="EFABullet_Indent"/>
    <w:basedOn w:val="40"/>
    <w:qFormat/>
    <w:uiPriority w:val="0"/>
    <w:pPr>
      <w:numPr>
        <w:ilvl w:val="0"/>
        <w:numId w:val="7"/>
      </w:numPr>
      <w:tabs>
        <w:tab w:val="left" w:pos="240"/>
      </w:tabs>
      <w:ind w:left="240" w:hanging="240"/>
    </w:pPr>
  </w:style>
  <w:style w:type="paragraph" w:customStyle="1" w:styleId="85">
    <w:name w:val="EFAM_Abstract"/>
    <w:basedOn w:val="40"/>
    <w:next w:val="40"/>
    <w:qFormat/>
    <w:uiPriority w:val="0"/>
  </w:style>
  <w:style w:type="paragraph" w:customStyle="1" w:styleId="86">
    <w:name w:val="EFAM_Synopsis"/>
    <w:basedOn w:val="40"/>
    <w:next w:val="40"/>
    <w:qFormat/>
    <w:uiPriority w:val="0"/>
    <w:rPr>
      <w:b/>
      <w:sz w:val="24"/>
    </w:rPr>
  </w:style>
  <w:style w:type="paragraph" w:customStyle="1" w:styleId="87">
    <w:name w:val="EFAHeading1"/>
    <w:basedOn w:val="40"/>
    <w:next w:val="40"/>
    <w:qFormat/>
    <w:uiPriority w:val="0"/>
    <w:pPr>
      <w:numPr>
        <w:ilvl w:val="0"/>
        <w:numId w:val="8"/>
      </w:numPr>
      <w:tabs>
        <w:tab w:val="left" w:pos="1044"/>
      </w:tabs>
      <w:spacing w:after="60"/>
      <w:ind w:left="0" w:firstLine="0"/>
      <w:outlineLvl w:val="0"/>
    </w:pPr>
    <w:rPr>
      <w:b/>
      <w:sz w:val="24"/>
      <w:szCs w:val="24"/>
    </w:rPr>
  </w:style>
  <w:style w:type="paragraph" w:customStyle="1" w:styleId="88">
    <w:name w:val="EFAFPCol_Hdr3"/>
    <w:link w:val="90"/>
    <w:qFormat/>
    <w:uiPriority w:val="0"/>
    <w:pPr>
      <w:framePr w:w="2980" w:h="11080" w:hRule="exact" w:hSpace="180" w:wrap="around" w:vAnchor="text" w:hAnchor="page" w:x="370" w:y="1621"/>
    </w:pPr>
    <w:rPr>
      <w:rFonts w:ascii="Calibri" w:hAnsi="Calibri" w:eastAsia="MS Mincho" w:cs="Times New Roman"/>
      <w:b/>
      <w:snapToGrid w:val="0"/>
      <w:color w:val="808080"/>
      <w:sz w:val="24"/>
      <w:szCs w:val="24"/>
      <w:lang w:val="en-US" w:eastAsia="ja-JP" w:bidi="ar-SA"/>
    </w:rPr>
  </w:style>
  <w:style w:type="paragraph" w:customStyle="1" w:styleId="89">
    <w:name w:val="EFAFPReportType2"/>
    <w:link w:val="91"/>
    <w:qFormat/>
    <w:uiPriority w:val="0"/>
    <w:pPr>
      <w:framePr w:w="10858" w:h="1520" w:hRule="exact" w:wrap="around" w:vAnchor="page" w:hAnchor="page" w:x="357" w:y="1072"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90">
    <w:name w:val="EFAFPCol_Hdr3 Char"/>
    <w:basedOn w:val="28"/>
    <w:link w:val="88"/>
    <w:qFormat/>
    <w:uiPriority w:val="0"/>
    <w:rPr>
      <w:b/>
      <w:color w:val="808080"/>
      <w:sz w:val="24"/>
      <w:szCs w:val="24"/>
      <w:lang w:eastAsia="ja-JP"/>
    </w:rPr>
  </w:style>
  <w:style w:type="character" w:customStyle="1" w:styleId="91">
    <w:name w:val="EFAFPReportType2 Char"/>
    <w:basedOn w:val="28"/>
    <w:link w:val="89"/>
    <w:qFormat/>
    <w:uiPriority w:val="0"/>
    <w:rPr>
      <w:color w:val="23558C"/>
      <w:sz w:val="44"/>
      <w:szCs w:val="44"/>
      <w:lang w:eastAsia="ja-JP"/>
    </w:rPr>
  </w:style>
  <w:style w:type="paragraph" w:customStyle="1" w:styleId="92">
    <w:name w:val="EFAFPTitle3"/>
    <w:link w:val="95"/>
    <w:qFormat/>
    <w:uiPriority w:val="0"/>
    <w:pPr>
      <w:framePr w:wrap="around" w:vAnchor="margin" w:hAnchor="text" w:xAlign="right" w:y="1"/>
      <w:suppressOverlap/>
      <w:numPr>
        <w:ilvl w:val="0"/>
        <w:numId w:val="9"/>
      </w:numPr>
      <w:ind w:left="360" w:hanging="360"/>
    </w:pPr>
    <w:rPr>
      <w:rFonts w:ascii="Calibri" w:hAnsi="Calibri" w:eastAsia="MS Mincho" w:cs="Times New Roman"/>
      <w:b/>
      <w:snapToGrid w:val="0"/>
      <w:sz w:val="44"/>
      <w:szCs w:val="60"/>
      <w:lang w:val="en-US" w:eastAsia="ja-JP" w:bidi="ar-SA"/>
    </w:rPr>
  </w:style>
  <w:style w:type="paragraph" w:customStyle="1" w:styleId="93">
    <w:name w:val="EFAFP_Headline"/>
    <w:next w:val="94"/>
    <w:link w:val="96"/>
    <w:qFormat/>
    <w:uiPriority w:val="0"/>
    <w:pPr>
      <w:numPr>
        <w:ilvl w:val="0"/>
        <w:numId w:val="10"/>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4">
    <w:name w:val="EFAFP_BodyText2"/>
    <w:link w:val="97"/>
    <w:qFormat/>
    <w:uiPriority w:val="0"/>
    <w:pPr>
      <w:adjustRightInd w:val="0"/>
      <w:snapToGrid w:val="0"/>
      <w:spacing w:after="120"/>
      <w:jc w:val="both"/>
    </w:pPr>
    <w:rPr>
      <w:rFonts w:ascii="Calibri" w:hAnsi="Calibri" w:eastAsia="Times New Roman" w:cs="PMingLiU"/>
      <w:sz w:val="22"/>
      <w:lang w:val="en-US" w:eastAsia="ja-JP" w:bidi="ar-SA"/>
    </w:rPr>
  </w:style>
  <w:style w:type="character" w:customStyle="1" w:styleId="95">
    <w:name w:val="EFAFPTitle3 Char"/>
    <w:basedOn w:val="28"/>
    <w:link w:val="92"/>
    <w:qFormat/>
    <w:uiPriority w:val="0"/>
    <w:rPr>
      <w:b/>
      <w:sz w:val="44"/>
      <w:szCs w:val="60"/>
      <w:lang w:eastAsia="ja-JP"/>
    </w:rPr>
  </w:style>
  <w:style w:type="character" w:customStyle="1" w:styleId="96">
    <w:name w:val="EFAFP_Headline Char"/>
    <w:basedOn w:val="28"/>
    <w:link w:val="93"/>
    <w:qFormat/>
    <w:uiPriority w:val="0"/>
    <w:rPr>
      <w:rFonts w:eastAsia="Times New Roman"/>
      <w:b/>
      <w:bCs/>
      <w:snapToGrid/>
      <w:color w:val="23558C"/>
      <w:kern w:val="28"/>
      <w:sz w:val="28"/>
      <w:szCs w:val="20"/>
      <w:lang w:eastAsia="ja-JP"/>
    </w:rPr>
  </w:style>
  <w:style w:type="character" w:customStyle="1" w:styleId="97">
    <w:name w:val="EFAFP_BodyText2 Char"/>
    <w:basedOn w:val="28"/>
    <w:link w:val="94"/>
    <w:qFormat/>
    <w:uiPriority w:val="0"/>
    <w:rPr>
      <w:rFonts w:eastAsia="Times New Roman" w:cs="PMingLiU"/>
      <w:snapToGrid/>
      <w:sz w:val="22"/>
      <w:szCs w:val="20"/>
      <w:lang w:eastAsia="ja-JP"/>
    </w:rPr>
  </w:style>
  <w:style w:type="character" w:customStyle="1" w:styleId="98">
    <w:name w:val="EFABlueChar"/>
    <w:qFormat/>
    <w:uiPriority w:val="1"/>
    <w:rPr>
      <w:b/>
      <w:color w:val="23508C"/>
    </w:rPr>
  </w:style>
  <w:style w:type="paragraph" w:customStyle="1" w:styleId="99">
    <w:name w:val="EFAHeading5"/>
    <w:next w:val="40"/>
    <w:qFormat/>
    <w:uiPriority w:val="0"/>
    <w:pPr>
      <w:numPr>
        <w:ilvl w:val="0"/>
        <w:numId w:val="11"/>
      </w:numPr>
      <w:adjustRightInd w:val="0"/>
      <w:snapToGrid w:val="0"/>
      <w:ind w:left="972" w:hanging="972"/>
      <w:outlineLvl w:val="0"/>
    </w:pPr>
    <w:rPr>
      <w:rFonts w:ascii="Calibri" w:hAnsi="Calibri" w:eastAsia="MS Mincho" w:cs="Times New Roman"/>
      <w:b/>
      <w:bCs/>
      <w:snapToGrid w:val="0"/>
      <w:color w:val="23558C"/>
      <w:sz w:val="24"/>
      <w:szCs w:val="24"/>
      <w:lang w:val="en-US" w:eastAsia="ja-JP" w:bidi="ar-SA"/>
    </w:rPr>
  </w:style>
  <w:style w:type="paragraph" w:customStyle="1" w:styleId="100">
    <w:name w:val="EFAMacroTitle"/>
    <w:basedOn w:val="88"/>
    <w:qFormat/>
    <w:uiPriority w:val="0"/>
    <w:pPr>
      <w:framePr w:wrap="around"/>
    </w:pPr>
  </w:style>
  <w:style w:type="character" w:customStyle="1" w:styleId="101">
    <w:name w:val="EFAFPColFrame_AnalystName2 Char"/>
    <w:basedOn w:val="80"/>
    <w:link w:val="63"/>
    <w:qFormat/>
    <w:uiPriority w:val="0"/>
    <w:rPr>
      <w:b/>
      <w:sz w:val="14"/>
      <w:szCs w:val="14"/>
    </w:rPr>
  </w:style>
  <w:style w:type="paragraph" w:customStyle="1" w:styleId="102">
    <w:name w:val="EFAFPTitle"/>
    <w:link w:val="103"/>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character" w:customStyle="1" w:styleId="103">
    <w:name w:val="EFAFPTitle Char"/>
    <w:basedOn w:val="28"/>
    <w:link w:val="102"/>
    <w:qFormat/>
    <w:uiPriority w:val="0"/>
    <w:rPr>
      <w:b/>
      <w:color w:val="FFFFFF"/>
      <w:sz w:val="32"/>
      <w:szCs w:val="32"/>
      <w:lang w:eastAsia="ja-JP"/>
    </w:rPr>
  </w:style>
  <w:style w:type="paragraph" w:customStyle="1" w:styleId="104">
    <w:name w:val="EFAFPReportType"/>
    <w:link w:val="10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105">
    <w:name w:val="EFAFPReportType Char"/>
    <w:basedOn w:val="28"/>
    <w:link w:val="104"/>
    <w:qFormat/>
    <w:uiPriority w:val="0"/>
    <w:rPr>
      <w:color w:val="23558C"/>
      <w:sz w:val="44"/>
      <w:szCs w:val="44"/>
      <w:lang w:eastAsia="ja-JP"/>
    </w:rPr>
  </w:style>
  <w:style w:type="paragraph" w:customStyle="1" w:styleId="106">
    <w:name w:val="EFAFPHdrInfo2"/>
    <w:link w:val="107"/>
    <w:qFormat/>
    <w:uiPriority w:val="0"/>
    <w:pPr>
      <w:framePr w:wrap="auto" w:vAnchor="margin" w:hAnchor="text" w:xAlign="right" w:y="-239"/>
      <w:suppressOverlap/>
      <w:ind w:left="240"/>
    </w:pPr>
    <w:rPr>
      <w:rFonts w:ascii="Calibri" w:hAnsi="Calibri" w:eastAsia="MS Mincho" w:cs="Times New Roman"/>
      <w:snapToGrid w:val="0"/>
      <w:color w:val="000000"/>
      <w:szCs w:val="44"/>
      <w:lang w:val="en-US" w:eastAsia="ja-JP" w:bidi="ar-SA"/>
    </w:rPr>
  </w:style>
  <w:style w:type="character" w:customStyle="1" w:styleId="107">
    <w:name w:val="EFAFPHdrInfo2 Char"/>
    <w:basedOn w:val="28"/>
    <w:link w:val="106"/>
    <w:qFormat/>
    <w:uiPriority w:val="0"/>
    <w:rPr>
      <w:color w:val="000000"/>
      <w:sz w:val="20"/>
      <w:szCs w:val="44"/>
      <w:lang w:eastAsia="ja-JP"/>
    </w:rPr>
  </w:style>
  <w:style w:type="paragraph" w:customStyle="1" w:styleId="108">
    <w:name w:val="EFADisclaimerHiddenText"/>
    <w:link w:val="109"/>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09">
    <w:name w:val="EFADisclaimerHiddenText Char"/>
    <w:basedOn w:val="28"/>
    <w:link w:val="108"/>
    <w:qFormat/>
    <w:uiPriority w:val="0"/>
    <w:rPr>
      <w:vanish/>
      <w:color w:val="FFFFFF"/>
      <w:sz w:val="2"/>
      <w:lang w:eastAsia="ja-JP"/>
    </w:rPr>
  </w:style>
  <w:style w:type="paragraph" w:customStyle="1" w:styleId="110">
    <w:name w:val="EFAFPFooter2"/>
    <w:link w:val="111"/>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111">
    <w:name w:val="EFAFPFooter2 Char"/>
    <w:basedOn w:val="28"/>
    <w:link w:val="110"/>
    <w:qFormat/>
    <w:uiPriority w:val="0"/>
    <w:rPr>
      <w:rFonts w:cs="Arial"/>
      <w:sz w:val="21"/>
      <w:lang w:eastAsia="ja-JP"/>
    </w:rPr>
  </w:style>
  <w:style w:type="character" w:customStyle="1" w:styleId="112">
    <w:name w:val="EFADisclaimerText Char"/>
    <w:basedOn w:val="28"/>
    <w:link w:val="44"/>
    <w:qFormat/>
    <w:locked/>
    <w:uiPriority w:val="99"/>
    <w:rPr>
      <w:lang w:eastAsia="ja-JP"/>
    </w:rPr>
  </w:style>
  <w:style w:type="paragraph" w:customStyle="1" w:styleId="113">
    <w:name w:val="EFAFPColFrameText_Left"/>
    <w:basedOn w:val="1"/>
    <w:link w:val="116"/>
    <w:qFormat/>
    <w:uiPriority w:val="0"/>
    <w:pPr>
      <w:framePr w:w="3045" w:h="12844" w:hRule="exact" w:hSpace="180" w:wrap="around" w:vAnchor="page" w:hAnchor="page" w:x="336" w:y="2721" w:anchorLock="1"/>
      <w:adjustRightInd w:val="0"/>
      <w:snapToGrid w:val="0"/>
    </w:pPr>
    <w:rPr>
      <w:sz w:val="14"/>
      <w:szCs w:val="14"/>
      <w:lang w:val="en-US" w:eastAsia="zh-CN"/>
    </w:rPr>
  </w:style>
  <w:style w:type="paragraph" w:customStyle="1" w:styleId="114">
    <w:name w:val="EFAFPColFrame_AnalystName"/>
    <w:basedOn w:val="113"/>
    <w:qFormat/>
    <w:uiPriority w:val="0"/>
    <w:pPr>
      <w:framePr w:wrap="around"/>
    </w:pPr>
    <w:rPr>
      <w:b/>
      <w:sz w:val="16"/>
    </w:rPr>
  </w:style>
  <w:style w:type="paragraph" w:customStyle="1" w:styleId="115">
    <w:name w:val="EFAFPColFrameText_8pt"/>
    <w:basedOn w:val="113"/>
    <w:qFormat/>
    <w:uiPriority w:val="0"/>
    <w:pPr>
      <w:framePr w:wrap="around"/>
    </w:pPr>
    <w:rPr>
      <w:sz w:val="16"/>
    </w:rPr>
  </w:style>
  <w:style w:type="character" w:customStyle="1" w:styleId="116">
    <w:name w:val="EFAFPColFrameText_Left Char"/>
    <w:basedOn w:val="28"/>
    <w:link w:val="113"/>
    <w:qFormat/>
    <w:uiPriority w:val="0"/>
    <w:rPr>
      <w:sz w:val="14"/>
      <w:szCs w:val="14"/>
    </w:rPr>
  </w:style>
  <w:style w:type="paragraph" w:customStyle="1" w:styleId="117">
    <w:name w:val="表1"/>
    <w:basedOn w:val="1"/>
    <w:link w:val="118"/>
    <w:qFormat/>
    <w:uiPriority w:val="0"/>
    <w:pPr>
      <w:widowControl w:val="0"/>
      <w:tabs>
        <w:tab w:val="left" w:pos="3819"/>
      </w:tabs>
      <w:ind w:right="55" w:rightChars="26"/>
    </w:pPr>
    <w:rPr>
      <w:rFonts w:ascii="Arial" w:hAnsi="Arial" w:eastAsia="楷体_GB2312"/>
      <w:b/>
      <w:bCs/>
      <w:snapToGrid/>
      <w:color w:val="000000"/>
      <w:kern w:val="2"/>
      <w:sz w:val="18"/>
      <w:szCs w:val="24"/>
      <w:lang w:val="zh-CN" w:eastAsia="zh-CN"/>
    </w:rPr>
  </w:style>
  <w:style w:type="character" w:customStyle="1" w:styleId="118">
    <w:name w:val="表1 Char"/>
    <w:link w:val="117"/>
    <w:qFormat/>
    <w:uiPriority w:val="0"/>
    <w:rPr>
      <w:rFonts w:ascii="Arial" w:hAnsi="Arial" w:eastAsia="楷体_GB2312"/>
      <w:b/>
      <w:bCs/>
      <w:snapToGrid/>
      <w:color w:val="000000"/>
      <w:kern w:val="2"/>
      <w:sz w:val="18"/>
      <w:szCs w:val="24"/>
      <w:lang w:val="zh-CN" w:eastAsia="zh-CN"/>
    </w:rPr>
  </w:style>
  <w:style w:type="paragraph" w:customStyle="1" w:styleId="119">
    <w:name w:val="EFABodyText(CN)"/>
    <w:link w:val="120"/>
    <w:qFormat/>
    <w:uiPriority w:val="0"/>
    <w:pPr>
      <w:widowControl w:val="0"/>
      <w:adjustRightInd w:val="0"/>
      <w:snapToGrid w:val="0"/>
    </w:pPr>
    <w:rPr>
      <w:rFonts w:ascii="Calibri" w:hAnsi="Calibri" w:eastAsia="宋体" w:cs="Times New Roman"/>
      <w:snapToGrid w:val="0"/>
      <w:szCs w:val="16"/>
      <w:lang w:val="en-US" w:eastAsia="zh-CN" w:bidi="ar-SA"/>
    </w:rPr>
  </w:style>
  <w:style w:type="character" w:customStyle="1" w:styleId="120">
    <w:name w:val="EFABodyText(CN) Char"/>
    <w:basedOn w:val="28"/>
    <w:link w:val="119"/>
    <w:qFormat/>
    <w:uiPriority w:val="0"/>
    <w:rPr>
      <w:rFonts w:eastAsia="宋体"/>
      <w:sz w:val="20"/>
    </w:rPr>
  </w:style>
  <w:style w:type="paragraph" w:customStyle="1" w:styleId="121">
    <w:name w:val="图序号"/>
    <w:basedOn w:val="1"/>
    <w:link w:val="122"/>
    <w:qFormat/>
    <w:uiPriority w:val="0"/>
    <w:pPr>
      <w:widowControl w:val="0"/>
      <w:ind w:right="55" w:rightChars="26"/>
      <w:jc w:val="both"/>
    </w:pPr>
    <w:rPr>
      <w:rFonts w:ascii="Arial" w:hAnsi="Arial" w:eastAsia="楷体_GB2312"/>
      <w:b/>
      <w:bCs/>
      <w:snapToGrid/>
      <w:color w:val="000000"/>
      <w:kern w:val="2"/>
      <w:sz w:val="18"/>
      <w:szCs w:val="18"/>
      <w:lang w:val="zh-CN" w:eastAsia="zh-CN"/>
    </w:rPr>
  </w:style>
  <w:style w:type="character" w:customStyle="1" w:styleId="122">
    <w:name w:val="图序号 字符"/>
    <w:link w:val="121"/>
    <w:qFormat/>
    <w:uiPriority w:val="0"/>
    <w:rPr>
      <w:rFonts w:ascii="Arial" w:hAnsi="Arial" w:eastAsia="楷体_GB2312"/>
      <w:b/>
      <w:bCs/>
      <w:snapToGrid/>
      <w:color w:val="000000"/>
      <w:kern w:val="2"/>
      <w:sz w:val="18"/>
      <w:szCs w:val="18"/>
      <w:lang w:val="zh-CN" w:eastAsia="zh-CN"/>
    </w:rPr>
  </w:style>
  <w:style w:type="character" w:customStyle="1" w:styleId="123">
    <w:name w:val="标题 1 字符1"/>
    <w:link w:val="2"/>
    <w:qFormat/>
    <w:uiPriority w:val="0"/>
    <w:rPr>
      <w:rFonts w:cs="Arial"/>
      <w:b/>
      <w:bCs/>
      <w:kern w:val="32"/>
      <w:sz w:val="24"/>
      <w:szCs w:val="32"/>
      <w:lang w:val="en-GB" w:eastAsia="ja-JP"/>
    </w:rPr>
  </w:style>
  <w:style w:type="character" w:customStyle="1" w:styleId="124">
    <w:name w:val="标题 4 字符"/>
    <w:basedOn w:val="28"/>
    <w:link w:val="5"/>
    <w:qFormat/>
    <w:uiPriority w:val="0"/>
    <w:rPr>
      <w:rFonts w:ascii="Cambria" w:hAnsi="Cambria" w:eastAsia="宋体"/>
      <w:b/>
      <w:bCs/>
      <w:snapToGrid/>
      <w:kern w:val="2"/>
      <w:sz w:val="28"/>
      <w:szCs w:val="28"/>
      <w:lang w:val="zh-CN" w:eastAsia="zh-CN"/>
    </w:rPr>
  </w:style>
  <w:style w:type="character" w:customStyle="1" w:styleId="125">
    <w:name w:val="正文文本 字符"/>
    <w:basedOn w:val="28"/>
    <w:link w:val="10"/>
    <w:qFormat/>
    <w:uiPriority w:val="0"/>
    <w:rPr>
      <w:rFonts w:ascii="Times New Roman" w:hAnsi="Times New Roman" w:eastAsia="宋体"/>
      <w:snapToGrid/>
      <w:kern w:val="2"/>
      <w:sz w:val="21"/>
      <w:szCs w:val="24"/>
    </w:rPr>
  </w:style>
  <w:style w:type="character" w:customStyle="1" w:styleId="126">
    <w:name w:val="正文文本缩进 字符"/>
    <w:basedOn w:val="28"/>
    <w:link w:val="11"/>
    <w:qFormat/>
    <w:uiPriority w:val="0"/>
    <w:rPr>
      <w:rFonts w:ascii="汉仪楷体简" w:hAnsi="Times New Roman" w:eastAsia="汉仪楷体简"/>
      <w:snapToGrid/>
      <w:color w:val="000000"/>
      <w:sz w:val="18"/>
    </w:rPr>
  </w:style>
  <w:style w:type="character" w:customStyle="1" w:styleId="127">
    <w:name w:val="正文文本 2 字符"/>
    <w:basedOn w:val="28"/>
    <w:link w:val="23"/>
    <w:qFormat/>
    <w:uiPriority w:val="0"/>
    <w:rPr>
      <w:rFonts w:ascii="Times New Roman" w:hAnsi="Times New Roman" w:eastAsia="汉仪楷体简"/>
      <w:snapToGrid/>
      <w:sz w:val="18"/>
      <w:szCs w:val="24"/>
    </w:rPr>
  </w:style>
  <w:style w:type="character" w:customStyle="1" w:styleId="128">
    <w:name w:val="正文文本 3 字符"/>
    <w:basedOn w:val="28"/>
    <w:link w:val="9"/>
    <w:qFormat/>
    <w:uiPriority w:val="0"/>
    <w:rPr>
      <w:rFonts w:ascii="汉仪楷体简" w:hAnsi="Times New Roman" w:eastAsia="汉仪楷体简"/>
      <w:snapToGrid/>
      <w:color w:val="000000"/>
      <w:sz w:val="18"/>
    </w:rPr>
  </w:style>
  <w:style w:type="character" w:customStyle="1" w:styleId="129">
    <w:name w:val="正文文本缩进 2 字符"/>
    <w:basedOn w:val="28"/>
    <w:link w:val="15"/>
    <w:qFormat/>
    <w:uiPriority w:val="0"/>
    <w:rPr>
      <w:rFonts w:ascii="楷体_GB2312" w:hAnsi="Times New Roman" w:eastAsia="楷体_GB2312"/>
      <w:snapToGrid/>
      <w:sz w:val="24"/>
      <w:szCs w:val="24"/>
    </w:rPr>
  </w:style>
  <w:style w:type="character" w:customStyle="1" w:styleId="130">
    <w:name w:val="正文文本缩进 3 字符"/>
    <w:basedOn w:val="28"/>
    <w:link w:val="20"/>
    <w:qFormat/>
    <w:uiPriority w:val="0"/>
    <w:rPr>
      <w:rFonts w:ascii="楷体_GB2312" w:hAnsi="Times New Roman" w:eastAsia="楷体_GB2312"/>
      <w:snapToGrid/>
      <w:color w:val="000000"/>
      <w:kern w:val="2"/>
      <w:sz w:val="24"/>
      <w:szCs w:val="24"/>
    </w:rPr>
  </w:style>
  <w:style w:type="character" w:customStyle="1" w:styleId="131">
    <w:name w:val="日期 字符"/>
    <w:basedOn w:val="28"/>
    <w:link w:val="14"/>
    <w:qFormat/>
    <w:uiPriority w:val="0"/>
    <w:rPr>
      <w:rFonts w:ascii="宋体" w:hAnsi="Times New Roman" w:eastAsia="宋体"/>
      <w:snapToGrid/>
      <w:kern w:val="2"/>
      <w:sz w:val="28"/>
      <w:szCs w:val="20"/>
    </w:rPr>
  </w:style>
  <w:style w:type="character" w:customStyle="1" w:styleId="132">
    <w:name w:val="style12"/>
    <w:basedOn w:val="28"/>
    <w:qFormat/>
    <w:uiPriority w:val="0"/>
  </w:style>
  <w:style w:type="character" w:customStyle="1" w:styleId="133">
    <w:name w:val="style13"/>
    <w:basedOn w:val="28"/>
    <w:qFormat/>
    <w:uiPriority w:val="0"/>
  </w:style>
  <w:style w:type="paragraph" w:customStyle="1" w:styleId="134">
    <w:name w:val="默认段落字体 Para Char Char Char Char Char Char 字元 Char"/>
    <w:basedOn w:val="1"/>
    <w:qFormat/>
    <w:uiPriority w:val="0"/>
    <w:pPr>
      <w:widowControl w:val="0"/>
      <w:tabs>
        <w:tab w:val="left" w:pos="840"/>
      </w:tabs>
      <w:ind w:left="840" w:hanging="360"/>
      <w:jc w:val="both"/>
    </w:pPr>
    <w:rPr>
      <w:rFonts w:ascii="Times New Roman" w:hAnsi="Times New Roman" w:eastAsia="宋体"/>
      <w:snapToGrid/>
      <w:kern w:val="2"/>
      <w:sz w:val="24"/>
      <w:szCs w:val="24"/>
      <w:lang w:val="en-US" w:eastAsia="zh-CN"/>
    </w:rPr>
  </w:style>
  <w:style w:type="paragraph" w:customStyle="1" w:styleId="135">
    <w:name w:val="二级目录"/>
    <w:basedOn w:val="12"/>
    <w:qFormat/>
    <w:uiPriority w:val="0"/>
    <w:pPr>
      <w:spacing w:before="240" w:beforeLines="100" w:after="240" w:afterLines="100" w:line="320" w:lineRule="exact"/>
      <w:ind w:left="2977" w:leftChars="0" w:right="0" w:rightChars="0" w:firstLine="0"/>
    </w:pPr>
    <w:rPr>
      <w:rFonts w:eastAsia="楷体_GB2312"/>
      <w:b/>
      <w:color w:val="000080"/>
      <w:sz w:val="24"/>
    </w:rPr>
  </w:style>
  <w:style w:type="character" w:customStyle="1" w:styleId="136">
    <w:name w:val="批注文字 字符"/>
    <w:basedOn w:val="28"/>
    <w:link w:val="8"/>
    <w:qFormat/>
    <w:uiPriority w:val="0"/>
    <w:rPr>
      <w:rFonts w:ascii="Times New Roman" w:hAnsi="Times New Roman" w:eastAsia="宋体"/>
      <w:snapToGrid/>
      <w:kern w:val="2"/>
      <w:sz w:val="21"/>
      <w:szCs w:val="24"/>
      <w:lang w:val="zh-CN" w:eastAsia="zh-CN"/>
    </w:rPr>
  </w:style>
  <w:style w:type="character" w:customStyle="1" w:styleId="137">
    <w:name w:val="批注主题 字符"/>
    <w:basedOn w:val="136"/>
    <w:link w:val="25"/>
    <w:qFormat/>
    <w:uiPriority w:val="0"/>
    <w:rPr>
      <w:rFonts w:ascii="Times New Roman" w:hAnsi="Times New Roman" w:eastAsia="宋体"/>
      <w:b/>
      <w:bCs/>
      <w:snapToGrid/>
      <w:kern w:val="2"/>
      <w:sz w:val="21"/>
      <w:szCs w:val="24"/>
      <w:lang w:val="zh-CN" w:eastAsia="zh-CN"/>
    </w:rPr>
  </w:style>
  <w:style w:type="paragraph" w:customStyle="1" w:styleId="138">
    <w:name w:val="HUS封面正文"/>
    <w:qFormat/>
    <w:uiPriority w:val="0"/>
    <w:pPr>
      <w:numPr>
        <w:ilvl w:val="0"/>
        <w:numId w:val="12"/>
      </w:numPr>
      <w:spacing w:after="120"/>
      <w:jc w:val="both"/>
    </w:pPr>
    <w:rPr>
      <w:rFonts w:ascii="Arial" w:hAnsi="Arial" w:eastAsia="楷体_GB2312" w:cs="Times New Roman"/>
      <w:kern w:val="2"/>
      <w:lang w:val="en-US" w:eastAsia="zh-CN" w:bidi="ar-SA"/>
    </w:rPr>
  </w:style>
  <w:style w:type="paragraph" w:customStyle="1" w:styleId="139">
    <w:name w:val="Default"/>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character" w:customStyle="1" w:styleId="140">
    <w:name w:val="标题 3 字符"/>
    <w:link w:val="4"/>
    <w:qFormat/>
    <w:uiPriority w:val="0"/>
    <w:rPr>
      <w:rFonts w:cs="Arial"/>
      <w:b/>
      <w:bCs/>
      <w:szCs w:val="26"/>
      <w:lang w:val="en-GB" w:eastAsia="ja-JP"/>
    </w:rPr>
  </w:style>
  <w:style w:type="paragraph" w:customStyle="1" w:styleId="141">
    <w:name w:val="国泰君安题注"/>
    <w:basedOn w:val="1"/>
    <w:qFormat/>
    <w:uiPriority w:val="0"/>
    <w:pPr>
      <w:widowControl w:val="0"/>
      <w:jc w:val="both"/>
    </w:pPr>
    <w:rPr>
      <w:rFonts w:ascii="Times New Roman" w:hAnsi="Times New Roman" w:eastAsia="楷体_GB2312" w:cs="宋体"/>
      <w:b/>
      <w:bCs/>
      <w:snapToGrid/>
      <w:kern w:val="2"/>
      <w:sz w:val="21"/>
      <w:szCs w:val="20"/>
      <w:lang w:val="en-US" w:eastAsia="zh-CN"/>
    </w:rPr>
  </w:style>
  <w:style w:type="paragraph" w:customStyle="1" w:styleId="142">
    <w:name w:val="国泰君安报告正文"/>
    <w:basedOn w:val="1"/>
    <w:qFormat/>
    <w:uiPriority w:val="0"/>
    <w:pPr>
      <w:widowControl w:val="0"/>
      <w:jc w:val="both"/>
    </w:pPr>
    <w:rPr>
      <w:rFonts w:ascii="Times New Roman" w:hAnsi="Times New Roman" w:eastAsia="楷体_GB2312" w:cs="宋体"/>
      <w:snapToGrid/>
      <w:kern w:val="2"/>
      <w:sz w:val="21"/>
      <w:szCs w:val="20"/>
      <w:lang w:val="en-US" w:eastAsia="zh-CN"/>
    </w:rPr>
  </w:style>
  <w:style w:type="paragraph" w:customStyle="1" w:styleId="143">
    <w:name w:val="国泰君安数据来源"/>
    <w:basedOn w:val="142"/>
    <w:qFormat/>
    <w:uiPriority w:val="0"/>
    <w:rPr>
      <w:sz w:val="18"/>
    </w:rPr>
  </w:style>
  <w:style w:type="paragraph" w:customStyle="1" w:styleId="144">
    <w:name w:val="表"/>
    <w:basedOn w:val="1"/>
    <w:qFormat/>
    <w:uiPriority w:val="0"/>
    <w:pPr>
      <w:widowControl w:val="0"/>
    </w:pPr>
    <w:rPr>
      <w:rFonts w:ascii="Arial" w:hAnsi="Arial" w:eastAsia="楷体_GB2312" w:cs="宋体"/>
      <w:b/>
      <w:bCs/>
      <w:snapToGrid/>
      <w:color w:val="000000"/>
      <w:kern w:val="2"/>
      <w:sz w:val="18"/>
      <w:szCs w:val="20"/>
      <w:lang w:val="en-US" w:eastAsia="zh-CN"/>
    </w:rPr>
  </w:style>
  <w:style w:type="character" w:customStyle="1" w:styleId="145">
    <w:name w:val="标题 1 字符"/>
    <w:qFormat/>
    <w:uiPriority w:val="0"/>
    <w:rPr>
      <w:rFonts w:eastAsia="楷体_GB2312"/>
      <w:b/>
      <w:bCs/>
      <w:color w:val="000080"/>
      <w:sz w:val="30"/>
      <w:szCs w:val="24"/>
    </w:rPr>
  </w:style>
  <w:style w:type="table" w:customStyle="1" w:styleId="146">
    <w:name w:val="网格表 2 - 着色 11"/>
    <w:basedOn w:val="26"/>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47">
    <w:name w:val="网格表 3 - 着色 31"/>
    <w:basedOn w:val="26"/>
    <w:qFormat/>
    <w:uiPriority w:val="48"/>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DEDED"/>
      </w:tcPr>
    </w:tblStylePr>
    <w:tblStylePr w:type="band1Horz">
      <w:tcPr>
        <w:shd w:val="clear" w:color="auto" w:fill="EDEDED"/>
      </w:tcPr>
    </w:tblStylePr>
    <w:tblStylePr w:type="neCell">
      <w:tcPr>
        <w:tcBorders>
          <w:bottom w:val="single" w:color="C9C9C9" w:sz="4" w:space="0"/>
        </w:tcBorders>
      </w:tcPr>
    </w:tblStylePr>
    <w:tblStylePr w:type="nwCell">
      <w:tcPr>
        <w:tcBorders>
          <w:bottom w:val="single" w:color="C9C9C9" w:sz="4" w:space="0"/>
        </w:tcBorders>
      </w:tcPr>
    </w:tblStylePr>
    <w:tblStylePr w:type="seCell">
      <w:tcPr>
        <w:tcBorders>
          <w:top w:val="single" w:color="C9C9C9" w:sz="4" w:space="0"/>
        </w:tcBorders>
      </w:tcPr>
    </w:tblStylePr>
    <w:tblStylePr w:type="swCell">
      <w:tcPr>
        <w:tcBorders>
          <w:top w:val="single" w:color="C9C9C9" w:sz="4" w:space="0"/>
        </w:tcBorders>
      </w:tcPr>
    </w:tblStylePr>
  </w:style>
  <w:style w:type="table" w:customStyle="1" w:styleId="148">
    <w:name w:val="网格表 2 - 着色 51"/>
    <w:basedOn w:val="26"/>
    <w:qFormat/>
    <w:uiPriority w:val="47"/>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49">
    <w:name w:val="清单表 1 浅色 - 着色 51"/>
    <w:basedOn w:val="26"/>
    <w:qFormat/>
    <w:uiPriority w:val="46"/>
    <w:tblStylePr w:type="firstRow">
      <w:rPr>
        <w:b/>
        <w:bCs/>
      </w:rPr>
      <w:tcPr>
        <w:tcBorders>
          <w:bottom w:val="single" w:color="9CC2E5" w:sz="4" w:space="0"/>
        </w:tcBorders>
      </w:tcPr>
    </w:tblStylePr>
    <w:tblStylePr w:type="lastRow">
      <w:rPr>
        <w:b/>
        <w:bCs/>
      </w:rPr>
      <w:tcPr>
        <w:tcBorders>
          <w:top w:val="sing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50">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151">
    <w:name w:val="EFAFPHdrInfo"/>
    <w:link w:val="152"/>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152">
    <w:name w:val="EFAFPHdrInfo Char"/>
    <w:basedOn w:val="105"/>
    <w:link w:val="151"/>
    <w:qFormat/>
    <w:uiPriority w:val="0"/>
    <w:rPr>
      <w:b/>
      <w:bCs/>
      <w:color w:val="000000"/>
      <w:sz w:val="32"/>
      <w:szCs w:val="32"/>
      <w:lang w:eastAsia="ja-JP"/>
    </w:rPr>
  </w:style>
  <w:style w:type="paragraph" w:customStyle="1" w:styleId="153">
    <w:name w:val="EFAFPTitle6"/>
    <w:link w:val="154"/>
    <w:qFormat/>
    <w:uiPriority w:val="0"/>
    <w:rPr>
      <w:rFonts w:ascii="Calibri" w:hAnsi="Calibri" w:eastAsia="MS Mincho" w:cs="Times New Roman"/>
      <w:b/>
      <w:bCs/>
      <w:snapToGrid w:val="0"/>
      <w:color w:val="FFFFFF"/>
      <w:sz w:val="32"/>
      <w:lang w:val="en-US" w:eastAsia="ja-JP" w:bidi="ar-SA"/>
    </w:rPr>
  </w:style>
  <w:style w:type="character" w:customStyle="1" w:styleId="154">
    <w:name w:val="EFAFPTitle6 Char"/>
    <w:basedOn w:val="28"/>
    <w:link w:val="153"/>
    <w:qFormat/>
    <w:uiPriority w:val="0"/>
    <w:rPr>
      <w:b/>
      <w:bCs/>
      <w:color w:val="FFFFFF"/>
      <w:sz w:val="32"/>
      <w:szCs w:val="20"/>
      <w:lang w:eastAsia="ja-JP"/>
    </w:rPr>
  </w:style>
  <w:style w:type="character" w:customStyle="1" w:styleId="155">
    <w:name w:val="未处理的提及1"/>
    <w:basedOn w:val="28"/>
    <w:semiHidden/>
    <w:unhideWhenUsed/>
    <w:qFormat/>
    <w:uiPriority w:val="99"/>
    <w:rPr>
      <w:color w:val="605E5C"/>
      <w:shd w:val="clear" w:color="auto" w:fill="E1DFDD"/>
    </w:rPr>
  </w:style>
  <w:style w:type="character" w:customStyle="1" w:styleId="156">
    <w:name w:val="标题 2 字符"/>
    <w:basedOn w:val="28"/>
    <w:link w:val="3"/>
    <w:qFormat/>
    <w:uiPriority w:val="0"/>
    <w:rPr>
      <w:rFonts w:cs="Arial"/>
      <w:b/>
      <w:bCs/>
      <w:iCs/>
      <w:snapToGrid w:val="0"/>
      <w:szCs w:val="28"/>
      <w:lang w:val="en-GB" w:eastAsia="ja-JP"/>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chart" Target="charts/chart15.xml"/><Relationship Id="rId26" Type="http://schemas.openxmlformats.org/officeDocument/2006/relationships/chart" Target="charts/chart14.xml"/><Relationship Id="rId25" Type="http://schemas.openxmlformats.org/officeDocument/2006/relationships/chart" Target="charts/chart13.xml"/><Relationship Id="rId24" Type="http://schemas.openxmlformats.org/officeDocument/2006/relationships/chart" Target="charts/chart12.xml"/><Relationship Id="rId23" Type="http://schemas.openxmlformats.org/officeDocument/2006/relationships/chart" Target="charts/chart11.xml"/><Relationship Id="rId22" Type="http://schemas.openxmlformats.org/officeDocument/2006/relationships/chart" Target="charts/chart10.xml"/><Relationship Id="rId21" Type="http://schemas.openxmlformats.org/officeDocument/2006/relationships/chart" Target="charts/chart9.xml"/><Relationship Id="rId20" Type="http://schemas.openxmlformats.org/officeDocument/2006/relationships/chart" Target="charts/chart8.xml"/><Relationship Id="rId2" Type="http://schemas.openxmlformats.org/officeDocument/2006/relationships/settings" Target="settings.xml"/><Relationship Id="rId19" Type="http://schemas.openxmlformats.org/officeDocument/2006/relationships/chart" Target="charts/chart7.xml"/><Relationship Id="rId18" Type="http://schemas.openxmlformats.org/officeDocument/2006/relationships/chart" Target="charts/chart6.xml"/><Relationship Id="rId17" Type="http://schemas.openxmlformats.org/officeDocument/2006/relationships/image" Target="media/image3.png"/><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Administrator\&#21608;&#25253;&#25968;&#25454;&#24213;&#31295;_20260316_20260319.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Administrator\&#21608;&#25253;&#25968;&#25454;&#24213;&#31295;_20260316_20260319.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HSJ\Desktop\UBS%20Evidence%20Lab%20Nowcasting%20-%20Retail%20Sales_20260225.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HSJ\Desktop\US_ULTA_CR_PI_20260131.xlsb"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Administrator\&#21608;&#25253;&#25968;&#25454;&#24213;&#31295;_20260316_20260319.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Administrator\&#21608;&#25253;&#25968;&#25454;&#24213;&#31295;_20260316_20260319.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HSJ\Desktop\&#21608;&#25253;&#24213;&#31295;-&#36890;&#29992;&#33322;&#31354;&#37096;&#20998;.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file:///C:\Users\HSJ\Desktop\&#21608;&#25253;&#24213;&#31295;-&#36890;&#29992;&#33322;&#31354;&#37096;&#20998;.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package" Target="../embeddings/Workbook3.xlsx"/></Relationships>
</file>

<file path=word/charts/_rels/chart10.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HSJ\Desktop\&#21608;&#25253;&#24213;&#31295;-&#36890;&#29992;&#33322;&#31354;&#37096;&#20998;.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HSJ\Desktop\&#21608;&#25253;&#24213;&#31295;-&#36890;&#29992;&#33322;&#31354;&#37096;&#20998;.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package" Target="../embeddings/Workbook1.xlsx"/></Relationships>
</file>

<file path=word/charts/_rels/chart13.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package" Target="../embeddings/Workbook5.xlsx"/></Relationships>
</file>

<file path=word/charts/_rels/chart14.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package" Target="../embeddings/Workbook4.xlsx"/></Relationships>
</file>

<file path=word/charts/_rels/chart15.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'图1 港股通消费'!$K$1</c:f>
              <c:strCache>
                <c:ptCount val="1"/>
                <c:pt idx="0">
                  <c:v>收盘Close</c:v>
                </c:pt>
              </c:strCache>
            </c:strRef>
          </c:tx>
          <c:spPr>
            <a:ln w="28575" cap="rnd">
              <a:solidFill>
                <a:srgbClr val="002060"/>
              </a:solidFill>
              <a:round/>
            </a:ln>
            <a:effectLst/>
          </c:spPr>
          <c:marker>
            <c:symbol val="none"/>
          </c:marker>
          <c:dLbls>
            <c:delete val="1"/>
          </c:dLbls>
          <c:cat>
            <c:numRef>
              <c:f>'图1 港股通消费'!$B$2:$B$53</c:f>
              <c:numCache>
                <c:formatCode>yyyy/m/d</c:formatCode>
                <c:ptCount val="52"/>
                <c:pt idx="0" c:formatCode="yyyy/m/d">
                  <c:v>46023</c:v>
                </c:pt>
                <c:pt idx="1" c:formatCode="yyyy/m/d">
                  <c:v>46024</c:v>
                </c:pt>
                <c:pt idx="2" c:formatCode="yyyy/m/d">
                  <c:v>46027</c:v>
                </c:pt>
                <c:pt idx="3" c:formatCode="yyyy/m/d">
                  <c:v>46028</c:v>
                </c:pt>
                <c:pt idx="4" c:formatCode="yyyy/m/d">
                  <c:v>46029</c:v>
                </c:pt>
                <c:pt idx="5" c:formatCode="yyyy/m/d">
                  <c:v>46030</c:v>
                </c:pt>
                <c:pt idx="6" c:formatCode="yyyy/m/d">
                  <c:v>46031</c:v>
                </c:pt>
                <c:pt idx="7" c:formatCode="yyyy/m/d">
                  <c:v>46034</c:v>
                </c:pt>
                <c:pt idx="8" c:formatCode="yyyy/m/d">
                  <c:v>46035</c:v>
                </c:pt>
                <c:pt idx="9" c:formatCode="yyyy/m/d">
                  <c:v>46036</c:v>
                </c:pt>
                <c:pt idx="10" c:formatCode="yyyy/m/d">
                  <c:v>46037</c:v>
                </c:pt>
                <c:pt idx="11" c:formatCode="yyyy/m/d">
                  <c:v>46038</c:v>
                </c:pt>
                <c:pt idx="12" c:formatCode="yyyy/m/d">
                  <c:v>46041</c:v>
                </c:pt>
                <c:pt idx="13" c:formatCode="yyyy/m/d">
                  <c:v>46042</c:v>
                </c:pt>
                <c:pt idx="14" c:formatCode="yyyy/m/d">
                  <c:v>46043</c:v>
                </c:pt>
                <c:pt idx="15" c:formatCode="yyyy/m/d">
                  <c:v>46044</c:v>
                </c:pt>
                <c:pt idx="16" c:formatCode="yyyy/m/d">
                  <c:v>46045</c:v>
                </c:pt>
                <c:pt idx="17" c:formatCode="yyyy/m/d">
                  <c:v>46048</c:v>
                </c:pt>
                <c:pt idx="18" c:formatCode="yyyy/m/d">
                  <c:v>46049</c:v>
                </c:pt>
                <c:pt idx="19" c:formatCode="yyyy/m/d">
                  <c:v>46050</c:v>
                </c:pt>
                <c:pt idx="20" c:formatCode="yyyy/m/d">
                  <c:v>46051</c:v>
                </c:pt>
                <c:pt idx="21" c:formatCode="yyyy/m/d">
                  <c:v>46052</c:v>
                </c:pt>
                <c:pt idx="22" c:formatCode="yyyy/m/d">
                  <c:v>46055</c:v>
                </c:pt>
                <c:pt idx="23" c:formatCode="yyyy/m/d">
                  <c:v>46056</c:v>
                </c:pt>
                <c:pt idx="24" c:formatCode="yyyy/m/d">
                  <c:v>46057</c:v>
                </c:pt>
                <c:pt idx="25" c:formatCode="yyyy/m/d">
                  <c:v>46058</c:v>
                </c:pt>
                <c:pt idx="26" c:formatCode="yyyy/m/d">
                  <c:v>46059</c:v>
                </c:pt>
                <c:pt idx="27" c:formatCode="yyyy/m/d">
                  <c:v>46062</c:v>
                </c:pt>
                <c:pt idx="28" c:formatCode="yyyy/m/d">
                  <c:v>46063</c:v>
                </c:pt>
                <c:pt idx="29" c:formatCode="yyyy/m/d">
                  <c:v>46064</c:v>
                </c:pt>
                <c:pt idx="30" c:formatCode="yyyy/m/d">
                  <c:v>46065</c:v>
                </c:pt>
                <c:pt idx="31" c:formatCode="yyyy/m/d">
                  <c:v>46066</c:v>
                </c:pt>
                <c:pt idx="32" c:formatCode="yyyy/m/d">
                  <c:v>46069</c:v>
                </c:pt>
                <c:pt idx="33" c:formatCode="yyyy/m/d">
                  <c:v>46073</c:v>
                </c:pt>
                <c:pt idx="34" c:formatCode="yyyy/m/d">
                  <c:v>46076</c:v>
                </c:pt>
                <c:pt idx="35" c:formatCode="yyyy/m/d">
                  <c:v>46077</c:v>
                </c:pt>
                <c:pt idx="36" c:formatCode="yyyy/m/d">
                  <c:v>46078</c:v>
                </c:pt>
                <c:pt idx="37" c:formatCode="yyyy/m/d">
                  <c:v>46079</c:v>
                </c:pt>
                <c:pt idx="38" c:formatCode="yyyy/m/d">
                  <c:v>46080</c:v>
                </c:pt>
                <c:pt idx="39" c:formatCode="yyyy/m/d">
                  <c:v>46083</c:v>
                </c:pt>
                <c:pt idx="40" c:formatCode="yyyy/m/d">
                  <c:v>46084</c:v>
                </c:pt>
                <c:pt idx="41" c:formatCode="yyyy/m/d">
                  <c:v>46085</c:v>
                </c:pt>
                <c:pt idx="42" c:formatCode="yyyy/m/d">
                  <c:v>46086</c:v>
                </c:pt>
                <c:pt idx="43" c:formatCode="yyyy/m/d">
                  <c:v>46087</c:v>
                </c:pt>
                <c:pt idx="44" c:formatCode="yyyy/m/d">
                  <c:v>46090</c:v>
                </c:pt>
                <c:pt idx="45" c:formatCode="yyyy/m/d">
                  <c:v>46091</c:v>
                </c:pt>
                <c:pt idx="46" c:formatCode="yyyy/m/d">
                  <c:v>46092</c:v>
                </c:pt>
                <c:pt idx="47" c:formatCode="yyyy/m/d">
                  <c:v>46093</c:v>
                </c:pt>
                <c:pt idx="48" c:formatCode="yyyy/m/d">
                  <c:v>46094</c:v>
                </c:pt>
                <c:pt idx="49" c:formatCode="yyyy/m/d">
                  <c:v>46097</c:v>
                </c:pt>
                <c:pt idx="50" c:formatCode="yyyy/m/d">
                  <c:v>46098</c:v>
                </c:pt>
                <c:pt idx="51" c:formatCode="yyyy/m/d">
                  <c:v>46099</c:v>
                </c:pt>
              </c:numCache>
            </c:numRef>
          </c:cat>
          <c:val>
            <c:numRef>
              <c:f>'图1 港股通消费'!$K$2:$K$53</c:f>
              <c:numCache>
                <c:formatCode>General</c:formatCode>
                <c:ptCount val="52"/>
                <c:pt idx="0">
                  <c:v>1566.13</c:v>
                </c:pt>
                <c:pt idx="1">
                  <c:v>1566.13</c:v>
                </c:pt>
                <c:pt idx="2">
                  <c:v>1560.12</c:v>
                </c:pt>
                <c:pt idx="3">
                  <c:v>1576.17</c:v>
                </c:pt>
                <c:pt idx="4">
                  <c:v>1583.4</c:v>
                </c:pt>
                <c:pt idx="5">
                  <c:v>1572.7</c:v>
                </c:pt>
                <c:pt idx="6">
                  <c:v>1574.85</c:v>
                </c:pt>
                <c:pt idx="7">
                  <c:v>1585.59</c:v>
                </c:pt>
                <c:pt idx="8">
                  <c:v>1571.81</c:v>
                </c:pt>
                <c:pt idx="9">
                  <c:v>1585.74</c:v>
                </c:pt>
                <c:pt idx="10">
                  <c:v>1585.05</c:v>
                </c:pt>
                <c:pt idx="11">
                  <c:v>1576.53</c:v>
                </c:pt>
                <c:pt idx="12">
                  <c:v>1576.91</c:v>
                </c:pt>
                <c:pt idx="13">
                  <c:v>1603</c:v>
                </c:pt>
                <c:pt idx="14">
                  <c:v>1601.18</c:v>
                </c:pt>
                <c:pt idx="15">
                  <c:v>1615.55</c:v>
                </c:pt>
                <c:pt idx="16">
                  <c:v>1625.55</c:v>
                </c:pt>
                <c:pt idx="17">
                  <c:v>1615.88</c:v>
                </c:pt>
                <c:pt idx="18">
                  <c:v>1621.1</c:v>
                </c:pt>
                <c:pt idx="19">
                  <c:v>1642.47</c:v>
                </c:pt>
                <c:pt idx="20">
                  <c:v>1666.3</c:v>
                </c:pt>
                <c:pt idx="21">
                  <c:v>1628.76</c:v>
                </c:pt>
                <c:pt idx="22">
                  <c:v>1617.94</c:v>
                </c:pt>
                <c:pt idx="23">
                  <c:v>1639.62</c:v>
                </c:pt>
                <c:pt idx="24">
                  <c:v>1656.57</c:v>
                </c:pt>
                <c:pt idx="25">
                  <c:v>1702.48</c:v>
                </c:pt>
                <c:pt idx="26">
                  <c:v>1696.15</c:v>
                </c:pt>
                <c:pt idx="27">
                  <c:v>1728.13</c:v>
                </c:pt>
                <c:pt idx="28">
                  <c:v>1747.45</c:v>
                </c:pt>
                <c:pt idx="29">
                  <c:v>1738.11</c:v>
                </c:pt>
                <c:pt idx="30">
                  <c:v>1717.36</c:v>
                </c:pt>
                <c:pt idx="31">
                  <c:v>1710.21</c:v>
                </c:pt>
                <c:pt idx="32">
                  <c:v>1717.34</c:v>
                </c:pt>
                <c:pt idx="33">
                  <c:v>1699.99</c:v>
                </c:pt>
                <c:pt idx="34">
                  <c:v>1726.92</c:v>
                </c:pt>
                <c:pt idx="35">
                  <c:v>1704.19</c:v>
                </c:pt>
                <c:pt idx="36">
                  <c:v>1706.08</c:v>
                </c:pt>
                <c:pt idx="37">
                  <c:v>1674.12</c:v>
                </c:pt>
                <c:pt idx="38">
                  <c:v>1684.42</c:v>
                </c:pt>
                <c:pt idx="39">
                  <c:v>1649.66</c:v>
                </c:pt>
                <c:pt idx="40">
                  <c:v>1600.57</c:v>
                </c:pt>
                <c:pt idx="41">
                  <c:v>1578.99</c:v>
                </c:pt>
                <c:pt idx="42">
                  <c:v>1568.84</c:v>
                </c:pt>
                <c:pt idx="43">
                  <c:v>1606.07</c:v>
                </c:pt>
                <c:pt idx="44">
                  <c:v>1581.15</c:v>
                </c:pt>
                <c:pt idx="45">
                  <c:v>1591.64</c:v>
                </c:pt>
                <c:pt idx="46">
                  <c:v>1588.99</c:v>
                </c:pt>
                <c:pt idx="47">
                  <c:v>1575.87</c:v>
                </c:pt>
                <c:pt idx="48">
                  <c:v>1555.35</c:v>
                </c:pt>
                <c:pt idx="49">
                  <c:v>1574.78</c:v>
                </c:pt>
                <c:pt idx="50">
                  <c:v>1592.47</c:v>
                </c:pt>
                <c:pt idx="51">
                  <c:v>1593.37</c:v>
                </c:pt>
              </c:numCache>
            </c:numRef>
          </c:val>
          <c:smooth val="0"/>
        </c:ser>
        <c:dLbls>
          <c:showLegendKey val="0"/>
          <c:showVal val="0"/>
          <c:showCatName val="0"/>
          <c:showSerName val="0"/>
          <c:showPercent val="0"/>
          <c:showBubbleSize val="0"/>
        </c:dLbls>
        <c:marker val="0"/>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Offset val="100"/>
        <c:baseTimeUnit val="days"/>
      </c:dateAx>
      <c:valAx>
        <c:axId val="378384864"/>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3a965e7b-ff9e-458d-93d6-5d20f2d7ee54}"/>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98608280087024"/>
          <c:y val="0.228885933177272"/>
          <c:w val="0.768283981733177"/>
          <c:h val="0.650131410938498"/>
        </c:manualLayout>
      </c:layout>
      <c:barChart>
        <c:barDir val="col"/>
        <c:grouping val="clustered"/>
        <c:varyColors val="0"/>
        <c:ser>
          <c:idx val="0"/>
          <c:order val="0"/>
          <c:tx>
            <c:strRef>
              <c:f>图2_权重股涨跌幅!$E$1</c:f>
              <c:strCache>
                <c:ptCount val="1"/>
                <c:pt idx="0">
                  <c:v>涨跌幅%</c:v>
                </c:pt>
              </c:strCache>
            </c:strRef>
          </c:tx>
          <c:spPr>
            <a:solidFill>
              <a:sysClr val="window" lastClr="FFFFFF">
                <a:lumMod val="85000"/>
              </a:sysClr>
            </a:solidFill>
            <a:ln>
              <a:noFill/>
            </a:ln>
            <a:effectLst/>
          </c:spPr>
          <c:invertIfNegative val="0"/>
          <c:dLbls>
            <c:delete val="1"/>
          </c:dLbls>
          <c:cat>
            <c:strRef>
              <c:f>图2_权重股涨跌幅!$A$2:$A$11</c:f>
              <c:strCache>
                <c:ptCount val="10"/>
                <c:pt idx="0">
                  <c:v>泡泡玛特</c:v>
                </c:pt>
                <c:pt idx="1">
                  <c:v>百胜中国</c:v>
                </c:pt>
                <c:pt idx="2">
                  <c:v>李宁</c:v>
                </c:pt>
                <c:pt idx="3">
                  <c:v>美的集团</c:v>
                </c:pt>
                <c:pt idx="4">
                  <c:v>万洲国际</c:v>
                </c:pt>
                <c:pt idx="5">
                  <c:v>安踏体育</c:v>
                </c:pt>
                <c:pt idx="6">
                  <c:v>农夫山泉</c:v>
                </c:pt>
                <c:pt idx="7">
                  <c:v>申洲国际</c:v>
                </c:pt>
                <c:pt idx="8">
                  <c:v>蒙牛乳业</c:v>
                </c:pt>
                <c:pt idx="9">
                  <c:v>海尔智家</c:v>
                </c:pt>
              </c:strCache>
            </c:strRef>
          </c:cat>
          <c:val>
            <c:numRef>
              <c:f>图2_权重股涨跌幅!$E$2:$E$11</c:f>
              <c:numCache>
                <c:formatCode>General</c:formatCode>
                <c:ptCount val="10"/>
                <c:pt idx="0">
                  <c:v>5.57</c:v>
                </c:pt>
                <c:pt idx="1">
                  <c:v>3.96</c:v>
                </c:pt>
                <c:pt idx="2">
                  <c:v>1.87</c:v>
                </c:pt>
                <c:pt idx="3">
                  <c:v>0.62</c:v>
                </c:pt>
                <c:pt idx="4">
                  <c:v>0.53</c:v>
                </c:pt>
                <c:pt idx="5">
                  <c:v>-0.51</c:v>
                </c:pt>
                <c:pt idx="6">
                  <c:v>-0.51</c:v>
                </c:pt>
                <c:pt idx="7">
                  <c:v>-0.82</c:v>
                </c:pt>
                <c:pt idx="8">
                  <c:v>-1.35</c:v>
                </c:pt>
                <c:pt idx="9">
                  <c:v>-2.47</c:v>
                </c:pt>
              </c:numCache>
            </c:numRef>
          </c:val>
        </c:ser>
        <c:dLbls>
          <c:showLegendKey val="0"/>
          <c:showVal val="0"/>
          <c:showCatName val="0"/>
          <c:showSerName val="0"/>
          <c:showPercent val="0"/>
          <c:showBubbleSize val="0"/>
        </c:dLbls>
        <c:gapWidth val="300"/>
        <c:overlap val="-27"/>
        <c:axId val="378388704"/>
        <c:axId val="378384864"/>
      </c:bar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0" spcFirstLastPara="1" vertOverflow="ellipsis" vert="wordArtVertRtl"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Algn val="ctr"/>
        <c:lblOffset val="200"/>
        <c:noMultiLvlLbl val="0"/>
      </c:catAx>
      <c:valAx>
        <c:axId val="378384864"/>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06d29e4c-4f1a-4307-842c-1d364c9876e0}"/>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24168920473527"/>
          <c:y val="0.0670377219309822"/>
          <c:w val="0.906685909345601"/>
          <c:h val="0.694770648786089"/>
        </c:manualLayout>
      </c:layout>
      <c:lineChart>
        <c:grouping val="standard"/>
        <c:varyColors val="0"/>
        <c:ser>
          <c:idx val="6"/>
          <c:order val="0"/>
          <c:tx>
            <c:strRef>
              <c:f>'Data Explorer'!$K$38</c:f>
              <c:strCache>
                <c:ptCount val="1"/>
                <c:pt idx="0">
                  <c:v>Min</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Explorer'!$K$40:$K$97</c:f>
              <c:numCache>
                <c:formatCode>0.0_);\(0.0\)</c:formatCode>
                <c:ptCount val="58"/>
                <c:pt idx="0">
                  <c:v>-0.025</c:v>
                </c:pt>
              </c:numCache>
            </c:numRef>
          </c:val>
          <c:smooth val="0"/>
        </c:ser>
        <c:ser>
          <c:idx val="5"/>
          <c:order val="1"/>
          <c:tx>
            <c:strRef>
              <c:f>'Data Explorer'!$L$38</c:f>
              <c:strCache>
                <c:ptCount val="1"/>
                <c:pt idx="0">
                  <c:v>Max</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Explorer'!$L$40:$L$97</c:f>
              <c:numCache>
                <c:formatCode>0.0_);\(0.0\)</c:formatCode>
                <c:ptCount val="58"/>
                <c:pt idx="0">
                  <c:v>0.05</c:v>
                </c:pt>
              </c:numCache>
            </c:numRef>
          </c:val>
          <c:smooth val="0"/>
        </c:ser>
        <c:ser>
          <c:idx val="1"/>
          <c:order val="2"/>
          <c:tx>
            <c:strRef>
              <c:f>'Data Explorer'!$F$38</c:f>
              <c:strCache>
                <c:ptCount val="1"/>
                <c:pt idx="0">
                  <c:v>Actual:  Official Release</c:v>
                </c:pt>
              </c:strCache>
            </c:strRef>
          </c:tx>
          <c:spPr>
            <a:ln w="28575" cap="rnd" cmpd="sng" algn="ctr">
              <a:solidFill>
                <a:srgbClr val="C00000">
                  <a:alpha val="70000"/>
                </a:srgbClr>
              </a:solidFill>
              <a:prstDash val="solid"/>
              <a:round/>
            </a:ln>
          </c:spPr>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Explorer'!$F$40:$F$97</c:f>
              <c:numCache>
                <c:formatCode>0.0%</c:formatCode>
                <c:ptCount val="58"/>
                <c:pt idx="0">
                  <c:v>-0.008</c:v>
                </c:pt>
                <c:pt idx="1">
                  <c:v>0.011</c:v>
                </c:pt>
                <c:pt idx="2">
                  <c:v>-0.007</c:v>
                </c:pt>
                <c:pt idx="3">
                  <c:v>0.02</c:v>
                </c:pt>
                <c:pt idx="4">
                  <c:v>0.007</c:v>
                </c:pt>
                <c:pt idx="5">
                  <c:v>0.014</c:v>
                </c:pt>
                <c:pt idx="6">
                  <c:v>0.002</c:v>
                </c:pt>
                <c:pt idx="7">
                  <c:v>-0.025</c:v>
                </c:pt>
                <c:pt idx="8">
                  <c:v>0.038</c:v>
                </c:pt>
                <c:pt idx="9">
                  <c:v>-0.004</c:v>
                </c:pt>
                <c:pt idx="10">
                  <c:v>0.002</c:v>
                </c:pt>
                <c:pt idx="11">
                  <c:v>0.01</c:v>
                </c:pt>
                <c:pt idx="12">
                  <c:v>0.001</c:v>
                </c:pt>
                <c:pt idx="13">
                  <c:v>0.007</c:v>
                </c:pt>
                <c:pt idx="14">
                  <c:v>0.007</c:v>
                </c:pt>
                <c:pt idx="15">
                  <c:v>0.003</c:v>
                </c:pt>
                <c:pt idx="16">
                  <c:v>0.003</c:v>
                </c:pt>
                <c:pt idx="17">
                  <c:v>0.009</c:v>
                </c:pt>
                <c:pt idx="18">
                  <c:v>-0.002</c:v>
                </c:pt>
                <c:pt idx="19">
                  <c:v>-0.007</c:v>
                </c:pt>
                <c:pt idx="20">
                  <c:v>0.026</c:v>
                </c:pt>
                <c:pt idx="21">
                  <c:v>0</c:v>
                </c:pt>
                <c:pt idx="22">
                  <c:v>-0.003</c:v>
                </c:pt>
                <c:pt idx="23">
                  <c:v>0.006</c:v>
                </c:pt>
                <c:pt idx="24">
                  <c:v>0.004</c:v>
                </c:pt>
                <c:pt idx="25">
                  <c:v>0.003</c:v>
                </c:pt>
                <c:pt idx="26">
                  <c:v>0.01</c:v>
                </c:pt>
                <c:pt idx="27">
                  <c:v>0.002</c:v>
                </c:pt>
                <c:pt idx="28">
                  <c:v>0.006</c:v>
                </c:pt>
                <c:pt idx="29">
                  <c:v>0.001</c:v>
                </c:pt>
                <c:pt idx="30">
                  <c:v>0.006</c:v>
                </c:pt>
                <c:pt idx="31">
                  <c:v>0.006</c:v>
                </c:pt>
                <c:pt idx="32">
                  <c:v>-0.005</c:v>
                </c:pt>
                <c:pt idx="33">
                  <c:v>0.003</c:v>
                </c:pt>
                <c:pt idx="34">
                  <c:v>0.01</c:v>
                </c:pt>
                <c:pt idx="35">
                  <c:v>-0.001</c:v>
                </c:pt>
                <c:pt idx="36">
                  <c:v>0.001</c:v>
                </c:pt>
                <c:pt idx="37">
                  <c:v>0.008</c:v>
                </c:pt>
                <c:pt idx="38">
                  <c:v>0.004</c:v>
                </c:pt>
                <c:pt idx="39">
                  <c:v>0.002</c:v>
                </c:pt>
                <c:pt idx="40">
                  <c:v>0.007</c:v>
                </c:pt>
                <c:pt idx="41">
                  <c:v>0.001</c:v>
                </c:pt>
                <c:pt idx="42">
                  <c:v>0.002</c:v>
                </c:pt>
                <c:pt idx="43">
                  <c:v>0.003</c:v>
                </c:pt>
                <c:pt idx="44">
                  <c:v>-0.005</c:v>
                </c:pt>
                <c:pt idx="45">
                  <c:v>0.005</c:v>
                </c:pt>
                <c:pt idx="46">
                  <c:v>0.008</c:v>
                </c:pt>
                <c:pt idx="47">
                  <c:v>0.001651023</c:v>
                </c:pt>
                <c:pt idx="48">
                  <c:v>-0.001208344172614</c:v>
                </c:pt>
                <c:pt idx="49">
                  <c:v>0.0055499695336478</c:v>
                </c:pt>
                <c:pt idx="50">
                  <c:v>0.002313399</c:v>
                </c:pt>
                <c:pt idx="51">
                  <c:v>0.0067884679852496</c:v>
                </c:pt>
                <c:pt idx="52">
                  <c:v>0.001074988</c:v>
                </c:pt>
                <c:pt idx="53">
                  <c:v>0.0053457722493706</c:v>
                </c:pt>
                <c:pt idx="54">
                  <c:v>0.004334356184807</c:v>
                </c:pt>
                <c:pt idx="55">
                  <c:v>-3.86684073586662e-5</c:v>
                </c:pt>
                <c:pt idx="56">
                  <c:v>#N/A</c:v>
                </c:pt>
                <c:pt idx="57">
                  <c:v>#N/A</c:v>
                </c:pt>
              </c:numCache>
            </c:numRef>
          </c:val>
          <c:smooth val="0"/>
        </c:ser>
        <c:ser>
          <c:idx val="2"/>
          <c:order val="3"/>
          <c:tx>
            <c:strRef>
              <c:f>'Data Explorer'!$G$38</c:f>
              <c:strCache>
                <c:ptCount val="1"/>
                <c:pt idx="0">
                  <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Explorer'!$G$40:$G$97</c:f>
              <c:numCache>
                <c:formatCode>General</c:formatCode>
                <c:ptCount val="58"/>
              </c:numCache>
            </c:numRef>
          </c:val>
          <c:smooth val="0"/>
        </c:ser>
        <c:ser>
          <c:idx val="3"/>
          <c:order val="4"/>
          <c:tx>
            <c:strRef>
              <c:f>'Data Explorer'!$H$38</c:f>
              <c:strCache>
                <c:ptCount val="1"/>
                <c:pt idx="0">
                  <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Explorer'!$H$40:$H$97</c:f>
              <c:numCache>
                <c:formatCode>General</c:formatCode>
                <c:ptCount val="58"/>
              </c:numCache>
            </c:numRef>
          </c:val>
          <c:smooth val="0"/>
        </c:ser>
        <c:ser>
          <c:idx val="0"/>
          <c:order val="7"/>
          <c:tx>
            <c:strRef>
              <c:f>'Data Explorer'!$M$38</c:f>
              <c:strCache>
                <c:ptCount val="1"/>
                <c:pt idx="0">
                  <c:v>Dot</c:v>
                </c:pt>
              </c:strCache>
            </c:strRef>
          </c:tx>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Explorer'!$M$40:$M$97</c:f>
              <c:numCache>
                <c:formatCode>0.00</c:formatCode>
                <c:ptCount val="58"/>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0.0060969347566476</c:v>
                </c:pt>
              </c:numCache>
            </c:numRef>
          </c:val>
          <c:smooth val="0"/>
        </c:ser>
        <c:dLbls>
          <c:showLegendKey val="0"/>
          <c:showVal val="0"/>
          <c:showCatName val="0"/>
          <c:showSerName val="0"/>
          <c:showPercent val="0"/>
          <c:showBubbleSize val="0"/>
        </c:dLbls>
        <c:marker val="1"/>
        <c:smooth val="0"/>
        <c:axId val="531994112"/>
        <c:axId val="531995648"/>
      </c:lineChart>
      <c:scatterChart>
        <c:scatterStyle val="lineMarker"/>
        <c:varyColors val="0"/>
        <c:ser>
          <c:idx val="12"/>
          <c:order val="6"/>
          <c:tx>
            <c:strRef>
              <c:f>'Data Explorer'!$E$38</c:f>
              <c:strCache>
                <c:ptCount val="1"/>
                <c:pt idx="0">
                  <c:v>UBS Evidence Lab Nowcasting</c:v>
                </c:pt>
              </c:strCache>
            </c:strRef>
          </c:tx>
          <c:spPr>
            <a:ln w="28575" cap="rnd" cmpd="sng" algn="ctr">
              <a:solidFill>
                <a:srgbClr val="4D3C2F">
                  <a:alpha val="70000"/>
                </a:srgbClr>
              </a:solidFill>
              <a:prstDash val="solid"/>
              <a:round/>
            </a:ln>
          </c:spPr>
          <c:marker>
            <c:symbol val="none"/>
          </c:marker>
          <c:dLbls>
            <c:delete val="1"/>
          </c:dLbls>
          <c:yVal>
            <c:numRef>
              <c:f>'Data Explorer'!$E$40:$E$97</c:f>
              <c:numCache>
                <c:formatCode>0.0%</c:formatCode>
                <c:ptCount val="58"/>
                <c:pt idx="0">
                  <c:v>-0.01</c:v>
                </c:pt>
                <c:pt idx="1">
                  <c:v>0.005</c:v>
                </c:pt>
                <c:pt idx="2">
                  <c:v>0.003</c:v>
                </c:pt>
                <c:pt idx="3">
                  <c:v>0.005</c:v>
                </c:pt>
                <c:pt idx="4">
                  <c:v>0.01</c:v>
                </c:pt>
                <c:pt idx="5">
                  <c:v>0.01</c:v>
                </c:pt>
                <c:pt idx="6">
                  <c:v>-0.008</c:v>
                </c:pt>
                <c:pt idx="7">
                  <c:v>-0.02</c:v>
                </c:pt>
                <c:pt idx="8">
                  <c:v>0.05</c:v>
                </c:pt>
                <c:pt idx="9">
                  <c:v>-0.009</c:v>
                </c:pt>
                <c:pt idx="10">
                  <c:v>-0.02</c:v>
                </c:pt>
                <c:pt idx="11">
                  <c:v>-0.005</c:v>
                </c:pt>
                <c:pt idx="12">
                  <c:v>0.0015</c:v>
                </c:pt>
                <c:pt idx="13">
                  <c:v>0.0078</c:v>
                </c:pt>
                <c:pt idx="14">
                  <c:v>0.0012</c:v>
                </c:pt>
                <c:pt idx="15">
                  <c:v>0.0064</c:v>
                </c:pt>
                <c:pt idx="16">
                  <c:v>0.0024</c:v>
                </c:pt>
                <c:pt idx="17">
                  <c:v>0.0028</c:v>
                </c:pt>
                <c:pt idx="18">
                  <c:v>-0.0001</c:v>
                </c:pt>
                <c:pt idx="19">
                  <c:v>-0.0044</c:v>
                </c:pt>
                <c:pt idx="20">
                  <c:v>0.0052</c:v>
                </c:pt>
                <c:pt idx="21">
                  <c:v>0.0043</c:v>
                </c:pt>
                <c:pt idx="22">
                  <c:v>0.0033</c:v>
                </c:pt>
                <c:pt idx="23">
                  <c:v>0.0086</c:v>
                </c:pt>
                <c:pt idx="24">
                  <c:v>0.0029</c:v>
                </c:pt>
                <c:pt idx="25">
                  <c:v>0.0045</c:v>
                </c:pt>
                <c:pt idx="26">
                  <c:v>0.0007</c:v>
                </c:pt>
                <c:pt idx="27">
                  <c:v>0.0044</c:v>
                </c:pt>
                <c:pt idx="28">
                  <c:v>0.0022</c:v>
                </c:pt>
                <c:pt idx="29">
                  <c:v>0.0037</c:v>
                </c:pt>
                <c:pt idx="30">
                  <c:v>-0.0008</c:v>
                </c:pt>
                <c:pt idx="31">
                  <c:v>0.0021</c:v>
                </c:pt>
                <c:pt idx="32">
                  <c:v>0.0086</c:v>
                </c:pt>
                <c:pt idx="33">
                  <c:v>0.0009</c:v>
                </c:pt>
                <c:pt idx="34">
                  <c:v>-0.001</c:v>
                </c:pt>
                <c:pt idx="35">
                  <c:v>0.0016</c:v>
                </c:pt>
                <c:pt idx="36">
                  <c:v>0.0077</c:v>
                </c:pt>
                <c:pt idx="37">
                  <c:v>0.0032</c:v>
                </c:pt>
                <c:pt idx="38">
                  <c:v>0.0118</c:v>
                </c:pt>
                <c:pt idx="39">
                  <c:v>0.0013</c:v>
                </c:pt>
                <c:pt idx="40">
                  <c:v>0.0063</c:v>
                </c:pt>
                <c:pt idx="41">
                  <c:v>0.0077</c:v>
                </c:pt>
                <c:pt idx="42">
                  <c:v>0.0018</c:v>
                </c:pt>
                <c:pt idx="43">
                  <c:v>0.0076</c:v>
                </c:pt>
                <c:pt idx="44">
                  <c:v>0.001</c:v>
                </c:pt>
                <c:pt idx="45">
                  <c:v>0.0024</c:v>
                </c:pt>
                <c:pt idx="46">
                  <c:v>0.004</c:v>
                </c:pt>
                <c:pt idx="47">
                  <c:v>0.0046</c:v>
                </c:pt>
                <c:pt idx="48">
                  <c:v>-0.002555042</c:v>
                </c:pt>
                <c:pt idx="49">
                  <c:v>0.0036114708310188</c:v>
                </c:pt>
                <c:pt idx="50">
                  <c:v>0.002850572667504</c:v>
                </c:pt>
                <c:pt idx="51">
                  <c:v>0.002771315</c:v>
                </c:pt>
                <c:pt idx="52">
                  <c:v>0.0029450288567182</c:v>
                </c:pt>
                <c:pt idx="53">
                  <c:v>-0.0003684178113484</c:v>
                </c:pt>
                <c:pt idx="54">
                  <c:v>0.001883573</c:v>
                </c:pt>
                <c:pt idx="55">
                  <c:v>0.0021139318378831</c:v>
                </c:pt>
                <c:pt idx="56">
                  <c:v>0.004940358644542</c:v>
                </c:pt>
                <c:pt idx="57">
                  <c:v>0.0060969347566476</c:v>
                </c:pt>
              </c:numCache>
            </c:numRef>
          </c:yVal>
          <c:smooth val="0"/>
        </c:ser>
        <c:dLbls>
          <c:showLegendKey val="0"/>
          <c:showVal val="0"/>
          <c:showCatName val="0"/>
          <c:showSerName val="0"/>
          <c:showPercent val="0"/>
          <c:showBubbleSize val="0"/>
        </c:dLbls>
        <c:axId val="531994112"/>
        <c:axId val="531995648"/>
      </c:scatterChart>
      <c:scatterChart>
        <c:scatterStyle val="lineMarker"/>
        <c:varyColors val="0"/>
        <c:ser>
          <c:idx val="11"/>
          <c:order val="5"/>
          <c:tx>
            <c:strRef>
              <c:f>'Data Explorer'!$P$39</c:f>
              <c:strCache>
                <c:ptCount val="1"/>
                <c:pt idx="0">
                  <c:v>0.6%</c:v>
                </c:pt>
              </c:strCache>
            </c:strRef>
          </c:tx>
          <c:marker>
            <c:symbol val="none"/>
          </c:marker>
          <c:dLbls>
            <c:delete val="1"/>
          </c:dLbls>
          <c:xVal>
            <c:numRef>
              <c:f>'Data Explorer'!$R$37:$S$37</c:f>
              <c:numCache>
                <c:formatCode>0</c:formatCode>
                <c:ptCount val="2"/>
                <c:pt idx="0">
                  <c:v>58</c:v>
                </c:pt>
                <c:pt idx="1">
                  <c:v>58</c:v>
                </c:pt>
              </c:numCache>
            </c:numRef>
          </c:xVal>
          <c:yVal>
            <c:numRef>
              <c:f>'Data Explorer'!$R$39:$S$39</c:f>
              <c:numCache>
                <c:formatCode>0.00</c:formatCode>
                <c:ptCount val="2"/>
                <c:pt idx="0">
                  <c:v>1.36</c:v>
                </c:pt>
                <c:pt idx="1">
                  <c:v>1.36</c:v>
                </c:pt>
              </c:numCache>
            </c:numRef>
          </c:yVal>
          <c:smooth val="0"/>
        </c:ser>
        <c:dLbls>
          <c:showLegendKey val="0"/>
          <c:showVal val="0"/>
          <c:showCatName val="0"/>
          <c:showSerName val="0"/>
          <c:showPercent val="0"/>
          <c:showBubbleSize val="0"/>
        </c:dLbls>
        <c:axId val="532019456"/>
        <c:axId val="532017920"/>
      </c:scatterChart>
      <c:catAx>
        <c:axId val="531994112"/>
        <c:scaling>
          <c:orientation val="minMax"/>
        </c:scaling>
        <c:delete val="0"/>
        <c:axPos val="b"/>
        <c:numFmt formatCode="mmm" sourceLinked="0"/>
        <c:majorTickMark val="none"/>
        <c:minorTickMark val="none"/>
        <c:tickLblPos val="low"/>
        <c:spPr>
          <a:ln w="25400" cap="flat" cmpd="sng" algn="ctr">
            <a:solidFill>
              <a:schemeClr val="bg1"/>
            </a:solidFill>
            <a:prstDash val="solid"/>
            <a:round/>
          </a:ln>
        </c:spPr>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1995648"/>
        <c:crosses val="autoZero"/>
        <c:auto val="1"/>
        <c:lblAlgn val="ctr"/>
        <c:lblOffset val="100"/>
        <c:noMultiLvlLbl val="0"/>
      </c:catAx>
      <c:valAx>
        <c:axId val="531995648"/>
        <c:scaling>
          <c:orientation val="minMax"/>
        </c:scaling>
        <c:delete val="0"/>
        <c:axPos val="l"/>
        <c:numFmt formatCode="0%" sourceLinked="0"/>
        <c:majorTickMark val="out"/>
        <c:minorTickMark val="none"/>
        <c:tickLblPos val="nextTo"/>
        <c:spPr>
          <a:ln w="9525" cap="flat" cmpd="sng" algn="ctr">
            <a:solidFill>
              <a:schemeClr val="bg1">
                <a:lumMod val="75000"/>
              </a:schemeClr>
            </a:solidFill>
            <a:prstDash val="solid"/>
            <a:round/>
          </a:ln>
        </c:spPr>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1994112"/>
        <c:crosses val="autoZero"/>
        <c:crossBetween val="between"/>
      </c:valAx>
      <c:valAx>
        <c:axId val="532019456"/>
        <c:scaling>
          <c:orientation val="minMax"/>
        </c:scaling>
        <c:delete val="1"/>
        <c:axPos val="b"/>
        <c:numFmt formatCode="0" sourceLinked="1"/>
        <c:majorTickMark val="out"/>
        <c:minorTickMark val="none"/>
        <c:tickLblPos val="nextTo"/>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2017920"/>
        <c:crosses val="autoZero"/>
        <c:crossBetween val="midCat"/>
      </c:valAx>
      <c:valAx>
        <c:axId val="532017920"/>
        <c:scaling>
          <c:orientation val="minMax"/>
        </c:scaling>
        <c:delete val="0"/>
        <c:axPos val="r"/>
        <c:numFmt formatCode="0.00" sourceLinked="1"/>
        <c:majorTickMark val="out"/>
        <c:minorTickMark val="none"/>
        <c:tickLblPos val="none"/>
        <c:spPr>
          <a:noFill/>
          <a:ln w="9525" cap="flat" cmpd="sng" algn="ctr">
            <a:noFill/>
            <a:prstDash val="solid"/>
            <a:round/>
          </a:ln>
        </c:spPr>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2019456"/>
        <c:crosses val="max"/>
        <c:crossBetween val="midCat"/>
      </c:valAx>
      <c:spPr>
        <a:noFill/>
      </c:spPr>
    </c:plotArea>
    <c:plotVisOnly val="0"/>
    <c:dispBlanksAs val="gap"/>
    <c:showDLblsOverMax val="0"/>
    <c:extLst>
      <c:ext uri="{0b15fc19-7d7d-44ad-8c2d-2c3a37ce22c3}">
        <chartProps xmlns="https://web.wps.cn/et/2018/main" chartId="{d1245431-d3e7-4f58-882a-2a0099356537}"/>
      </c:ext>
    </c:extLst>
  </c:chart>
  <c:spPr>
    <a:solidFill>
      <a:srgbClr val="FFFFFF"/>
    </a:solidFill>
    <a:ln w="9525" cap="flat" cmpd="sng" algn="ctr">
      <a:noFill/>
      <a:prstDash val="solid"/>
      <a:round/>
    </a:ln>
  </c:spPr>
  <c:txPr>
    <a:bodyPr/>
    <a:lstStyle/>
    <a:p>
      <a:pPr>
        <a:defRPr lang="zh-CN" sz="105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489194264729648"/>
          <c:y val="0.0711490813648294"/>
          <c:w val="0.919874067678886"/>
          <c:h val="0.756720734908137"/>
        </c:manualLayout>
      </c:layout>
      <c:lineChart>
        <c:grouping val="standard"/>
        <c:varyColors val="0"/>
        <c:ser>
          <c:idx val="0"/>
          <c:order val="0"/>
          <c:tx>
            <c:strRef>
              <c:f>WALMART</c:f>
              <c:strCache>
                <c:ptCount val="1"/>
                <c:pt idx="0">
                  <c:v>WALMART</c:v>
                </c:pt>
              </c:strCache>
            </c:strRef>
          </c:tx>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Data_Chart_1!$F$29:$CZ$29</c:f>
              <c:numCache>
                <c:formatCode>General</c:formatCode>
                <c:ptCount val="99"/>
                <c:pt idx="6" c:formatCode="0%">
                  <c:v>0.782085311600433</c:v>
                </c:pt>
                <c:pt idx="7" c:formatCode="0%">
                  <c:v>0.753588613481056</c:v>
                </c:pt>
                <c:pt idx="8" c:formatCode="0%">
                  <c:v>0.653188057017427</c:v>
                </c:pt>
                <c:pt idx="9" c:formatCode="0%">
                  <c:v>0.634878728095624</c:v>
                </c:pt>
                <c:pt idx="10" c:formatCode="0%">
                  <c:v>0.636562032126272</c:v>
                </c:pt>
                <c:pt idx="11" c:formatCode="0%">
                  <c:v>0.662117560771165</c:v>
                </c:pt>
                <c:pt idx="12" c:formatCode="0%">
                  <c:v>0.687984132514942</c:v>
                </c:pt>
                <c:pt idx="13" c:formatCode="0%">
                  <c:v>0.716822542933161</c:v>
                </c:pt>
                <c:pt idx="14" c:formatCode="0%">
                  <c:v>0.707991103868936</c:v>
                </c:pt>
                <c:pt idx="15" c:formatCode="0%">
                  <c:v>0.721784180508532</c:v>
                </c:pt>
                <c:pt idx="16" c:formatCode="0%">
                  <c:v>0.714899262457276</c:v>
                </c:pt>
                <c:pt idx="17" c:formatCode="0%">
                  <c:v>0.726073306496658</c:v>
                </c:pt>
                <c:pt idx="18" c:formatCode="0%">
                  <c:v>0.668378378378378</c:v>
                </c:pt>
                <c:pt idx="19" c:formatCode="0%">
                  <c:v>0.697269554506261</c:v>
                </c:pt>
                <c:pt idx="20" c:formatCode="0%">
                  <c:v>0.686055366421788</c:v>
                </c:pt>
                <c:pt idx="21" c:formatCode="0%">
                  <c:v>0.648007611625852</c:v>
                </c:pt>
                <c:pt idx="22" c:formatCode="0%">
                  <c:v>0.670274753317454</c:v>
                </c:pt>
                <c:pt idx="23" c:formatCode="0%">
                  <c:v>0.652563717448067</c:v>
                </c:pt>
                <c:pt idx="24" c:formatCode="0%">
                  <c:v>0.681096812332317</c:v>
                </c:pt>
                <c:pt idx="25" c:formatCode="0%">
                  <c:v>0.596688906730157</c:v>
                </c:pt>
                <c:pt idx="26" c:formatCode="0%">
                  <c:v>0.588618497290864</c:v>
                </c:pt>
                <c:pt idx="27" c:formatCode="0%">
                  <c:v>0.654379410543794</c:v>
                </c:pt>
                <c:pt idx="28" c:formatCode="0%">
                  <c:v>0.645337753833402</c:v>
                </c:pt>
                <c:pt idx="29" c:formatCode="0%">
                  <c:v>0.618955693246567</c:v>
                </c:pt>
                <c:pt idx="30" c:formatCode="0%">
                  <c:v>0.618097009745398</c:v>
                </c:pt>
                <c:pt idx="31" c:formatCode="0%">
                  <c:v>0.609997577812764</c:v>
                </c:pt>
                <c:pt idx="32" c:formatCode="0%">
                  <c:v>0.581082790462336</c:v>
                </c:pt>
                <c:pt idx="33" c:formatCode="0%">
                  <c:v>0.583201352911174</c:v>
                </c:pt>
                <c:pt idx="34" c:formatCode="0%">
                  <c:v>0.638423999281458</c:v>
                </c:pt>
                <c:pt idx="35" c:formatCode="0%">
                  <c:v>0.661121042615766</c:v>
                </c:pt>
                <c:pt idx="36" c:formatCode="0%">
                  <c:v>0.632869554268446</c:v>
                </c:pt>
                <c:pt idx="37" c:formatCode="0%">
                  <c:v>0.667669629547838</c:v>
                </c:pt>
                <c:pt idx="38" c:formatCode="0%">
                  <c:v>0.662791706428385</c:v>
                </c:pt>
                <c:pt idx="39" c:formatCode="0%">
                  <c:v>0.594362840340923</c:v>
                </c:pt>
                <c:pt idx="40" c:formatCode="0%">
                  <c:v>0.616033855590689</c:v>
                </c:pt>
                <c:pt idx="41" c:formatCode="0%">
                  <c:v>0.581594482436144</c:v>
                </c:pt>
                <c:pt idx="42" c:formatCode="0%">
                  <c:v>0.592230114406549</c:v>
                </c:pt>
                <c:pt idx="43" c:formatCode="0%">
                  <c:v>0.58042328042328</c:v>
                </c:pt>
                <c:pt idx="44" c:formatCode="0%">
                  <c:v>0.528332358755882</c:v>
                </c:pt>
                <c:pt idx="45" c:formatCode="0%">
                  <c:v>0.502880945848195</c:v>
                </c:pt>
                <c:pt idx="46" c:formatCode="0%">
                  <c:v>0.388211992077306</c:v>
                </c:pt>
                <c:pt idx="47" c:formatCode="0%">
                  <c:v>0.398246712586098</c:v>
                </c:pt>
                <c:pt idx="48" c:formatCode="0%">
                  <c:v>0.38290825714043</c:v>
                </c:pt>
                <c:pt idx="49" c:formatCode="0%">
                  <c:v>0.427707691413289</c:v>
                </c:pt>
                <c:pt idx="51" c:formatCode="0%">
                  <c:v>0.519391134810082</c:v>
                </c:pt>
                <c:pt idx="52" c:formatCode="0%">
                  <c:v>0.566920409545109</c:v>
                </c:pt>
                <c:pt idx="53" c:formatCode="0%">
                  <c:v>0.582530826201775</c:v>
                </c:pt>
                <c:pt idx="54" c:formatCode="0%">
                  <c:v>0.602088450782105</c:v>
                </c:pt>
                <c:pt idx="55" c:formatCode="0%">
                  <c:v>0.605719658553076</c:v>
                </c:pt>
                <c:pt idx="56" c:formatCode="0%">
                  <c:v>0.611614262930052</c:v>
                </c:pt>
                <c:pt idx="57" c:formatCode="0%">
                  <c:v>0.632356512588035</c:v>
                </c:pt>
                <c:pt idx="58" c:formatCode="0%">
                  <c:v>0.582966777704192</c:v>
                </c:pt>
                <c:pt idx="59" c:formatCode="0%">
                  <c:v>0.600102328930662</c:v>
                </c:pt>
                <c:pt idx="60" c:formatCode="0%">
                  <c:v>0.614882606612362</c:v>
                </c:pt>
                <c:pt idx="61" c:formatCode="0%">
                  <c:v>0.579687588753195</c:v>
                </c:pt>
                <c:pt idx="63" c:formatCode="0%">
                  <c:v>0.649061855175392</c:v>
                </c:pt>
                <c:pt idx="64" c:formatCode="0%">
                  <c:v>0.640976988292289</c:v>
                </c:pt>
                <c:pt idx="65" c:formatCode="0%">
                  <c:v>0.716665016338251</c:v>
                </c:pt>
                <c:pt idx="66" c:formatCode="0%">
                  <c:v>0.677979974659984</c:v>
                </c:pt>
                <c:pt idx="67" c:formatCode="0%">
                  <c:v>0.648899176283932</c:v>
                </c:pt>
                <c:pt idx="68" c:formatCode="0%">
                  <c:v>0.668859044108721</c:v>
                </c:pt>
                <c:pt idx="69" c:formatCode="0%">
                  <c:v>0.6356739933865</c:v>
                </c:pt>
                <c:pt idx="70" c:formatCode="0%">
                  <c:v>0.704428935585194</c:v>
                </c:pt>
                <c:pt idx="72" c:formatCode="0%">
                  <c:v>0.611085601836667</c:v>
                </c:pt>
                <c:pt idx="73" c:formatCode="0%">
                  <c:v>0.610412474849094</c:v>
                </c:pt>
                <c:pt idx="74" c:formatCode="0%">
                  <c:v>0.580193913579555</c:v>
                </c:pt>
                <c:pt idx="75" c:formatCode="0%">
                  <c:v>0.6412964838663</c:v>
                </c:pt>
                <c:pt idx="76" c:formatCode="0%">
                  <c:v>0.65827380670798</c:v>
                </c:pt>
                <c:pt idx="77" c:formatCode="0%">
                  <c:v>0.628694454558406</c:v>
                </c:pt>
                <c:pt idx="78" c:formatCode="0%">
                  <c:v>0.704793483745404</c:v>
                </c:pt>
                <c:pt idx="79" c:formatCode="0%">
                  <c:v>0.581678902764335</c:v>
                </c:pt>
                <c:pt idx="80" c:formatCode="0%">
                  <c:v>0.594754462808823</c:v>
                </c:pt>
                <c:pt idx="81" c:formatCode="0%">
                  <c:v>0.754243285573409</c:v>
                </c:pt>
                <c:pt idx="82" c:formatCode="0%">
                  <c:v>0.691765139757518</c:v>
                </c:pt>
                <c:pt idx="84" c:formatCode="0%">
                  <c:v>0.825156353643513</c:v>
                </c:pt>
              </c:numCache>
            </c:numRef>
          </c:val>
          <c:smooth val="0"/>
        </c:ser>
        <c:ser>
          <c:idx val="1"/>
          <c:order val="1"/>
          <c:tx>
            <c:strRef>
              <c:f>ULTA</c:f>
              <c:strCache>
                <c:ptCount val="1"/>
                <c:pt idx="0">
                  <c:v>ULTA</c:v>
                </c:pt>
              </c:strCache>
            </c:strRef>
          </c:tx>
          <c:spPr>
            <a:ln w="28575" cap="rnd" cmpd="sng" algn="ctr">
              <a:solidFill>
                <a:srgbClr val="FFC000"/>
              </a:solidFill>
              <a:prstDash val="solid"/>
              <a:round/>
            </a:ln>
          </c:spPr>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Data_Chart_1!$F$30:$CZ$30</c:f>
              <c:numCache>
                <c:formatCode>0%</c:formatCode>
                <c:ptCount val="99"/>
                <c:pt idx="0">
                  <c:v>0.423266847405112</c:v>
                </c:pt>
                <c:pt idx="1">
                  <c:v>0.425022139132146</c:v>
                </c:pt>
                <c:pt idx="2">
                  <c:v>0.411703498166683</c:v>
                </c:pt>
                <c:pt idx="5">
                  <c:v>0.328882879837755</c:v>
                </c:pt>
                <c:pt idx="6">
                  <c:v>0.295799097326698</c:v>
                </c:pt>
                <c:pt idx="7">
                  <c:v>0.295854122119268</c:v>
                </c:pt>
                <c:pt idx="8">
                  <c:v>0.292237171091796</c:v>
                </c:pt>
                <c:pt idx="9">
                  <c:v>0.286621532562458</c:v>
                </c:pt>
                <c:pt idx="10">
                  <c:v>0.278595696489241</c:v>
                </c:pt>
                <c:pt idx="11">
                  <c:v>0.283686679731575</c:v>
                </c:pt>
                <c:pt idx="12">
                  <c:v>0.293351488958617</c:v>
                </c:pt>
                <c:pt idx="13">
                  <c:v>0.303833605220228</c:v>
                </c:pt>
                <c:pt idx="14">
                  <c:v>0.313800057620282</c:v>
                </c:pt>
                <c:pt idx="17">
                  <c:v>0.247350704400947</c:v>
                </c:pt>
                <c:pt idx="18">
                  <c:v>0.263073803232348</c:v>
                </c:pt>
                <c:pt idx="19">
                  <c:v>0.258943262843561</c:v>
                </c:pt>
                <c:pt idx="20">
                  <c:v>0.25222406282594</c:v>
                </c:pt>
                <c:pt idx="21">
                  <c:v>0.25001521884702</c:v>
                </c:pt>
                <c:pt idx="22">
                  <c:v>0.253878191585682</c:v>
                </c:pt>
                <c:pt idx="23">
                  <c:v>0.250850546780072</c:v>
                </c:pt>
                <c:pt idx="24">
                  <c:v>0.259148754795104</c:v>
                </c:pt>
                <c:pt idx="25">
                  <c:v>0.293325594892629</c:v>
                </c:pt>
                <c:pt idx="26">
                  <c:v>0.293559601673442</c:v>
                </c:pt>
                <c:pt idx="28">
                  <c:v>0.280481513327601</c:v>
                </c:pt>
                <c:pt idx="29">
                  <c:v>0.272333196649288</c:v>
                </c:pt>
                <c:pt idx="30">
                  <c:v>0.2694166175604</c:v>
                </c:pt>
                <c:pt idx="31">
                  <c:v>0.271482980242799</c:v>
                </c:pt>
                <c:pt idx="32">
                  <c:v>0.273514341245067</c:v>
                </c:pt>
                <c:pt idx="33">
                  <c:v>0.271098400840434</c:v>
                </c:pt>
                <c:pt idx="34">
                  <c:v>0.272186588921282</c:v>
                </c:pt>
                <c:pt idx="35">
                  <c:v>0.270698004015589</c:v>
                </c:pt>
                <c:pt idx="36">
                  <c:v>0.273871553187752</c:v>
                </c:pt>
                <c:pt idx="37">
                  <c:v>0.293917578368573</c:v>
                </c:pt>
                <c:pt idx="38">
                  <c:v>0.292464950008378</c:v>
                </c:pt>
                <c:pt idx="39">
                  <c:v>0.291659821477465</c:v>
                </c:pt>
                <c:pt idx="40">
                  <c:v>0.271765107545237</c:v>
                </c:pt>
                <c:pt idx="41">
                  <c:v>0.26783974322233</c:v>
                </c:pt>
                <c:pt idx="42">
                  <c:v>0.276387067343331</c:v>
                </c:pt>
                <c:pt idx="43">
                  <c:v>0.280628571428571</c:v>
                </c:pt>
                <c:pt idx="44">
                  <c:v>0.28851255997742</c:v>
                </c:pt>
                <c:pt idx="45">
                  <c:v>0.311843995138658</c:v>
                </c:pt>
                <c:pt idx="46">
                  <c:v>0.306823291366906</c:v>
                </c:pt>
                <c:pt idx="47">
                  <c:v>0.317704214213083</c:v>
                </c:pt>
                <c:pt idx="48">
                  <c:v>0.337264410889452</c:v>
                </c:pt>
                <c:pt idx="49">
                  <c:v>0.348838471558836</c:v>
                </c:pt>
                <c:pt idx="50">
                  <c:v>0.358393020625774</c:v>
                </c:pt>
                <c:pt idx="51">
                  <c:v>0.358755403746597</c:v>
                </c:pt>
                <c:pt idx="52">
                  <c:v>0.348622321180072</c:v>
                </c:pt>
                <c:pt idx="53">
                  <c:v>0.343574017284639</c:v>
                </c:pt>
                <c:pt idx="54">
                  <c:v>0.351306465899025</c:v>
                </c:pt>
                <c:pt idx="55">
                  <c:v>0.345500705218617</c:v>
                </c:pt>
                <c:pt idx="56">
                  <c:v>0.338783077700994</c:v>
                </c:pt>
                <c:pt idx="57">
                  <c:v>0.31864896073903</c:v>
                </c:pt>
                <c:pt idx="58">
                  <c:v>0.313313660822773</c:v>
                </c:pt>
                <c:pt idx="59">
                  <c:v>0.313262195121951</c:v>
                </c:pt>
                <c:pt idx="60">
                  <c:v>0.338005421929976</c:v>
                </c:pt>
                <c:pt idx="61">
                  <c:v>0.345346869712351</c:v>
                </c:pt>
                <c:pt idx="62">
                  <c:v>0.351214066424783</c:v>
                </c:pt>
                <c:pt idx="63">
                  <c:v>0.342207027966149</c:v>
                </c:pt>
                <c:pt idx="64">
                  <c:v>0.324463418913386</c:v>
                </c:pt>
                <c:pt idx="65">
                  <c:v>0.328461178671655</c:v>
                </c:pt>
                <c:pt idx="66">
                  <c:v>0.33770207852194</c:v>
                </c:pt>
                <c:pt idx="67">
                  <c:v>0.344452330257866</c:v>
                </c:pt>
                <c:pt idx="68">
                  <c:v>0.346011838480923</c:v>
                </c:pt>
                <c:pt idx="69">
                  <c:v>0.351917572982255</c:v>
                </c:pt>
                <c:pt idx="70">
                  <c:v>0.361766554304976</c:v>
                </c:pt>
                <c:pt idx="71">
                  <c:v>0.373335619178238</c:v>
                </c:pt>
                <c:pt idx="72">
                  <c:v>0.368961913608917</c:v>
                </c:pt>
                <c:pt idx="73">
                  <c:v>0.38959802933602</c:v>
                </c:pt>
                <c:pt idx="74">
                  <c:v>0.390862097715524</c:v>
                </c:pt>
                <c:pt idx="75">
                  <c:v>0.38685720715652</c:v>
                </c:pt>
                <c:pt idx="76">
                  <c:v>0.354357044735113</c:v>
                </c:pt>
                <c:pt idx="77">
                  <c:v>0.348677471832258</c:v>
                </c:pt>
                <c:pt idx="78">
                  <c:v>0.339186295503212</c:v>
                </c:pt>
                <c:pt idx="79">
                  <c:v>0.343778632948506</c:v>
                </c:pt>
                <c:pt idx="80">
                  <c:v>0.338986163830047</c:v>
                </c:pt>
                <c:pt idx="81">
                  <c:v>0.474315687929579</c:v>
                </c:pt>
                <c:pt idx="82">
                  <c:v>0.460631099934135</c:v>
                </c:pt>
                <c:pt idx="83">
                  <c:v>0.451314810220788</c:v>
                </c:pt>
                <c:pt idx="84">
                  <c:v>0.473028021231946</c:v>
                </c:pt>
                <c:pt idx="85">
                  <c:v>0.48105319338196</c:v>
                </c:pt>
                <c:pt idx="86">
                  <c:v>0.48901325478645</c:v>
                </c:pt>
                <c:pt idx="87">
                  <c:v>0.477699460996268</c:v>
                </c:pt>
                <c:pt idx="88">
                  <c:v>0.466877163155018</c:v>
                </c:pt>
                <c:pt idx="89">
                  <c:v>0.467127815866797</c:v>
                </c:pt>
                <c:pt idx="90">
                  <c:v>0.477797513321492</c:v>
                </c:pt>
                <c:pt idx="91">
                  <c:v>0.48570372196204</c:v>
                </c:pt>
                <c:pt idx="92">
                  <c:v>0.490883418257719</c:v>
                </c:pt>
                <c:pt idx="93">
                  <c:v>0.341157684630738</c:v>
                </c:pt>
                <c:pt idx="94">
                  <c:v>0.366199439327192</c:v>
                </c:pt>
                <c:pt idx="95">
                  <c:v>0.368459837877671</c:v>
                </c:pt>
                <c:pt idx="96">
                  <c:v>0.360793097726895</c:v>
                </c:pt>
                <c:pt idx="97">
                  <c:v>0.369336016096579</c:v>
                </c:pt>
                <c:pt idx="98">
                  <c:v>0.370638949319152</c:v>
                </c:pt>
              </c:numCache>
            </c:numRef>
          </c:val>
          <c:smooth val="0"/>
        </c:ser>
        <c:ser>
          <c:idx val="2"/>
          <c:order val="2"/>
          <c:tx>
            <c:strRef>
              <c:f>SEPHORA</c:f>
              <c:strCache>
                <c:ptCount val="1"/>
                <c:pt idx="0">
                  <c:v>SEPHORA</c:v>
                </c:pt>
              </c:strCache>
            </c:strRef>
          </c:tx>
          <c:spPr>
            <a:ln w="28575" cap="rnd" cmpd="sng" algn="ctr">
              <a:solidFill>
                <a:srgbClr val="C00000"/>
              </a:solidFill>
              <a:prstDash val="solid"/>
              <a:round/>
            </a:ln>
          </c:spPr>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Data_Chart_1!$F$31:$CZ$31</c:f>
              <c:numCache>
                <c:formatCode>0%</c:formatCode>
                <c:ptCount val="99"/>
                <c:pt idx="0">
                  <c:v>0.273809523809523</c:v>
                </c:pt>
                <c:pt idx="1">
                  <c:v>0.282378651943869</c:v>
                </c:pt>
                <c:pt idx="2">
                  <c:v>0.277682746037176</c:v>
                </c:pt>
                <c:pt idx="3">
                  <c:v>0.274732850741123</c:v>
                </c:pt>
                <c:pt idx="4">
                  <c:v>0.262676545496642</c:v>
                </c:pt>
                <c:pt idx="5">
                  <c:v>0.239538239538239</c:v>
                </c:pt>
                <c:pt idx="6">
                  <c:v>0.2335148215366</c:v>
                </c:pt>
                <c:pt idx="7">
                  <c:v>0.254975274393921</c:v>
                </c:pt>
                <c:pt idx="8">
                  <c:v>0.261450381679389</c:v>
                </c:pt>
                <c:pt idx="9">
                  <c:v>0.254694556691228</c:v>
                </c:pt>
                <c:pt idx="10">
                  <c:v>0.255789349947102</c:v>
                </c:pt>
                <c:pt idx="11">
                  <c:v>0.250538148768237</c:v>
                </c:pt>
                <c:pt idx="12">
                  <c:v>0.265212264150943</c:v>
                </c:pt>
                <c:pt idx="13">
                  <c:v>0.274048442906574</c:v>
                </c:pt>
                <c:pt idx="14">
                  <c:v>0.280507131537242</c:v>
                </c:pt>
                <c:pt idx="15">
                  <c:v>0.276377952755905</c:v>
                </c:pt>
                <c:pt idx="16">
                  <c:v>0.260088666590883</c:v>
                </c:pt>
                <c:pt idx="17">
                  <c:v>0.246464882552296</c:v>
                </c:pt>
                <c:pt idx="18">
                  <c:v>0.247073820836713</c:v>
                </c:pt>
                <c:pt idx="19">
                  <c:v>0.238471517867673</c:v>
                </c:pt>
                <c:pt idx="20">
                  <c:v>0.23240183940573</c:v>
                </c:pt>
                <c:pt idx="21">
                  <c:v>0.236810977052282</c:v>
                </c:pt>
                <c:pt idx="22">
                  <c:v>0.255881330397496</c:v>
                </c:pt>
                <c:pt idx="23">
                  <c:v>0.249272325066946</c:v>
                </c:pt>
                <c:pt idx="24">
                  <c:v>0.260602615122228</c:v>
                </c:pt>
                <c:pt idx="25">
                  <c:v>0.26622797233995</c:v>
                </c:pt>
                <c:pt idx="26">
                  <c:v>0.278311788752624</c:v>
                </c:pt>
                <c:pt idx="27">
                  <c:v>0.273099730458221</c:v>
                </c:pt>
                <c:pt idx="28">
                  <c:v>0.269584008643976</c:v>
                </c:pt>
                <c:pt idx="29">
                  <c:v>0.251834021091242</c:v>
                </c:pt>
                <c:pt idx="30">
                  <c:v>0.252541224305398</c:v>
                </c:pt>
                <c:pt idx="31">
                  <c:v>0.264178765880217</c:v>
                </c:pt>
                <c:pt idx="32">
                  <c:v>0.269850208356796</c:v>
                </c:pt>
                <c:pt idx="33">
                  <c:v>0.264211814439871</c:v>
                </c:pt>
                <c:pt idx="34">
                  <c:v>0.260534662437698</c:v>
                </c:pt>
                <c:pt idx="35">
                  <c:v>0.271512019770838</c:v>
                </c:pt>
                <c:pt idx="36">
                  <c:v>0.279968630965718</c:v>
                </c:pt>
                <c:pt idx="37">
                  <c:v>0.288837870340002</c:v>
                </c:pt>
                <c:pt idx="38">
                  <c:v>0.289510946519986</c:v>
                </c:pt>
                <c:pt idx="39">
                  <c:v>0.288293099765007</c:v>
                </c:pt>
                <c:pt idx="40">
                  <c:v>0.262671271025955</c:v>
                </c:pt>
                <c:pt idx="41">
                  <c:v>0.249971555353282</c:v>
                </c:pt>
                <c:pt idx="42">
                  <c:v>0.253695971109355</c:v>
                </c:pt>
                <c:pt idx="43">
                  <c:v>0.253009285796171</c:v>
                </c:pt>
                <c:pt idx="44">
                  <c:v>0.248306738606359</c:v>
                </c:pt>
                <c:pt idx="45">
                  <c:v>0.253815080789946</c:v>
                </c:pt>
                <c:pt idx="46">
                  <c:v>0.254586894586894</c:v>
                </c:pt>
                <c:pt idx="47">
                  <c:v>0.259899290455481</c:v>
                </c:pt>
                <c:pt idx="48">
                  <c:v>0.280919125929263</c:v>
                </c:pt>
                <c:pt idx="49">
                  <c:v>0.293486761255725</c:v>
                </c:pt>
                <c:pt idx="50">
                  <c:v>0.300675675675675</c:v>
                </c:pt>
                <c:pt idx="51">
                  <c:v>0.295963640298669</c:v>
                </c:pt>
                <c:pt idx="52">
                  <c:v>0.276008492569002</c:v>
                </c:pt>
                <c:pt idx="53">
                  <c:v>0.263199727489497</c:v>
                </c:pt>
                <c:pt idx="54">
                  <c:v>0.261724488642784</c:v>
                </c:pt>
                <c:pt idx="55">
                  <c:v>0.251303559283609</c:v>
                </c:pt>
                <c:pt idx="56">
                  <c:v>0.244597905992425</c:v>
                </c:pt>
                <c:pt idx="57">
                  <c:v>0.244586127294712</c:v>
                </c:pt>
                <c:pt idx="58">
                  <c:v>0.240061497913463</c:v>
                </c:pt>
                <c:pt idx="59">
                  <c:v>0.252346531448915</c:v>
                </c:pt>
                <c:pt idx="60">
                  <c:v>0.263542107490478</c:v>
                </c:pt>
                <c:pt idx="61">
                  <c:v>0.273855865334034</c:v>
                </c:pt>
                <c:pt idx="62">
                  <c:v>0.277433993399339</c:v>
                </c:pt>
                <c:pt idx="63">
                  <c:v>0.278551815315773</c:v>
                </c:pt>
                <c:pt idx="64">
                  <c:v>0.251888900712993</c:v>
                </c:pt>
                <c:pt idx="65">
                  <c:v>0.244246074424607</c:v>
                </c:pt>
                <c:pt idx="66">
                  <c:v>0.259436527792885</c:v>
                </c:pt>
                <c:pt idx="67">
                  <c:v>0.274437316516255</c:v>
                </c:pt>
                <c:pt idx="68">
                  <c:v>0.283733333333333</c:v>
                </c:pt>
                <c:pt idx="69">
                  <c:v>0.279377514291763</c:v>
                </c:pt>
                <c:pt idx="70">
                  <c:v>0.286824180502341</c:v>
                </c:pt>
                <c:pt idx="71">
                  <c:v>0.308550185873605</c:v>
                </c:pt>
                <c:pt idx="72">
                  <c:v>0.307945996083685</c:v>
                </c:pt>
                <c:pt idx="73">
                  <c:v>0.327656607907578</c:v>
                </c:pt>
                <c:pt idx="74">
                  <c:v>0.332718804579856</c:v>
                </c:pt>
                <c:pt idx="75">
                  <c:v>0.331288940809968</c:v>
                </c:pt>
                <c:pt idx="76">
                  <c:v>0.308707387783664</c:v>
                </c:pt>
                <c:pt idx="77">
                  <c:v>0.301154039136979</c:v>
                </c:pt>
                <c:pt idx="78">
                  <c:v>0.307454695222405</c:v>
                </c:pt>
                <c:pt idx="79">
                  <c:v>0.309130344970047</c:v>
                </c:pt>
                <c:pt idx="80">
                  <c:v>0.303926516604421</c:v>
                </c:pt>
                <c:pt idx="81">
                  <c:v>0.309389482168043</c:v>
                </c:pt>
                <c:pt idx="82">
                  <c:v>0.320942252261206</c:v>
                </c:pt>
                <c:pt idx="83">
                  <c:v>0.29548521017125</c:v>
                </c:pt>
                <c:pt idx="96">
                  <c:v>0.365280075632238</c:v>
                </c:pt>
                <c:pt idx="97">
                  <c:v>0.516139878950907</c:v>
                </c:pt>
                <c:pt idx="98">
                  <c:v>0.514013389311244</c:v>
                </c:pt>
              </c:numCache>
            </c:numRef>
          </c:val>
          <c:smooth val="0"/>
        </c:ser>
        <c:ser>
          <c:idx val="3"/>
          <c:order val="3"/>
          <c:tx>
            <c:strRef>
              <c:f>NORDSTROM</c:f>
              <c:strCache>
                <c:ptCount val="1"/>
                <c:pt idx="0">
                  <c:v>NORDSTROM</c:v>
                </c:pt>
              </c:strCache>
            </c:strRef>
          </c:tx>
          <c:spPr>
            <a:ln w="28575" cap="rnd" cmpd="sng" algn="ctr">
              <a:solidFill>
                <a:srgbClr val="0070C0"/>
              </a:solidFill>
              <a:prstDash val="solid"/>
              <a:round/>
            </a:ln>
          </c:spPr>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Data_Chart_1!$F$32:$CZ$32</c:f>
              <c:numCache>
                <c:formatCode>0%</c:formatCode>
                <c:ptCount val="99"/>
                <c:pt idx="0">
                  <c:v>0.520046511627907</c:v>
                </c:pt>
                <c:pt idx="1">
                  <c:v>0.522182997805552</c:v>
                </c:pt>
                <c:pt idx="2">
                  <c:v>0.52706407099382</c:v>
                </c:pt>
                <c:pt idx="3">
                  <c:v>0.478263152367951</c:v>
                </c:pt>
                <c:pt idx="4">
                  <c:v>0.474265107638509</c:v>
                </c:pt>
                <c:pt idx="5">
                  <c:v>0.468263810597519</c:v>
                </c:pt>
                <c:pt idx="6">
                  <c:v>0.481187656769526</c:v>
                </c:pt>
                <c:pt idx="7">
                  <c:v>0.482594748722822</c:v>
                </c:pt>
                <c:pt idx="8">
                  <c:v>0.476649326081816</c:v>
                </c:pt>
                <c:pt idx="9">
                  <c:v>0.487880045042375</c:v>
                </c:pt>
                <c:pt idx="10">
                  <c:v>0.47774877056645</c:v>
                </c:pt>
                <c:pt idx="11">
                  <c:v>0.462334200672716</c:v>
                </c:pt>
                <c:pt idx="12">
                  <c:v>0.456820941843206</c:v>
                </c:pt>
                <c:pt idx="13">
                  <c:v>0.442456969287883</c:v>
                </c:pt>
                <c:pt idx="14">
                  <c:v>0.43742667188111</c:v>
                </c:pt>
                <c:pt idx="15">
                  <c:v>0.441879033867855</c:v>
                </c:pt>
                <c:pt idx="16">
                  <c:v>0.404742968693514</c:v>
                </c:pt>
                <c:pt idx="17">
                  <c:v>0.398298126446219</c:v>
                </c:pt>
                <c:pt idx="18">
                  <c:v>0.375256430487612</c:v>
                </c:pt>
                <c:pt idx="19">
                  <c:v>0.358148263997497</c:v>
                </c:pt>
                <c:pt idx="20">
                  <c:v>0.362358668341708</c:v>
                </c:pt>
                <c:pt idx="21">
                  <c:v>0.357517899761336</c:v>
                </c:pt>
                <c:pt idx="22">
                  <c:v>0.388416745357255</c:v>
                </c:pt>
                <c:pt idx="23">
                  <c:v>0.366601594273629</c:v>
                </c:pt>
                <c:pt idx="24">
                  <c:v>0.36701300826311</c:v>
                </c:pt>
                <c:pt idx="25">
                  <c:v>0.380091197155885</c:v>
                </c:pt>
                <c:pt idx="26">
                  <c:v>0.37566098160423</c:v>
                </c:pt>
                <c:pt idx="27">
                  <c:v>0.366971020246129</c:v>
                </c:pt>
                <c:pt idx="28">
                  <c:v>0.359330800937525</c:v>
                </c:pt>
                <c:pt idx="29">
                  <c:v>0.341415183561172</c:v>
                </c:pt>
                <c:pt idx="30">
                  <c:v>0.343287306604558</c:v>
                </c:pt>
                <c:pt idx="31">
                  <c:v>0.346735338096029</c:v>
                </c:pt>
                <c:pt idx="32">
                  <c:v>0.338786193358416</c:v>
                </c:pt>
                <c:pt idx="33">
                  <c:v>0.343110394842868</c:v>
                </c:pt>
                <c:pt idx="34">
                  <c:v>0.333068292251965</c:v>
                </c:pt>
                <c:pt idx="35">
                  <c:v>0.317594391418194</c:v>
                </c:pt>
                <c:pt idx="36">
                  <c:v>0.314911983750846</c:v>
                </c:pt>
                <c:pt idx="37">
                  <c:v>0.326949274781633</c:v>
                </c:pt>
                <c:pt idx="38">
                  <c:v>0.332230005388345</c:v>
                </c:pt>
                <c:pt idx="39">
                  <c:v>0.322438230965843</c:v>
                </c:pt>
                <c:pt idx="40">
                  <c:v>0.321062713417173</c:v>
                </c:pt>
                <c:pt idx="41">
                  <c:v>0.318166354822248</c:v>
                </c:pt>
                <c:pt idx="42">
                  <c:v>0.359784411276948</c:v>
                </c:pt>
                <c:pt idx="43">
                  <c:v>0.361398743846545</c:v>
                </c:pt>
                <c:pt idx="44">
                  <c:v>0.364557763876791</c:v>
                </c:pt>
                <c:pt idx="45">
                  <c:v>0.389045909403406</c:v>
                </c:pt>
                <c:pt idx="46">
                  <c:v>0.400299141934976</c:v>
                </c:pt>
                <c:pt idx="47">
                  <c:v>0.412811918063314</c:v>
                </c:pt>
                <c:pt idx="48">
                  <c:v>0.436112274821952</c:v>
                </c:pt>
                <c:pt idx="49">
                  <c:v>0.478007032442115</c:v>
                </c:pt>
                <c:pt idx="50">
                  <c:v>0.477740189445196</c:v>
                </c:pt>
                <c:pt idx="51">
                  <c:v>0.492439483418781</c:v>
                </c:pt>
                <c:pt idx="52">
                  <c:v>0.54410779423807</c:v>
                </c:pt>
                <c:pt idx="53">
                  <c:v>0.420339761248852</c:v>
                </c:pt>
                <c:pt idx="54">
                  <c:v>0.406483587910302</c:v>
                </c:pt>
                <c:pt idx="55">
                  <c:v>0.443908816079745</c:v>
                </c:pt>
                <c:pt idx="56">
                  <c:v>0.447640875681656</c:v>
                </c:pt>
                <c:pt idx="57">
                  <c:v>0.396669931439764</c:v>
                </c:pt>
                <c:pt idx="58">
                  <c:v>0.332736267485499</c:v>
                </c:pt>
                <c:pt idx="59">
                  <c:v>0.329517717363858</c:v>
                </c:pt>
                <c:pt idx="60">
                  <c:v>0.355541164089694</c:v>
                </c:pt>
                <c:pt idx="61">
                  <c:v>0.357674050632911</c:v>
                </c:pt>
                <c:pt idx="62">
                  <c:v>0.363629178850865</c:v>
                </c:pt>
                <c:pt idx="63">
                  <c:v>0.330013504388926</c:v>
                </c:pt>
                <c:pt idx="64">
                  <c:v>0.273701842546063</c:v>
                </c:pt>
                <c:pt idx="65">
                  <c:v>0.28491282582427</c:v>
                </c:pt>
                <c:pt idx="66">
                  <c:v>0.265733642360492</c:v>
                </c:pt>
                <c:pt idx="67">
                  <c:v>0.302796955213312</c:v>
                </c:pt>
                <c:pt idx="68">
                  <c:v>0.324953196041722</c:v>
                </c:pt>
                <c:pt idx="69">
                  <c:v>0.359300947867298</c:v>
                </c:pt>
                <c:pt idx="70">
                  <c:v>0.330357142857142</c:v>
                </c:pt>
                <c:pt idx="71">
                  <c:v>0.332665793730262</c:v>
                </c:pt>
                <c:pt idx="72">
                  <c:v>0.353765593716309</c:v>
                </c:pt>
                <c:pt idx="73">
                  <c:v>0.34582047891876</c:v>
                </c:pt>
                <c:pt idx="74">
                  <c:v>0.344048216976393</c:v>
                </c:pt>
                <c:pt idx="75">
                  <c:v>0.359602947811701</c:v>
                </c:pt>
                <c:pt idx="76">
                  <c:v>0.324106855487608</c:v>
                </c:pt>
                <c:pt idx="77">
                  <c:v>0.385834411384217</c:v>
                </c:pt>
                <c:pt idx="78">
                  <c:v>0.413615514605294</c:v>
                </c:pt>
                <c:pt idx="80">
                  <c:v>0.296745321399511</c:v>
                </c:pt>
                <c:pt idx="81">
                  <c:v>0.298048586220629</c:v>
                </c:pt>
                <c:pt idx="82">
                  <c:v>0.305442919525889</c:v>
                </c:pt>
                <c:pt idx="83">
                  <c:v>0.299708784986248</c:v>
                </c:pt>
                <c:pt idx="84">
                  <c:v>0.32375296912114</c:v>
                </c:pt>
                <c:pt idx="85">
                  <c:v>0.342001008427573</c:v>
                </c:pt>
                <c:pt idx="86">
                  <c:v>0.353755649616184</c:v>
                </c:pt>
                <c:pt idx="87">
                  <c:v>0.354703832752613</c:v>
                </c:pt>
                <c:pt idx="88">
                  <c:v>0.357511333437548</c:v>
                </c:pt>
                <c:pt idx="89">
                  <c:v>0.352061900993581</c:v>
                </c:pt>
                <c:pt idx="90">
                  <c:v>0.349033589791705</c:v>
                </c:pt>
                <c:pt idx="92">
                  <c:v>0.358815320204682</c:v>
                </c:pt>
                <c:pt idx="93">
                  <c:v>0.406008192990441</c:v>
                </c:pt>
                <c:pt idx="94">
                  <c:v>0.400224887556221</c:v>
                </c:pt>
                <c:pt idx="95">
                  <c:v>0.402915938947528</c:v>
                </c:pt>
                <c:pt idx="96">
                  <c:v>0.414978559810734</c:v>
                </c:pt>
              </c:numCache>
            </c:numRef>
          </c:val>
          <c:smooth val="0"/>
        </c:ser>
        <c:ser>
          <c:idx val="4"/>
          <c:order val="4"/>
          <c:tx>
            <c:strRef>
              <c:f>MACYS</c:f>
              <c:strCache>
                <c:ptCount val="1"/>
                <c:pt idx="0">
                  <c:v>MACYS</c:v>
                </c:pt>
              </c:strCache>
            </c:strRef>
          </c:tx>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Data_Chart_1!$F$33:$CZ$33</c:f>
              <c:numCache>
                <c:formatCode>0%</c:formatCode>
                <c:ptCount val="99"/>
                <c:pt idx="0">
                  <c:v>0.546319882021718</c:v>
                </c:pt>
                <c:pt idx="1">
                  <c:v>0.56952848498687</c:v>
                </c:pt>
                <c:pt idx="2">
                  <c:v>0.562162162162162</c:v>
                </c:pt>
                <c:pt idx="3">
                  <c:v>0.639789945845413</c:v>
                </c:pt>
                <c:pt idx="4">
                  <c:v>0.554458223444251</c:v>
                </c:pt>
                <c:pt idx="5">
                  <c:v>0.617543663858043</c:v>
                </c:pt>
                <c:pt idx="6">
                  <c:v>0.640730017578327</c:v>
                </c:pt>
                <c:pt idx="7">
                  <c:v>0.650646321314024</c:v>
                </c:pt>
                <c:pt idx="8">
                  <c:v>0.658800642814852</c:v>
                </c:pt>
                <c:pt idx="9">
                  <c:v>0.448783610755441</c:v>
                </c:pt>
                <c:pt idx="10">
                  <c:v>0.485895627644569</c:v>
                </c:pt>
                <c:pt idx="11">
                  <c:v>0.466166745394426</c:v>
                </c:pt>
                <c:pt idx="12">
                  <c:v>0.452851120479254</c:v>
                </c:pt>
                <c:pt idx="13">
                  <c:v>0.400117233294255</c:v>
                </c:pt>
                <c:pt idx="14">
                  <c:v>0.398401420959147</c:v>
                </c:pt>
                <c:pt idx="15">
                  <c:v>0.276726552360133</c:v>
                </c:pt>
                <c:pt idx="16">
                  <c:v>0.134018247335735</c:v>
                </c:pt>
                <c:pt idx="17">
                  <c:v>0.239550109115326</c:v>
                </c:pt>
                <c:pt idx="18">
                  <c:v>0.172864587933928</c:v>
                </c:pt>
                <c:pt idx="19">
                  <c:v>0.257049236871604</c:v>
                </c:pt>
                <c:pt idx="20">
                  <c:v>0.206943966998968</c:v>
                </c:pt>
                <c:pt idx="21">
                  <c:v>0.296718533353874</c:v>
                </c:pt>
                <c:pt idx="22">
                  <c:v>0.289806490934024</c:v>
                </c:pt>
                <c:pt idx="23">
                  <c:v>0.313804173354735</c:v>
                </c:pt>
                <c:pt idx="24">
                  <c:v>0.344973544973545</c:v>
                </c:pt>
                <c:pt idx="25">
                  <c:v>0.398985574072854</c:v>
                </c:pt>
                <c:pt idx="26">
                  <c:v>0.418366038219828</c:v>
                </c:pt>
                <c:pt idx="27">
                  <c:v>0.441354292623942</c:v>
                </c:pt>
                <c:pt idx="28">
                  <c:v>0.51593220338983</c:v>
                </c:pt>
                <c:pt idx="29">
                  <c:v>0.439594410782737</c:v>
                </c:pt>
                <c:pt idx="30">
                  <c:v>0.506086044071353</c:v>
                </c:pt>
                <c:pt idx="31">
                  <c:v>0.357838660578386</c:v>
                </c:pt>
                <c:pt idx="32">
                  <c:v>0.488648271044359</c:v>
                </c:pt>
                <c:pt idx="33">
                  <c:v>0.433877147447781</c:v>
                </c:pt>
                <c:pt idx="34">
                  <c:v>0.433551472438963</c:v>
                </c:pt>
                <c:pt idx="35">
                  <c:v>0.460980705419687</c:v>
                </c:pt>
                <c:pt idx="36">
                  <c:v>0.428537299169802</c:v>
                </c:pt>
                <c:pt idx="37">
                  <c:v>0.411425047651082</c:v>
                </c:pt>
                <c:pt idx="38">
                  <c:v>0.407093464198081</c:v>
                </c:pt>
                <c:pt idx="39">
                  <c:v>0.41197086687476</c:v>
                </c:pt>
                <c:pt idx="40">
                  <c:v>0.396011564104076</c:v>
                </c:pt>
                <c:pt idx="41">
                  <c:v>0.401085236264978</c:v>
                </c:pt>
                <c:pt idx="42">
                  <c:v>0.355534825870646</c:v>
                </c:pt>
                <c:pt idx="43">
                  <c:v>0.368373357498867</c:v>
                </c:pt>
                <c:pt idx="44">
                  <c:v>0.348854348117379</c:v>
                </c:pt>
                <c:pt idx="45">
                  <c:v>0.386556753329105</c:v>
                </c:pt>
                <c:pt idx="46">
                  <c:v>0.390763204447814</c:v>
                </c:pt>
                <c:pt idx="47">
                  <c:v>0.366938268195</c:v>
                </c:pt>
                <c:pt idx="48">
                  <c:v>0.407622528225543</c:v>
                </c:pt>
                <c:pt idx="49">
                  <c:v>0.423415380691238</c:v>
                </c:pt>
                <c:pt idx="50">
                  <c:v>0.429264047737444</c:v>
                </c:pt>
                <c:pt idx="51">
                  <c:v>0.416377203139071</c:v>
                </c:pt>
                <c:pt idx="52">
                  <c:v>0.410290857795392</c:v>
                </c:pt>
                <c:pt idx="53">
                  <c:v>0.395712589902939</c:v>
                </c:pt>
                <c:pt idx="57">
                  <c:v>0.434222753219169</c:v>
                </c:pt>
                <c:pt idx="58">
                  <c:v>0.411448303340195</c:v>
                </c:pt>
                <c:pt idx="59">
                  <c:v>0.454272067928533</c:v>
                </c:pt>
                <c:pt idx="60">
                  <c:v>0.575414501361049</c:v>
                </c:pt>
                <c:pt idx="61">
                  <c:v>0.521882114849481</c:v>
                </c:pt>
                <c:pt idx="62">
                  <c:v>0.517473789316026</c:v>
                </c:pt>
                <c:pt idx="63">
                  <c:v>0.454290238986467</c:v>
                </c:pt>
                <c:pt idx="64">
                  <c:v>0.438724911452184</c:v>
                </c:pt>
                <c:pt idx="65">
                  <c:v>0.443547742708749</c:v>
                </c:pt>
                <c:pt idx="69">
                  <c:v>0.584382058728622</c:v>
                </c:pt>
                <c:pt idx="70">
                  <c:v>0.613319011815252</c:v>
                </c:pt>
                <c:pt idx="71">
                  <c:v>0.616961025411729</c:v>
                </c:pt>
                <c:pt idx="72">
                  <c:v>0.573803382057896</c:v>
                </c:pt>
                <c:pt idx="73">
                  <c:v>0.601174233027371</c:v>
                </c:pt>
                <c:pt idx="74">
                  <c:v>0.589596754951085</c:v>
                </c:pt>
                <c:pt idx="75">
                  <c:v>0.571965156237513</c:v>
                </c:pt>
                <c:pt idx="79">
                  <c:v>0.474505238649592</c:v>
                </c:pt>
                <c:pt idx="80">
                  <c:v>0.438804704885027</c:v>
                </c:pt>
                <c:pt idx="81">
                  <c:v>0.42671771963412</c:v>
                </c:pt>
                <c:pt idx="82">
                  <c:v>0.408365867261572</c:v>
                </c:pt>
                <c:pt idx="83">
                  <c:v>0.419490045406915</c:v>
                </c:pt>
                <c:pt idx="84">
                  <c:v>0.46656779137313</c:v>
                </c:pt>
                <c:pt idx="85">
                  <c:v>0.486868929128192</c:v>
                </c:pt>
                <c:pt idx="91">
                  <c:v>0.443598925693822</c:v>
                </c:pt>
                <c:pt idx="92">
                  <c:v>0.449335367182392</c:v>
                </c:pt>
                <c:pt idx="93">
                  <c:v>0.451160220994475</c:v>
                </c:pt>
                <c:pt idx="94">
                  <c:v>0.465367022435199</c:v>
                </c:pt>
                <c:pt idx="95">
                  <c:v>0.449881610102604</c:v>
                </c:pt>
              </c:numCache>
            </c:numRef>
          </c:val>
          <c:smooth val="0"/>
        </c:ser>
        <c:dLbls>
          <c:showLegendKey val="0"/>
          <c:showVal val="0"/>
          <c:showCatName val="0"/>
          <c:showSerName val="0"/>
          <c:showPercent val="0"/>
          <c:showBubbleSize val="0"/>
        </c:dLbls>
        <c:marker val="0"/>
        <c:smooth val="0"/>
        <c:axId val="615812096"/>
        <c:axId val="615822080"/>
      </c:lineChart>
      <c:dateAx>
        <c:axId val="615812096"/>
        <c:scaling>
          <c:orientation val="minMax"/>
        </c:scaling>
        <c:delete val="0"/>
        <c:axPos val="b"/>
        <c:numFmt formatCode="[$-409]mmm/yy;@" sourceLinked="0"/>
        <c:majorTickMark val="none"/>
        <c:minorTickMark val="none"/>
        <c:tickLblPos val="low"/>
        <c:txPr>
          <a:bodyPr rot="0" spcFirstLastPara="0" vertOverflow="ellipsis" vert="horz" wrap="square" anchor="ctr" anchorCtr="1"/>
          <a:lstStyle/>
          <a:p>
            <a:pPr>
              <a:defRPr lang="zh-CN" sz="800" b="0" i="0" u="none" strike="noStrike" kern="1200" baseline="0">
                <a:solidFill>
                  <a:schemeClr val="tx1"/>
                </a:solidFill>
                <a:latin typeface="Arial" panose="020B0604020202020204" pitchFamily="2"/>
                <a:ea typeface="+mn-ea"/>
                <a:cs typeface="+mn-cs"/>
              </a:defRPr>
            </a:pPr>
          </a:p>
        </c:txPr>
        <c:crossAx val="615822080"/>
        <c:crosses val="autoZero"/>
        <c:auto val="1"/>
        <c:lblOffset val="100"/>
        <c:baseTimeUnit val="days"/>
      </c:dateAx>
      <c:valAx>
        <c:axId val="615822080"/>
        <c:scaling>
          <c:orientation val="minMax"/>
        </c:scaling>
        <c:delete val="0"/>
        <c:axPos val="l"/>
        <c:numFmt formatCode="0%" sourceLinked="0"/>
        <c:majorTickMark val="none"/>
        <c:minorTickMark val="none"/>
        <c:tickLblPos val="nextTo"/>
        <c:spPr>
          <a:ln w="9525" cap="flat" cmpd="sng" algn="ctr">
            <a:noFill/>
            <a:prstDash val="solid"/>
            <a:round/>
          </a:ln>
        </c:spPr>
        <c:txPr>
          <a:bodyPr rot="-60000000" spcFirstLastPara="0" vertOverflow="ellipsis" vert="horz" wrap="square" anchor="ctr" anchorCtr="1"/>
          <a:lstStyle/>
          <a:p>
            <a:pPr>
              <a:defRPr lang="zh-CN" sz="800" b="0" i="0" u="none" strike="noStrike" kern="1200" baseline="0">
                <a:solidFill>
                  <a:schemeClr val="tx1"/>
                </a:solidFill>
                <a:latin typeface="Arial" panose="020B0604020202020204" pitchFamily="2"/>
                <a:ea typeface="+mn-ea"/>
                <a:cs typeface="+mn-cs"/>
              </a:defRPr>
            </a:pPr>
          </a:p>
        </c:txPr>
        <c:crossAx val="615812096"/>
        <c:crosses val="autoZero"/>
        <c:crossBetween val="between"/>
      </c:valAx>
    </c:plotArea>
    <c:legend>
      <c:legendPos val="b"/>
      <c:layout>
        <c:manualLayout>
          <c:xMode val="edge"/>
          <c:yMode val="edge"/>
          <c:x val="0"/>
          <c:y val="0.903013385826772"/>
          <c:w val="0.997736618955019"/>
          <c:h val="0.0787044794888104"/>
        </c:manualLayout>
      </c:layout>
      <c:overlay val="0"/>
      <c:txPr>
        <a:bodyPr rot="0" spcFirstLastPara="0" vertOverflow="ellipsis" vert="horz" wrap="square" anchor="ctr" anchorCtr="1"/>
        <a:lstStyle/>
        <a:p>
          <a:pPr>
            <a:defRPr lang="zh-CN" sz="800" b="0" i="0" u="none" strike="noStrike" kern="1200" baseline="0">
              <a:solidFill>
                <a:schemeClr val="tx1"/>
              </a:solidFill>
              <a:latin typeface="Arial" panose="020B0604020202020204" pitchFamily="2"/>
              <a:ea typeface="+mn-ea"/>
              <a:cs typeface="+mn-cs"/>
            </a:defRPr>
          </a:pPr>
        </a:p>
      </c:txPr>
    </c:legend>
    <c:plotVisOnly val="0"/>
    <c:dispBlanksAs val="gap"/>
    <c:showDLblsOverMax val="0"/>
    <c:extLst>
      <c:ext uri="{0b15fc19-7d7d-44ad-8c2d-2c3a37ce22c3}">
        <chartProps xmlns="https://web.wps.cn/et/2018/main" chartId="{3efae3ac-bc47-4f92-96bd-617f5381ab22}"/>
      </c:ext>
    </c:extLst>
  </c:chart>
  <c:spPr>
    <a:solidFill>
      <a:schemeClr val="bg1"/>
    </a:solidFill>
    <a:ln w="9525" cap="flat" cmpd="sng" algn="ctr">
      <a:noFill/>
      <a:prstDash val="solid"/>
      <a:round/>
    </a:ln>
  </c:spPr>
  <c:txPr>
    <a:bodyPr/>
    <a:lstStyle/>
    <a:p>
      <a:pPr>
        <a:defRPr lang="zh-CN" sz="800">
          <a:latin typeface="Arial" panose="020B0604020202020204" pitchFamily="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'图4 恒科趋势'!$B$1</c:f>
              <c:strCache>
                <c:ptCount val="1"/>
                <c:pt idx="0">
                  <c:v>收盘</c:v>
                </c:pt>
              </c:strCache>
            </c:strRef>
          </c:tx>
          <c:spPr>
            <a:ln w="28575" cap="rnd">
              <a:solidFill>
                <a:srgbClr val="002060"/>
              </a:solidFill>
              <a:round/>
            </a:ln>
            <a:effectLst/>
          </c:spPr>
          <c:marker>
            <c:symbol val="none"/>
          </c:marker>
          <c:dLbls>
            <c:delete val="1"/>
          </c:dLbls>
          <c:cat>
            <c:numRef>
              <c:f>'图4 恒科趋势'!$A$2:$A$54</c:f>
              <c:numCache>
                <c:formatCode>yyyy/m/d</c:formatCode>
                <c:ptCount val="53"/>
                <c:pt idx="0" c:formatCode="yyyy/m/d">
                  <c:v>46100</c:v>
                </c:pt>
                <c:pt idx="1" c:formatCode="yyyy/m/d">
                  <c:v>46099</c:v>
                </c:pt>
                <c:pt idx="2" c:formatCode="yyyy/m/d">
                  <c:v>46098</c:v>
                </c:pt>
                <c:pt idx="3" c:formatCode="yyyy/m/d">
                  <c:v>46097</c:v>
                </c:pt>
                <c:pt idx="4" c:formatCode="yyyy/m/d">
                  <c:v>46094</c:v>
                </c:pt>
                <c:pt idx="5" c:formatCode="yyyy/m/d">
                  <c:v>46093</c:v>
                </c:pt>
                <c:pt idx="6" c:formatCode="yyyy/m/d">
                  <c:v>46092</c:v>
                </c:pt>
                <c:pt idx="7" c:formatCode="yyyy/m/d">
                  <c:v>46091</c:v>
                </c:pt>
                <c:pt idx="8" c:formatCode="yyyy/m/d">
                  <c:v>46090</c:v>
                </c:pt>
                <c:pt idx="9" c:formatCode="yyyy/m/d">
                  <c:v>46087</c:v>
                </c:pt>
                <c:pt idx="10" c:formatCode="yyyy/m/d">
                  <c:v>46086</c:v>
                </c:pt>
                <c:pt idx="11" c:formatCode="yyyy/m/d">
                  <c:v>46085</c:v>
                </c:pt>
                <c:pt idx="12" c:formatCode="yyyy/m/d">
                  <c:v>46084</c:v>
                </c:pt>
                <c:pt idx="13" c:formatCode="yyyy/m/d">
                  <c:v>46083</c:v>
                </c:pt>
                <c:pt idx="14" c:formatCode="yyyy/m/d">
                  <c:v>46080</c:v>
                </c:pt>
                <c:pt idx="15" c:formatCode="yyyy/m/d">
                  <c:v>46079</c:v>
                </c:pt>
                <c:pt idx="16" c:formatCode="yyyy/m/d">
                  <c:v>46078</c:v>
                </c:pt>
                <c:pt idx="17" c:formatCode="yyyy/m/d">
                  <c:v>46077</c:v>
                </c:pt>
                <c:pt idx="18" c:formatCode="yyyy/m/d">
                  <c:v>46076</c:v>
                </c:pt>
                <c:pt idx="19" c:formatCode="yyyy/m/d">
                  <c:v>46073</c:v>
                </c:pt>
                <c:pt idx="20" c:formatCode="yyyy/m/d">
                  <c:v>46069</c:v>
                </c:pt>
                <c:pt idx="21" c:formatCode="yyyy/m/d">
                  <c:v>46066</c:v>
                </c:pt>
                <c:pt idx="22" c:formatCode="yyyy/m/d">
                  <c:v>46065</c:v>
                </c:pt>
                <c:pt idx="23" c:formatCode="yyyy/m/d">
                  <c:v>46064</c:v>
                </c:pt>
                <c:pt idx="24" c:formatCode="yyyy/m/d">
                  <c:v>46063</c:v>
                </c:pt>
                <c:pt idx="25" c:formatCode="yyyy/m/d">
                  <c:v>46062</c:v>
                </c:pt>
                <c:pt idx="26" c:formatCode="yyyy/m/d">
                  <c:v>46059</c:v>
                </c:pt>
                <c:pt idx="27" c:formatCode="yyyy/m/d">
                  <c:v>46058</c:v>
                </c:pt>
                <c:pt idx="28" c:formatCode="yyyy/m/d">
                  <c:v>46057</c:v>
                </c:pt>
                <c:pt idx="29" c:formatCode="yyyy/m/d">
                  <c:v>46056</c:v>
                </c:pt>
                <c:pt idx="30" c:formatCode="yyyy/m/d">
                  <c:v>46055</c:v>
                </c:pt>
                <c:pt idx="31" c:formatCode="yyyy/m/d">
                  <c:v>46052</c:v>
                </c:pt>
                <c:pt idx="32" c:formatCode="yyyy/m/d">
                  <c:v>46051</c:v>
                </c:pt>
                <c:pt idx="33" c:formatCode="yyyy/m/d">
                  <c:v>46050</c:v>
                </c:pt>
                <c:pt idx="34" c:formatCode="yyyy/m/d">
                  <c:v>46049</c:v>
                </c:pt>
                <c:pt idx="35" c:formatCode="yyyy/m/d">
                  <c:v>46048</c:v>
                </c:pt>
                <c:pt idx="36" c:formatCode="yyyy/m/d">
                  <c:v>46045</c:v>
                </c:pt>
                <c:pt idx="37" c:formatCode="yyyy/m/d">
                  <c:v>46044</c:v>
                </c:pt>
                <c:pt idx="38" c:formatCode="yyyy/m/d">
                  <c:v>46043</c:v>
                </c:pt>
                <c:pt idx="39" c:formatCode="yyyy/m/d">
                  <c:v>46042</c:v>
                </c:pt>
                <c:pt idx="40" c:formatCode="yyyy/m/d">
                  <c:v>46041</c:v>
                </c:pt>
                <c:pt idx="41" c:formatCode="yyyy/m/d">
                  <c:v>46038</c:v>
                </c:pt>
                <c:pt idx="42" c:formatCode="yyyy/m/d">
                  <c:v>46037</c:v>
                </c:pt>
                <c:pt idx="43" c:formatCode="yyyy/m/d">
                  <c:v>46036</c:v>
                </c:pt>
                <c:pt idx="44" c:formatCode="yyyy/m/d">
                  <c:v>46035</c:v>
                </c:pt>
                <c:pt idx="45" c:formatCode="yyyy/m/d">
                  <c:v>46034</c:v>
                </c:pt>
                <c:pt idx="46" c:formatCode="yyyy/m/d">
                  <c:v>46031</c:v>
                </c:pt>
                <c:pt idx="47" c:formatCode="yyyy/m/d">
                  <c:v>46030</c:v>
                </c:pt>
                <c:pt idx="48" c:formatCode="yyyy/m/d">
                  <c:v>46029</c:v>
                </c:pt>
                <c:pt idx="49" c:formatCode="yyyy/m/d">
                  <c:v>46028</c:v>
                </c:pt>
                <c:pt idx="50" c:formatCode="yyyy/m/d">
                  <c:v>46027</c:v>
                </c:pt>
                <c:pt idx="51" c:formatCode="yyyy/m/d">
                  <c:v>46024</c:v>
                </c:pt>
                <c:pt idx="52" c:formatCode="yyyy/m/d">
                  <c:v>46022</c:v>
                </c:pt>
              </c:numCache>
            </c:numRef>
          </c:cat>
          <c:val>
            <c:numRef>
              <c:f>'图4 恒科趋势'!$B$2:$B$54</c:f>
              <c:numCache>
                <c:formatCode>#,##0.00</c:formatCode>
                <c:ptCount val="53"/>
                <c:pt idx="0">
                  <c:v>25520</c:v>
                </c:pt>
                <c:pt idx="1">
                  <c:v>26025.42</c:v>
                </c:pt>
                <c:pt idx="2">
                  <c:v>25868.54</c:v>
                </c:pt>
                <c:pt idx="3">
                  <c:v>25834.02</c:v>
                </c:pt>
                <c:pt idx="4">
                  <c:v>25465.6</c:v>
                </c:pt>
                <c:pt idx="5">
                  <c:v>25716.76</c:v>
                </c:pt>
                <c:pt idx="6">
                  <c:v>25898.76</c:v>
                </c:pt>
                <c:pt idx="7">
                  <c:v>25959.9</c:v>
                </c:pt>
                <c:pt idx="8">
                  <c:v>25408.46</c:v>
                </c:pt>
                <c:pt idx="9">
                  <c:v>25757.29</c:v>
                </c:pt>
                <c:pt idx="10">
                  <c:v>25321.34</c:v>
                </c:pt>
                <c:pt idx="11">
                  <c:v>25249.48</c:v>
                </c:pt>
                <c:pt idx="12">
                  <c:v>25768.08</c:v>
                </c:pt>
                <c:pt idx="13">
                  <c:v>26059.85</c:v>
                </c:pt>
                <c:pt idx="14">
                  <c:v>26630.54</c:v>
                </c:pt>
                <c:pt idx="15">
                  <c:v>26381.02</c:v>
                </c:pt>
                <c:pt idx="16">
                  <c:v>26765.72</c:v>
                </c:pt>
                <c:pt idx="17">
                  <c:v>26590.32</c:v>
                </c:pt>
                <c:pt idx="18">
                  <c:v>27081.91</c:v>
                </c:pt>
                <c:pt idx="19">
                  <c:v>26413.35</c:v>
                </c:pt>
                <c:pt idx="20">
                  <c:v>26705.94</c:v>
                </c:pt>
                <c:pt idx="21">
                  <c:v>26567.12</c:v>
                </c:pt>
                <c:pt idx="22">
                  <c:v>27032.54</c:v>
                </c:pt>
                <c:pt idx="23">
                  <c:v>27266.38</c:v>
                </c:pt>
                <c:pt idx="24">
                  <c:v>27183.15</c:v>
                </c:pt>
                <c:pt idx="25">
                  <c:v>27027.16</c:v>
                </c:pt>
                <c:pt idx="26">
                  <c:v>26559.95</c:v>
                </c:pt>
                <c:pt idx="27">
                  <c:v>26885.24</c:v>
                </c:pt>
                <c:pt idx="28">
                  <c:v>26847.32</c:v>
                </c:pt>
                <c:pt idx="29">
                  <c:v>26834.77</c:v>
                </c:pt>
                <c:pt idx="30">
                  <c:v>26775.57</c:v>
                </c:pt>
                <c:pt idx="31">
                  <c:v>27387.11</c:v>
                </c:pt>
                <c:pt idx="32">
                  <c:v>27968.09</c:v>
                </c:pt>
                <c:pt idx="33">
                  <c:v>27826.91</c:v>
                </c:pt>
                <c:pt idx="34">
                  <c:v>27126.95</c:v>
                </c:pt>
                <c:pt idx="35">
                  <c:v>26765.52</c:v>
                </c:pt>
                <c:pt idx="36">
                  <c:v>26749.51</c:v>
                </c:pt>
                <c:pt idx="37">
                  <c:v>26629.96</c:v>
                </c:pt>
                <c:pt idx="38">
                  <c:v>26585.06</c:v>
                </c:pt>
                <c:pt idx="39">
                  <c:v>26487.51</c:v>
                </c:pt>
                <c:pt idx="40">
                  <c:v>26563.9</c:v>
                </c:pt>
                <c:pt idx="41">
                  <c:v>26844.96</c:v>
                </c:pt>
                <c:pt idx="42">
                  <c:v>26923.62</c:v>
                </c:pt>
                <c:pt idx="43">
                  <c:v>26999.81</c:v>
                </c:pt>
                <c:pt idx="44">
                  <c:v>26848.47</c:v>
                </c:pt>
                <c:pt idx="45">
                  <c:v>26608.48</c:v>
                </c:pt>
                <c:pt idx="46">
                  <c:v>26231.79</c:v>
                </c:pt>
                <c:pt idx="47">
                  <c:v>26149.31</c:v>
                </c:pt>
                <c:pt idx="48">
                  <c:v>26458.95</c:v>
                </c:pt>
                <c:pt idx="49">
                  <c:v>26710.45</c:v>
                </c:pt>
                <c:pt idx="50">
                  <c:v>26347.24</c:v>
                </c:pt>
                <c:pt idx="51">
                  <c:v>26338.47</c:v>
                </c:pt>
                <c:pt idx="52">
                  <c:v>25630.54</c:v>
                </c:pt>
              </c:numCache>
            </c:numRef>
          </c:val>
          <c:smooth val="0"/>
        </c:ser>
        <c:dLbls>
          <c:showLegendKey val="0"/>
          <c:showVal val="0"/>
          <c:showCatName val="0"/>
          <c:showSerName val="0"/>
          <c:showPercent val="0"/>
          <c:showBubbleSize val="0"/>
        </c:dLbls>
        <c:marker val="0"/>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Offset val="100"/>
        <c:baseTimeUnit val="days"/>
      </c:dateAx>
      <c:valAx>
        <c:axId val="378384864"/>
        <c:scaling>
          <c:orientation val="minMax"/>
        </c:scaling>
        <c:delete val="0"/>
        <c:axPos val="l"/>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32120081-8942-4b49-87c2-d77ab760f399}"/>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图3_纳斯达克YTD!$B$1</c:f>
              <c:strCache>
                <c:ptCount val="1"/>
                <c:pt idx="0">
                  <c:v>收盘价</c:v>
                </c:pt>
              </c:strCache>
            </c:strRef>
          </c:tx>
          <c:spPr>
            <a:ln w="28575" cap="rnd">
              <a:solidFill>
                <a:srgbClr val="002060"/>
              </a:solidFill>
              <a:round/>
            </a:ln>
            <a:effectLst/>
          </c:spPr>
          <c:marker>
            <c:symbol val="none"/>
          </c:marker>
          <c:dLbls>
            <c:delete val="1"/>
          </c:dLbls>
          <c:cat>
            <c:numRef>
              <c:f>图3_纳斯达克YTD!$A$2:$A$54</c:f>
              <c:numCache>
                <c:formatCode>yyyy/m/d</c:formatCode>
                <c:ptCount val="53"/>
                <c:pt idx="0" c:formatCode="yyyy/m/d">
                  <c:v>46022</c:v>
                </c:pt>
                <c:pt idx="1" c:formatCode="yyyy/m/d">
                  <c:v>46024</c:v>
                </c:pt>
                <c:pt idx="2" c:formatCode="yyyy/m/d">
                  <c:v>46027</c:v>
                </c:pt>
                <c:pt idx="3" c:formatCode="yyyy/m/d">
                  <c:v>46028</c:v>
                </c:pt>
                <c:pt idx="4" c:formatCode="yyyy/m/d">
                  <c:v>46029</c:v>
                </c:pt>
                <c:pt idx="5" c:formatCode="yyyy/m/d">
                  <c:v>46030</c:v>
                </c:pt>
                <c:pt idx="6" c:formatCode="yyyy/m/d">
                  <c:v>46031</c:v>
                </c:pt>
                <c:pt idx="7" c:formatCode="yyyy/m/d">
                  <c:v>46034</c:v>
                </c:pt>
                <c:pt idx="8" c:formatCode="yyyy/m/d">
                  <c:v>46035</c:v>
                </c:pt>
                <c:pt idx="9" c:formatCode="yyyy/m/d">
                  <c:v>46036</c:v>
                </c:pt>
                <c:pt idx="10" c:formatCode="yyyy/m/d">
                  <c:v>46037</c:v>
                </c:pt>
                <c:pt idx="11" c:formatCode="yyyy/m/d">
                  <c:v>46038</c:v>
                </c:pt>
                <c:pt idx="12" c:formatCode="yyyy/m/d">
                  <c:v>46042</c:v>
                </c:pt>
                <c:pt idx="13" c:formatCode="yyyy/m/d">
                  <c:v>46043</c:v>
                </c:pt>
                <c:pt idx="14" c:formatCode="yyyy/m/d">
                  <c:v>46044</c:v>
                </c:pt>
                <c:pt idx="15" c:formatCode="yyyy/m/d">
                  <c:v>46045</c:v>
                </c:pt>
                <c:pt idx="16" c:formatCode="yyyy/m/d">
                  <c:v>46048</c:v>
                </c:pt>
                <c:pt idx="17" c:formatCode="yyyy/m/d">
                  <c:v>46049</c:v>
                </c:pt>
                <c:pt idx="18" c:formatCode="yyyy/m/d">
                  <c:v>46050</c:v>
                </c:pt>
                <c:pt idx="19" c:formatCode="yyyy/m/d">
                  <c:v>46051</c:v>
                </c:pt>
                <c:pt idx="20" c:formatCode="yyyy/m/d">
                  <c:v>46052</c:v>
                </c:pt>
                <c:pt idx="21" c:formatCode="yyyy/m/d">
                  <c:v>46055</c:v>
                </c:pt>
                <c:pt idx="22" c:formatCode="yyyy/m/d">
                  <c:v>46056</c:v>
                </c:pt>
                <c:pt idx="23" c:formatCode="yyyy/m/d">
                  <c:v>46057</c:v>
                </c:pt>
                <c:pt idx="24" c:formatCode="yyyy/m/d">
                  <c:v>46058</c:v>
                </c:pt>
                <c:pt idx="25" c:formatCode="yyyy/m/d">
                  <c:v>46059</c:v>
                </c:pt>
                <c:pt idx="26" c:formatCode="yyyy/m/d">
                  <c:v>46062</c:v>
                </c:pt>
                <c:pt idx="27" c:formatCode="yyyy/m/d">
                  <c:v>46063</c:v>
                </c:pt>
                <c:pt idx="28" c:formatCode="yyyy/m/d">
                  <c:v>46064</c:v>
                </c:pt>
                <c:pt idx="29" c:formatCode="yyyy/m/d">
                  <c:v>46065</c:v>
                </c:pt>
                <c:pt idx="30" c:formatCode="yyyy/m/d">
                  <c:v>46066</c:v>
                </c:pt>
                <c:pt idx="31" c:formatCode="yyyy/m/d">
                  <c:v>46070</c:v>
                </c:pt>
                <c:pt idx="32" c:formatCode="yyyy/m/d">
                  <c:v>46071</c:v>
                </c:pt>
                <c:pt idx="33" c:formatCode="yyyy/m/d">
                  <c:v>46072</c:v>
                </c:pt>
                <c:pt idx="34" c:formatCode="yyyy/m/d">
                  <c:v>46073</c:v>
                </c:pt>
                <c:pt idx="35" c:formatCode="yyyy/m/d">
                  <c:v>46076</c:v>
                </c:pt>
                <c:pt idx="36" c:formatCode="yyyy/m/d">
                  <c:v>46077</c:v>
                </c:pt>
                <c:pt idx="37" c:formatCode="yyyy/m/d">
                  <c:v>46078</c:v>
                </c:pt>
                <c:pt idx="38" c:formatCode="yyyy/m/d">
                  <c:v>46079</c:v>
                </c:pt>
                <c:pt idx="39" c:formatCode="yyyy/m/d">
                  <c:v>46080</c:v>
                </c:pt>
                <c:pt idx="40" c:formatCode="yyyy/m/d">
                  <c:v>46083</c:v>
                </c:pt>
                <c:pt idx="41" c:formatCode="yyyy/m/d">
                  <c:v>46084</c:v>
                </c:pt>
                <c:pt idx="42" c:formatCode="yyyy/m/d">
                  <c:v>46085</c:v>
                </c:pt>
                <c:pt idx="43" c:formatCode="yyyy/m/d">
                  <c:v>46086</c:v>
                </c:pt>
                <c:pt idx="44" c:formatCode="yyyy/m/d">
                  <c:v>46087</c:v>
                </c:pt>
                <c:pt idx="45" c:formatCode="yyyy/m/d">
                  <c:v>46090</c:v>
                </c:pt>
                <c:pt idx="46" c:formatCode="yyyy/m/d">
                  <c:v>46091</c:v>
                </c:pt>
                <c:pt idx="47" c:formatCode="yyyy/m/d">
                  <c:v>46092</c:v>
                </c:pt>
                <c:pt idx="48" c:formatCode="yyyy/m/d">
                  <c:v>46093</c:v>
                </c:pt>
                <c:pt idx="49" c:formatCode="yyyy/m/d">
                  <c:v>46094</c:v>
                </c:pt>
                <c:pt idx="50" c:formatCode="yyyy/m/d">
                  <c:v>46097</c:v>
                </c:pt>
                <c:pt idx="51" c:formatCode="yyyy/m/d">
                  <c:v>46098</c:v>
                </c:pt>
                <c:pt idx="52" c:formatCode="yyyy/m/d">
                  <c:v>46099</c:v>
                </c:pt>
              </c:numCache>
            </c:numRef>
          </c:cat>
          <c:val>
            <c:numRef>
              <c:f>图3_纳斯达克YTD!$B$2:$B$54</c:f>
              <c:numCache>
                <c:formatCode>#,##0.00</c:formatCode>
                <c:ptCount val="53"/>
                <c:pt idx="0">
                  <c:v>23241.99</c:v>
                </c:pt>
                <c:pt idx="1">
                  <c:v>23235.63</c:v>
                </c:pt>
                <c:pt idx="2">
                  <c:v>23395.82</c:v>
                </c:pt>
                <c:pt idx="3">
                  <c:v>23547.17</c:v>
                </c:pt>
                <c:pt idx="4">
                  <c:v>23584.28</c:v>
                </c:pt>
                <c:pt idx="5">
                  <c:v>23480.02</c:v>
                </c:pt>
                <c:pt idx="6">
                  <c:v>23671.35</c:v>
                </c:pt>
                <c:pt idx="7">
                  <c:v>23733.9</c:v>
                </c:pt>
                <c:pt idx="8">
                  <c:v>23709.87</c:v>
                </c:pt>
                <c:pt idx="9">
                  <c:v>23471.75</c:v>
                </c:pt>
                <c:pt idx="10">
                  <c:v>23530.02</c:v>
                </c:pt>
                <c:pt idx="11">
                  <c:v>23515.39</c:v>
                </c:pt>
                <c:pt idx="12">
                  <c:v>22954.32</c:v>
                </c:pt>
                <c:pt idx="13">
                  <c:v>23224.82</c:v>
                </c:pt>
                <c:pt idx="14">
                  <c:v>23436.02</c:v>
                </c:pt>
                <c:pt idx="15">
                  <c:v>23501.24</c:v>
                </c:pt>
                <c:pt idx="16">
                  <c:v>23601.36</c:v>
                </c:pt>
                <c:pt idx="17">
                  <c:v>23817.1</c:v>
                </c:pt>
                <c:pt idx="18">
                  <c:v>23857.45</c:v>
                </c:pt>
                <c:pt idx="19">
                  <c:v>23685.12</c:v>
                </c:pt>
                <c:pt idx="20">
                  <c:v>23461.82</c:v>
                </c:pt>
                <c:pt idx="21">
                  <c:v>23592.11</c:v>
                </c:pt>
                <c:pt idx="22">
                  <c:v>23255.19</c:v>
                </c:pt>
                <c:pt idx="23">
                  <c:v>22904.58</c:v>
                </c:pt>
                <c:pt idx="24">
                  <c:v>22540.59</c:v>
                </c:pt>
                <c:pt idx="25">
                  <c:v>23031.21</c:v>
                </c:pt>
                <c:pt idx="26">
                  <c:v>23238.67</c:v>
                </c:pt>
                <c:pt idx="27">
                  <c:v>23102.47</c:v>
                </c:pt>
                <c:pt idx="28">
                  <c:v>23066.47</c:v>
                </c:pt>
                <c:pt idx="29">
                  <c:v>22597.15</c:v>
                </c:pt>
                <c:pt idx="30">
                  <c:v>22546.67</c:v>
                </c:pt>
                <c:pt idx="31">
                  <c:v>22578.38</c:v>
                </c:pt>
                <c:pt idx="32">
                  <c:v>22753.63</c:v>
                </c:pt>
                <c:pt idx="33">
                  <c:v>22682.73</c:v>
                </c:pt>
                <c:pt idx="34">
                  <c:v>22886.07</c:v>
                </c:pt>
                <c:pt idx="35">
                  <c:v>22627.27</c:v>
                </c:pt>
                <c:pt idx="36">
                  <c:v>22863.68</c:v>
                </c:pt>
                <c:pt idx="37">
                  <c:v>23152.08</c:v>
                </c:pt>
                <c:pt idx="38">
                  <c:v>22878.38</c:v>
                </c:pt>
                <c:pt idx="39">
                  <c:v>22668.21</c:v>
                </c:pt>
                <c:pt idx="40">
                  <c:v>22748.86</c:v>
                </c:pt>
                <c:pt idx="41">
                  <c:v>22516.69</c:v>
                </c:pt>
                <c:pt idx="42">
                  <c:v>22807.48</c:v>
                </c:pt>
                <c:pt idx="43">
                  <c:v>22748.99</c:v>
                </c:pt>
                <c:pt idx="44">
                  <c:v>22387.68</c:v>
                </c:pt>
                <c:pt idx="45">
                  <c:v>22695.95</c:v>
                </c:pt>
                <c:pt idx="46">
                  <c:v>22697.1</c:v>
                </c:pt>
                <c:pt idx="47">
                  <c:v>22716.13</c:v>
                </c:pt>
                <c:pt idx="48">
                  <c:v>22311.98</c:v>
                </c:pt>
                <c:pt idx="49">
                  <c:v>22105.36</c:v>
                </c:pt>
                <c:pt idx="50">
                  <c:v>22374.18</c:v>
                </c:pt>
                <c:pt idx="51">
                  <c:v>22479.53</c:v>
                </c:pt>
                <c:pt idx="52">
                  <c:v>22152.42</c:v>
                </c:pt>
              </c:numCache>
            </c:numRef>
          </c:val>
          <c:smooth val="0"/>
        </c:ser>
        <c:dLbls>
          <c:showLegendKey val="0"/>
          <c:showVal val="0"/>
          <c:showCatName val="0"/>
          <c:showSerName val="0"/>
          <c:showPercent val="0"/>
          <c:showBubbleSize val="0"/>
        </c:dLbls>
        <c:marker val="0"/>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Offset val="100"/>
        <c:baseTimeUnit val="days"/>
      </c:dateAx>
      <c:valAx>
        <c:axId val="378384864"/>
        <c:scaling>
          <c:orientation val="minMax"/>
        </c:scaling>
        <c:delete val="0"/>
        <c:axPos val="l"/>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7877562f-1a1f-4399-ab35-12b287d698c0}"/>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'图45-46'!$B$2</c:f>
              <c:strCache>
                <c:ptCount val="1"/>
                <c:pt idx="0">
                  <c:v>总交付量（架） （Piston + Turboprop + Business Jets）</c:v>
                </c:pt>
              </c:strCache>
            </c:strRef>
          </c:tx>
          <c:spPr>
            <a:solidFill>
              <a:srgbClr val="4472C4"/>
            </a:solidFill>
            <a:ln>
              <a:noFill/>
            </a:ln>
            <a:effectLst/>
          </c:spPr>
          <c:invertIfNegative val="0"/>
          <c:dLbls>
            <c:delete val="1"/>
          </c:dLbls>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'图45-46'!$B$3:$B$12</c:f>
              <c:numCache>
                <c:formatCode>General</c:formatCode>
                <c:ptCount val="10"/>
                <c:pt idx="0">
                  <c:v>2658</c:v>
                </c:pt>
                <c:pt idx="1">
                  <c:v>2408</c:v>
                </c:pt>
                <c:pt idx="2">
                  <c:v>2646</c:v>
                </c:pt>
                <c:pt idx="3">
                  <c:v>2813</c:v>
                </c:pt>
                <c:pt idx="4">
                  <c:v>3069</c:v>
                </c:pt>
                <c:pt idx="5">
                  <c:v>3162</c:v>
                </c:pt>
                <c:pt idx="6">
                  <c:v>3230</c:v>
                </c:pt>
                <c:pt idx="7">
                  <c:v>3410</c:v>
                </c:pt>
                <c:pt idx="8">
                  <c:v>3520</c:v>
                </c:pt>
                <c:pt idx="9">
                  <c:v>3650</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'图45-46'!$C$2</c:f>
              <c:strCache>
                <c:ptCount val="1"/>
                <c:pt idx="0">
                  <c:v>YoY</c:v>
                </c:pt>
              </c:strCache>
            </c:strRef>
          </c:tx>
          <c:spPr>
            <a:ln w="19050" cap="rnd" cmpd="sng" algn="ctr">
              <a:solidFill>
                <a:sysClr val="windowText" lastClr="000000"/>
              </a:solidFill>
              <a:prstDash val="solid"/>
              <a:round/>
            </a:ln>
            <a:effectLst/>
          </c:spPr>
          <c:marker>
            <c:symbol val="none"/>
          </c:marker>
          <c:dLbls>
            <c:delete val="1"/>
          </c:dLbls>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'图45-46'!$C$3:$C$12</c:f>
              <c:numCache>
                <c:formatCode>General</c:formatCode>
                <c:ptCount val="10"/>
                <c:pt idx="1" c:formatCode="0.00%">
                  <c:v>-0.094</c:v>
                </c:pt>
                <c:pt idx="2" c:formatCode="0.00%">
                  <c:v>0.099</c:v>
                </c:pt>
                <c:pt idx="3" c:formatCode="0.00%">
                  <c:v>0.063</c:v>
                </c:pt>
                <c:pt idx="4" c:formatCode="0.00%">
                  <c:v>0.091</c:v>
                </c:pt>
                <c:pt idx="5" c:formatCode="0.00%">
                  <c:v>0.03</c:v>
                </c:pt>
                <c:pt idx="6" c:formatCode="0.00%">
                  <c:v>0.022</c:v>
                </c:pt>
                <c:pt idx="7" c:formatCode="0.00%">
                  <c:v>0.056</c:v>
                </c:pt>
                <c:pt idx="8" c:formatCode="0.00%">
                  <c:v>0.032</c:v>
                </c:pt>
                <c:pt idx="9" c:formatCode="0.00%">
                  <c:v>0.037</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16367"/>
        <c:crosses val="max"/>
        <c:crossBetween val="between"/>
      </c:valAx>
      <c:spPr>
        <a:noFill/>
        <a:ln w="25400">
          <a:noFill/>
        </a:ln>
        <a:effectLst/>
      </c:spPr>
    </c:plotArea>
    <c:legend>
      <c:legendPos val="t"/>
      <c:layout>
        <c:manualLayout>
          <c:xMode val="edge"/>
          <c:yMode val="edge"/>
          <c:x val="0.00475442043222004"/>
          <c:y val="0.0347826086956522"/>
          <c:w val="0.994420432220039"/>
          <c:h val="0.126577656053863"/>
        </c:manualLayout>
      </c:layou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legend>
    <c:plotVisOnly val="1"/>
    <c:dispBlanksAs val="gap"/>
    <c:showDLblsOverMax val="0"/>
    <c:extLst>
      <c:ext uri="{0b15fc19-7d7d-44ad-8c2d-2c3a37ce22c3}">
        <chartProps xmlns="https://web.wps.cn/et/2018/main" chartId="{e61129af-35ed-47bf-a9a7-f2a4b110e9cb}"/>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'图45-46'!$F$2</c:f>
              <c:strCache>
                <c:ptCount val="1"/>
                <c:pt idx="0">
                  <c:v>总交付价值（十亿美元）</c:v>
                </c:pt>
              </c:strCache>
            </c:strRef>
          </c:tx>
          <c:spPr>
            <a:solidFill>
              <a:srgbClr val="4472C4"/>
            </a:solidFill>
            <a:ln>
              <a:noFill/>
            </a:ln>
            <a:effectLst/>
          </c:spPr>
          <c:invertIfNegative val="0"/>
          <c:dLbls>
            <c:delete val="1"/>
          </c:dLbls>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'图45-46'!$F$3:$F$12</c:f>
              <c:numCache>
                <c:formatCode>General</c:formatCode>
                <c:ptCount val="10"/>
                <c:pt idx="0">
                  <c:v>23.5</c:v>
                </c:pt>
                <c:pt idx="1">
                  <c:v>20</c:v>
                </c:pt>
                <c:pt idx="2">
                  <c:v>21.6</c:v>
                </c:pt>
                <c:pt idx="3">
                  <c:v>22.9</c:v>
                </c:pt>
                <c:pt idx="4">
                  <c:v>23.4</c:v>
                </c:pt>
                <c:pt idx="5">
                  <c:v>26.7</c:v>
                </c:pt>
                <c:pt idx="6">
                  <c:v>31</c:v>
                </c:pt>
                <c:pt idx="7">
                  <c:v>33</c:v>
                </c:pt>
                <c:pt idx="8">
                  <c:v>34.5</c:v>
                </c:pt>
                <c:pt idx="9">
                  <c:v>36</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'图45-46'!$G$2</c:f>
              <c:strCache>
                <c:ptCount val="1"/>
                <c:pt idx="0">
                  <c:v>YoY</c:v>
                </c:pt>
              </c:strCache>
            </c:strRef>
          </c:tx>
          <c:spPr>
            <a:ln w="19050" cap="rnd" cmpd="sng" algn="ctr">
              <a:solidFill>
                <a:sysClr val="windowText" lastClr="000000"/>
              </a:solidFill>
              <a:prstDash val="solid"/>
              <a:round/>
            </a:ln>
            <a:effectLst/>
          </c:spPr>
          <c:marker>
            <c:symbol val="none"/>
          </c:marker>
          <c:dLbls>
            <c:delete val="1"/>
          </c:dLbls>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'图45-46'!$G$3:$G$12</c:f>
              <c:numCache>
                <c:formatCode>General</c:formatCode>
                <c:ptCount val="10"/>
                <c:pt idx="1" c:formatCode="0.00%">
                  <c:v>-0.149</c:v>
                </c:pt>
                <c:pt idx="2" c:formatCode="0.00%">
                  <c:v>0.08</c:v>
                </c:pt>
                <c:pt idx="3" c:formatCode="0.00%">
                  <c:v>0.06</c:v>
                </c:pt>
                <c:pt idx="4" c:formatCode="0.00%">
                  <c:v>0.022</c:v>
                </c:pt>
                <c:pt idx="5" c:formatCode="0.00%">
                  <c:v>0.141</c:v>
                </c:pt>
                <c:pt idx="6" c:formatCode="0.00%">
                  <c:v>0.161</c:v>
                </c:pt>
                <c:pt idx="7" c:formatCode="0.00%">
                  <c:v>0.065</c:v>
                </c:pt>
                <c:pt idx="8" c:formatCode="0.00%">
                  <c:v>0.045</c:v>
                </c:pt>
                <c:pt idx="9" c:formatCode="0.00%">
                  <c:v>0.043</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legend>
    <c:plotVisOnly val="1"/>
    <c:dispBlanksAs val="gap"/>
    <c:showDLblsOverMax val="0"/>
    <c:extLst>
      <c:ext uri="{0b15fc19-7d7d-44ad-8c2d-2c3a37ce22c3}">
        <chartProps xmlns="https://web.wps.cn/et/2018/main" chartId="{44b2de96-f041-4ad3-b2d6-a1f6770e1231}"/>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'图45-46'!$S$32</c:f>
              <c:strCache>
                <c:ptCount val="1"/>
                <c:pt idx="0">
                  <c:v>世界其他地区</c:v>
                </c:pt>
              </c:strCache>
            </c:strRef>
          </c:tx>
          <c:spPr>
            <a:solidFill>
              <a:schemeClr val="accent1">
                <a:lumMod val="50000"/>
              </a:schemeClr>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'图45-46'!$S$33:$S$42</c:f>
              <c:numCache>
                <c:formatCode>General</c:formatCode>
                <c:ptCount val="10"/>
                <c:pt idx="0">
                  <c:v>1456</c:v>
                </c:pt>
                <c:pt idx="1">
                  <c:v>1686</c:v>
                </c:pt>
                <c:pt idx="2">
                  <c:v>1565</c:v>
                </c:pt>
                <c:pt idx="3">
                  <c:v>1713</c:v>
                </c:pt>
                <c:pt idx="4">
                  <c:v>1870</c:v>
                </c:pt>
                <c:pt idx="5">
                  <c:v>1944</c:v>
                </c:pt>
                <c:pt idx="6">
                  <c:v>2050</c:v>
                </c:pt>
                <c:pt idx="7">
                  <c:v>2190</c:v>
                </c:pt>
                <c:pt idx="8">
                  <c:v>2310</c:v>
                </c:pt>
                <c:pt idx="9">
                  <c:v>2380</c:v>
                </c:pt>
              </c:numCache>
            </c:numRef>
          </c:val>
        </c:ser>
        <c:ser>
          <c:idx val="1"/>
          <c:order val="1"/>
          <c:tx>
            <c:strRef>
              <c:f>'图45-46'!$T$32</c:f>
              <c:strCache>
                <c:ptCount val="1"/>
                <c:pt idx="0">
                  <c:v>亚太地区</c:v>
                </c:pt>
              </c:strCache>
            </c:strRef>
          </c:tx>
          <c:spPr>
            <a:solidFill>
              <a:schemeClr val="accent2"/>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'图45-46'!$T$33:$T$42</c:f>
              <c:numCache>
                <c:formatCode>General</c:formatCode>
                <c:ptCount val="10"/>
                <c:pt idx="0">
                  <c:v>118</c:v>
                </c:pt>
                <c:pt idx="1">
                  <c:v>133</c:v>
                </c:pt>
                <c:pt idx="2">
                  <c:v>110</c:v>
                </c:pt>
                <c:pt idx="3">
                  <c:v>131</c:v>
                </c:pt>
                <c:pt idx="4">
                  <c:v>114</c:v>
                </c:pt>
                <c:pt idx="5">
                  <c:v>145</c:v>
                </c:pt>
                <c:pt idx="6">
                  <c:v>320</c:v>
                </c:pt>
                <c:pt idx="7">
                  <c:v>355</c:v>
                </c:pt>
                <c:pt idx="8">
                  <c:v>375</c:v>
                </c:pt>
                <c:pt idx="9">
                  <c:v>390</c:v>
                </c:pt>
              </c:numCache>
            </c:numRef>
          </c:val>
        </c:ser>
        <c:ser>
          <c:idx val="2"/>
          <c:order val="2"/>
          <c:tx>
            <c:strRef>
              <c:f>'图45-46'!$U$32</c:f>
              <c:strCache>
                <c:ptCount val="1"/>
                <c:pt idx="0">
                  <c:v>欧洲</c:v>
                </c:pt>
              </c:strCache>
            </c:strRef>
          </c:tx>
          <c:spPr>
            <a:solidFill>
              <a:schemeClr val="accent3"/>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'图45-46'!$U$33:$U$42</c:f>
              <c:numCache>
                <c:formatCode>General</c:formatCode>
                <c:ptCount val="10"/>
                <c:pt idx="0">
                  <c:v>188</c:v>
                </c:pt>
                <c:pt idx="1">
                  <c:v>194</c:v>
                </c:pt>
                <c:pt idx="2">
                  <c:v>125</c:v>
                </c:pt>
                <c:pt idx="3">
                  <c:v>166</c:v>
                </c:pt>
                <c:pt idx="4">
                  <c:v>237</c:v>
                </c:pt>
                <c:pt idx="5">
                  <c:v>237</c:v>
                </c:pt>
                <c:pt idx="6">
                  <c:v>280</c:v>
                </c:pt>
                <c:pt idx="7">
                  <c:v>341</c:v>
                </c:pt>
                <c:pt idx="8">
                  <c:v>360</c:v>
                </c:pt>
                <c:pt idx="9">
                  <c:v>370</c:v>
                </c:pt>
              </c:numCache>
            </c:numRef>
          </c:val>
        </c:ser>
        <c:ser>
          <c:idx val="3"/>
          <c:order val="3"/>
          <c:tx>
            <c:strRef>
              <c:f>'图45-46'!$V$32</c:f>
              <c:strCache>
                <c:ptCount val="1"/>
                <c:pt idx="0">
                  <c:v>拉丁美洲</c:v>
                </c:pt>
              </c:strCache>
            </c:strRef>
          </c:tx>
          <c:spPr>
            <a:solidFill>
              <a:schemeClr val="tx2">
                <a:lumMod val="20000"/>
                <a:lumOff val="80000"/>
              </a:schemeClr>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'图45-46'!$V$33:$V$42</c:f>
              <c:numCache>
                <c:formatCode>General</c:formatCode>
                <c:ptCount val="10"/>
                <c:pt idx="0">
                  <c:v>309</c:v>
                </c:pt>
                <c:pt idx="1">
                  <c:v>331</c:v>
                </c:pt>
                <c:pt idx="2">
                  <c:v>309</c:v>
                </c:pt>
                <c:pt idx="3">
                  <c:v>355</c:v>
                </c:pt>
                <c:pt idx="4">
                  <c:v>358</c:v>
                </c:pt>
                <c:pt idx="5">
                  <c:v>302</c:v>
                </c:pt>
                <c:pt idx="6">
                  <c:v>320</c:v>
                </c:pt>
                <c:pt idx="7">
                  <c:v>206</c:v>
                </c:pt>
                <c:pt idx="8">
                  <c:v>220</c:v>
                </c:pt>
                <c:pt idx="9">
                  <c:v>230</c:v>
                </c:pt>
              </c:numCache>
            </c:numRef>
          </c:val>
        </c:ser>
        <c:ser>
          <c:idx val="4"/>
          <c:order val="4"/>
          <c:tx>
            <c:strRef>
              <c:f>'图45-46'!$W$32</c:f>
              <c:strCache>
                <c:ptCount val="1"/>
                <c:pt idx="0">
                  <c:v>北美洲</c:v>
                </c:pt>
              </c:strCache>
            </c:strRef>
          </c:tx>
          <c:spPr>
            <a:solidFill>
              <a:schemeClr val="accent5"/>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'图45-46'!$W$33:$W$42</c:f>
              <c:numCache>
                <c:formatCode>General</c:formatCode>
                <c:ptCount val="10"/>
                <c:pt idx="0">
                  <c:v>371</c:v>
                </c:pt>
                <c:pt idx="1">
                  <c:v>311</c:v>
                </c:pt>
                <c:pt idx="2">
                  <c:v>299</c:v>
                </c:pt>
                <c:pt idx="3">
                  <c:v>453</c:v>
                </c:pt>
                <c:pt idx="4">
                  <c:v>471</c:v>
                </c:pt>
                <c:pt idx="5">
                  <c:v>441</c:v>
                </c:pt>
                <c:pt idx="6">
                  <c:v>192</c:v>
                </c:pt>
                <c:pt idx="7">
                  <c:v>138</c:v>
                </c:pt>
                <c:pt idx="8">
                  <c:v>145</c:v>
                </c:pt>
                <c:pt idx="9">
                  <c:v>150</c:v>
                </c:pt>
              </c:numCache>
            </c:numRef>
          </c:val>
        </c:ser>
        <c:dLbls>
          <c:showLegendKey val="0"/>
          <c:showVal val="0"/>
          <c:showCatName val="0"/>
          <c:showSerName val="0"/>
          <c:showPercent val="0"/>
          <c:showBubbleSize val="0"/>
        </c:dLbls>
        <c:gapWidth val="150"/>
        <c:overlap val="100"/>
        <c:axId val="1119398399"/>
        <c:axId val="1119398879"/>
      </c:barChart>
      <c:catAx>
        <c:axId val="1119398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crossAx val="1119398879"/>
        <c:crosses val="autoZero"/>
        <c:auto val="1"/>
        <c:lblAlgn val="ctr"/>
        <c:lblOffset val="100"/>
        <c:noMultiLvlLbl val="0"/>
      </c:catAx>
      <c:valAx>
        <c:axId val="1119398879"/>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crossAx val="111939839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legend>
    <c:plotVisOnly val="1"/>
    <c:dispBlanksAs val="gap"/>
    <c:showDLblsOverMax val="0"/>
    <c:extLst>
      <c:ext uri="{0b15fc19-7d7d-44ad-8c2d-2c3a37ce22c3}">
        <chartProps xmlns="https://web.wps.cn/et/2018/main" chartId="{96c3575c-f839-4b1a-b5db-e547ad2f07e2}"/>
      </c:ext>
    </c:extLst>
  </c:chart>
  <c:spPr>
    <a:solidFill>
      <a:schemeClr val="bg1"/>
    </a:solidFill>
    <a:ln w="9525" cap="flat" cmpd="sng" algn="ctr">
      <a:noFill/>
      <a:round/>
    </a:ln>
    <a:effectLst/>
  </c:spPr>
  <c:txPr>
    <a:bodyPr/>
    <a:lstStyle/>
    <a:p>
      <a:pPr>
        <a:defRPr lang="zh-CN">
          <a:solidFill>
            <a:sysClr val="windowText" lastClr="000000"/>
          </a:solidFill>
          <a:latin typeface="+mn-lt"/>
          <a:ea typeface="楷体" panose="02010609060101010101" pitchFamily="49" charset="-122"/>
        </a:defRPr>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436053162677375"/>
          <c:y val="0.182435918914391"/>
          <c:w val="0.956394683732263"/>
          <c:h val="0.735308694923773"/>
        </c:manualLayout>
      </c:layout>
      <c:barChart>
        <c:barDir val="col"/>
        <c:grouping val="percentStacked"/>
        <c:varyColors val="0"/>
        <c:ser>
          <c:idx val="0"/>
          <c:order val="0"/>
          <c:tx>
            <c:strRef>
              <c:f>活塞式飞机市场份额图!$B$205</c:f>
              <c:strCache>
                <c:ptCount val="1"/>
                <c:pt idx="0">
                  <c:v>Textron Aviation (Beechcraft)</c:v>
                </c:pt>
              </c:strCache>
            </c:strRef>
          </c:tx>
          <c:spPr>
            <a:solidFill>
              <a:schemeClr val="accent1"/>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活塞式飞机市场份额图!$C$205:$AB$205</c:f>
              <c:numCache>
                <c:formatCode>General</c:formatCode>
                <c:ptCount val="26"/>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pt idx="25">
                  <c:v>5</c:v>
                </c:pt>
              </c:numCache>
            </c:numRef>
          </c:val>
        </c:ser>
        <c:ser>
          <c:idx val="1"/>
          <c:order val="1"/>
          <c:tx>
            <c:strRef>
              <c:f>活塞式飞机市场份额图!$B$206</c:f>
              <c:strCache>
                <c:ptCount val="1"/>
                <c:pt idx="0">
                  <c:v>Textron Aviation (Cessna Aircraft)</c:v>
                </c:pt>
              </c:strCache>
            </c:strRef>
          </c:tx>
          <c:spPr>
            <a:solidFill>
              <a:schemeClr val="accent2"/>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活塞式飞机市场份额图!$C$206:$AB$206</c:f>
              <c:numCache>
                <c:formatCode>General</c:formatCode>
                <c:ptCount val="26"/>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pt idx="25">
                  <c:v>311</c:v>
                </c:pt>
              </c:numCache>
            </c:numRef>
          </c:val>
        </c:ser>
        <c:ser>
          <c:idx val="2"/>
          <c:order val="2"/>
          <c:tx>
            <c:strRef>
              <c:f>活塞式飞机市场份额图!$B$207</c:f>
              <c:strCache>
                <c:ptCount val="1"/>
                <c:pt idx="0">
                  <c:v>TECNAM Aircraft</c:v>
                </c:pt>
              </c:strCache>
            </c:strRef>
          </c:tx>
          <c:spPr>
            <a:solidFill>
              <a:schemeClr val="accent3"/>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活塞式飞机市场份额图!$C$207:$AB$207</c:f>
              <c:numCache>
                <c:formatCode>General</c:formatCode>
                <c:ptCount val="26"/>
                <c:pt idx="13">
                  <c:v>197</c:v>
                </c:pt>
                <c:pt idx="14">
                  <c:v>190</c:v>
                </c:pt>
                <c:pt idx="15">
                  <c:v>191</c:v>
                </c:pt>
                <c:pt idx="16">
                  <c:v>191</c:v>
                </c:pt>
                <c:pt idx="17">
                  <c:v>171</c:v>
                </c:pt>
                <c:pt idx="18">
                  <c:v>180</c:v>
                </c:pt>
                <c:pt idx="19">
                  <c:v>205</c:v>
                </c:pt>
                <c:pt idx="20">
                  <c:v>154</c:v>
                </c:pt>
                <c:pt idx="21">
                  <c:v>203</c:v>
                </c:pt>
                <c:pt idx="22">
                  <c:v>209</c:v>
                </c:pt>
                <c:pt idx="23">
                  <c:v>244</c:v>
                </c:pt>
                <c:pt idx="24">
                  <c:v>283</c:v>
                </c:pt>
                <c:pt idx="25">
                  <c:v>216</c:v>
                </c:pt>
              </c:numCache>
            </c:numRef>
          </c:val>
        </c:ser>
        <c:ser>
          <c:idx val="3"/>
          <c:order val="3"/>
          <c:tx>
            <c:strRef>
              <c:f>活塞式飞机市场份额图!$B$208</c:f>
              <c:strCache>
                <c:ptCount val="1"/>
                <c:pt idx="0">
                  <c:v>Pipistrel by Textron Aviation</c:v>
                </c:pt>
              </c:strCache>
            </c:strRef>
          </c:tx>
          <c:spPr>
            <a:solidFill>
              <a:schemeClr val="accent4"/>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活塞式飞机市场份额图!$C$208:$AB$208</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pt idx="25">
                  <c:v>53</c:v>
                </c:pt>
              </c:numCache>
            </c:numRef>
          </c:val>
        </c:ser>
        <c:ser>
          <c:idx val="4"/>
          <c:order val="4"/>
          <c:tx>
            <c:strRef>
              <c:f>活塞式飞机市场份额图!$B$209</c:f>
              <c:strCache>
                <c:ptCount val="1"/>
                <c:pt idx="0">
                  <c:v>Piper Aircraft, Inc.</c:v>
                </c:pt>
              </c:strCache>
            </c:strRef>
          </c:tx>
          <c:spPr>
            <a:solidFill>
              <a:schemeClr val="accent5"/>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活塞式飞机市场份额图!$C$209:$AB$209</c:f>
              <c:numCache>
                <c:formatCode>General</c:formatCode>
                <c:ptCount val="26"/>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pt idx="25">
                  <c:v>203</c:v>
                </c:pt>
              </c:numCache>
            </c:numRef>
          </c:val>
        </c:ser>
        <c:ser>
          <c:idx val="5"/>
          <c:order val="5"/>
          <c:tx>
            <c:strRef>
              <c:f>活塞式飞机市场份额图!$B$210</c:f>
              <c:strCache>
                <c:ptCount val="1"/>
                <c:pt idx="0">
                  <c:v>Mooney International Corporation</c:v>
                </c:pt>
              </c:strCache>
            </c:strRef>
          </c:tx>
          <c:spPr>
            <a:solidFill>
              <a:schemeClr val="accent6"/>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活塞式飞机市场份额图!$C$210:$AB$210</c:f>
              <c:numCache>
                <c:formatCode>General</c:formatCode>
                <c:ptCount val="26"/>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pt idx="25">
                  <c:v>0</c:v>
                </c:pt>
              </c:numCache>
            </c:numRef>
          </c:val>
        </c:ser>
        <c:ser>
          <c:idx val="6"/>
          <c:order val="6"/>
          <c:tx>
            <c:strRef>
              <c:f>活塞式飞机市场份额图!$B$211</c:f>
              <c:strCache>
                <c:ptCount val="1"/>
                <c:pt idx="0">
                  <c:v>Diamond Aircraft</c:v>
                </c:pt>
              </c:strCache>
            </c:strRef>
          </c:tx>
          <c:spPr>
            <a:solidFill>
              <a:schemeClr val="accent1">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活塞式飞机市场份额图!$C$211:$AB$211</c:f>
              <c:numCache>
                <c:formatCode>General</c:formatCode>
                <c:ptCount val="26"/>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pt idx="25">
                  <c:v>235</c:v>
                </c:pt>
              </c:numCache>
            </c:numRef>
          </c:val>
        </c:ser>
        <c:ser>
          <c:idx val="7"/>
          <c:order val="7"/>
          <c:tx>
            <c:strRef>
              <c:f>活塞式飞机市场份额图!$B$212</c:f>
              <c:strCache>
                <c:ptCount val="1"/>
                <c:pt idx="0">
                  <c:v>CubCrafters</c:v>
                </c:pt>
              </c:strCache>
            </c:strRef>
          </c:tx>
          <c:spPr>
            <a:solidFill>
              <a:schemeClr val="accent2">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活塞式飞机市场份额图!$C$212:$AB$212</c:f>
              <c:numCache>
                <c:formatCode>General</c:formatCode>
                <c:ptCount val="26"/>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pt idx="25">
                  <c:v>73</c:v>
                </c:pt>
              </c:numCache>
            </c:numRef>
          </c:val>
        </c:ser>
        <c:ser>
          <c:idx val="8"/>
          <c:order val="8"/>
          <c:tx>
            <c:strRef>
              <c:f>活塞式飞机市场份额图!$B$213</c:f>
              <c:strCache>
                <c:ptCount val="1"/>
                <c:pt idx="0">
                  <c:v>Columbia Aircraft (prev. Lancair)</c:v>
                </c:pt>
              </c:strCache>
            </c:strRef>
          </c:tx>
          <c:spPr>
            <a:solidFill>
              <a:schemeClr val="accent3">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活塞式飞机市场份额图!$C$213:$AB$213</c:f>
              <c:numCache>
                <c:formatCode>General</c:formatCode>
                <c:ptCount val="26"/>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numCache>
            </c:numRef>
          </c:val>
        </c:ser>
        <c:ser>
          <c:idx val="9"/>
          <c:order val="9"/>
          <c:tx>
            <c:strRef>
              <c:f>活塞式飞机市场份额图!$B$214</c:f>
              <c:strCache>
                <c:ptCount val="1"/>
                <c:pt idx="0">
                  <c:v>Cirrus Aircraft</c:v>
                </c:pt>
              </c:strCache>
            </c:strRef>
          </c:tx>
          <c:spPr>
            <a:solidFill>
              <a:schemeClr val="accent4">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活塞式飞机市场份额图!$C$214:$AB$214</c:f>
              <c:numCache>
                <c:formatCode>General</c:formatCode>
                <c:ptCount val="26"/>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pt idx="25">
                  <c:v>691</c:v>
                </c:pt>
              </c:numCache>
            </c:numRef>
          </c:val>
        </c:ser>
        <c:ser>
          <c:idx val="10"/>
          <c:order val="10"/>
          <c:tx>
            <c:strRef>
              <c:f>活塞式飞机市场份额图!$B$215</c:f>
              <c:strCache>
                <c:ptCount val="1"/>
                <c:pt idx="0">
                  <c:v>Others</c:v>
                </c:pt>
              </c:strCache>
            </c:strRef>
          </c:tx>
          <c:spPr>
            <a:solidFill>
              <a:schemeClr val="accent5">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活塞式飞机市场份额图!$C$215:$AB$215</c:f>
              <c:numCache>
                <c:formatCode>_(* #,##0_);_(* \(#,##0\);_(* "-"??_);_(@_)</c:formatCode>
                <c:ptCount val="26"/>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pt idx="25" c:formatCode="General">
                  <c:v>71</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412992478"/>
        <c:crosses val="autoZero"/>
        <c:crossBetween val="between"/>
      </c:valAx>
      <c:spPr>
        <a:noFill/>
        <a:ln>
          <a:noFill/>
        </a:ln>
        <a:effectLst/>
      </c:spPr>
    </c:plotArea>
    <c:legend>
      <c:legendPos val="t"/>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喷气式飞机市场份额图!$B$144</c:f>
              <c:strCache>
                <c:ptCount val="1"/>
                <c:pt idx="0">
                  <c:v>Textron Aviation (Beechcraft)</c:v>
                </c:pt>
              </c:strCache>
            </c:strRef>
          </c:tx>
          <c:spPr>
            <a:solidFill>
              <a:srgbClr val="C00000"/>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喷气式飞机市场份额图!$C$144:$AB$144</c:f>
              <c:numCache>
                <c:formatCode>General</c:formatCode>
                <c:ptCount val="26"/>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pt idx="25">
                  <c:v>0</c:v>
                </c:pt>
              </c:numCache>
            </c:numRef>
          </c:val>
        </c:ser>
        <c:ser>
          <c:idx val="1"/>
          <c:order val="1"/>
          <c:tx>
            <c:strRef>
              <c:f>喷气式飞机市场份额图!$B$145</c:f>
              <c:strCache>
                <c:ptCount val="1"/>
                <c:pt idx="0">
                  <c:v>Textron Aviation (Cessna Aircraft)</c:v>
                </c:pt>
              </c:strCache>
            </c:strRef>
          </c:tx>
          <c:spPr>
            <a:solidFill>
              <a:srgbClr val="666666"/>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喷气式飞机市场份额图!$C$145:$AB$145</c:f>
              <c:numCache>
                <c:formatCode>General</c:formatCode>
                <c:ptCount val="26"/>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pt idx="25">
                  <c:v>171</c:v>
                </c:pt>
              </c:numCache>
            </c:numRef>
          </c:val>
        </c:ser>
        <c:ser>
          <c:idx val="2"/>
          <c:order val="2"/>
          <c:tx>
            <c:strRef>
              <c:f>喷气式飞机市场份额图!$B$146</c:f>
              <c:strCache>
                <c:ptCount val="1"/>
                <c:pt idx="0">
                  <c:v>ONE Aviation Corp. (prev. Eclipse Aero)</c:v>
                </c:pt>
              </c:strCache>
            </c:strRef>
          </c:tx>
          <c:spPr>
            <a:solidFill>
              <a:srgbClr val="E6B9B8"/>
            </a:solidFill>
            <a:ln w="9525" cap="flat" cmpd="sng">
              <a:noFill/>
              <a:prstDash val="solid"/>
            </a:ln>
            <a:effectLst/>
            <a:sp3d contourW="9525"/>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喷气式飞机市场份额图!$C$146:$AB$146</c:f>
              <c:numCache>
                <c:formatCode>General</c:formatCode>
                <c:ptCount val="26"/>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pt idx="25">
                  <c:v>0</c:v>
                </c:pt>
              </c:numCache>
            </c:numRef>
          </c:val>
        </c:ser>
        <c:ser>
          <c:idx val="3"/>
          <c:order val="3"/>
          <c:tx>
            <c:strRef>
              <c:f>喷气式飞机市场份额图!$B$147</c:f>
              <c:strCache>
                <c:ptCount val="1"/>
                <c:pt idx="0">
                  <c:v>Gulfstream Aerospace Corporation</c:v>
                </c:pt>
              </c:strCache>
            </c:strRef>
          </c:tx>
          <c:spPr>
            <a:solidFill>
              <a:srgbClr val="999999"/>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喷气式飞机市场份额图!$C$147:$AB$147</c:f>
              <c:numCache>
                <c:formatCode>General</c:formatCode>
                <c:ptCount val="26"/>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pt idx="25">
                  <c:v>158</c:v>
                </c:pt>
              </c:numCache>
            </c:numRef>
          </c:val>
        </c:ser>
        <c:ser>
          <c:idx val="4"/>
          <c:order val="4"/>
          <c:tx>
            <c:strRef>
              <c:f>喷气式飞机市场份额图!$B$148</c:f>
              <c:strCache>
                <c:ptCount val="1"/>
                <c:pt idx="0">
                  <c:v>Embraer</c:v>
                </c:pt>
              </c:strCache>
            </c:strRef>
          </c:tx>
          <c:spPr>
            <a:solidFill>
              <a:srgbClr val="996633"/>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喷气式飞机市场份额图!$C$148:$AB$148</c:f>
              <c:numCache>
                <c:formatCode>General</c:formatCode>
                <c:ptCount val="26"/>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pt idx="25">
                  <c:v>155</c:v>
                </c:pt>
              </c:numCache>
            </c:numRef>
          </c:val>
        </c:ser>
        <c:ser>
          <c:idx val="5"/>
          <c:order val="5"/>
          <c:tx>
            <c:strRef>
              <c:f>喷气式飞机市场份额图!$B$149</c:f>
              <c:strCache>
                <c:ptCount val="1"/>
                <c:pt idx="0">
                  <c:v>Dassault Aviation</c:v>
                </c:pt>
              </c:strCache>
            </c:strRef>
          </c:tx>
          <c:spPr>
            <a:solidFill>
              <a:srgbClr val="E7D6B5"/>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喷气式飞机市场份额图!$C$149:$AB$149</c:f>
              <c:numCache>
                <c:formatCode>General</c:formatCode>
                <c:ptCount val="26"/>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pt idx="25">
                  <c:v>37</c:v>
                </c:pt>
              </c:numCache>
            </c:numRef>
          </c:val>
        </c:ser>
        <c:ser>
          <c:idx val="6"/>
          <c:order val="6"/>
          <c:tx>
            <c:strRef>
              <c:f>喷气式飞机市场份额图!$B$150</c:f>
              <c:strCache>
                <c:ptCount val="1"/>
                <c:pt idx="0">
                  <c:v>Cirrus Aircraft</c:v>
                </c:pt>
              </c:strCache>
            </c:strRef>
          </c:tx>
          <c:spPr>
            <a:solidFill>
              <a:schemeClr val="accent4">
                <a:lumMod val="75000"/>
              </a:schemeClr>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喷气式飞机市场份额图!$C$150:$AB$150</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pt idx="25">
                  <c:v>106</c:v>
                </c:pt>
              </c:numCache>
            </c:numRef>
          </c:val>
        </c:ser>
        <c:ser>
          <c:idx val="7"/>
          <c:order val="7"/>
          <c:tx>
            <c:strRef>
              <c:f>喷气式飞机市场份额图!$B$151</c:f>
              <c:strCache>
                <c:ptCount val="1"/>
                <c:pt idx="0">
                  <c:v>Bombardier</c:v>
                </c:pt>
              </c:strCache>
            </c:strRef>
          </c:tx>
          <c:spPr>
            <a:solidFill>
              <a:schemeClr val="accent3">
                <a:lumMod val="60000"/>
                <a:lumOff val="40000"/>
              </a:schemeClr>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喷气式飞机市场份额图!$C$151:$AB$151</c:f>
              <c:numCache>
                <c:formatCode>General</c:formatCode>
                <c:ptCount val="26"/>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pt idx="25">
                  <c:v>157</c:v>
                </c:pt>
              </c:numCache>
            </c:numRef>
          </c:val>
        </c:ser>
        <c:ser>
          <c:idx val="8"/>
          <c:order val="8"/>
          <c:tx>
            <c:strRef>
              <c:f>喷气式飞机市场份额图!$B$152</c:f>
              <c:strCache>
                <c:ptCount val="1"/>
                <c:pt idx="0">
                  <c:v>Others</c:v>
                </c:pt>
              </c:strCache>
            </c:strRef>
          </c:tx>
          <c:spPr>
            <a:solidFill>
              <a:schemeClr val="accent3">
                <a:lumMod val="60000"/>
              </a:schemeClr>
            </a:solidFill>
            <a:ln>
              <a:solidFill>
                <a:schemeClr val="bg1"/>
              </a:solid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喷气式飞机市场份额图!$C$152:$AB$152</c:f>
              <c:numCache>
                <c:formatCode>_(* #,##0_);_(* \(#,##0\);_(* "-"??_);_(@_)</c:formatCode>
                <c:ptCount val="26"/>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pt idx="25" c:formatCode="General">
                  <c:v>70</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1"/>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2"/>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3"/>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4"/>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5"/>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6"/>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7"/>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ayout>
        <c:manualLayout>
          <c:xMode val="edge"/>
          <c:yMode val="edge"/>
          <c:x val="0.0147952755905512"/>
          <c:y val="0.0245319245654985"/>
          <c:w val="0.985204734723252"/>
          <c:h val="0.13873499105442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2024</c:v>
                </c:pt>
              </c:strCache>
            </c:strRef>
          </c:tx>
          <c:spPr>
            <a:solidFill>
              <a:schemeClr val="accent1">
                <a:lumMod val="75000"/>
              </a:schemeClr>
            </a:solidFill>
            <a:ln>
              <a:noFill/>
            </a:ln>
            <a:effectLst/>
          </c:spPr>
          <c:invertIfNegative val="0"/>
          <c:dLbls>
            <c:delete val="1"/>
          </c:dLbls>
          <c:cat>
            <c:strRef>
              <c:f>Sheet1!$A$2:$A$5</c:f>
              <c:strCache>
                <c:ptCount val="4"/>
                <c:pt idx="0">
                  <c:v>Q1</c:v>
                </c:pt>
                <c:pt idx="1">
                  <c:v>Q2</c:v>
                </c:pt>
                <c:pt idx="2">
                  <c:v>Q3</c:v>
                </c:pt>
                <c:pt idx="3">
                  <c:v>Q4</c:v>
                </c:pt>
              </c:strCache>
            </c:strRef>
          </c:cat>
          <c:val>
            <c:numRef>
              <c:f>Sheet1!$B$2:$B$5</c:f>
              <c:numCache>
                <c:formatCode>General</c:formatCode>
                <c:ptCount val="4"/>
                <c:pt idx="0">
                  <c:v>531</c:v>
                </c:pt>
                <c:pt idx="1">
                  <c:v>842</c:v>
                </c:pt>
                <c:pt idx="2">
                  <c:v>796</c:v>
                </c:pt>
                <c:pt idx="3">
                  <c:v>993</c:v>
                </c:pt>
              </c:numCache>
            </c:numRef>
          </c:val>
        </c:ser>
        <c:ser>
          <c:idx val="1"/>
          <c:order val="1"/>
          <c:tx>
            <c:strRef>
              <c:f>Sheet1!$C$1</c:f>
              <c:strCache>
                <c:ptCount val="1"/>
                <c:pt idx="0">
                  <c:v>2025</c:v>
                </c:pt>
              </c:strCache>
            </c:strRef>
          </c:tx>
          <c:spPr>
            <a:solidFill>
              <a:schemeClr val="accent3"/>
            </a:solidFill>
            <a:ln>
              <a:noFill/>
            </a:ln>
            <a:effectLst/>
          </c:spPr>
          <c:invertIfNegative val="0"/>
          <c:dLbls>
            <c:delete val="1"/>
          </c:dLbls>
          <c:cat>
            <c:strRef>
              <c:f>Sheet1!$A$2:$A$5</c:f>
              <c:strCache>
                <c:ptCount val="4"/>
                <c:pt idx="0">
                  <c:v>Q1</c:v>
                </c:pt>
                <c:pt idx="1">
                  <c:v>Q2</c:v>
                </c:pt>
                <c:pt idx="2">
                  <c:v>Q3</c:v>
                </c:pt>
                <c:pt idx="3">
                  <c:v>Q4</c:v>
                </c:pt>
              </c:strCache>
            </c:strRef>
          </c:cat>
          <c:val>
            <c:numRef>
              <c:f>Sheet1!$C$2:$C$5</c:f>
              <c:numCache>
                <c:formatCode>General</c:formatCode>
                <c:ptCount val="4"/>
                <c:pt idx="0">
                  <c:v>632</c:v>
                </c:pt>
                <c:pt idx="1">
                  <c:v>801</c:v>
                </c:pt>
                <c:pt idx="2">
                  <c:v>770</c:v>
                </c:pt>
                <c:pt idx="3" c:formatCode="#,##0">
                  <c:v>1027</c:v>
                </c:pt>
              </c:numCache>
            </c:numRef>
          </c:val>
        </c:ser>
        <c:dLbls>
          <c:showLegendKey val="0"/>
          <c:showVal val="0"/>
          <c:showCatName val="0"/>
          <c:showSerName val="0"/>
          <c:showPercent val="0"/>
          <c:showBubbleSize val="0"/>
        </c:dLbls>
        <c:gapWidth val="219"/>
        <c:overlap val="-27"/>
        <c:axId val="1711145183"/>
        <c:axId val="1711146143"/>
      </c:barChart>
      <c:catAx>
        <c:axId val="17111451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711146143"/>
        <c:crosses val="autoZero"/>
        <c:auto val="1"/>
        <c:lblAlgn val="ctr"/>
        <c:lblOffset val="100"/>
        <c:noMultiLvlLbl val="0"/>
      </c:catAx>
      <c:valAx>
        <c:axId val="171114614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71114518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151698da-ba86-49f4-ba52-9b3a65dc470b}"/>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Sheet1!$B$27</c:f>
              <c:strCache>
                <c:ptCount val="1"/>
                <c:pt idx="0">
                  <c:v>民用直升机</c:v>
                </c:pt>
              </c:strCache>
            </c:strRef>
          </c:tx>
          <c:spPr>
            <a:solidFill>
              <a:schemeClr val="accent1">
                <a:lumMod val="75000"/>
              </a:schemeClr>
            </a:solidFill>
            <a:ln>
              <a:noFill/>
            </a:ln>
            <a:effectLst/>
          </c:spPr>
          <c:invertIfNegative val="0"/>
          <c:dLbls>
            <c:delete val="1"/>
          </c:dLbls>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Sheet1!$B$28:$B$35</c:f>
              <c:numCache>
                <c:formatCode>General</c:formatCode>
                <c:ptCount val="8"/>
                <c:pt idx="0">
                  <c:v>169</c:v>
                </c:pt>
                <c:pt idx="1">
                  <c:v>199</c:v>
                </c:pt>
                <c:pt idx="2">
                  <c:v>181</c:v>
                </c:pt>
                <c:pt idx="3">
                  <c:v>276</c:v>
                </c:pt>
                <c:pt idx="4">
                  <c:v>170</c:v>
                </c:pt>
                <c:pt idx="5">
                  <c:v>183</c:v>
                </c:pt>
                <c:pt idx="6">
                  <c:v>176</c:v>
                </c:pt>
                <c:pt idx="7">
                  <c:v>276</c:v>
                </c:pt>
              </c:numCache>
            </c:numRef>
          </c:val>
        </c:ser>
        <c:ser>
          <c:idx val="1"/>
          <c:order val="1"/>
          <c:tx>
            <c:strRef>
              <c:f>Sheet1!$C$27</c:f>
              <c:strCache>
                <c:ptCount val="1"/>
                <c:pt idx="0">
                  <c:v>商用直升机</c:v>
                </c:pt>
              </c:strCache>
            </c:strRef>
          </c:tx>
          <c:spPr>
            <a:solidFill>
              <a:schemeClr val="accent3"/>
            </a:solidFill>
            <a:ln>
              <a:noFill/>
            </a:ln>
            <a:effectLst/>
          </c:spPr>
          <c:invertIfNegative val="0"/>
          <c:dLbls>
            <c:delete val="1"/>
          </c:dLbls>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Sheet1!$C$28:$C$35</c:f>
              <c:numCache>
                <c:formatCode>General</c:formatCode>
                <c:ptCount val="8"/>
                <c:pt idx="0">
                  <c:v>15</c:v>
                </c:pt>
                <c:pt idx="1">
                  <c:v>33</c:v>
                </c:pt>
                <c:pt idx="2">
                  <c:v>36</c:v>
                </c:pt>
                <c:pt idx="3">
                  <c:v>47</c:v>
                </c:pt>
                <c:pt idx="4">
                  <c:v>17</c:v>
                </c:pt>
                <c:pt idx="5">
                  <c:v>33</c:v>
                </c:pt>
                <c:pt idx="6">
                  <c:v>33</c:v>
                </c:pt>
                <c:pt idx="7">
                  <c:v>50</c:v>
                </c:pt>
              </c:numCache>
            </c:numRef>
          </c:val>
        </c:ser>
        <c:dLbls>
          <c:showLegendKey val="0"/>
          <c:showVal val="0"/>
          <c:showCatName val="0"/>
          <c:showSerName val="0"/>
          <c:showPercent val="0"/>
          <c:showBubbleSize val="0"/>
        </c:dLbls>
        <c:gapWidth val="219"/>
        <c:overlap val="-27"/>
        <c:axId val="54871647"/>
        <c:axId val="54872127"/>
      </c:barChart>
      <c:catAx>
        <c:axId val="548716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54872127"/>
        <c:crosses val="autoZero"/>
        <c:auto val="1"/>
        <c:lblAlgn val="ctr"/>
        <c:lblOffset val="100"/>
        <c:noMultiLvlLbl val="0"/>
      </c:catAx>
      <c:valAx>
        <c:axId val="5487212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54871647"/>
        <c:crosses val="autoZero"/>
        <c:crossBetween val="between"/>
      </c:valAx>
      <c:spPr>
        <a:noFill/>
        <a:ln>
          <a:noFill/>
        </a:ln>
        <a:effectLst/>
      </c:spPr>
    </c:plotArea>
    <c:legend>
      <c:legendPos val="b"/>
      <c:layout>
        <c:manualLayout>
          <c:xMode val="edge"/>
          <c:yMode val="edge"/>
          <c:x val="0.109111111111111"/>
          <c:y val="0.903194444444444"/>
          <c:w val="0.834555555555556"/>
          <c:h val="0.069027777777777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188fe82a-1d68-48f1-a33f-f79dfc7320ce}"/>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Sheet1!$B$59</c:f>
              <c:strCache>
                <c:ptCount val="1"/>
                <c:pt idx="0">
                  <c:v>喷气机</c:v>
                </c:pt>
              </c:strCache>
            </c:strRef>
          </c:tx>
          <c:spPr>
            <a:solidFill>
              <a:schemeClr val="accent1">
                <a:lumMod val="75000"/>
              </a:schemeClr>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Sheet1!$B$60:$B$67</c:f>
              <c:numCache>
                <c:formatCode>General</c:formatCode>
                <c:ptCount val="8"/>
                <c:pt idx="0">
                  <c:v>127</c:v>
                </c:pt>
                <c:pt idx="1">
                  <c:v>195</c:v>
                </c:pt>
                <c:pt idx="2">
                  <c:v>179</c:v>
                </c:pt>
                <c:pt idx="3">
                  <c:v>263</c:v>
                </c:pt>
                <c:pt idx="4">
                  <c:v>141</c:v>
                </c:pt>
                <c:pt idx="5">
                  <c:v>213</c:v>
                </c:pt>
                <c:pt idx="6">
                  <c:v>200</c:v>
                </c:pt>
                <c:pt idx="7">
                  <c:v>300</c:v>
                </c:pt>
              </c:numCache>
            </c:numRef>
          </c:val>
        </c:ser>
        <c:ser>
          <c:idx val="1"/>
          <c:order val="1"/>
          <c:tx>
            <c:strRef>
              <c:f>Sheet1!$C$59</c:f>
              <c:strCache>
                <c:ptCount val="1"/>
                <c:pt idx="0">
                  <c:v>活塞飞机</c:v>
                </c:pt>
              </c:strCache>
            </c:strRef>
          </c:tx>
          <c:spPr>
            <a:solidFill>
              <a:schemeClr val="bg2">
                <a:lumMod val="25000"/>
              </a:schemeClr>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Sheet1!$C$60:$C$67</c:f>
              <c:numCache>
                <c:formatCode>General</c:formatCode>
                <c:ptCount val="8"/>
                <c:pt idx="0">
                  <c:v>296</c:v>
                </c:pt>
                <c:pt idx="1">
                  <c:v>475</c:v>
                </c:pt>
                <c:pt idx="2">
                  <c:v>462</c:v>
                </c:pt>
                <c:pt idx="3">
                  <c:v>539</c:v>
                </c:pt>
                <c:pt idx="4">
                  <c:v>358</c:v>
                </c:pt>
                <c:pt idx="5">
                  <c:v>453</c:v>
                </c:pt>
                <c:pt idx="6">
                  <c:v>427</c:v>
                </c:pt>
                <c:pt idx="7">
                  <c:v>544</c:v>
                </c:pt>
              </c:numCache>
            </c:numRef>
          </c:val>
        </c:ser>
        <c:ser>
          <c:idx val="2"/>
          <c:order val="2"/>
          <c:tx>
            <c:strRef>
              <c:f>Sheet1!$D$59</c:f>
              <c:strCache>
                <c:ptCount val="1"/>
                <c:pt idx="0">
                  <c:v>涡轮螺旋桨</c:v>
                </c:pt>
              </c:strCache>
            </c:strRef>
          </c:tx>
          <c:spPr>
            <a:solidFill>
              <a:schemeClr val="accent3"/>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Sheet1!$D$60:$D$67</c:f>
              <c:numCache>
                <c:formatCode>General</c:formatCode>
                <c:ptCount val="8"/>
                <c:pt idx="0">
                  <c:v>108</c:v>
                </c:pt>
                <c:pt idx="1">
                  <c:v>172</c:v>
                </c:pt>
                <c:pt idx="2">
                  <c:v>155</c:v>
                </c:pt>
                <c:pt idx="3">
                  <c:v>191</c:v>
                </c:pt>
                <c:pt idx="4">
                  <c:v>133</c:v>
                </c:pt>
                <c:pt idx="5">
                  <c:v>135</c:v>
                </c:pt>
                <c:pt idx="6">
                  <c:v>141</c:v>
                </c:pt>
                <c:pt idx="7">
                  <c:v>185</c:v>
                </c:pt>
              </c:numCache>
            </c:numRef>
          </c:val>
        </c:ser>
        <c:dLbls>
          <c:showLegendKey val="0"/>
          <c:showVal val="0"/>
          <c:showCatName val="0"/>
          <c:showSerName val="0"/>
          <c:showPercent val="0"/>
          <c:showBubbleSize val="0"/>
        </c:dLbls>
        <c:gapWidth val="219"/>
        <c:overlap val="-27"/>
        <c:axId val="780827119"/>
        <c:axId val="780826639"/>
      </c:barChart>
      <c:catAx>
        <c:axId val="780827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780826639"/>
        <c:crosses val="autoZero"/>
        <c:auto val="1"/>
        <c:lblAlgn val="ctr"/>
        <c:lblOffset val="100"/>
        <c:noMultiLvlLbl val="0"/>
      </c:catAx>
      <c:valAx>
        <c:axId val="78082663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78082711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6d097d64-da7e-40a5-b085-95232fdf6c3d}"/>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Sheet1!$B$44</c:f>
              <c:strCache>
                <c:ptCount val="1"/>
                <c:pt idx="0">
                  <c:v>活塞直升机</c:v>
                </c:pt>
              </c:strCache>
            </c:strRef>
          </c:tx>
          <c:spPr>
            <a:solidFill>
              <a:schemeClr val="accent1">
                <a:lumMod val="75000"/>
              </a:schemeClr>
            </a:solidFill>
            <a:ln>
              <a:noFill/>
            </a:ln>
            <a:effectLst/>
          </c:spPr>
          <c:invertIfNegative val="0"/>
          <c:dLbls>
            <c:delete val="1"/>
          </c:dLbls>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Sheet1!$B$45:$B$52</c:f>
              <c:numCache>
                <c:formatCode>General</c:formatCode>
                <c:ptCount val="8"/>
                <c:pt idx="0">
                  <c:v>53</c:v>
                </c:pt>
                <c:pt idx="1">
                  <c:v>54</c:v>
                </c:pt>
                <c:pt idx="2">
                  <c:v>48</c:v>
                </c:pt>
                <c:pt idx="3">
                  <c:v>55</c:v>
                </c:pt>
                <c:pt idx="4">
                  <c:v>54</c:v>
                </c:pt>
                <c:pt idx="5">
                  <c:v>50</c:v>
                </c:pt>
                <c:pt idx="6">
                  <c:v>45</c:v>
                </c:pt>
                <c:pt idx="7">
                  <c:v>57</c:v>
                </c:pt>
              </c:numCache>
            </c:numRef>
          </c:val>
        </c:ser>
        <c:ser>
          <c:idx val="1"/>
          <c:order val="1"/>
          <c:tx>
            <c:strRef>
              <c:f>Sheet1!$C$44</c:f>
              <c:strCache>
                <c:ptCount val="1"/>
                <c:pt idx="0">
                  <c:v>涡轮直升机</c:v>
                </c:pt>
              </c:strCache>
            </c:strRef>
          </c:tx>
          <c:spPr>
            <a:solidFill>
              <a:schemeClr val="accent3"/>
            </a:solidFill>
            <a:ln>
              <a:noFill/>
            </a:ln>
            <a:effectLst/>
          </c:spPr>
          <c:invertIfNegative val="0"/>
          <c:dLbls>
            <c:delete val="1"/>
          </c:dLbls>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Sheet1!$C$45:$C$52</c:f>
              <c:numCache>
                <c:formatCode>General</c:formatCode>
                <c:ptCount val="8"/>
                <c:pt idx="0">
                  <c:v>131</c:v>
                </c:pt>
                <c:pt idx="1">
                  <c:v>178</c:v>
                </c:pt>
                <c:pt idx="2">
                  <c:v>169</c:v>
                </c:pt>
                <c:pt idx="3">
                  <c:v>347</c:v>
                </c:pt>
                <c:pt idx="4">
                  <c:v>133</c:v>
                </c:pt>
                <c:pt idx="5">
                  <c:v>166</c:v>
                </c:pt>
                <c:pt idx="6">
                  <c:v>164</c:v>
                </c:pt>
                <c:pt idx="7">
                  <c:v>269</c:v>
                </c:pt>
              </c:numCache>
            </c:numRef>
          </c:val>
        </c:ser>
        <c:dLbls>
          <c:showLegendKey val="0"/>
          <c:showVal val="0"/>
          <c:showCatName val="0"/>
          <c:showSerName val="0"/>
          <c:showPercent val="0"/>
          <c:showBubbleSize val="0"/>
        </c:dLbls>
        <c:gapWidth val="219"/>
        <c:overlap val="-27"/>
        <c:axId val="92512655"/>
        <c:axId val="92514575"/>
      </c:barChart>
      <c:catAx>
        <c:axId val="92512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2514575"/>
        <c:crosses val="autoZero"/>
        <c:auto val="1"/>
        <c:lblAlgn val="ctr"/>
        <c:lblOffset val="100"/>
        <c:noMultiLvlLbl val="0"/>
      </c:catAx>
      <c:valAx>
        <c:axId val="92514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2512655"/>
        <c:crosses val="autoZero"/>
        <c:crossBetween val="between"/>
      </c:valAx>
      <c:spPr>
        <a:noFill/>
        <a:ln w="25400">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25a68daf-1f82-4556-8fea-6ac8b816ff9f}"/>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8">
  <a:schemeClr val="accent5"/>
</cs:colorStyle>
</file>

<file path=word/charts/colors7.xml><?xml version="1.0" encoding="utf-8"?>
<cs:colorStyle xmlns:cs="http://schemas.microsoft.com/office/drawing/2012/chartStyle" xmlns:a="http://schemas.openxmlformats.org/drawingml/2006/main" meth="withinLinear" id="18">
  <a:schemeClr val="accent5"/>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Fifth Edition"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BD6CBB-6617-4FF7-953A-408A28C97626}">
  <ds:schemaRefs/>
</ds:datastoreItem>
</file>

<file path=docProps/app.xml><?xml version="1.0" encoding="utf-8"?>
<Properties xmlns="http://schemas.openxmlformats.org/officeDocument/2006/extended-properties" xmlns:vt="http://schemas.openxmlformats.org/officeDocument/2006/docPropsVTypes">
  <Template>Normal</Template>
  <Company>Japaninvest</Company>
  <Pages>14</Pages>
  <Words>8866</Words>
  <Characters>18847</Characters>
  <Lines>312</Lines>
  <Paragraphs>154</Paragraphs>
  <TotalTime>2</TotalTime>
  <ScaleCrop>false</ScaleCrop>
  <LinksUpToDate>false</LinksUpToDate>
  <CharactersWithSpaces>20953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2026-03-19T05:17:00Z</dcterms:created>
  <dc:creator>zhoulinhong</dc:creator>
  <cp:lastModifiedBy>微信用户</cp:lastModifiedBy>
  <cp:lastPrinted>2019-08-09T20:02:00Z</cp:lastPrinted>
  <dcterms:modified xsi:type="dcterms:W3CDTF">2026-03-20T08:35:20Z</dcterms:modified>
  <dc:title>Sector note</dc:title>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6</vt:lpwstr>
  </property>
  <property fmtid="{D5CDD505-2E9C-101B-9397-08002B2CF9AE}" pid="50" name="versiontype">
    <vt:lpwstr>HTI_Event_CN</vt:lpwstr>
  </property>
  <property fmtid="{D5CDD505-2E9C-101B-9397-08002B2CF9AE}" pid="51" name="version">
    <vt:lpwstr>1.0</vt:lpwstr>
  </property>
  <property fmtid="{D5CDD505-2E9C-101B-9397-08002B2CF9AE}" pid="52" name="typeId">
    <vt:lpwstr>2</vt:lpwstr>
  </property>
  <property fmtid="{D5CDD505-2E9C-101B-9397-08002B2CF9AE}" pid="53" name="analysts">
    <vt:lpwstr>System.Collections.ArrayList</vt:lpwstr>
  </property>
  <property fmtid="{D5CDD505-2E9C-101B-9397-08002B2CF9AE}" pid="54" name="analystids">
    <vt:lpwstr>2,77</vt:lpwstr>
  </property>
  <property fmtid="{D5CDD505-2E9C-101B-9397-08002B2CF9AE}" pid="55" name="sectorinfo">
    <vt:lpwstr>Custom Sector1</vt:lpwstr>
  </property>
  <property fmtid="{D5CDD505-2E9C-101B-9397-08002B2CF9AE}" pid="56" name="reportid">
    <vt:lpwstr/>
  </property>
  <property fmtid="{D5CDD505-2E9C-101B-9397-08002B2CF9AE}" pid="57" name="reporttitle">
    <vt:lpwstr/>
  </property>
  <property fmtid="{D5CDD505-2E9C-101B-9397-08002B2CF9AE}" pid="58" name="KSOTemplateDocerSaveRecord">
    <vt:lpwstr>eyJoZGlkIjoiN2YzNjBkOTgyNWQ1YTMxYzM3MzMwNWFiODNmOWIzYWMiLCJ1c2VySWQiOiIxMjgyNzI4NjcyIn0=</vt:lpwstr>
  </property>
  <property fmtid="{D5CDD505-2E9C-101B-9397-08002B2CF9AE}" pid="59" name="KSOProductBuildVer">
    <vt:lpwstr>2052-12.1.0.24034</vt:lpwstr>
  </property>
  <property fmtid="{D5CDD505-2E9C-101B-9397-08002B2CF9AE}" pid="60" name="ICV">
    <vt:lpwstr>C9113695ED420E7CAB14A169B70C16E7_43</vt:lpwstr>
  </property>
</Properties>
</file>