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西锐飞机</w:t>
            </w:r>
            <w:r>
              <w:rPr>
                <w:rFonts w:eastAsia="楷体_GB2312" w:cs="Calibri"/>
                <w:sz w:val="40"/>
                <w:szCs w:val="40"/>
                <w:lang w:eastAsia="zh-CN"/>
              </w:rPr>
              <w:t xml:space="preserve"> (2507.HK)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首次覆盖：</w:t>
            </w:r>
            <w:r>
              <w:rPr>
                <w:rFonts w:eastAsia="楷体_GB2312" w:cs="Calibri"/>
                <w:b w:val="0"/>
                <w:color w:val="23558C"/>
                <w:lang w:eastAsia="zh-CN"/>
              </w:rPr>
              <w:t>安全、创新与强大生态系统铸就</w:t>
            </w:r>
            <w:r>
              <w:rPr>
                <w:rFonts w:hint="eastAsia" w:eastAsia="楷体_GB2312" w:cs="Calibri"/>
                <w:b w:val="0"/>
                <w:color w:val="23558C"/>
                <w:lang w:eastAsia="zh-CN"/>
              </w:rPr>
              <w:t>西锐</w:t>
            </w:r>
            <w:r>
              <w:rPr>
                <w:rFonts w:hint="eastAsia" w:eastAsia="楷体_GB2312" w:cs="Calibri"/>
                <w:b w:val="0"/>
                <w:color w:val="23558C"/>
              </w:rPr>
              <w:t>私人航空全球领导者</w:t>
            </w:r>
            <w:r>
              <w:rPr>
                <w:rFonts w:hint="eastAsia" w:eastAsia="楷体_GB2312" w:cs="Calibri"/>
                <w:b w:val="0"/>
                <w:color w:val="23558C"/>
                <w:lang w:eastAsia="zh-CN"/>
              </w:rPr>
              <w:t>地位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OUTPERFORM</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60.40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86.72</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22.11bn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365.99mn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73.40-20.50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注：现价60.40为2026 年 01 月 15 日收盘价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西锐飞机是私人航空业的先驱和全球领导者。</w:t>
            </w:r>
            <w:r>
              <w:rPr>
                <w:rFonts w:hint="eastAsia" w:ascii="楷体" w:hAnsi="楷体" w:eastAsia="楷体" w:cs="Calibri"/>
                <w:lang w:eastAsia="zh-CN"/>
              </w:rPr>
              <w:t>自</w:t>
            </w:r>
            <w:r>
              <w:rPr>
                <w:rFonts w:ascii="楷体" w:hAnsi="楷体" w:eastAsia="楷体" w:cs="Calibri"/>
                <w:lang w:eastAsia="zh-CN"/>
              </w:rPr>
              <w:t>1984</w:t>
            </w:r>
            <w:r>
              <w:rPr>
                <w:rFonts w:hint="eastAsia" w:ascii="楷体" w:hAnsi="楷体" w:eastAsia="楷体" w:cs="Calibri"/>
                <w:lang w:eastAsia="zh-CN"/>
              </w:rPr>
              <w:t>年成立以来，西锐飞机彻底革新了个人航空领域，在全球范围内累计交付了超过</w:t>
            </w:r>
            <w:r>
              <w:rPr>
                <w:rFonts w:ascii="楷体" w:hAnsi="楷体" w:eastAsia="楷体" w:cs="Calibri"/>
                <w:lang w:eastAsia="zh-CN"/>
              </w:rPr>
              <w:t>10,000</w:t>
            </w:r>
            <w:r>
              <w:rPr>
                <w:rFonts w:hint="eastAsia" w:ascii="楷体" w:hAnsi="楷体" w:eastAsia="楷体" w:cs="Calibri"/>
                <w:lang w:eastAsia="zh-CN"/>
              </w:rPr>
              <w:t>架</w:t>
            </w:r>
            <w:r>
              <w:rPr>
                <w:rFonts w:ascii="楷体" w:hAnsi="楷体" w:eastAsia="楷体" w:cs="Calibri"/>
                <w:lang w:eastAsia="zh-CN"/>
              </w:rPr>
              <w:t>SR2X</w:t>
            </w:r>
            <w:r>
              <w:rPr>
                <w:rFonts w:hint="eastAsia" w:ascii="楷体" w:hAnsi="楷体" w:eastAsia="楷体" w:cs="Calibri"/>
                <w:lang w:eastAsia="zh-CN"/>
              </w:rPr>
              <w:t>系列飞机和超过</w:t>
            </w:r>
            <w:r>
              <w:rPr>
                <w:rFonts w:ascii="楷体" w:hAnsi="楷体" w:eastAsia="楷体" w:cs="Calibri"/>
                <w:lang w:eastAsia="zh-CN"/>
              </w:rPr>
              <w:t>600</w:t>
            </w:r>
            <w:r>
              <w:rPr>
                <w:rFonts w:hint="eastAsia" w:ascii="楷体" w:hAnsi="楷体" w:eastAsia="楷体" w:cs="Calibri"/>
                <w:lang w:eastAsia="zh-CN"/>
              </w:rPr>
              <w:t>架</w:t>
            </w:r>
            <w:r>
              <w:rPr>
                <w:rFonts w:ascii="楷体" w:hAnsi="楷体" w:eastAsia="楷体" w:cs="Calibri"/>
                <w:lang w:eastAsia="zh-CN"/>
              </w:rPr>
              <w:t>Vision Jet</w:t>
            </w:r>
            <w:r>
              <w:rPr>
                <w:rFonts w:hint="eastAsia" w:ascii="楷体" w:hAnsi="楷体" w:eastAsia="楷体" w:cs="Calibri"/>
                <w:lang w:eastAsia="zh-CN"/>
              </w:rPr>
              <w:t>。截至</w:t>
            </w:r>
            <w:r>
              <w:rPr>
                <w:rFonts w:ascii="楷体" w:hAnsi="楷体" w:eastAsia="楷体" w:cs="Calibri"/>
                <w:lang w:eastAsia="zh-CN"/>
              </w:rPr>
              <w:t>2024</w:t>
            </w:r>
            <w:r>
              <w:rPr>
                <w:rFonts w:hint="eastAsia" w:ascii="楷体" w:hAnsi="楷体" w:eastAsia="楷体" w:cs="Calibri"/>
                <w:lang w:eastAsia="zh-CN"/>
              </w:rPr>
              <w:t>年底，该公司在私人航空领域占据主导地位，市场份额高达</w:t>
            </w:r>
            <w:r>
              <w:rPr>
                <w:rFonts w:ascii="楷体" w:hAnsi="楷体" w:eastAsia="楷体" w:cs="Calibri"/>
                <w:lang w:eastAsia="zh-CN"/>
              </w:rPr>
              <w:t>23.2%</w:t>
            </w:r>
            <w:r>
              <w:rPr>
                <w:rFonts w:hint="eastAsia" w:ascii="楷体" w:hAnsi="楷体" w:eastAsia="楷体" w:cs="Calibri"/>
                <w:lang w:eastAsia="zh-CN"/>
              </w:rPr>
              <w:t>。在财务表现方面，西锐展现出强劲的营收增长能力，从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5.87</w:t>
            </w:r>
            <w:r>
              <w:rPr>
                <w:rFonts w:hint="eastAsia" w:ascii="楷体" w:hAnsi="楷体" w:eastAsia="楷体" w:cs="Calibri"/>
                <w:lang w:eastAsia="zh-CN"/>
              </w:rPr>
              <w:t>亿美元大幅增长至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11.97</w:t>
            </w:r>
            <w:r>
              <w:rPr>
                <w:rFonts w:hint="eastAsia" w:ascii="楷体" w:hAnsi="楷体" w:eastAsia="楷体" w:cs="Calibri"/>
                <w:lang w:eastAsia="zh-CN"/>
              </w:rPr>
              <w:t>亿美元；净利润同期从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3600</w:t>
            </w:r>
            <w:r>
              <w:rPr>
                <w:rFonts w:hint="eastAsia" w:ascii="楷体" w:hAnsi="楷体" w:eastAsia="楷体" w:cs="Calibri"/>
                <w:lang w:eastAsia="zh-CN"/>
              </w:rPr>
              <w:t>万美元飙升至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1.21</w:t>
            </w:r>
            <w:r>
              <w:rPr>
                <w:rFonts w:hint="eastAsia" w:ascii="楷体" w:hAnsi="楷体" w:eastAsia="楷体" w:cs="Calibri"/>
                <w:lang w:eastAsia="zh-CN"/>
              </w:rPr>
              <w:t>亿美元，净利润复合年均增长率（</w:t>
            </w:r>
            <w:r>
              <w:rPr>
                <w:rFonts w:ascii="楷体" w:hAnsi="楷体" w:eastAsia="楷体" w:cs="Calibri"/>
                <w:lang w:eastAsia="zh-CN"/>
              </w:rPr>
              <w:t>CAGR</w:t>
            </w:r>
            <w:r>
              <w:rPr>
                <w:rFonts w:hint="eastAsia" w:ascii="楷体" w:hAnsi="楷体" w:eastAsia="楷体" w:cs="Calibri"/>
                <w:lang w:eastAsia="zh-CN"/>
              </w:rPr>
              <w:t>）高达</w:t>
            </w:r>
            <w:r>
              <w:rPr>
                <w:rFonts w:ascii="楷体" w:hAnsi="楷体" w:eastAsia="楷体" w:cs="Calibri"/>
                <w:lang w:eastAsia="zh-CN"/>
              </w:rPr>
              <w:t>32.3%</w:t>
            </w:r>
            <w:r>
              <w:rPr>
                <w:rFonts w:hint="eastAsia" w:ascii="楷体" w:hAnsi="楷体" w:eastAsia="楷体" w:cs="Calibri"/>
                <w:lang w:eastAsia="zh-CN"/>
              </w:rPr>
              <w:t>。净利率也从</w:t>
            </w:r>
            <w:r>
              <w:rPr>
                <w:rFonts w:ascii="楷体" w:hAnsi="楷体" w:eastAsia="楷体" w:cs="Calibri"/>
                <w:lang w:eastAsia="zh-CN"/>
              </w:rPr>
              <w:t>202</w:t>
            </w:r>
            <w:r>
              <w:rPr>
                <w:rFonts w:hint="eastAsia" w:ascii="楷体" w:hAnsi="楷体" w:eastAsia="楷体" w:cs="Calibri"/>
                <w:lang w:eastAsia="zh-CN"/>
              </w:rPr>
              <w:t>0年的6.2%提高到2024年的10.1%。</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我们预计西锐飞机在2025年至2027年期间的收入将分别达到14.</w:t>
            </w:r>
            <w:r>
              <w:rPr>
                <w:rFonts w:hint="eastAsia" w:ascii="楷体" w:hAnsi="楷体" w:eastAsia="楷体" w:cs="Calibri"/>
                <w:snapToGrid/>
                <w:szCs w:val="20"/>
                <w:lang w:eastAsia="zh-CN"/>
              </w:rPr>
              <w:t>26/</w:t>
            </w:r>
            <w:r>
              <w:rPr>
                <w:rFonts w:ascii="楷体" w:hAnsi="楷体" w:eastAsia="楷体" w:cs="Calibri"/>
                <w:snapToGrid/>
                <w:szCs w:val="20"/>
                <w:lang w:eastAsia="zh-CN"/>
              </w:rPr>
              <w:t>16.46</w:t>
            </w:r>
            <w:r>
              <w:rPr>
                <w:rFonts w:hint="eastAsia" w:ascii="楷体" w:hAnsi="楷体" w:eastAsia="楷体" w:cs="Calibri"/>
                <w:snapToGrid/>
                <w:szCs w:val="20"/>
                <w:lang w:eastAsia="zh-CN"/>
              </w:rPr>
              <w:t>/</w:t>
            </w:r>
            <w:r>
              <w:rPr>
                <w:rFonts w:ascii="楷体" w:hAnsi="楷体" w:eastAsia="楷体" w:cs="Calibri"/>
                <w:snapToGrid/>
                <w:szCs w:val="20"/>
                <w:lang w:eastAsia="zh-CN"/>
              </w:rPr>
              <w:t>19.28亿美元，净利润分别为1.</w:t>
            </w:r>
            <w:r>
              <w:rPr>
                <w:rFonts w:hint="eastAsia" w:ascii="楷体" w:hAnsi="楷体" w:eastAsia="楷体" w:cs="Calibri"/>
                <w:snapToGrid/>
                <w:szCs w:val="20"/>
                <w:lang w:eastAsia="zh-CN"/>
              </w:rPr>
              <w:t>62/</w:t>
            </w:r>
            <w:r>
              <w:rPr>
                <w:rFonts w:ascii="楷体" w:hAnsi="楷体" w:eastAsia="楷体" w:cs="Calibri"/>
                <w:snapToGrid/>
                <w:szCs w:val="20"/>
                <w:lang w:eastAsia="zh-CN"/>
              </w:rPr>
              <w:t>1.9</w:t>
            </w:r>
            <w:r>
              <w:rPr>
                <w:rFonts w:hint="eastAsia" w:ascii="楷体" w:hAnsi="楷体" w:eastAsia="楷体" w:cs="Calibri"/>
                <w:snapToGrid/>
                <w:szCs w:val="20"/>
                <w:lang w:eastAsia="zh-CN"/>
              </w:rPr>
              <w:t>9/</w:t>
            </w:r>
            <w:r>
              <w:rPr>
                <w:rFonts w:ascii="楷体" w:hAnsi="楷体" w:eastAsia="楷体" w:cs="Calibri"/>
                <w:snapToGrid/>
                <w:szCs w:val="20"/>
                <w:lang w:eastAsia="zh-CN"/>
              </w:rPr>
              <w:t>2.</w:t>
            </w:r>
            <w:r>
              <w:rPr>
                <w:rFonts w:hint="eastAsia" w:ascii="楷体" w:hAnsi="楷体" w:eastAsia="楷体" w:cs="Calibri"/>
                <w:snapToGrid/>
                <w:szCs w:val="20"/>
                <w:lang w:eastAsia="zh-CN"/>
              </w:rPr>
              <w:t>42</w:t>
            </w:r>
            <w:r>
              <w:rPr>
                <w:rFonts w:ascii="楷体" w:hAnsi="楷体" w:eastAsia="楷体" w:cs="Calibri"/>
                <w:snapToGrid/>
                <w:szCs w:val="20"/>
                <w:lang w:eastAsia="zh-CN"/>
              </w:rPr>
              <w:t>亿美元。基于贴现现金流（DCF）估值模型，我们首次覆盖并给予“优于大市”评级，目标价为</w:t>
            </w:r>
            <w:r>
              <w:rPr>
                <w:rFonts w:hint="eastAsia" w:ascii="楷体" w:hAnsi="楷体" w:eastAsia="楷体" w:cs="Calibri"/>
                <w:snapToGrid/>
                <w:szCs w:val="20"/>
                <w:lang w:eastAsia="zh-CN"/>
              </w:rPr>
              <w:t>11.12美元（对应港币86.72元）。</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pPr>
              <w:pStyle w:val="55"/>
              <w:jc w:val="both"/>
              <w:rPr>
                <w:rFonts w:hint="default" w:ascii="楷体" w:hAnsi="楷体" w:eastAsia="楷体" w:cs="Calibri"/>
                <w:snapToGrid/>
                <w:sz w:val="20"/>
                <w:szCs w:val="20"/>
                <w:lang w:val="en-IE" w:eastAsia="zh-CN"/>
              </w:rPr>
            </w:pPr>
            <w:r>
              <w:rPr>
                <w:rFonts w:ascii="楷体" w:hAnsi="楷体" w:eastAsia="楷体" w:cs="Calibri"/>
                <w:snapToGrid/>
                <w:sz w:val="20"/>
                <w:szCs w:val="20"/>
              </w:rPr>
              <w:t>原材料价格波动；供应链中断；市场竞争加剧；客户需求变化；政策变化.</w:t>
            </w: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_GB2312" w:cs="Calibri"/>
                    </w:rPr>
                  </w:pPr>
                  <w:r>
                    <w:rPr>
                      <w:rFonts w:hint="default" w:ascii="Calibri" w:hAnsi="Calibri" w:eastAsia="楷体_GB2312" w:cs="Calibri"/>
                      <w:b/>
                      <w:bCs/>
                      <w:snapToGrid w:val="0"/>
                      <w:color w:val="333333"/>
                      <w:kern w:val="0"/>
                      <w:sz w:val="16"/>
                      <w:szCs w:val="16"/>
                      <w:lang w:val="en-US" w:eastAsia="zh-CN" w:bidi="ar"/>
                    </w:rPr>
                    <w:t>杨斌</w:t>
                  </w:r>
                  <w:r>
                    <w:rPr>
                      <w:rFonts w:hint="eastAsia" w:eastAsia="楷体_GB2312" w:cs="Calibri"/>
                      <w:b/>
                      <w:bCs/>
                      <w:snapToGrid w:val="0"/>
                      <w:color w:val="333333"/>
                      <w:kern w:val="0"/>
                      <w:sz w:val="16"/>
                      <w:szCs w:val="16"/>
                      <w:lang w:val="en-US" w:eastAsia="zh-CN" w:bidi="ar"/>
                    </w:rPr>
                    <w:t xml:space="preserve"> Bin Yang</w:t>
                  </w:r>
                  <w:r>
                    <w:rPr>
                      <w:rFonts w:hint="default" w:ascii="Calibri" w:hAnsi="Calibri" w:eastAsia="宋体" w:cs="Calibri"/>
                      <w:snapToGrid w:val="0"/>
                      <w:color w:val="FFFFFF"/>
                      <w:kern w:val="0"/>
                      <w:sz w:val="16"/>
                      <w:szCs w:val="16"/>
                      <w:lang w:val="en-US" w:eastAsia="zh-CN" w:bidi="ar"/>
                    </w:rPr>
                    <w:t>]</w:t>
                  </w:r>
                  <w:r>
                    <w:rPr>
                      <w:rFonts w:hint="default" w:ascii="Calibri" w:hAnsi="Calibri" w:eastAsia="宋体" w:cs="Calibri"/>
                      <w:b/>
                      <w:bCs/>
                      <w:snapToGrid w:val="0"/>
                      <w:color w:val="000000"/>
                      <w:kern w:val="0"/>
                      <w:sz w:val="16"/>
                      <w:szCs w:val="16"/>
                      <w:lang w:val="en-US" w:eastAsia="zh-CN" w:bidi="ar"/>
                    </w:rPr>
                    <w:t>, SFC:BSQ313</w:t>
                  </w:r>
                </w:p>
              </w:tc>
              <w:tc>
                <w:tcPr>
                  <w:tcW w:w="2551" w:type="dxa"/>
                </w:tcPr>
                <w:p>
                  <w:pPr>
                    <w:pStyle w:val="52"/>
                    <w:framePr w:wrap="auto" w:vAnchor="margin" w:hAnchor="text" w:yAlign="inline"/>
                    <w:rPr>
                      <w:rFonts w:eastAsia="楷体_GB2312" w:cs="等线"/>
                    </w:rPr>
                  </w:pPr>
                </w:p>
              </w:tc>
              <w:tc>
                <w:tcPr>
                  <w:tcW w:w="2693" w:type="dxa"/>
                </w:tcPr>
                <w:p>
                  <w:pPr>
                    <w:pStyle w:val="52"/>
                    <w:framePr w:wrap="auto" w:vAnchor="margin" w:hAnchor="text" w:yAlign="inline"/>
                    <w:rPr>
                      <w:rFonts w:eastAsia="楷体_GB2312" w:cs="等线"/>
                    </w:rPr>
                  </w:pPr>
                </w:p>
              </w:tc>
              <w:tc>
                <w:tcPr>
                  <w:tcW w:w="2694" w:type="dxa"/>
                </w:tcPr>
                <w:p>
                  <w:pPr>
                    <w:pStyle w:val="52"/>
                    <w:framePr w:wrap="auto" w:vAnchor="margin" w:hAnchor="text" w:yAlign="inline"/>
                    <w:rPr>
                      <w:rFonts w:eastAsia="楷体_GB2312" w:cs="等线"/>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pStyle w:val="52"/>
                    <w:framePr w:wrap="auto" w:vAnchor="margin" w:hAnchor="text" w:yAlign="inline"/>
                    <w:rPr>
                      <w:rFonts w:eastAsia="楷体_GB2312" w:cs="等线"/>
                      <w:b w:val="0"/>
                    </w:rPr>
                  </w:pPr>
                  <w:r>
                    <w:rPr>
                      <w:rFonts w:hint="eastAsia" w:eastAsia="楷体_GB2312" w:cs="等线"/>
                      <w:b w:val="0"/>
                    </w:rPr>
                    <w:t>harryyang</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bl>
          <w:p>
            <w:pPr>
              <w:pStyle w:val="56"/>
              <w:spacing w:after="0"/>
              <w:jc w:val="both"/>
              <w:rPr>
                <w:rFonts w:eastAsia="楷体_GB2312" w:cs="Calibri"/>
                <w:bCs/>
                <w:kern w:val="28"/>
                <w:lang w:eastAsia="zh-CN"/>
              </w:rPr>
            </w:pPr>
          </w:p>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rPr>
              <w:rFonts w:cs="Calibri"/>
            </w:rPr>
          </w:pPr>
          <w:r>
            <w:rPr>
              <w:rFonts w:cs="Calibri"/>
              <w:bCs/>
              <w:lang w:val="zh-CN"/>
            </w:rPr>
            <w:fldChar w:fldCharType="end"/>
          </w:r>
        </w:p>
      </w:sdtContent>
    </w:sdt>
    <w:p>
      <w:pPr>
        <w:pStyle w:val="44"/>
        <w:rPr>
          <w:rFonts w:eastAsia="宋体" w:cs="Calibri"/>
          <w:lang w:eastAsia="zh-CN"/>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bookmarkStart w:id="22" w:name="_GoBack"/>
    </w:p>
    <w:p>
      <w:pPr>
        <w:rPr>
          <w:rFonts w:eastAsiaTheme="minorEastAsia"/>
        </w:rPr>
        <w:sectPr>
          <w:headerReference r:id="rId10" w:type="first"/>
          <w:headerReference r:id="rId9" w:type="default"/>
          <w:pgSz w:w="11910" w:h="16840"/>
          <w:pgMar w:top="567" w:right="567" w:bottom="1021" w:left="3600" w:header="567" w:footer="919" w:gutter="0"/>
          <w:cols w:space="425" w:num="1"/>
          <w:titlePg/>
          <w:docGrid w:linePitch="299" w:charSpace="0"/>
        </w:sectPr>
      </w:pPr>
    </w:p>
    <w:bookmarkEnd w:id="22"/>
    <w:p>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0"/>
    </w:p>
    <w:p>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pPr>
              <w:spacing w:before="48" w:beforeLines="20" w:after="48" w:afterLines="20"/>
              <w:jc w:val="center"/>
              <w:textAlignment w:val="center"/>
              <w:rPr>
                <w:rFonts w:hint="eastAsia" w:ascii="楷体" w:hAnsi="楷体" w:eastAsia="楷体" w:cs="楷体"/>
                <w:b/>
                <w:bCs/>
                <w:sz w:val="22"/>
                <w:szCs w:val="22"/>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pPr>
        <w:widowControl w:val="0"/>
        <w:jc w:val="both"/>
        <w:rPr>
          <w:rFonts w:hint="eastAsia" w:eastAsia="楷体" w:asciiTheme="minorHAnsi" w:hAnsiTheme="minorHAnsi" w:cstheme="minorHAnsi"/>
          <w:kern w:val="2"/>
          <w:sz w:val="22"/>
          <w:szCs w:val="22"/>
        </w:rPr>
      </w:pP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pPr>
        <w:widowControl w:val="0"/>
        <w:numPr>
          <w:ilvl w:val="0"/>
          <w:numId w:val="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pPr>
        <w:widowControl w:val="0"/>
        <w:numPr>
          <w:ilvl w:val="0"/>
          <w:numId w:val="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pPr>
        <w:widowControl w:val="0"/>
        <w:jc w:val="both"/>
        <w:rPr>
          <w:rFonts w:eastAsia="楷体" w:cs="Calibri"/>
          <w:kern w:val="2"/>
          <w:sz w:val="22"/>
          <w:szCs w:val="22"/>
        </w:rPr>
      </w:pPr>
    </w:p>
    <w:p>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 w:cs="Calibri"/>
          <w:kern w:val="2"/>
          <w:sz w:val="22"/>
          <w:szCs w:val="22"/>
        </w:rPr>
      </w:pPr>
    </w:p>
    <w:p>
      <w:pPr>
        <w:widowControl w:val="0"/>
        <w:jc w:val="both"/>
        <w:rPr>
          <w:rFonts w:eastAsia="楷体" w:cs="Calibri"/>
          <w:kern w:val="2"/>
          <w:sz w:val="22"/>
          <w:szCs w:val="22"/>
        </w:rPr>
      </w:pPr>
    </w:p>
    <w:p>
      <w:pPr>
        <w:pStyle w:val="37"/>
        <w:numPr>
          <w:ilvl w:val="0"/>
          <w:numId w:val="3"/>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_GB2312" w:cs="Calibri"/>
          <w:kern w:val="2"/>
          <w:sz w:val="20"/>
          <w:szCs w:val="20"/>
        </w:rPr>
      </w:pPr>
    </w:p>
    <w:p>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ascii="楷体" w:hAnsi="楷体" w:eastAsia="楷体" w:cs="楷体"/>
          <w:b/>
          <w:bCs/>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bookmarkEnd w:id="7"/>
    <w:p>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1"/>
    </w:p>
    <w:bookmarkEnd w:id="9"/>
    <w:p>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rPr>
                <w:rFonts w:hint="eastAsia" w:ascii="等线" w:hAnsi="等线"/>
              </w:rPr>
            </w:pPr>
            <w:r>
              <w:rPr>
                <w:rFonts w:hint="eastAsia" w:ascii="等线" w:hAnsi="等线"/>
              </w:rPr>
              <w:drawing>
                <wp:inline distT="0" distB="0" distL="0" distR="0">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pPr>
        <w:widowControl w:val="0"/>
        <w:jc w:val="both"/>
        <w:rPr>
          <w:rFonts w:hint="eastAsia" w:ascii="微软雅黑" w:hAnsi="微软雅黑" w:eastAsia="微软雅黑" w:cs="微软雅黑"/>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pPr>
        <w:pStyle w:val="37"/>
        <w:widowControl w:val="0"/>
        <w:ind w:left="360"/>
        <w:jc w:val="both"/>
        <w:rPr>
          <w:rFonts w:eastAsia="楷体" w:cs="Calibri"/>
          <w:kern w:val="2"/>
          <w:sz w:val="22"/>
          <w:szCs w:val="22"/>
        </w:rPr>
      </w:pP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54134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pPr>
        <w:widowControl w:val="0"/>
        <w:jc w:val="both"/>
        <w:rPr>
          <w:rFonts w:eastAsia="楷体" w:cs="Calibri"/>
          <w:kern w:val="2"/>
          <w:sz w:val="22"/>
          <w:szCs w:val="22"/>
        </w:rPr>
      </w:pP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pPr>
        <w:pStyle w:val="37"/>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pPr>
        <w:jc w:val="both"/>
        <w:rPr>
          <w:rFonts w:hint="eastAsia" w:ascii="微软雅黑" w:hAnsi="微软雅黑" w:eastAsia="微软雅黑" w:cs="微软雅黑"/>
          <w:b/>
          <w:bCs/>
          <w:kern w:val="2"/>
          <w:sz w:val="20"/>
          <w:szCs w:val="20"/>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pPr>
        <w:rPr>
          <w:rFonts w:eastAsia="楷体" w:cs="Calibri"/>
          <w:kern w:val="2"/>
          <w:sz w:val="22"/>
          <w:szCs w:val="22"/>
        </w:rPr>
      </w:pPr>
    </w:p>
    <w:p>
      <w:pPr>
        <w:rPr>
          <w:rFonts w:eastAsia="楷体" w:cs="Calibri"/>
          <w:kern w:val="2"/>
          <w:sz w:val="22"/>
          <w:szCs w:val="22"/>
        </w:rPr>
      </w:pPr>
    </w:p>
    <w:p>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jc w:val="both"/>
        <w:rPr>
          <w:rFonts w:eastAsia="楷体" w:cs="Calibri"/>
          <w:b/>
          <w:bCs/>
          <w:kern w:val="2"/>
          <w:sz w:val="22"/>
          <w:szCs w:val="22"/>
        </w:rPr>
      </w:pPr>
    </w:p>
    <w:p>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pPr>
        <w:jc w:val="both"/>
        <w:rPr>
          <w:rFonts w:eastAsia="楷体" w:cs="Calibr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pPr>
        <w:pStyle w:val="37"/>
        <w:numPr>
          <w:ilvl w:val="0"/>
          <w:numId w:val="7"/>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pPr>
        <w:rPr>
          <w:rFonts w:hint="eastAsia" w:ascii="楷体" w:hAnsi="楷体" w:eastAsia="楷体" w:cs="楷体"/>
          <w:sz w:val="22"/>
          <w:szCs w:val="22"/>
        </w:rPr>
      </w:pPr>
    </w:p>
    <w:p>
      <w:pPr>
        <w:rPr>
          <w:rFonts w:hint="eastAsia" w:eastAsia="楷体" w:asciiTheme="minorHAnsi" w:hAnsiTheme="minorHAnsi" w:cstheme="minorHAnsi"/>
          <w:kern w:val="2"/>
          <w:szCs w:val="22"/>
        </w:rPr>
      </w:pPr>
      <w:r>
        <w:rPr>
          <w:rFonts w:hint="eastAsia" w:ascii="楷体" w:hAnsi="楷体" w:eastAsia="楷体" w:cs="楷体"/>
          <w:sz w:val="22"/>
          <w:szCs w:val="22"/>
        </w:rPr>
        <w:t xml:space="preserve"> </w:t>
      </w:r>
      <w:r>
        <w:rPr>
          <w:rFonts w:eastAsia="楷体" w:cs="Calibri"/>
          <w:kern w:val="2"/>
          <w:szCs w:val="22"/>
        </w:rPr>
        <w:br w:type="textWrapping"/>
      </w: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pPr>
        <w:rPr>
          <w:rFonts w:eastAsia="楷体" w:cs="Calibri"/>
          <w:kern w:val="2"/>
          <w:sz w:val="22"/>
          <w:szCs w:val="22"/>
        </w:rPr>
      </w:pPr>
    </w:p>
    <w:p>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p>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jc w:val="both"/>
        <w:rPr>
          <w:rFonts w:hint="eastAsia" w:eastAsia="楷体" w:asciiTheme="minorHAnsi" w:hAnsiTheme="minorHAnsi" w:cstheme="minorHAnsi"/>
          <w:kern w:val="2"/>
          <w:sz w:val="22"/>
          <w:szCs w:val="22"/>
        </w:rPr>
      </w:pP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0"/>
      <w:r>
        <w:rPr>
          <w:rFonts w:hint="eastAsia" w:ascii="楷体" w:hAnsi="楷体" w:eastAsia="楷体" w:cs="楷体"/>
          <w:b/>
          <w:bCs/>
          <w:color w:val="23558C"/>
          <w:sz w:val="28"/>
          <w:szCs w:val="28"/>
        </w:rPr>
        <w:t>未来展望：增长具备韧性，发展路径清晰</w:t>
      </w:r>
      <w:bookmarkEnd w:id="17"/>
    </w:p>
    <w:p>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pPr>
        <w:jc w:val="both"/>
        <w:rPr>
          <w:rFonts w:eastAsia="楷体" w:cs="Calibri"/>
          <w:sz w:val="22"/>
          <w:szCs w:val="22"/>
        </w:rPr>
      </w:pPr>
    </w:p>
    <w:p>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hint="eastAsia"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宋体" w:cs="Calibri"/>
        </w:rPr>
      </w:pPr>
    </w:p>
    <w:p>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总营收</w:t>
      </w:r>
    </w:p>
    <w:p>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pPr>
        <w:jc w:val="both"/>
        <w:rPr>
          <w:rFonts w:hint="eastAsia" w:ascii="楷体" w:hAnsi="楷体" w:eastAsia="楷体" w:cs="楷体"/>
          <w:b/>
          <w:bCs/>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202024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毛利率</w:t>
      </w:r>
    </w:p>
    <w:p>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pPr>
        <w:jc w:val="both"/>
        <w:rPr>
          <w:rFonts w:hint="eastAsia" w:ascii="楷体" w:hAnsi="楷体" w:eastAsia="楷体" w:cs="楷体"/>
          <w:b/>
          <w:bCs/>
          <w:sz w:val="22"/>
          <w:szCs w:val="22"/>
        </w:rPr>
      </w:pP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pPr>
        <w:jc w:val="both"/>
        <w:rPr>
          <w:rFonts w:hint="eastAsia" w:ascii="楷体" w:hAnsi="楷体" w:eastAsia="楷体" w:cs="楷体"/>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hint="eastAsia" w:eastAsia="楷体_GB2312" w:cs="Calibri"/>
          <w:b/>
          <w:sz w:val="17"/>
        </w:rPr>
      </w:pPr>
    </w:p>
    <w:p>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pPr>
        <w:tabs>
          <w:tab w:val="left" w:pos="871"/>
        </w:tabs>
        <w:rPr>
          <w:rFonts w:hint="eastAsia" w:ascii="楷体" w:hAnsi="楷体" w:eastAsia="楷体" w:cs="楷体"/>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hint="eastAsia" w:ascii="楷体" w:hAnsi="楷体" w:eastAsia="楷体" w:cs="楷体"/>
          <w:sz w:val="22"/>
          <w:szCs w:val="22"/>
        </w:rPr>
        <w:t>原材料价格波动；供应链中断；市场竞争加剧；客户需求和偏好变化；政策执行未达预</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2026-03-25T07:39:43Z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