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50"/>
        <w:gridCol w:w="4294"/>
        <w:gridCol w:w="2062"/>
        <w:gridCol w:w="1243"/>
        <w:gridCol w:w="3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 xml:space="preserve">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xml:space="preserve">2 Apr 2026</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xml:space="preserve">威胜控股 (3393.HK)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xml:space="preserve">首次覆盖：配网投资与AI算力双轮驱动，能源计量龙头再启航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跑赢大市</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40.94</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 xml:space="preserve">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 xml:space="preserve">注：现价为收盘价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hint="default" w:eastAsia="楷体_GB2312" w:cs="Calibri"/>
                      <w:lang w:val="en-US" w:eastAsia="zh-CN"/>
                    </w:rPr>
                  </w:pPr>
                  <w:r>
                    <w:rPr>
                      <w:rFonts w:hint="eastAsia" w:eastAsia="楷体_GB2312" w:cs="Calibri"/>
                      <w:lang w:val="en-US" w:eastAsia="zh-CN"/>
                    </w:rPr>
                    <w:t xml:space="preserve"/>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hint="eastAsia" w:eastAsia="楷体_GB2312" w:cs="Calibri"/>
                      <w:lang w:val="en-US" w:eastAsia="zh-CN"/>
                    </w:rPr>
                    <w:t xml:space="preserve"/>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spacing w:after="240"/>
              <w:rPr>
                <w:rFonts w:hint="eastAsia" w:eastAsia="楷体" w:asciiTheme="minorHAnsi" w:hAnsiTheme="minorHAnsi" w:cstheme="minorHAnsi"/>
                <w:b/>
                <w:snapToGrid w:val="0"/>
                <w:color w:val="23558C"/>
                <w:lang w:eastAsia="zh-CN"/>
              </w:rPr>
            </w:pPr>
            <w:r>
              <w:rPr>
                <w:rFonts w:eastAsia="楷体_GB2312" w:cs="Calibri"/>
                <w:bCs/>
                <w:kern w:val="28"/>
                <w:sz w:val="20"/>
                <w:lang w:eastAsia="zh-CN"/>
              </w:rPr>
              <w:t>(</w:t>
            </w:r>
            <w:r>
              <w:rPr>
                <w:rFonts w:eastAsia="楷体_GB2312" w:cs="Calibri"/>
                <w:bCs/>
                <w:kern w:val="28"/>
                <w:sz w:val="20"/>
              </w:rPr>
              <w:t xml:space="preserve">Please see </w:t>
            </w:r>
            <w:r>
              <w:rPr>
                <w:rFonts w:eastAsia="楷体_GB2312" w:cs="Calibri"/>
                <w:bCs/>
                <w:kern w:val="28"/>
                <w:sz w:val="20"/>
                <w:lang w:eastAsia="zh-CN"/>
              </w:rPr>
              <w:t>APPENDIX 1</w:t>
            </w:r>
            <w:r>
              <w:rPr>
                <w:rFonts w:eastAsia="楷体_GB2312" w:cs="Calibri"/>
                <w:bCs/>
                <w:kern w:val="28"/>
                <w:sz w:val="20"/>
              </w:rPr>
              <w:t xml:space="preserve"> for English summary</w:t>
            </w:r>
            <w:r>
              <w:rPr>
                <w:rFonts w:eastAsia="楷体_GB2312" w:cs="Calibri"/>
                <w:bCs/>
                <w:kern w:val="28"/>
                <w:sz w:val="20"/>
                <w:lang w:eastAsia="zh-CN"/>
              </w:rPr>
              <w:t xml:space="preserve">)</w:t>
            </w:r>
          </w:p>
          <w:p w14:paraId="63F51C88">
            <w:pPr>
              <w:pStyle w:val="56"/>
              <w:jc w:val="both"/>
              <w:rPr>
                <w:rFonts w:eastAsia="楷体" w:cs="Calibri"/>
              </w:rPr>
            </w:pPr>
            <w:r>
              <w:rPr>
                <w:rFonts w:hint="eastAsia" w:eastAsia="楷体" w:cstheme="minorHAnsi"/>
                <w:b/>
                <w:snapToGrid w:val="0"/>
                <w:color w:val="23558C"/>
                <w:lang w:eastAsia="zh-CN"/>
              </w:rPr>
              <w:t>威胜控股</w:t>
            </w:r>
            <w:r>
              <w:rPr>
                <w:rFonts w:eastAsia="楷体" w:cstheme="minorHAnsi"/>
                <w:b/>
                <w:snapToGrid w:val="0"/>
                <w:color w:val="23558C"/>
                <w:lang w:eastAsia="zh-CN"/>
              </w:rPr>
              <w:t>：拥有</w:t>
            </w:r>
            <w:r>
              <w:rPr>
                <w:rFonts w:hint="eastAsia" w:eastAsia="楷体" w:cstheme="minorHAnsi"/>
                <w:b/>
                <w:snapToGrid w:val="0"/>
                <w:color w:val="23558C"/>
                <w:lang w:eastAsia="zh-CN"/>
              </w:rPr>
              <w:t>逾百</w:t>
            </w:r>
            <w:r>
              <w:rPr>
                <w:rFonts w:eastAsia="楷体" w:cstheme="minorHAnsi"/>
                <w:b/>
                <w:snapToGrid w:val="0"/>
                <w:color w:val="23558C"/>
                <w:lang w:eastAsia="zh-CN"/>
              </w:rPr>
              <w:t>年历史的多元化工业巨头</w:t>
            </w:r>
            <w:r>
              <w:rPr>
                <w:rFonts w:hint="eastAsia" w:eastAsia="楷体" w:cstheme="minorHAnsi"/>
                <w:b/>
                <w:snapToGrid w:val="0"/>
                <w:color w:val="23558C"/>
                <w:lang w:eastAsia="zh-CN"/>
              </w:rPr>
              <w:t>。</w:t>
            </w:r>
            <w:r>
              <w:rPr>
                <w:rFonts w:hint="eastAsia" w:eastAsia="楷体" w:cs="Calibri"/>
              </w:rPr>
              <w:t>公司作为中国领先的能源计量及配用电整体解决方案供应商，已构建起智能电网解决方案、数智能效管理解决方案及数字能源服务商三大业务矩阵</w:t>
            </w:r>
            <w:r>
              <w:rPr>
                <w:rFonts w:eastAsia="楷体" w:cs="Calibri"/>
              </w:rPr>
              <w:t xml:space="preserve"> </w:t>
            </w:r>
            <w:r>
              <w:rPr>
                <w:rFonts w:hint="eastAsia" w:eastAsia="楷体" w:cs="Calibri"/>
              </w:rPr>
              <w:t>。通过覆盖“计量—通信—配用电”全链条的产品布局，公司在电力、水务、燃气及大型公建等领域形成了深厚的客户护城河。</w:t>
            </w:r>
          </w:p>
          <w:p w14:paraId="63F51C89">
            <w:pPr>
              <w:pStyle w:val="56"/>
              <w:jc w:val="both"/>
              <w:rPr>
                <w:rFonts w:eastAsia="楷体" w:cs="Calibri"/>
                <w:lang w:eastAsia="zh-CN"/>
              </w:rPr>
            </w:pPr>
            <w:r>
              <w:rPr>
                <w:rFonts w:hint="eastAsia" w:eastAsia="楷体" w:cs="Calibri"/>
                <w:b/>
                <w:bCs/>
                <w:color w:val="23558C"/>
                <w:lang w:eastAsia="zh-CN"/>
              </w:rPr>
              <w:t>“十五五”电网投资迈入</w:t>
            </w:r>
            <w:r>
              <w:rPr>
                <w:rFonts w:eastAsia="楷体" w:cs="Calibri"/>
                <w:b/>
                <w:bCs/>
                <w:color w:val="23558C"/>
                <w:lang w:eastAsia="zh-CN"/>
              </w:rPr>
              <w:t>4</w:t>
            </w:r>
            <w:r>
              <w:rPr>
                <w:rFonts w:hint="eastAsia" w:eastAsia="楷体" w:cs="Calibri"/>
                <w:b/>
                <w:bCs/>
                <w:color w:val="23558C"/>
                <w:lang w:eastAsia="zh-CN"/>
              </w:rPr>
              <w:t>万亿时代，配网智能化迎来量价齐升周期。</w:t>
            </w:r>
            <w:r>
              <w:rPr>
                <w:rFonts w:hint="eastAsia" w:eastAsia="楷体" w:cs="Calibri"/>
                <w:lang w:eastAsia="zh-CN"/>
              </w:rPr>
              <w:t>随着“双碳”战略下新能源大规模并网，配电网智能化改造已成为刚性需求。国家电网“十五五”固定资产投资预计达</w:t>
            </w:r>
            <w:r>
              <w:rPr>
                <w:rFonts w:eastAsia="楷体" w:cs="Calibri"/>
                <w:lang w:eastAsia="zh-CN"/>
              </w:rPr>
              <w:t>4</w:t>
            </w:r>
            <w:r>
              <w:rPr>
                <w:rFonts w:hint="eastAsia" w:eastAsia="楷体" w:cs="Calibri"/>
                <w:lang w:eastAsia="zh-CN"/>
              </w:rPr>
              <w:t>万亿元，较“十四五”增长</w:t>
            </w:r>
            <w:r>
              <w:rPr>
                <w:rFonts w:eastAsia="楷体" w:cs="Calibri"/>
                <w:lang w:eastAsia="zh-CN"/>
              </w:rPr>
              <w:t>40%</w:t>
            </w:r>
            <w:r>
              <w:rPr>
                <w:rFonts w:hint="eastAsia" w:eastAsia="楷体" w:cs="Calibri"/>
                <w:lang w:eastAsia="zh-CN"/>
              </w:rPr>
              <w:t>，投资重心明确向配网侧倾斜。</w:t>
            </w:r>
            <w:r>
              <w:rPr>
                <w:rFonts w:eastAsia="楷体" w:cs="Calibri"/>
                <w:lang w:eastAsia="zh-CN"/>
              </w:rPr>
              <w:t>2026</w:t>
            </w:r>
            <w:r>
              <w:rPr>
                <w:rFonts w:hint="eastAsia" w:eastAsia="楷体" w:cs="Calibri"/>
                <w:lang w:eastAsia="zh-CN"/>
              </w:rPr>
              <w:t>年起，新标电表将进入全面补招大年，限价较此前中标均价普遍上涨</w:t>
            </w:r>
            <w:r>
              <w:rPr>
                <w:rFonts w:eastAsia="楷体" w:cs="Calibri"/>
                <w:lang w:eastAsia="zh-CN"/>
              </w:rPr>
              <w:t>20%</w:t>
            </w:r>
            <w:r>
              <w:rPr>
                <w:rFonts w:hint="eastAsia" w:eastAsia="楷体" w:cs="Calibri"/>
                <w:lang w:eastAsia="zh-CN"/>
              </w:rPr>
              <w:t>以上，公司作为行业第一梯队，有望深度受益于新一轮“量价齐升”周期。</w:t>
            </w:r>
          </w:p>
          <w:p w14:paraId="3759619C">
            <w:pPr>
              <w:pStyle w:val="56"/>
              <w:jc w:val="both"/>
              <w:rPr>
                <w:rFonts w:eastAsia="楷体" w:cs="Calibri"/>
                <w:lang w:eastAsia="zh-CN"/>
              </w:rPr>
            </w:pPr>
            <w:r>
              <w:rPr>
                <w:rFonts w:eastAsia="楷体" w:cs="Calibri"/>
                <w:b/>
                <w:bCs/>
                <w:color w:val="23558C"/>
                <w:lang w:eastAsia="zh-CN"/>
              </w:rPr>
              <w:t>AIDC</w:t>
            </w:r>
            <w:r>
              <w:rPr>
                <w:rFonts w:hint="eastAsia" w:eastAsia="楷体" w:cs="Calibri"/>
                <w:b/>
                <w:bCs/>
                <w:color w:val="23558C"/>
                <w:lang w:eastAsia="zh-CN"/>
              </w:rPr>
              <w:t>算力爆发驱动配电架构革新，</w:t>
            </w:r>
            <w:r>
              <w:rPr>
                <w:rFonts w:eastAsia="楷体" w:cs="Calibri"/>
                <w:b/>
                <w:bCs/>
                <w:color w:val="23558C"/>
                <w:lang w:eastAsia="zh-CN"/>
              </w:rPr>
              <w:t>ADO</w:t>
            </w:r>
            <w:r>
              <w:rPr>
                <w:rFonts w:hint="eastAsia" w:eastAsia="楷体" w:cs="Calibri"/>
                <w:b/>
                <w:bCs/>
                <w:color w:val="23558C"/>
                <w:lang w:eastAsia="zh-CN"/>
              </w:rPr>
              <w:t>业务开启新增长极。</w:t>
            </w:r>
            <w:r>
              <w:rPr>
                <w:rFonts w:eastAsia="楷体" w:cs="Calibri"/>
              </w:rPr>
              <w:t>AI</w:t>
            </w:r>
            <w:r>
              <w:rPr>
                <w:rFonts w:hint="eastAsia" w:eastAsia="楷体" w:cs="Calibri"/>
              </w:rPr>
              <w:t>算力的指数级增长带动数据中心（</w:t>
            </w:r>
            <w:r>
              <w:rPr>
                <w:rFonts w:eastAsia="楷体" w:cs="Calibri"/>
              </w:rPr>
              <w:t>AIDC</w:t>
            </w:r>
            <w:r>
              <w:rPr>
                <w:rFonts w:hint="eastAsia" w:eastAsia="楷体" w:cs="Calibri"/>
              </w:rPr>
              <w:t>）机架密度从</w:t>
            </w:r>
            <w:r>
              <w:rPr>
                <w:rFonts w:eastAsia="楷体" w:cs="Calibri"/>
              </w:rPr>
              <w:t>4-6kW</w:t>
            </w:r>
            <w:r>
              <w:rPr>
                <w:rFonts w:hint="eastAsia" w:eastAsia="楷体" w:cs="Calibri"/>
              </w:rPr>
              <w:t>向</w:t>
            </w:r>
            <w:r>
              <w:rPr>
                <w:rFonts w:eastAsia="楷体" w:cs="Calibri"/>
              </w:rPr>
              <w:t>20-40kW</w:t>
            </w:r>
            <w:r>
              <w:rPr>
                <w:rFonts w:hint="eastAsia" w:eastAsia="楷体" w:cs="Calibri"/>
              </w:rPr>
              <w:t>及以上跃升，倒逼供电架构向</w:t>
            </w:r>
            <w:r>
              <w:rPr>
                <w:rFonts w:eastAsia="楷体" w:cs="Calibri"/>
              </w:rPr>
              <w:t>800V</w:t>
            </w:r>
            <w:r>
              <w:rPr>
                <w:rFonts w:hint="eastAsia" w:eastAsia="楷体" w:cs="Calibri"/>
              </w:rPr>
              <w:t>高压直流（</w:t>
            </w:r>
            <w:r>
              <w:rPr>
                <w:rFonts w:eastAsia="楷体" w:cs="Calibri"/>
              </w:rPr>
              <w:t>HVDC</w:t>
            </w:r>
            <w:r>
              <w:rPr>
                <w:rFonts w:hint="eastAsia" w:eastAsia="楷体" w:cs="Calibri"/>
              </w:rPr>
              <w:t>）演进。公司在低中压配电侧具备深厚的技术储备，其</w:t>
            </w:r>
            <w:r>
              <w:rPr>
                <w:rFonts w:eastAsia="楷体" w:cs="Calibri"/>
              </w:rPr>
              <w:t>ADO</w:t>
            </w:r>
            <w:r>
              <w:rPr>
                <w:rFonts w:hint="eastAsia" w:eastAsia="楷体" w:cs="Calibri"/>
              </w:rPr>
              <w:t>业务正加速向数据中心、储能等高价值场景渗透。</w:t>
            </w:r>
            <w:r>
              <w:rPr>
                <w:rFonts w:eastAsia="楷体" w:cs="Calibri"/>
              </w:rPr>
              <w:t>2025</w:t>
            </w:r>
            <w:r>
              <w:rPr>
                <w:rFonts w:hint="eastAsia" w:eastAsia="楷体" w:cs="Calibri"/>
              </w:rPr>
              <w:t>年公司</w:t>
            </w:r>
            <w:r>
              <w:rPr>
                <w:rFonts w:eastAsia="楷体" w:cs="Calibri"/>
              </w:rPr>
              <w:t>AI</w:t>
            </w:r>
            <w:r>
              <w:rPr>
                <w:rFonts w:hint="eastAsia" w:eastAsia="楷体" w:cs="Calibri"/>
              </w:rPr>
              <w:t>相关收入同比增长近</w:t>
            </w:r>
            <w:r>
              <w:rPr>
                <w:rFonts w:eastAsia="楷体" w:cs="Calibri"/>
              </w:rPr>
              <w:t>90%</w:t>
            </w:r>
            <w:r>
              <w:rPr>
                <w:rFonts w:hint="eastAsia" w:eastAsia="楷体" w:cs="Calibri"/>
              </w:rPr>
              <w:t>，已成为业绩增长的最强动力之一。</w:t>
            </w:r>
          </w:p>
          <w:p w14:paraId="4408BAEB">
            <w:pPr>
              <w:adjustRightInd w:val="0"/>
              <w:snapToGrid w:val="0"/>
              <w:spacing w:after="120"/>
              <w:jc w:val="both"/>
              <w:rPr>
                <w:rFonts w:eastAsia="楷体" w:cs="Calibri"/>
                <w:snapToGrid/>
                <w:sz w:val="20"/>
                <w:szCs w:val="20"/>
              </w:rPr>
            </w:pPr>
            <w:r>
              <w:rPr>
                <w:rFonts w:hint="eastAsia" w:eastAsia="楷体" w:cs="Calibri"/>
                <w:b/>
                <w:bCs/>
                <w:snapToGrid/>
                <w:color w:val="23558C"/>
                <w:sz w:val="20"/>
                <w:szCs w:val="20"/>
              </w:rPr>
              <w:t>全球化布局纵深推进，“产能出海”进入价值释放快车道。</w:t>
            </w:r>
            <w:r>
              <w:rPr>
                <w:rFonts w:hint="eastAsia" w:eastAsia="楷体" w:cs="Calibri"/>
                <w:snapToGrid/>
                <w:sz w:val="20"/>
                <w:szCs w:val="20"/>
                <w:lang w:eastAsia="ja-JP"/>
              </w:rPr>
              <w:t>公司已在全球设立墨西哥、巴西、匈牙利等六大生产与研发基地，实现了从“产品出海”向“本地化运营”的战略升级。受益于海外电网升级与</w:t>
            </w:r>
            <w:r>
              <w:rPr>
                <w:rFonts w:eastAsia="楷体" w:cs="Calibri"/>
                <w:snapToGrid/>
                <w:sz w:val="20"/>
                <w:szCs w:val="20"/>
                <w:lang w:eastAsia="ja-JP"/>
              </w:rPr>
              <w:t>AIDC</w:t>
            </w:r>
            <w:r>
              <w:rPr>
                <w:rFonts w:hint="eastAsia" w:eastAsia="楷体" w:cs="Calibri"/>
                <w:snapToGrid/>
                <w:sz w:val="20"/>
                <w:szCs w:val="20"/>
                <w:lang w:eastAsia="ja-JP"/>
              </w:rPr>
              <w:t>需求，</w:t>
            </w:r>
            <w:r>
              <w:rPr>
                <w:rFonts w:eastAsia="楷体" w:cs="Calibri"/>
                <w:snapToGrid/>
                <w:sz w:val="20"/>
                <w:szCs w:val="20"/>
                <w:lang w:eastAsia="ja-JP"/>
              </w:rPr>
              <w:t>2026</w:t>
            </w:r>
            <w:r>
              <w:rPr>
                <w:rFonts w:hint="eastAsia" w:eastAsia="楷体" w:cs="Calibri"/>
                <w:snapToGrid/>
                <w:sz w:val="20"/>
                <w:szCs w:val="20"/>
                <w:lang w:eastAsia="ja-JP"/>
              </w:rPr>
              <w:t>年海外新订单预计将增长</w:t>
            </w:r>
            <w:r>
              <w:rPr>
                <w:rFonts w:eastAsia="楷体" w:cs="Calibri"/>
                <w:snapToGrid/>
                <w:sz w:val="20"/>
                <w:szCs w:val="20"/>
                <w:lang w:eastAsia="ja-JP"/>
              </w:rPr>
              <w:t>54%</w:t>
            </w:r>
            <w:r>
              <w:rPr>
                <w:rFonts w:hint="eastAsia" w:eastAsia="楷体" w:cs="Calibri"/>
                <w:snapToGrid/>
                <w:sz w:val="20"/>
                <w:szCs w:val="20"/>
                <w:lang w:eastAsia="ja-JP"/>
              </w:rPr>
              <w:t>至</w:t>
            </w:r>
            <w:r>
              <w:rPr>
                <w:rFonts w:eastAsia="楷体" w:cs="Calibri"/>
                <w:snapToGrid/>
                <w:sz w:val="20"/>
                <w:szCs w:val="20"/>
                <w:lang w:eastAsia="ja-JP"/>
              </w:rPr>
              <w:t>20</w:t>
            </w:r>
            <w:r>
              <w:rPr>
                <w:rFonts w:hint="eastAsia" w:eastAsia="楷体" w:cs="Calibri"/>
                <w:snapToGrid/>
                <w:sz w:val="20"/>
                <w:szCs w:val="20"/>
                <w:lang w:eastAsia="ja-JP"/>
              </w:rPr>
              <w:t>亿元人民币，海外业务占比的持续提升将进一步优化公司毛利结构</w:t>
            </w:r>
            <w:r>
              <w:rPr>
                <w:rFonts w:hint="eastAsia" w:eastAsia="楷体" w:cs="Calibri"/>
                <w:snapToGrid/>
                <w:sz w:val="20"/>
                <w:szCs w:val="20"/>
              </w:rPr>
              <w:t>。</w:t>
            </w:r>
          </w:p>
          <w:p w14:paraId="63F51C8B">
            <w:pPr>
              <w:pStyle w:val="56"/>
              <w:jc w:val="both"/>
              <w:rPr>
                <w:rFonts w:eastAsia="楷体" w:cs="Calibri"/>
                <w:b/>
                <w:bCs/>
                <w:color w:val="23558C"/>
                <w:lang w:eastAsia="zh-CN"/>
              </w:rPr>
            </w:pPr>
            <w:r>
              <w:rPr>
                <w:rFonts w:hint="eastAsia" w:eastAsia="楷体" w:cs="Calibri"/>
                <w:b/>
                <w:bCs/>
                <w:color w:val="23558C"/>
                <w:lang w:eastAsia="zh-CN"/>
              </w:rPr>
              <w:t>估值与建议</w:t>
            </w:r>
          </w:p>
          <w:p w14:paraId="40462296">
            <w:pPr>
              <w:pStyle w:val="44"/>
              <w:jc w:val="both"/>
              <w:rPr>
                <w:rFonts w:eastAsia="楷体" w:cs="Calibri"/>
                <w:snapToGrid/>
                <w:szCs w:val="20"/>
                <w:lang w:eastAsia="zh-CN"/>
              </w:rPr>
            </w:pPr>
            <w:r>
              <w:rPr>
                <w:rFonts w:eastAsia="楷体" w:cs="Calibri"/>
                <w:snapToGrid/>
                <w:szCs w:val="20"/>
                <w:lang w:eastAsia="zh-CN"/>
              </w:rPr>
              <w:t>我们预计</w:t>
            </w:r>
            <w:r>
              <w:rPr>
                <w:rFonts w:hint="eastAsia" w:eastAsia="楷体" w:cs="Calibri"/>
                <w:snapToGrid/>
                <w:szCs w:val="20"/>
                <w:lang w:eastAsia="zh-CN"/>
              </w:rPr>
              <w:t>公司</w:t>
            </w:r>
            <w:r>
              <w:rPr>
                <w:rFonts w:eastAsia="楷体" w:cs="Calibri"/>
                <w:snapToGrid/>
                <w:szCs w:val="20"/>
                <w:lang w:eastAsia="zh-CN"/>
              </w:rPr>
              <w:t>在202</w:t>
            </w:r>
            <w:r>
              <w:rPr>
                <w:rFonts w:hint="eastAsia" w:eastAsia="楷体" w:cs="Calibri"/>
                <w:snapToGrid/>
                <w:szCs w:val="20"/>
                <w:lang w:eastAsia="zh-CN"/>
              </w:rPr>
              <w:t>6</w:t>
            </w:r>
            <w:r>
              <w:rPr>
                <w:rFonts w:eastAsia="楷体" w:cs="Calibri"/>
                <w:snapToGrid/>
                <w:szCs w:val="20"/>
                <w:lang w:eastAsia="zh-CN"/>
              </w:rPr>
              <w:t>年至202</w:t>
            </w:r>
            <w:r>
              <w:rPr>
                <w:rFonts w:hint="eastAsia" w:eastAsia="楷体" w:cs="Calibri"/>
                <w:snapToGrid/>
                <w:szCs w:val="20"/>
                <w:lang w:eastAsia="zh-CN"/>
              </w:rPr>
              <w:t>8</w:t>
            </w:r>
            <w:r>
              <w:rPr>
                <w:rFonts w:eastAsia="楷体" w:cs="Calibri"/>
                <w:snapToGrid/>
                <w:szCs w:val="20"/>
                <w:lang w:eastAsia="zh-CN"/>
              </w:rPr>
              <w:t>年期间的收入将分别达到1</w:t>
            </w:r>
            <w:r>
              <w:rPr>
                <w:rFonts w:hint="eastAsia" w:eastAsia="楷体" w:cs="Calibri"/>
                <w:snapToGrid/>
                <w:szCs w:val="20"/>
                <w:lang w:eastAsia="zh-CN"/>
              </w:rPr>
              <w:t>23.41</w:t>
            </w:r>
            <w:r>
              <w:rPr>
                <w:rFonts w:eastAsia="楷体" w:cs="Calibri"/>
                <w:snapToGrid/>
                <w:szCs w:val="20"/>
                <w:lang w:eastAsia="zh-CN"/>
              </w:rPr>
              <w:t>/1</w:t>
            </w:r>
            <w:r>
              <w:rPr>
                <w:rFonts w:hint="eastAsia" w:eastAsia="楷体" w:cs="Calibri"/>
                <w:snapToGrid/>
                <w:szCs w:val="20"/>
                <w:lang w:eastAsia="zh-CN"/>
              </w:rPr>
              <w:t>47.07</w:t>
            </w:r>
            <w:r>
              <w:rPr>
                <w:rFonts w:eastAsia="楷体" w:cs="Calibri"/>
                <w:snapToGrid/>
                <w:szCs w:val="20"/>
                <w:lang w:eastAsia="zh-CN"/>
              </w:rPr>
              <w:t>/1</w:t>
            </w:r>
            <w:r>
              <w:rPr>
                <w:rFonts w:hint="eastAsia" w:eastAsia="楷体" w:cs="Calibri"/>
                <w:snapToGrid/>
                <w:szCs w:val="20"/>
                <w:lang w:eastAsia="zh-CN"/>
              </w:rPr>
              <w:t>72.28</w:t>
            </w:r>
            <w:r>
              <w:rPr>
                <w:rFonts w:eastAsia="楷体" w:cs="Calibri"/>
                <w:snapToGrid/>
                <w:szCs w:val="20"/>
                <w:lang w:eastAsia="zh-CN"/>
              </w:rPr>
              <w:t>亿</w:t>
            </w:r>
            <w:r>
              <w:rPr>
                <w:rFonts w:hint="eastAsia" w:eastAsia="楷体" w:cs="Calibri"/>
                <w:snapToGrid/>
                <w:szCs w:val="20"/>
                <w:lang w:eastAsia="zh-CN"/>
              </w:rPr>
              <w:t>人民币</w:t>
            </w:r>
            <w:r>
              <w:rPr>
                <w:rFonts w:eastAsia="楷体" w:cs="Calibri"/>
                <w:snapToGrid/>
                <w:szCs w:val="20"/>
                <w:lang w:eastAsia="zh-CN"/>
              </w:rPr>
              <w:t>，净利润分别为1</w:t>
            </w:r>
            <w:r>
              <w:rPr>
                <w:rFonts w:hint="eastAsia" w:eastAsia="楷体" w:cs="Calibri"/>
                <w:snapToGrid/>
                <w:szCs w:val="20"/>
                <w:lang w:eastAsia="zh-CN"/>
              </w:rPr>
              <w:t>8.73</w:t>
            </w:r>
            <w:r>
              <w:rPr>
                <w:rFonts w:eastAsia="楷体" w:cs="Calibri"/>
                <w:snapToGrid/>
                <w:szCs w:val="20"/>
                <w:lang w:eastAsia="zh-CN"/>
              </w:rPr>
              <w:t>/</w:t>
            </w:r>
            <w:r>
              <w:rPr>
                <w:rFonts w:hint="eastAsia" w:eastAsia="楷体" w:cs="Calibri"/>
                <w:snapToGrid/>
                <w:szCs w:val="20"/>
                <w:lang w:eastAsia="zh-CN"/>
              </w:rPr>
              <w:t>22.27</w:t>
            </w:r>
            <w:r>
              <w:rPr>
                <w:rFonts w:eastAsia="楷体" w:cs="Calibri"/>
                <w:snapToGrid/>
                <w:szCs w:val="20"/>
                <w:lang w:eastAsia="zh-CN"/>
              </w:rPr>
              <w:t>/</w:t>
            </w:r>
            <w:r>
              <w:rPr>
                <w:rFonts w:hint="eastAsia" w:eastAsia="楷体" w:cs="Calibri"/>
                <w:snapToGrid/>
                <w:szCs w:val="20"/>
                <w:lang w:eastAsia="zh-CN"/>
              </w:rPr>
              <w:t>26.22</w:t>
            </w:r>
            <w:r>
              <w:rPr>
                <w:rFonts w:eastAsia="楷体" w:cs="Calibri"/>
                <w:snapToGrid/>
                <w:szCs w:val="20"/>
                <w:lang w:eastAsia="zh-CN"/>
              </w:rPr>
              <w:t>亿</w:t>
            </w:r>
            <w:r>
              <w:rPr>
                <w:rFonts w:hint="eastAsia" w:eastAsia="楷体" w:cs="Calibri"/>
                <w:snapToGrid/>
                <w:szCs w:val="20"/>
                <w:lang w:eastAsia="zh-CN"/>
              </w:rPr>
              <w:t>人民币</w:t>
            </w:r>
            <w:r>
              <w:rPr>
                <w:rFonts w:eastAsia="楷体" w:cs="Calibri"/>
                <w:snapToGrid/>
                <w:szCs w:val="20"/>
                <w:lang w:eastAsia="zh-CN"/>
              </w:rPr>
              <w:t>。基于贴现现金流（DCF）估值模型，我们首次覆盖并给予“</w:t>
            </w:r>
            <w:r>
              <w:rPr>
                <w:rFonts w:hint="eastAsia" w:eastAsia="楷体" w:cs="Calibri"/>
                <w:snapToGrid/>
                <w:szCs w:val="20"/>
                <w:lang w:eastAsia="zh-CN"/>
              </w:rPr>
              <w:t>跑赢大市</w:t>
            </w:r>
            <w:r>
              <w:rPr>
                <w:rFonts w:eastAsia="楷体" w:cs="Calibri"/>
                <w:snapToGrid/>
                <w:szCs w:val="20"/>
                <w:lang w:eastAsia="zh-CN"/>
              </w:rPr>
              <w:t>”评级，目标价为</w:t>
            </w:r>
            <w:r>
              <w:rPr>
                <w:rFonts w:hint="eastAsia" w:eastAsia="楷体" w:cs="Calibri"/>
                <w:snapToGrid/>
                <w:szCs w:val="20"/>
                <w:lang w:eastAsia="zh-CN"/>
              </w:rPr>
              <w:t>40.94元。</w:t>
            </w:r>
          </w:p>
          <w:p w14:paraId="63F51C8D">
            <w:pPr>
              <w:pStyle w:val="56"/>
              <w:jc w:val="both"/>
              <w:rPr>
                <w:rFonts w:eastAsia="楷体" w:cs="Calibri"/>
                <w:b/>
                <w:bCs/>
                <w:color w:val="23558C"/>
                <w:lang w:eastAsia="zh-CN"/>
              </w:rPr>
            </w:pPr>
            <w:r>
              <w:rPr>
                <w:rFonts w:hint="eastAsia" w:eastAsia="楷体" w:cs="Calibri"/>
                <w:b/>
                <w:bCs/>
                <w:color w:val="23558C"/>
                <w:lang w:eastAsia="zh-CN"/>
              </w:rPr>
              <w:t>风险提示</w:t>
            </w:r>
          </w:p>
          <w:p w14:paraId="63F51C8F">
            <w:pPr>
              <w:pStyle w:val="56"/>
              <w:jc w:val="both"/>
              <w:rPr>
                <w:rFonts w:eastAsia="楷体" w:cs="Calibri"/>
                <w:lang w:eastAsia="zh-CN"/>
              </w:rPr>
            </w:pPr>
            <w:r>
              <w:rPr>
                <w:rFonts w:hint="eastAsia" w:eastAsia="楷体" w:cs="Calibri"/>
                <w:lang w:eastAsia="zh-CN"/>
              </w:rPr>
              <w:t>国家电网及南方电网集采招标量价不及预期；海外市场业务增长速度慢于预期；海外生产成本上升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 xml:space="preserve">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19" w:hRule="atLeast"/>
              </w:trPr>
              <w:tc>
                <w:tcPr>
                  <w:tcW w:w="2694"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杨斌 Bin Yang , SFC:BSQ313 </w:t>
                  </w:r>
                  <w:r>
                    <w:rPr>
                      <w:rFonts w:hint="eastAsia"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551"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邓轶达 Yida Deng , SFC:BVF321 </w:t>
                  </w:r>
                  <w:r>
                    <w:rPr>
                      <w:rFonts w:hint="eastAsia" w:ascii="Calibri" w:hAnsi="Calibri" w:eastAsia="楷体_GB2312" w:cs="Calibri"/>
                      <w:b/>
                      <w:bCs/>
                      <w:snapToGrid w:val="0"/>
                      <w:color w:val="333333"/>
                      <w:kern w:val="0"/>
                      <w:sz w:val="16"/>
                      <w:szCs w:val="16"/>
                      <w:lang w:val="en-US"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693"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694"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77" w:hRule="atLeast"/>
              </w:trPr>
              <w:tc>
                <w:tcPr>
                  <w:tcW w:w="2694" w:type="dxa"/>
                  <w:vAlign w:val="top"/>
                </w:tcPr>
                <w:p>
                  <w:pPr>
                    <w:pStyle w:val="52"/>
                    <w:framePr w:wrap="auto" w:vAnchor="margin" w:hAnchor="text" w:yAlign="inline"/>
                    <w:rPr>
                      <w:rFonts w:hint="default" w:eastAsia="楷体_GB2312" w:cs="等线"/>
                      <w:b w:val="0"/>
                      <w:lang w:val="en-US" w:eastAsia="zh-CN"/>
                    </w:rPr>
                  </w:pPr>
                  <w:r>
                    <w:rPr>
                      <w:rFonts w:hint="default" w:eastAsia="楷体_GB2312" w:cs="等线"/>
                      <w:b w:val="0"/>
                      <w:lang w:val="en-US" w:eastAsia="zh-CN"/>
                    </w:rPr>
                    <w:t xml:space="preserve"> harryyang@hfisec.com.hk </w:t>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p>
              </w:tc>
              <w:tc>
                <w:tcPr>
                  <w:tcW w:w="2551" w:type="dxa"/>
                  <w:vAlign w:val="top"/>
                </w:tcPr>
                <w:p>
                  <w:pPr>
                    <w:pStyle w:val="52"/>
                    <w:framePr w:wrap="auto" w:vAnchor="margin" w:hAnchor="text" w:yAlign="inline"/>
                    <w:rPr>
                      <w:rFonts w:hint="default" w:eastAsia="楷体_GB2312" w:cs="等线"/>
                      <w:b w:val="0"/>
                      <w:lang w:val="en-US" w:eastAsia="zh-CN"/>
                    </w:rPr>
                  </w:pPr>
                  <w:r>
                    <w:rPr>
                      <w:rFonts w:hint="default" w:eastAsia="楷体_GB2312" w:cs="等线"/>
                      <w:b w:val="0"/>
                      <w:lang w:val="en-US" w:eastAsia="zh-CN"/>
                    </w:rPr>
                    <w:t xml:space="preserve"> dengyida@hfisec.com.hk </w:t>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default" w:eastAsia="楷体_GB2312" w:cs="等线"/>
                      <w:b w:val="0"/>
                      <w:lang w:val="en-IE" w:eastAsia="zh-CN"/>
                    </w:rPr>
                    <w:t/>
                  </w:r>
                  <w:r>
                    <w:rPr>
                      <w:rFonts w:hint="eastAsia" w:eastAsia="楷体_GB2312" w:cs="等线"/>
                      <w:b w:val="0"/>
                      <w:lang w:val="en-US" w:eastAsia="zh-CN"/>
                    </w:rPr>
                    <w:t/>
                  </w:r>
                </w:p>
              </w:tc>
              <w:tc>
                <w:tcPr>
                  <w:tcW w:w="2693" w:type="dxa"/>
                  <w:vAlign w:val="top"/>
                </w:tcPr>
                <w:p>
                  <w:pPr>
                    <w:pStyle w:val="52"/>
                    <w:framePr w:wrap="auto" w:vAnchor="margin" w:hAnchor="text" w:yAlign="inline"/>
                    <w:rPr>
                      <w:rFonts w:hint="default" w:eastAsia="楷体_GB2312" w:cs="等线"/>
                      <w:b w:val="0"/>
                      <w:lang w:val="en-US" w:eastAsia="zh-CN"/>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default" w:eastAsia="楷体_GB2312" w:cs="等线"/>
                      <w:b w:val="0"/>
                      <w:lang w:val="en-IE" w:eastAsia="zh-CN"/>
                    </w:rPr>
                    <w:t/>
                  </w:r>
                  <w:r>
                    <w:rPr>
                      <w:rFonts w:hint="eastAsia" w:eastAsia="楷体_GB2312" w:cs="等线"/>
                      <w:b w:val="0"/>
                      <w:lang w:val="en-US" w:eastAsia="zh-CN"/>
                    </w:rPr>
                    <w:t/>
                  </w:r>
                </w:p>
              </w:tc>
              <w:tc>
                <w:tcPr>
                  <w:tcW w:w="2694" w:type="dxa"/>
                  <w:vAlign w:val="top"/>
                </w:tcPr>
                <w:p>
                  <w:pPr>
                    <w:pStyle w:val="52"/>
                    <w:framePr w:wrap="auto" w:vAnchor="margin" w:hAnchor="text" w:yAlign="inline"/>
                    <w:rPr>
                      <w:rFonts w:hint="default" w:eastAsia="楷体_GB2312" w:cs="等线"/>
                      <w:b w:val="0"/>
                      <w:lang w:val="en-US" w:eastAsia="zh-CN"/>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default" w:eastAsia="楷体_GB2312" w:cs="等线"/>
                      <w:b w:val="0"/>
                      <w:lang w:val="en-IE" w:eastAsia="zh-CN"/>
                    </w:rPr>
                    <w:t/>
                  </w:r>
                  <w:r>
                    <w:rPr>
                      <w:rFonts w:hint="eastAsia" w:eastAsia="楷体_GB2312" w:cs="等线"/>
                      <w:b w:val="0"/>
                      <w:lang w:val="en-US" w:eastAsia="zh-CN"/>
                    </w:rP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551"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693"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c>
                <w:tcPr>
                  <w:tcW w:w="2694"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xml:space="preserve"/>
                  </w:r>
                  <w:r>
                    <w:rPr>
                      <w:rFonts w:hint="default" w:ascii="Calibri" w:hAnsi="Calibri" w:eastAsia="楷体_GB2312" w:cs="Calibri"/>
                      <w:b/>
                      <w:bCs/>
                      <w:snapToGrid w:val="0"/>
                      <w:color w:val="333333"/>
                      <w:kern w:val="0"/>
                      <w:sz w:val="16"/>
                      <w:szCs w:val="16"/>
                      <w:lang w:val="en-IE" w:eastAsia="zh-CN" w:bidi="ar"/>
                    </w:rPr>
                    <w:t/>
                  </w:r>
                  <w:r>
                    <w:rPr>
                      <w:rFonts w:hint="default" w:ascii="Calibri" w:hAnsi="Calibri" w:eastAsia="楷体_GB2312" w:cs="Calibri"/>
                      <w:b/>
                      <w:bCs/>
                      <w:snapToGrid w:val="0"/>
                      <w:color w:val="333333"/>
                      <w:kern w:val="0"/>
                      <w:sz w:val="16"/>
                      <w:szCs w:val="16"/>
                      <w:lang w:val="en-US" w:eastAsia="zh-CN" w:bidi="ar"/>
                    </w:rPr>
                    <w:t/>
                  </w:r>
                  <w:r>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vAlign w:val="top"/>
                </w:tcPr>
                <w:p>
                  <w:pPr>
                    <w:pStyle w:val="52"/>
                    <w:framePr w:wrap="auto" w:vAnchor="margin" w:hAnchor="text" w:yAlign="inline"/>
                    <w:rPr>
                      <w:rFonts w:hint="eastAsia" w:eastAsia="楷体_GB2312" w:cs="等线"/>
                      <w:b w:val="0"/>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eastAsia" w:eastAsia="楷体_GB2312" w:cs="等线"/>
                      <w:b w:val="0"/>
                    </w:rPr>
                    <w:t/>
                  </w:r>
                  <w:r>
                    <w:rPr>
                      <w:rFonts w:hint="default" w:eastAsia="楷体_GB2312" w:cs="等线"/>
                      <w:b w:val="0"/>
                      <w:lang w:val="en-IE"/>
                    </w:rPr>
                    <w:t/>
                  </w:r>
                  <w:r>
                    <w:rPr>
                      <w:rFonts w:hint="eastAsia" w:eastAsia="楷体_GB2312" w:cs="等线"/>
                      <w:b w:val="0"/>
                    </w:rPr>
                    <w:t/>
                  </w:r>
                </w:p>
              </w:tc>
              <w:tc>
                <w:tcPr>
                  <w:tcW w:w="2551" w:type="dxa"/>
                  <w:vAlign w:val="top"/>
                </w:tcPr>
                <w:p>
                  <w:pPr>
                    <w:pStyle w:val="52"/>
                    <w:framePr w:wrap="auto" w:vAnchor="margin" w:hAnchor="text" w:yAlign="inline"/>
                    <w:rPr>
                      <w:rFonts w:hint="eastAsia" w:eastAsia="楷体_GB2312" w:cs="等线"/>
                      <w:b w:val="0"/>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eastAsia" w:eastAsia="楷体_GB2312" w:cs="等线"/>
                      <w:b w:val="0"/>
                    </w:rPr>
                    <w:t/>
                  </w:r>
                  <w:r>
                    <w:rPr>
                      <w:rFonts w:hint="default" w:eastAsia="楷体_GB2312" w:cs="等线"/>
                      <w:b w:val="0"/>
                      <w:lang w:val="en-IE"/>
                    </w:rPr>
                    <w:t/>
                  </w:r>
                  <w:r>
                    <w:rPr>
                      <w:rFonts w:hint="eastAsia" w:eastAsia="楷体_GB2312" w:cs="等线"/>
                      <w:b w:val="0"/>
                    </w:rPr>
                    <w:t/>
                  </w:r>
                </w:p>
              </w:tc>
              <w:tc>
                <w:tcPr>
                  <w:tcW w:w="2693" w:type="dxa"/>
                  <w:vAlign w:val="top"/>
                </w:tcPr>
                <w:p>
                  <w:pPr>
                    <w:pStyle w:val="52"/>
                    <w:framePr w:wrap="auto" w:vAnchor="margin" w:hAnchor="text" w:yAlign="inline"/>
                    <w:rPr>
                      <w:rFonts w:hint="eastAsia" w:eastAsia="楷体_GB2312" w:cs="等线"/>
                      <w:b w:val="0"/>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eastAsia" w:eastAsia="楷体_GB2312" w:cs="等线"/>
                      <w:b w:val="0"/>
                    </w:rPr>
                    <w:t/>
                  </w:r>
                  <w:r>
                    <w:rPr>
                      <w:rFonts w:hint="default" w:eastAsia="楷体_GB2312" w:cs="等线"/>
                      <w:b w:val="0"/>
                      <w:lang w:val="en-IE"/>
                    </w:rPr>
                    <w:t/>
                  </w:r>
                  <w:r>
                    <w:rPr>
                      <w:rFonts w:hint="eastAsia" w:eastAsia="楷体_GB2312" w:cs="等线"/>
                      <w:b w:val="0"/>
                    </w:rPr>
                    <w:t/>
                  </w:r>
                </w:p>
              </w:tc>
              <w:tc>
                <w:tcPr>
                  <w:tcW w:w="2694" w:type="dxa"/>
                  <w:vAlign w:val="top"/>
                </w:tcPr>
                <w:p>
                  <w:pPr>
                    <w:pStyle w:val="52"/>
                    <w:framePr w:wrap="auto" w:vAnchor="margin" w:hAnchor="text" w:yAlign="inline"/>
                    <w:rPr>
                      <w:rFonts w:hint="eastAsia" w:eastAsia="楷体_GB2312" w:cs="等线"/>
                      <w:b w:val="0"/>
                    </w:rPr>
                  </w:pPr>
                  <w:r>
                    <w:rPr>
                      <w:rFonts w:hint="default" w:eastAsia="楷体_GB2312" w:cs="等线"/>
                      <w:b w:val="0"/>
                      <w:lang w:val="en-US" w:eastAsia="zh-CN"/>
                    </w:rPr>
                    <w:t xml:space="preserve"/>
                  </w:r>
                  <w:r>
                    <w:rPr>
                      <w:rFonts w:hint="eastAsia" w:eastAsia="楷体_GB2312" w:cs="等线"/>
                      <w:b w:val="0"/>
                      <w:lang w:val="en-US" w:eastAsia="zh-CN"/>
                    </w:rPr>
                    <w:t/>
                  </w:r>
                  <w:r>
                    <w:rPr>
                      <w:rFonts w:hint="default" w:eastAsia="楷体_GB2312" w:cs="等线"/>
                      <w:b w:val="0"/>
                      <w:lang w:val="en-US" w:eastAsia="zh-CN"/>
                    </w:rPr>
                    <w:t/>
                  </w:r>
                  <w:r>
                    <w:rPr>
                      <w:rFonts w:hint="eastAsia" w:eastAsia="楷体_GB2312" w:cs="等线"/>
                      <w:b w:val="0"/>
                      <w:lang w:val="en-US" w:eastAsia="zh-CN"/>
                    </w:rPr>
                    <w:t xml:space="preserve"/>
                  </w:r>
                  <w:r>
                    <w:rPr>
                      <w:rFonts w:hint="eastAsia" w:eastAsia="楷体_GB2312" w:cs="等线"/>
                      <w:b w:val="0"/>
                    </w:rPr>
                    <w:t/>
                  </w:r>
                  <w:r>
                    <w:rPr>
                      <w:rFonts w:hint="default" w:eastAsia="楷体_GB2312" w:cs="等线"/>
                      <w:b w:val="0"/>
                      <w:lang w:val="en-IE"/>
                    </w:rPr>
                    <w:t/>
                  </w:r>
                  <w:r>
                    <w:rPr>
                      <w:rFonts w:hint="eastAsia" w:eastAsia="楷体_GB2312" w:cs="等线"/>
                      <w:b w:val="0"/>
                    </w:rPr>
                    <w:t/>
                  </w: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docPartObj>
          <w:docPartGallery w:val="Table of Contents"/>
          <w:docPartUnique w:val="true"/>
        </w:docPartObj>
      </w:sdtPr>
      <w:sdtContent>
        <w:p>
          <w:pPr>
            <w:pStyle w:val="73"/>
            <w:spacing w:before="480" w:after="0"/>
            <w:rPr>
              <w:rFonts w:ascii="Calibri" w:hAnsi="Calibri" w:eastAsia="楷体" w:cs="楷体"/>
              <w:b/>
              <w:b/>
              <w:color w:val="auto"/>
              <w:sz w:val="22"/>
              <w:szCs w:val="22"/>
            </w:rPr>
          </w:pPr>
          <w:r>
            <w:rPr>
              <w:rFonts w:ascii="Calibri" w:hAnsi="Calibri" w:cs="楷体" w:eastAsia="楷体"/>
              <w:b/>
              <w:color w:val="auto"/>
              <w:sz w:val="22"/>
              <w:szCs w:val="22"/>
            </w:rPr>
            <w:t>目录</w:t>
          </w:r>
        </w:p>
        <w:p>
          <w:pPr>
            <w:pStyle w:val="Contents1"/>
            <w:tabs>
              <w:tab w:val="clear" w:pos="420"/>
              <w:tab w:val="right" w:pos="7733" w:leader="dot"/>
            </w:tabs>
            <w:rPr>
              <w:rFonts w:cs="" w:cstheme="minorBidi"/>
              <w:kern w:val="2"/>
              <w:szCs w:val="24"/>
              <w14:ligatures w14:val="standardContextual"/>
            </w:rPr>
          </w:pPr>
          <w:r>
            <w:fldChar w:fldCharType="begin"/>
          </w:r>
          <w:r>
            <w:rPr>
              <w:webHidden/>
              <w:rStyle w:val="IndexLink"/>
              <w:b/>
              <w:bCs/>
              <w:rFonts w:eastAsia="楷体" w:cs="楷体" w:ascii="Calibri" w:hAnsi="Calibri"/>
            </w:rPr>
            <w:instrText xml:space="preserve"> TOC \z \o "1-3" \u \h</w:instrText>
          </w:r>
          <w:r>
            <w:rPr>
              <w:webHidden/>
              <w:rStyle w:val="IndexLink"/>
              <w:b/>
              <w:bCs/>
              <w:rFonts w:eastAsia="楷体" w:cs="楷体" w:ascii="Calibri" w:hAnsi="Calibri"/>
            </w:rPr>
            <w:fldChar w:fldCharType="separate"/>
          </w:r>
          <w:hyperlink w:anchor="_Toc225872237">
            <w:r>
              <w:rPr>
                <w:webHidden/>
                <w:rStyle w:val="IndexLink"/>
                <w:rFonts w:eastAsia="楷体" w:cs="楷体" w:ascii="Calibri" w:hAnsi="Calibri"/>
                <w:b/>
                <w:bCs/>
              </w:rPr>
              <w:t xml:space="preserve">1 </w:t>
            </w:r>
            <w:r>
              <w:rPr>
                <w:rStyle w:val="IndexLink"/>
                <w:rFonts w:ascii="Calibri" w:hAnsi="Calibri" w:cs="楷体" w:eastAsia="楷体"/>
                <w:b/>
                <w:bCs/>
              </w:rPr>
              <w:t>威胜控股：能源计量与能效管理专家</w:t>
            </w:r>
            <w:r>
              <w:rPr>
                <w:webHidden/>
              </w:rPr>
              <w:fldChar w:fldCharType="begin"/>
            </w:r>
            <w:r>
              <w:rPr>
                <w:webHidden/>
              </w:rPr>
              <w:instrText xml:space="preserve">PAGEREF _Toc225872237 \h</w:instrText>
            </w:r>
            <w:r>
              <w:rPr>
                <w:webHidden/>
              </w:rPr>
              <w:fldChar w:fldCharType="separate"/>
            </w:r>
            <w:r>
              <w:rPr>
                <w:rStyle w:val="IndexLink"/>
              </w:rPr>
              <w:tab/>
              <w:t>3</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38">
            <w:r>
              <w:rPr>
                <w:webHidden/>
                <w:rStyle w:val="IndexLink"/>
                <w:rFonts w:eastAsia="楷体" w:cs="楷体" w:ascii="Calibri" w:hAnsi="Calibri"/>
              </w:rPr>
              <w:t xml:space="preserve">1.1 </w:t>
            </w:r>
            <w:r>
              <w:rPr>
                <w:rStyle w:val="IndexLink"/>
                <w:rFonts w:ascii="Calibri" w:hAnsi="Calibri" w:cs="楷体" w:eastAsia="楷体"/>
              </w:rPr>
              <w:t>公司概况</w:t>
            </w:r>
            <w:r>
              <w:rPr>
                <w:webHidden/>
              </w:rPr>
              <w:fldChar w:fldCharType="begin"/>
            </w:r>
            <w:r>
              <w:rPr>
                <w:webHidden/>
              </w:rPr>
              <w:instrText xml:space="preserve">PAGEREF _Toc225872238 \h</w:instrText>
            </w:r>
            <w:r>
              <w:rPr>
                <w:webHidden/>
              </w:rPr>
              <w:fldChar w:fldCharType="separate"/>
            </w:r>
            <w:r>
              <w:rPr>
                <w:rStyle w:val="IndexLink"/>
              </w:rPr>
              <w:tab/>
              <w:t>3</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39">
            <w:r>
              <w:rPr>
                <w:webHidden/>
                <w:rStyle w:val="IndexLink"/>
                <w:rFonts w:eastAsia="楷体" w:cs="楷体" w:ascii="Calibri" w:hAnsi="Calibri"/>
              </w:rPr>
              <w:t xml:space="preserve">1.2 </w:t>
            </w:r>
            <w:r>
              <w:rPr>
                <w:rStyle w:val="IndexLink"/>
                <w:rFonts w:ascii="Calibri" w:hAnsi="Calibri" w:cs="楷体" w:eastAsia="楷体"/>
              </w:rPr>
              <w:t>财务表现</w:t>
            </w:r>
            <w:r>
              <w:rPr>
                <w:webHidden/>
              </w:rPr>
              <w:fldChar w:fldCharType="begin"/>
            </w:r>
            <w:r>
              <w:rPr>
                <w:webHidden/>
              </w:rPr>
              <w:instrText xml:space="preserve">PAGEREF _Toc225872239 \h</w:instrText>
            </w:r>
            <w:r>
              <w:rPr>
                <w:webHidden/>
              </w:rPr>
              <w:fldChar w:fldCharType="separate"/>
            </w:r>
            <w:r>
              <w:rPr>
                <w:rStyle w:val="IndexLink"/>
              </w:rPr>
              <w:tab/>
              <w:t>6</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40">
            <w:r>
              <w:rPr>
                <w:webHidden/>
                <w:rStyle w:val="IndexLink"/>
                <w:rFonts w:eastAsia="楷体" w:cs="楷体" w:ascii="Calibri" w:hAnsi="Calibri"/>
                <w:b/>
                <w:bCs/>
              </w:rPr>
              <w:t>2</w:t>
            </w:r>
            <w:r>
              <w:rPr>
                <w:rStyle w:val="IndexLink"/>
                <w:rFonts w:ascii="Calibri" w:hAnsi="Calibri" w:cs="楷体" w:eastAsia="楷体"/>
                <w:b/>
                <w:bCs/>
              </w:rPr>
              <w:t>能源计量与配用电智能化浪潮奔涌，三大赛道共迎成长机遇</w:t>
            </w:r>
            <w:r>
              <w:rPr>
                <w:webHidden/>
              </w:rPr>
              <w:fldChar w:fldCharType="begin"/>
            </w:r>
            <w:r>
              <w:rPr>
                <w:webHidden/>
              </w:rPr>
              <w:instrText xml:space="preserve">PAGEREF _Toc225872240 \h</w:instrText>
            </w:r>
            <w:r>
              <w:rPr>
                <w:webHidden/>
              </w:rPr>
              <w:fldChar w:fldCharType="separate"/>
            </w:r>
            <w:r>
              <w:rPr>
                <w:rStyle w:val="IndexLink"/>
              </w:rPr>
              <w:tab/>
              <w:t>7</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1">
            <w:r>
              <w:rPr>
                <w:webHidden/>
                <w:rStyle w:val="IndexLink"/>
                <w:rFonts w:eastAsia="楷体" w:cs="楷体" w:ascii="Calibri" w:hAnsi="Calibri"/>
              </w:rPr>
              <w:t>2.1</w:t>
            </w:r>
            <w:r>
              <w:rPr>
                <w:rStyle w:val="IndexLink"/>
                <w:rFonts w:ascii="Calibri" w:hAnsi="Calibri" w:cs="楷体" w:eastAsia="楷体"/>
              </w:rPr>
              <w:t>智能电网解决方案：存量替换与新标升级共振，配网智能化催生量价齐升周期</w:t>
            </w:r>
            <w:r>
              <w:rPr>
                <w:webHidden/>
              </w:rPr>
              <w:fldChar w:fldCharType="begin"/>
            </w:r>
            <w:r>
              <w:rPr>
                <w:webHidden/>
              </w:rPr>
              <w:instrText xml:space="preserve">PAGEREF _Toc225872241 \h</w:instrText>
            </w:r>
            <w:r>
              <w:rPr>
                <w:webHidden/>
              </w:rPr>
              <w:fldChar w:fldCharType="separate"/>
            </w:r>
            <w:r>
              <w:rPr>
                <w:rStyle w:val="IndexLink"/>
              </w:rPr>
              <w:tab/>
              <w:t>7</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2">
            <w:r>
              <w:rPr>
                <w:webHidden/>
                <w:rStyle w:val="IndexLink"/>
                <w:rFonts w:eastAsia="楷体" w:cs="楷体" w:ascii="Calibri" w:hAnsi="Calibri"/>
              </w:rPr>
              <w:t>2.2</w:t>
            </w:r>
            <w:r>
              <w:rPr>
                <w:rStyle w:val="IndexLink"/>
                <w:rFonts w:ascii="Calibri" w:hAnsi="Calibri" w:cs="楷体" w:eastAsia="楷体"/>
              </w:rPr>
              <w:t>数智能效管理解决方案：载波通信芯片需求扩张，双模升级与场景拓展双轮驱动</w:t>
            </w:r>
            <w:r>
              <w:rPr>
                <w:webHidden/>
              </w:rPr>
              <w:fldChar w:fldCharType="begin"/>
            </w:r>
            <w:r>
              <w:rPr>
                <w:webHidden/>
              </w:rPr>
              <w:instrText xml:space="preserve">PAGEREF _Toc225872242 \h</w:instrText>
            </w:r>
            <w:r>
              <w:rPr>
                <w:webHidden/>
              </w:rPr>
              <w:fldChar w:fldCharType="separate"/>
            </w:r>
            <w:r>
              <w:rPr>
                <w:rStyle w:val="IndexLink"/>
              </w:rPr>
              <w:tab/>
              <w:t>12</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3">
            <w:r>
              <w:rPr>
                <w:webHidden/>
                <w:rStyle w:val="IndexLink"/>
                <w:rFonts w:eastAsia="楷体" w:cs="楷体" w:ascii="Calibri" w:hAnsi="Calibri"/>
              </w:rPr>
              <w:t>2.3</w:t>
            </w:r>
            <w:r>
              <w:rPr>
                <w:rStyle w:val="IndexLink"/>
                <w:rFonts w:ascii="Calibri" w:hAnsi="Calibri" w:cs="楷体" w:eastAsia="楷体"/>
              </w:rPr>
              <w:t>数字能源服务商：配网投资与</w:t>
            </w:r>
            <w:r>
              <w:rPr>
                <w:rStyle w:val="IndexLink"/>
                <w:rFonts w:eastAsia="楷体" w:cs="楷体" w:ascii="Calibri" w:hAnsi="Calibri"/>
              </w:rPr>
              <w:t>AIDC</w:t>
            </w:r>
            <w:r>
              <w:rPr>
                <w:rStyle w:val="IndexLink"/>
                <w:rFonts w:ascii="Calibri" w:hAnsi="Calibri" w:cs="楷体" w:eastAsia="楷体"/>
              </w:rPr>
              <w:t>算力爆发双翼齐飞，中国与东南亚市场共筑增量</w:t>
            </w:r>
            <w:r>
              <w:rPr>
                <w:webHidden/>
              </w:rPr>
              <w:fldChar w:fldCharType="begin"/>
            </w:r>
            <w:r>
              <w:rPr>
                <w:webHidden/>
              </w:rPr>
              <w:instrText xml:space="preserve">PAGEREF _Toc225872243 \h</w:instrText>
            </w:r>
            <w:r>
              <w:rPr>
                <w:webHidden/>
              </w:rPr>
              <w:fldChar w:fldCharType="separate"/>
            </w:r>
            <w:r>
              <w:rPr>
                <w:rStyle w:val="IndexLink"/>
              </w:rPr>
              <w:tab/>
              <w:t>14</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44">
            <w:r>
              <w:rPr>
                <w:webHidden/>
                <w:rStyle w:val="IndexLink"/>
                <w:rFonts w:eastAsia="楷体" w:cs="楷体" w:ascii="Calibri" w:hAnsi="Calibri"/>
                <w:b/>
                <w:bCs/>
              </w:rPr>
              <w:t>3</w:t>
            </w:r>
            <w:r>
              <w:rPr>
                <w:rStyle w:val="IndexLink"/>
                <w:rFonts w:ascii="Calibri" w:hAnsi="Calibri" w:cs="楷体" w:eastAsia="楷体"/>
                <w:b/>
                <w:bCs/>
              </w:rPr>
              <w:t>护城河深厚叠加强劲增长动力，公司发展正处价值释放快车道</w:t>
            </w:r>
            <w:r>
              <w:rPr>
                <w:webHidden/>
              </w:rPr>
              <w:fldChar w:fldCharType="begin"/>
            </w:r>
            <w:r>
              <w:rPr>
                <w:webHidden/>
              </w:rPr>
              <w:instrText xml:space="preserve">PAGEREF _Toc225872244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5">
            <w:r>
              <w:rPr>
                <w:webHidden/>
                <w:rStyle w:val="IndexLink"/>
                <w:rFonts w:eastAsia="楷体" w:cs="楷体" w:ascii="Calibri" w:hAnsi="Calibri"/>
              </w:rPr>
              <w:t>3.1</w:t>
            </w:r>
            <w:r>
              <w:rPr>
                <w:rStyle w:val="IndexLink"/>
                <w:rFonts w:ascii="Calibri" w:hAnsi="Calibri" w:cs="楷体" w:eastAsia="楷体"/>
              </w:rPr>
              <w:t>三大业务协同构建全链条服务能力</w:t>
            </w:r>
            <w:r>
              <w:rPr>
                <w:webHidden/>
              </w:rPr>
              <w:fldChar w:fldCharType="begin"/>
            </w:r>
            <w:r>
              <w:rPr>
                <w:webHidden/>
              </w:rPr>
              <w:instrText xml:space="preserve">PAGEREF _Toc225872245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6">
            <w:r>
              <w:rPr>
                <w:webHidden/>
                <w:rStyle w:val="IndexLink"/>
                <w:rFonts w:eastAsia="楷体" w:cs="楷体" w:ascii="Calibri" w:hAnsi="Calibri"/>
              </w:rPr>
              <w:t>3.2</w:t>
            </w:r>
            <w:r>
              <w:rPr>
                <w:rStyle w:val="IndexLink"/>
                <w:rFonts w:ascii="Calibri" w:hAnsi="Calibri" w:cs="楷体" w:eastAsia="楷体"/>
              </w:rPr>
              <w:t>三十载深耕筑牢高壁垒客户关系</w:t>
            </w:r>
            <w:r>
              <w:rPr>
                <w:webHidden/>
              </w:rPr>
              <w:fldChar w:fldCharType="begin"/>
            </w:r>
            <w:r>
              <w:rPr>
                <w:webHidden/>
              </w:rPr>
              <w:instrText xml:space="preserve">PAGEREF _Toc225872246 \h</w:instrText>
            </w:r>
            <w:r>
              <w:rPr>
                <w:webHidden/>
              </w:rPr>
              <w:fldChar w:fldCharType="separate"/>
            </w:r>
            <w:r>
              <w:rPr>
                <w:rStyle w:val="IndexLink"/>
              </w:rPr>
              <w:tab/>
              <w:t>20</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7">
            <w:r>
              <w:rPr>
                <w:webHidden/>
                <w:rStyle w:val="IndexLink"/>
                <w:rFonts w:eastAsia="楷体" w:cs="楷体" w:ascii="Calibri" w:hAnsi="Calibri"/>
              </w:rPr>
              <w:t>3.3</w:t>
            </w:r>
            <w:r>
              <w:rPr>
                <w:rStyle w:val="IndexLink"/>
                <w:rFonts w:ascii="Calibri" w:hAnsi="Calibri" w:cs="楷体" w:eastAsia="楷体"/>
              </w:rPr>
              <w:t>招标持续领先巩固行业头部地位</w:t>
            </w:r>
            <w:r>
              <w:rPr>
                <w:webHidden/>
              </w:rPr>
              <w:fldChar w:fldCharType="begin"/>
            </w:r>
            <w:r>
              <w:rPr>
                <w:webHidden/>
              </w:rPr>
              <w:instrText xml:space="preserve">PAGEREF _Toc225872247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8">
            <w:r>
              <w:rPr>
                <w:webHidden/>
                <w:rStyle w:val="IndexLink"/>
                <w:rFonts w:eastAsia="楷体" w:cs="楷体" w:ascii="Calibri" w:hAnsi="Calibri"/>
              </w:rPr>
              <w:t>3.4</w:t>
            </w:r>
            <w:r>
              <w:rPr>
                <w:rStyle w:val="IndexLink"/>
                <w:rFonts w:ascii="Calibri" w:hAnsi="Calibri" w:cs="楷体" w:eastAsia="楷体"/>
              </w:rPr>
              <w:t>配电网升级投资加码，拉动智能终端设备需求</w:t>
            </w:r>
            <w:r>
              <w:rPr>
                <w:webHidden/>
              </w:rPr>
              <w:fldChar w:fldCharType="begin"/>
            </w:r>
            <w:r>
              <w:rPr>
                <w:webHidden/>
              </w:rPr>
              <w:instrText xml:space="preserve">PAGEREF _Toc225872248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49">
            <w:r>
              <w:rPr>
                <w:webHidden/>
                <w:rStyle w:val="IndexLink"/>
                <w:rFonts w:eastAsia="楷体" w:cs="楷体" w:ascii="Calibri" w:hAnsi="Calibri"/>
              </w:rPr>
              <w:t>3.5</w:t>
            </w:r>
            <w:r>
              <w:rPr>
                <w:rStyle w:val="IndexLink"/>
                <w:rFonts w:ascii="Calibri" w:hAnsi="Calibri" w:cs="楷体" w:eastAsia="楷体"/>
              </w:rPr>
              <w:t>海外扩张纵深推进，全球化产能与市场布局持续突破</w:t>
            </w:r>
            <w:r>
              <w:rPr>
                <w:webHidden/>
              </w:rPr>
              <w:fldChar w:fldCharType="begin"/>
            </w:r>
            <w:r>
              <w:rPr>
                <w:webHidden/>
              </w:rPr>
              <w:instrText xml:space="preserve">PAGEREF _Toc225872249 \h</w:instrText>
            </w:r>
            <w:r>
              <w:rPr>
                <w:webHidden/>
              </w:rPr>
              <w:fldChar w:fldCharType="separate"/>
            </w:r>
            <w:r>
              <w:rPr>
                <w:rStyle w:val="IndexLink"/>
              </w:rPr>
              <w:tab/>
              <w:t>21</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0">
            <w:r>
              <w:rPr>
                <w:webHidden/>
                <w:rStyle w:val="IndexLink"/>
                <w:rFonts w:eastAsia="楷体" w:cs="楷体" w:ascii="Calibri" w:hAnsi="Calibri"/>
              </w:rPr>
              <w:t>3.6 AIDC</w:t>
            </w:r>
            <w:r>
              <w:rPr>
                <w:rStyle w:val="IndexLink"/>
                <w:rFonts w:ascii="Calibri" w:hAnsi="Calibri" w:cs="楷体" w:eastAsia="楷体"/>
              </w:rPr>
              <w:t>机架密度提升</w:t>
            </w:r>
            <w:r>
              <w:rPr>
                <w:rStyle w:val="IndexLink"/>
                <w:rFonts w:eastAsia="楷体" w:cs="楷体" w:ascii="Calibri" w:hAnsi="Calibri"/>
              </w:rPr>
              <w:t>+</w:t>
            </w:r>
            <w:r>
              <w:rPr>
                <w:rStyle w:val="IndexLink"/>
                <w:rFonts w:ascii="Calibri" w:hAnsi="Calibri" w:cs="楷体" w:eastAsia="楷体"/>
              </w:rPr>
              <w:t>冗余要求升级，配电架构优化驱动增量投资</w:t>
            </w:r>
            <w:r>
              <w:rPr>
                <w:webHidden/>
              </w:rPr>
              <w:fldChar w:fldCharType="begin"/>
            </w:r>
            <w:r>
              <w:rPr>
                <w:webHidden/>
              </w:rPr>
              <w:instrText xml:space="preserve">PAGEREF _Toc225872250 \h</w:instrText>
            </w:r>
            <w:r>
              <w:rPr>
                <w:webHidden/>
              </w:rPr>
              <w:fldChar w:fldCharType="separate"/>
            </w:r>
            <w:r>
              <w:rPr>
                <w:rStyle w:val="IndexLink"/>
              </w:rPr>
              <w:tab/>
              <w:t>22</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51">
            <w:r>
              <w:rPr>
                <w:webHidden/>
                <w:rStyle w:val="IndexLink"/>
                <w:rFonts w:eastAsia="楷体" w:cs="楷体" w:ascii="Calibri" w:hAnsi="Calibri"/>
                <w:b/>
                <w:bCs/>
              </w:rPr>
              <w:t>4.</w:t>
            </w:r>
            <w:r>
              <w:rPr>
                <w:rStyle w:val="IndexLink"/>
                <w:rFonts w:ascii="Calibri" w:hAnsi="Calibri" w:cs="楷体" w:eastAsia="楷体"/>
                <w:b/>
                <w:bCs/>
              </w:rPr>
              <w:t>估值与投资建议</w:t>
            </w:r>
            <w:r>
              <w:rPr>
                <w:webHidden/>
              </w:rPr>
              <w:fldChar w:fldCharType="begin"/>
            </w:r>
            <w:r>
              <w:rPr>
                <w:webHidden/>
              </w:rPr>
              <w:instrText xml:space="preserve">PAGEREF _Toc225872251 \h</w:instrText>
            </w:r>
            <w:r>
              <w:rPr>
                <w:webHidden/>
              </w:rPr>
              <w:fldChar w:fldCharType="separate"/>
            </w:r>
            <w:r>
              <w:rPr>
                <w:rStyle w:val="IndexLink"/>
              </w:rPr>
              <w:tab/>
              <w:t>24</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2">
            <w:r>
              <w:rPr>
                <w:webHidden/>
                <w:rStyle w:val="IndexLink"/>
                <w:rFonts w:eastAsia="楷体" w:cs="楷体" w:ascii="Calibri" w:hAnsi="Calibri"/>
              </w:rPr>
              <w:t xml:space="preserve">4.1 </w:t>
            </w:r>
            <w:r>
              <w:rPr>
                <w:rStyle w:val="IndexLink"/>
                <w:rFonts w:ascii="Calibri" w:hAnsi="Calibri" w:cs="楷体" w:eastAsia="楷体"/>
              </w:rPr>
              <w:t>盈利预测</w:t>
            </w:r>
            <w:r>
              <w:rPr>
                <w:webHidden/>
              </w:rPr>
              <w:fldChar w:fldCharType="begin"/>
            </w:r>
            <w:r>
              <w:rPr>
                <w:webHidden/>
              </w:rPr>
              <w:instrText xml:space="preserve">PAGEREF _Toc225872252 \h</w:instrText>
            </w:r>
            <w:r>
              <w:rPr>
                <w:webHidden/>
              </w:rPr>
              <w:fldChar w:fldCharType="separate"/>
            </w:r>
            <w:r>
              <w:rPr>
                <w:rStyle w:val="IndexLink"/>
              </w:rPr>
              <w:tab/>
              <w:t>24</w:t>
            </w:r>
            <w:r>
              <w:rPr>
                <w:webHidden/>
              </w:rPr>
              <w:fldChar w:fldCharType="end"/>
            </w:r>
          </w:hyperlink>
        </w:p>
        <w:p>
          <w:pPr>
            <w:pStyle w:val="Contents2"/>
            <w:tabs>
              <w:tab w:val="clear" w:pos="420"/>
              <w:tab w:val="right" w:pos="7733" w:leader="dot"/>
            </w:tabs>
            <w:rPr>
              <w:rFonts w:cs="" w:cstheme="minorBidi"/>
              <w:kern w:val="2"/>
              <w:szCs w:val="24"/>
              <w14:ligatures w14:val="standardContextual"/>
            </w:rPr>
          </w:pPr>
          <w:hyperlink w:anchor="_Toc225872253">
            <w:r>
              <w:rPr>
                <w:webHidden/>
                <w:rStyle w:val="IndexLink"/>
                <w:rFonts w:eastAsia="楷体" w:cs="楷体" w:ascii="楷体" w:hAnsi="楷体"/>
              </w:rPr>
              <w:t xml:space="preserve">4.2 </w:t>
            </w:r>
            <w:r>
              <w:rPr>
                <w:rStyle w:val="IndexLink"/>
                <w:rFonts w:ascii="楷体" w:hAnsi="楷体" w:cs="楷体" w:eastAsia="楷体"/>
              </w:rPr>
              <w:t>估值分析</w:t>
            </w:r>
            <w:r>
              <w:rPr>
                <w:webHidden/>
              </w:rPr>
              <w:fldChar w:fldCharType="begin"/>
            </w:r>
            <w:r>
              <w:rPr>
                <w:webHidden/>
              </w:rPr>
              <w:instrText xml:space="preserve">PAGEREF _Toc225872253 \h</w:instrText>
            </w:r>
            <w:r>
              <w:rPr>
                <w:webHidden/>
              </w:rPr>
              <w:fldChar w:fldCharType="separate"/>
            </w:r>
            <w:r>
              <w:rPr>
                <w:rStyle w:val="IndexLink"/>
              </w:rPr>
              <w:tab/>
              <w:t>24</w:t>
            </w:r>
            <w:r>
              <w:rPr>
                <w:webHidden/>
              </w:rPr>
              <w:fldChar w:fldCharType="end"/>
            </w:r>
          </w:hyperlink>
        </w:p>
        <w:p>
          <w:pPr>
            <w:pStyle w:val="Contents1"/>
            <w:tabs>
              <w:tab w:val="clear" w:pos="420"/>
              <w:tab w:val="right" w:pos="7733" w:leader="dot"/>
            </w:tabs>
            <w:rPr>
              <w:rFonts w:cs="" w:cstheme="minorBidi"/>
              <w:kern w:val="2"/>
              <w:szCs w:val="24"/>
              <w14:ligatures w14:val="standardContextual"/>
            </w:rPr>
          </w:pPr>
          <w:hyperlink w:anchor="_Toc225872254">
            <w:r>
              <w:rPr>
                <w:webHidden/>
                <w:rStyle w:val="IndexLink"/>
                <w:rFonts w:eastAsia="楷体" w:cs="楷体" w:ascii="Calibri" w:hAnsi="Calibri"/>
                <w:b/>
                <w:bCs/>
              </w:rPr>
              <w:t xml:space="preserve">5. </w:t>
            </w:r>
            <w:r>
              <w:rPr>
                <w:rStyle w:val="IndexLink"/>
                <w:rFonts w:ascii="Calibri" w:hAnsi="Calibri" w:cs="楷体" w:eastAsia="楷体"/>
                <w:b/>
                <w:bCs/>
              </w:rPr>
              <w:t>风险</w:t>
            </w:r>
            <w:r>
              <w:rPr>
                <w:webHidden/>
              </w:rPr>
              <w:fldChar w:fldCharType="begin"/>
            </w:r>
            <w:r>
              <w:rPr>
                <w:webHidden/>
              </w:rPr>
              <w:instrText xml:space="preserve">PAGEREF _Toc225872254 \h</w:instrText>
            </w:r>
            <w:r>
              <w:rPr>
                <w:webHidden/>
              </w:rPr>
              <w:fldChar w:fldCharType="separate"/>
            </w:r>
            <w:r>
              <w:rPr>
                <w:rStyle w:val="IndexLink"/>
              </w:rPr>
              <w:tab/>
              <w:t>25</w:t>
            </w:r>
            <w:r>
              <w:rPr>
                <w:webHidden/>
              </w:rPr>
              <w:fldChar w:fldCharType="end"/>
            </w:r>
          </w:hyperlink>
        </w:p>
        <w:p>
          <w:pPr>
            <w:pStyle w:val="1"/>
            <w:rPr>
              <w:rFonts w:eastAsia="楷体" w:cs="Calibri"/>
            </w:rPr>
          </w:pPr>
          <w:r>
            <w:rPr>
              <w:rFonts w:eastAsia="楷体" w:cs="Calibri"/>
            </w:rPr>
          </w:r>
          <w:r>
            <w:rPr>
              <w:rFonts w:eastAsia="楷体" w:cs="Calibri"/>
            </w:rPr>
            <w:fldChar w:fldCharType="end"/>
          </w:r>
        </w:p>
      </w:sdtContent>
    </w:sdt>
    <w:p>
      <w:pPr>
        <w:pStyle w:val="44"/>
        <w:rPr>
          <w:rFonts w:eastAsia="楷体" w:cs="Calibri"/>
          <w:lang w:eastAsia="zh-CN"/>
        </w:rPr>
      </w:pPr>
      <w:r>
        <w:rPr>
          <w:rFonts w:eastAsia="楷体" w:cs="Calibri"/>
          <w:lang w:eastAsia="zh-CN"/>
        </w:rPr>
      </w:r>
    </w:p>
    <w:p>
      <w:pPr>
        <w:pStyle w:val="1"/>
        <w:rPr>
          <w:rFonts w:eastAsia="楷体"/>
        </w:rPr>
      </w:pPr>
      <w:r>
        <w:rPr>
          <w:rFonts w:eastAsia="楷体"/>
        </w:rPr>
      </w:r>
    </w:p>
    <w:p>
      <w:pPr>
        <w:pStyle w:val="1"/>
        <w:rPr>
          <w:rFonts w:eastAsia="楷体"/>
        </w:rPr>
      </w:pPr>
      <w:r>
        <w:rPr>
          <w:rFonts w:eastAsia="楷体"/>
        </w:rPr>
      </w:r>
    </w:p>
    <w:p>
      <w:pPr>
        <w:pStyle w:val="1"/>
        <w:rPr>
          <w:rFonts w:eastAsia="楷体"/>
        </w:rPr>
      </w:pPr>
      <w:r>
        <w:rPr>
          <w:rFonts w:eastAsia="楷体"/>
        </w:rPr>
      </w:r>
    </w:p>
    <w:p>
      <w:pPr>
        <w:pStyle w:val="1"/>
        <w:rPr>
          <w:rFonts w:eastAsia="楷体"/>
        </w:rPr>
      </w:pPr>
      <w:r>
        <w:rPr>
          <w:rFonts w:eastAsia="楷体"/>
        </w:rPr>
      </w:r>
    </w:p>
    <w:p>
      <w:pPr>
        <w:pStyle w:val="1"/>
        <w:rPr>
          <w:rFonts w:eastAsia="楷体"/>
        </w:rPr>
      </w:pPr>
      <w:r>
        <w:rPr>
          <w:rFonts w:eastAsia="楷体"/>
        </w:rPr>
      </w:r>
    </w:p>
    <w:p>
      <w:pPr>
        <w:sectPr>
          <w:pgSz w:w="11906" w:h="16838"/>
          <w:pgMar w:left="3600" w:right="567" w:gutter="0" w:header="567" w:top="624" w:footer="0" w:bottom="1021"/>
          <w:pgNumType w:fmt="decimal"/>
          <w:formProt w:val="false"/>
          <w:textDirection w:val="lrTb"/>
          <w:docGrid w:type="default" w:linePitch="299" w:charSpace="0"/>
          <w:headerReference w:type="default" r:id="rId12"/>
          <w:footerReference w:type="default" r:id="rId7"/>
        </w:sectPr>
        <w:pStyle w:val="1"/>
        <w:rPr>
          <w:rFonts w:eastAsia="楷体"/>
        </w:rPr>
      </w:pPr>
      <w:r>
        <w:rPr>
          <w:rFonts w:eastAsia="楷体"/>
        </w:rPr>
      </w:r>
    </w:p>
    <w:p>
      <w:pPr>
        <w:pStyle w:val="2"/>
        <w:spacing w:before="240" w:after="240"/>
        <w:jc w:val="both"/>
        <w:rPr>
          <w:rFonts w:ascii="Calibri" w:hAnsi="Calibri" w:eastAsia="楷体" w:cs="楷体"/>
          <w:b/>
          <w:b/>
          <w:bCs/>
          <w:color w:val="23558C"/>
          <w:sz w:val="28"/>
          <w:szCs w:val="28"/>
        </w:rPr>
      </w:pPr>
      <w:bookmarkStart w:id="0" w:name="_Toc225872237"/>
      <w:r>
        <w:rPr>
          <w:rFonts w:eastAsia="楷体" w:cs="楷体" w:ascii="Calibri" w:hAnsi="Calibri"/>
          <w:b/>
          <w:bCs/>
          <w:color w:val="23558C"/>
          <w:sz w:val="28"/>
          <w:szCs w:val="28"/>
        </w:rPr>
        <w:t xml:space="preserve">1 </w:t>
      </w:r>
      <w:r>
        <w:rPr>
          <w:rFonts w:ascii="Calibri" w:hAnsi="Calibri" w:cs="楷体" w:eastAsia="楷体"/>
          <w:b/>
          <w:bCs/>
          <w:color w:val="23558C"/>
          <w:sz w:val="28"/>
          <w:szCs w:val="28"/>
        </w:rPr>
        <w:t>威胜控股：能源计量与能效管理专家</w:t>
      </w:r>
      <w:bookmarkEnd w:id="0"/>
    </w:p>
    <w:p>
      <w:pPr>
        <w:pStyle w:val="77"/>
        <w:jc w:val="both"/>
        <w:rPr>
          <w:rFonts w:ascii="Calibri" w:hAnsi="Calibri" w:eastAsia="楷体" w:cs="楷体"/>
          <w:color w:val="23558C"/>
          <w:sz w:val="24"/>
          <w:szCs w:val="24"/>
        </w:rPr>
      </w:pPr>
      <w:bookmarkStart w:id="1" w:name="_Toc225872238"/>
      <w:r>
        <w:rPr>
          <w:rFonts w:eastAsia="楷体" w:cs="楷体" w:ascii="Calibri" w:hAnsi="Calibri"/>
          <w:color w:val="23558C"/>
          <w:sz w:val="24"/>
          <w:szCs w:val="24"/>
        </w:rPr>
        <w:t xml:space="preserve">1.1 </w:t>
      </w:r>
      <w:r>
        <w:rPr>
          <w:rFonts w:ascii="Calibri" w:hAnsi="Calibri" w:cs="楷体" w:eastAsia="楷体"/>
          <w:color w:val="23558C"/>
          <w:sz w:val="24"/>
          <w:szCs w:val="24"/>
        </w:rPr>
        <w:t>公司概况</w:t>
      </w:r>
      <w:bookmarkEnd w:id="1"/>
    </w:p>
    <w:p>
      <w:pPr>
        <w:pStyle w:val="1"/>
        <w:rPr>
          <w:rFonts w:eastAsia="楷体" w:cs="楷体"/>
          <w:sz w:val="22"/>
          <w:szCs w:val="22"/>
        </w:rPr>
      </w:pPr>
      <w:r>
        <w:rPr>
          <w:rFonts w:cs="楷体" w:eastAsia="楷体"/>
          <w:sz w:val="22"/>
          <w:szCs w:val="22"/>
        </w:rPr>
        <w:t>威胜控股是中国智能计量、智能配用电与能效管理整体解决方案的领先供应商。公司在</w:t>
      </w:r>
      <w:r>
        <w:rPr>
          <w:rFonts w:eastAsia="楷体" w:cs="楷体"/>
          <w:sz w:val="22"/>
          <w:szCs w:val="22"/>
        </w:rPr>
        <w:t xml:space="preserve">2005 </w:t>
      </w:r>
      <w:r>
        <w:rPr>
          <w:rFonts w:cs="楷体" w:eastAsia="楷体"/>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Pr>
          <w:rFonts w:eastAsia="楷体" w:cs="楷体"/>
          <w:sz w:val="22"/>
          <w:szCs w:val="22"/>
        </w:rPr>
        <w:t xml:space="preserve">5G </w:t>
      </w:r>
      <w:r>
        <w:rPr>
          <w:rFonts w:cs="楷体" w:eastAsia="楷体"/>
          <w:sz w:val="22"/>
          <w:szCs w:val="22"/>
        </w:rPr>
        <w:t>通讯、机械制造、冶金、化工等大型用能单位及居民用户。</w:t>
      </w:r>
    </w:p>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sz w:val="22"/>
          <w:szCs w:val="22"/>
        </w:rPr>
        <w:t>威胜控股有三大主营业务：智能电网解决方案、数智能效管理解决方案及数字能源服务商：</w:t>
      </w:r>
    </w:p>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b/>
          <w:bCs/>
          <w:sz w:val="22"/>
          <w:szCs w:val="22"/>
        </w:rPr>
        <w:t>智能电网解决方案（原电智能计量解决方案业务，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36%</w:t>
      </w:r>
      <w:r>
        <w:rPr>
          <w:rFonts w:cs="楷体" w:eastAsia="楷体"/>
          <w:b/>
          <w:bCs/>
          <w:sz w:val="22"/>
          <w:szCs w:val="22"/>
        </w:rPr>
        <w:t>）</w:t>
      </w:r>
      <w:r>
        <w:rPr>
          <w:rFonts w:cs="楷体" w:eastAsia="楷体"/>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Pr>
          <w:rFonts w:eastAsia="楷体" w:cs="楷体"/>
          <w:sz w:val="22"/>
          <w:szCs w:val="22"/>
        </w:rPr>
        <w:t>0.1S</w:t>
      </w:r>
      <w:r>
        <w:rPr>
          <w:rFonts w:cs="楷体" w:eastAsia="楷体"/>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智能电表市场目前处于从传统电子表向具有感知、控制功能的智能终端升级的阶段。国内市场以国家电网和南方电网的集中招标为主，门槛较高且竞争激烈，市场集中度正向具备高技术水准的头部企业倾斜。在国内，威胜与林洋能源、三星医疗、海兴电力等头部企业共同竞争国家电网和南方电网的招标份额。而在国际市场，威胜则与</w:t>
      </w:r>
      <w:r>
        <w:rPr>
          <w:rFonts w:eastAsia="楷体" w:cs="楷体"/>
          <w:sz w:val="22"/>
          <w:szCs w:val="22"/>
        </w:rPr>
        <w:t>Landis+Gyr</w:t>
      </w:r>
      <w:r>
        <w:rPr>
          <w:rFonts w:cs="楷体" w:eastAsia="楷体"/>
          <w:sz w:val="22"/>
          <w:szCs w:val="22"/>
        </w:rPr>
        <w:t>（瑞士）、</w:t>
      </w:r>
      <w:r>
        <w:rPr>
          <w:rFonts w:eastAsia="楷体" w:cs="楷体"/>
          <w:sz w:val="22"/>
          <w:szCs w:val="22"/>
        </w:rPr>
        <w:t>Itron</w:t>
      </w:r>
      <w:r>
        <w:rPr>
          <w:rFonts w:cs="楷体" w:eastAsia="楷体"/>
          <w:sz w:val="22"/>
          <w:szCs w:val="22"/>
        </w:rPr>
        <w:t>（美国）及</w:t>
      </w:r>
      <w:r>
        <w:rPr>
          <w:rFonts w:eastAsia="楷体" w:cs="楷体"/>
          <w:sz w:val="22"/>
          <w:szCs w:val="22"/>
        </w:rPr>
        <w:t>Sagemcom</w:t>
      </w:r>
      <w:r>
        <w:rPr>
          <w:rFonts w:cs="楷体" w:eastAsia="楷体"/>
          <w:sz w:val="22"/>
          <w:szCs w:val="22"/>
        </w:rPr>
        <w:t>（法国）等全球巨头直接对垒。威胜是国内智能计量领域的领军者，长期在国家电网及南方电网的招标中保持市场份额领先。</w:t>
      </w:r>
    </w:p>
    <w:p>
      <w:pPr>
        <w:pStyle w:val="1"/>
        <w:rPr>
          <w:rFonts w:eastAsia="楷体" w:cs="楷体"/>
          <w:sz w:val="22"/>
          <w:szCs w:val="22"/>
        </w:rPr>
      </w:pPr>
      <w:r>
        <w:rPr>
          <w:rFonts w:eastAsia="楷体" w:cs="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智能电表相关产品</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4603750" cy="1865630"/>
                  <wp:effectExtent l="0" t="0" r="0" b="0"/>
                  <wp:docPr id="1"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
                          <pic:cNvPicPr>
                            <a:picLocks noChangeAspect="1" noChangeArrowheads="1"/>
                          </pic:cNvPicPr>
                        </pic:nvPicPr>
                        <pic:blipFill>
                          <a:blip r:embed="rId23"/>
                          <a:stretch>
                            <a:fillRect/>
                          </a:stretch>
                        </pic:blipFill>
                        <pic:spPr bwMode="auto">
                          <a:xfrm>
                            <a:off x="0" y="0"/>
                            <a:ext cx="4603750" cy="186563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b/>
          <w:bCs/>
          <w:sz w:val="22"/>
          <w:szCs w:val="22"/>
        </w:rPr>
        <w:t>数智能效管理解决方案（原通信及流体智能计量解决方案业务，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28%</w:t>
      </w:r>
      <w:r>
        <w:rPr>
          <w:rFonts w:cs="楷体" w:eastAsia="楷体"/>
          <w:b/>
          <w:bCs/>
          <w:sz w:val="22"/>
          <w:szCs w:val="22"/>
        </w:rPr>
        <w:t>）</w:t>
      </w:r>
      <w:r>
        <w:rPr>
          <w:rFonts w:cs="楷体" w:eastAsia="楷体"/>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Pr>
          <w:rFonts w:eastAsia="楷体" w:cs="楷体"/>
          <w:sz w:val="22"/>
          <w:szCs w:val="22"/>
        </w:rPr>
        <w:t>AIoT</w:t>
      </w:r>
      <w:r>
        <w:rPr>
          <w:rFonts w:cs="楷体" w:eastAsia="楷体"/>
          <w:sz w:val="22"/>
          <w:szCs w:val="22"/>
        </w:rPr>
        <w:t>能源物联网平台，助力传统电力系统向源网荷储互动的新型电力系统转型发展。该板块的业务由集团持股的子公司威胜信息技术股份有限公司（科创板上市，股票代码</w:t>
      </w:r>
      <w:r>
        <w:rPr>
          <w:rFonts w:eastAsia="楷体" w:cs="楷体"/>
          <w:sz w:val="22"/>
          <w:szCs w:val="22"/>
        </w:rPr>
        <w:t>688100</w:t>
      </w:r>
      <w:r>
        <w:rPr>
          <w:rFonts w:cs="楷体" w:eastAsia="楷体"/>
          <w:sz w:val="22"/>
          <w:szCs w:val="22"/>
        </w:rPr>
        <w:t>）负责运营。</w:t>
      </w:r>
    </w:p>
    <w:p>
      <w:pPr>
        <w:pStyle w:val="1"/>
        <w:rPr>
          <w:rFonts w:eastAsia="楷体" w:cs="楷体"/>
          <w:sz w:val="22"/>
          <w:szCs w:val="22"/>
        </w:rPr>
      </w:pPr>
      <w:r>
        <w:rPr>
          <w:rFonts w:cs="楷体" w:eastAsia="楷体"/>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w:t>
      </w:r>
      <w:r>
        <w:rPr>
          <w:rFonts w:eastAsia="楷体" w:cs="楷体"/>
          <w:sz w:val="22"/>
          <w:szCs w:val="22"/>
        </w:rPr>
        <w:t>ICT</w:t>
      </w:r>
      <w:r>
        <w:rPr>
          <w:rFonts w:cs="楷体" w:eastAsia="楷体"/>
          <w:sz w:val="22"/>
          <w:szCs w:val="22"/>
        </w:rPr>
        <w:t>巨头以及</w:t>
      </w:r>
      <w:r>
        <w:rPr>
          <w:rFonts w:eastAsia="楷体" w:cs="楷体"/>
          <w:sz w:val="22"/>
          <w:szCs w:val="22"/>
        </w:rPr>
        <w:t>Sensus</w:t>
      </w:r>
      <w:r>
        <w:rPr>
          <w:rFonts w:cs="楷体" w:eastAsia="楷体"/>
          <w:sz w:val="22"/>
          <w:szCs w:val="22"/>
        </w:rPr>
        <w:t>（赛莱默旗下）等全球公用事业联网方案商的竞争。行业趋势已从单一表具竞争转向“硬件</w:t>
      </w:r>
      <w:r>
        <w:rPr>
          <w:rFonts w:eastAsia="楷体" w:cs="楷体"/>
          <w:sz w:val="22"/>
          <w:szCs w:val="22"/>
        </w:rPr>
        <w:t>+</w:t>
      </w:r>
      <w:r>
        <w:rPr>
          <w:rFonts w:cs="楷体" w:eastAsia="楷体"/>
          <w:sz w:val="22"/>
          <w:szCs w:val="22"/>
        </w:rPr>
        <w:t>软件</w:t>
      </w:r>
      <w:r>
        <w:rPr>
          <w:rFonts w:eastAsia="楷体" w:cs="楷体"/>
          <w:sz w:val="22"/>
          <w:szCs w:val="22"/>
        </w:rPr>
        <w:t>+</w:t>
      </w:r>
      <w:r>
        <w:rPr>
          <w:rFonts w:cs="楷体" w:eastAsia="楷体"/>
          <w:sz w:val="22"/>
          <w:szCs w:val="22"/>
        </w:rPr>
        <w:t>平台”的综合集成能力竞争。作为“能源物联网第一股”，威胜信息具备全栈式技术能力。其优势在于将深厚的电力通信技术背景（</w:t>
      </w:r>
      <w:r>
        <w:rPr>
          <w:rFonts w:eastAsia="楷体" w:cs="楷体"/>
          <w:sz w:val="22"/>
          <w:szCs w:val="22"/>
        </w:rPr>
        <w:t>PLC</w:t>
      </w:r>
      <w:r>
        <w:rPr>
          <w:rFonts w:cs="楷体" w:eastAsia="楷体"/>
          <w:sz w:val="22"/>
          <w:szCs w:val="22"/>
        </w:rPr>
        <w:t>、</w:t>
      </w:r>
      <w:r>
        <w:rPr>
          <w:rFonts w:eastAsia="楷体" w:cs="楷体"/>
          <w:sz w:val="22"/>
          <w:szCs w:val="22"/>
        </w:rPr>
        <w:t>RF</w:t>
      </w:r>
      <w:r>
        <w:rPr>
          <w:rFonts w:cs="楷体" w:eastAsia="楷体"/>
          <w:sz w:val="22"/>
          <w:szCs w:val="22"/>
        </w:rPr>
        <w:t>、</w:t>
      </w:r>
      <w:r>
        <w:rPr>
          <w:rFonts w:eastAsia="楷体" w:cs="楷体"/>
          <w:sz w:val="22"/>
          <w:szCs w:val="22"/>
        </w:rPr>
        <w:t>NB-IoT</w:t>
      </w:r>
      <w:r>
        <w:rPr>
          <w:rFonts w:cs="楷体" w:eastAsia="楷体"/>
          <w:sz w:val="22"/>
          <w:szCs w:val="22"/>
        </w:rPr>
        <w:t>等）跨界应用至水、气、热领域，实现了多表合一、电水气联动管理。其</w:t>
      </w:r>
      <w:r>
        <w:rPr>
          <w:rFonts w:eastAsia="楷体" w:cs="楷体"/>
          <w:sz w:val="22"/>
          <w:szCs w:val="22"/>
        </w:rPr>
        <w:t>AIoT</w:t>
      </w:r>
      <w:r>
        <w:rPr>
          <w:rFonts w:cs="楷体" w:eastAsia="楷体"/>
          <w:sz w:val="22"/>
          <w:szCs w:val="22"/>
        </w:rPr>
        <w:t>平台能深度适配电力系统“源网荷储”互动需求，在行业数字化转型中占据先发优势。</w:t>
      </w:r>
    </w:p>
    <w:p>
      <w:pPr>
        <w:pStyle w:val="1"/>
        <w:rPr>
          <w:rFonts w:eastAsia="楷体" w:cs="楷体"/>
          <w:sz w:val="22"/>
          <w:szCs w:val="22"/>
        </w:rPr>
      </w:pPr>
      <w:r>
        <w:rPr>
          <w:rFonts w:eastAsia="楷体" w:cs="楷体"/>
          <w:sz w:val="22"/>
          <w:szCs w:val="22"/>
        </w:rPr>
      </w:r>
    </w:p>
    <w:tbl>
      <w:tblPr>
        <w:tblStyle w:val="19"/>
        <w:tblW w:w="10443" w:type="dxa"/>
        <w:jc w:val="left"/>
        <w:tblInd w:w="-2977" w:type="dxa"/>
        <w:tblLayout w:type="fixed"/>
        <w:tblCellMar>
          <w:top w:w="0" w:type="dxa"/>
          <w:left w:w="0" w:type="dxa"/>
          <w:bottom w:w="0" w:type="dxa"/>
          <w:right w:w="28" w:type="dxa"/>
        </w:tblCellMar>
      </w:tblPr>
      <w:tblGrid>
        <w:gridCol w:w="10443"/>
      </w:tblGrid>
      <w:tr>
        <w:trPr>
          <w:trHeight w:val="302" w:hRule="atLeast"/>
        </w:trPr>
        <w:tc>
          <w:tcPr>
            <w:tcW w:w="10443" w:type="dxa"/>
            <w:tcBorders>
              <w:bottom w:val="single" w:sz="4" w:space="0" w:color="000000"/>
            </w:tcBorders>
          </w:tcPr>
          <w:p>
            <w:pPr>
              <w:pStyle w:val="1"/>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供水生产调度系统</w:t>
            </w:r>
          </w:p>
        </w:tc>
      </w:tr>
      <w:tr>
        <w:trPr>
          <w:trHeight w:val="856" w:hRule="atLeast"/>
        </w:trPr>
        <w:tc>
          <w:tcPr>
            <w:tcW w:w="10443"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6326505" cy="4217670"/>
                  <wp:effectExtent l="0" t="0" r="0" b="0"/>
                  <wp:docPr id="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
                          <pic:cNvPicPr>
                            <a:picLocks noChangeAspect="1" noChangeArrowheads="1"/>
                          </pic:cNvPicPr>
                        </pic:nvPicPr>
                        <pic:blipFill>
                          <a:blip r:embed="rId24"/>
                          <a:stretch>
                            <a:fillRect/>
                          </a:stretch>
                        </pic:blipFill>
                        <pic:spPr bwMode="auto">
                          <a:xfrm>
                            <a:off x="0" y="0"/>
                            <a:ext cx="6326505" cy="4217670"/>
                          </a:xfrm>
                          <a:prstGeom prst="rect">
                            <a:avLst/>
                          </a:prstGeom>
                        </pic:spPr>
                      </pic:pic>
                    </a:graphicData>
                  </a:graphic>
                </wp:inline>
              </w:drawing>
            </w:r>
          </w:p>
        </w:tc>
      </w:tr>
      <w:tr>
        <w:trPr>
          <w:trHeight w:val="64" w:hRule="atLeast"/>
        </w:trPr>
        <w:tc>
          <w:tcPr>
            <w:tcW w:w="10443"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b/>
          <w:bCs/>
          <w:sz w:val="22"/>
          <w:szCs w:val="22"/>
        </w:rPr>
        <w:t>数字能源服务商（原智能配用电系统及解决方案业务，</w:t>
      </w:r>
      <w:r>
        <w:rPr>
          <w:rFonts w:eastAsia="楷体" w:cs="楷体"/>
          <w:b/>
          <w:bCs/>
          <w:sz w:val="22"/>
          <w:szCs w:val="22"/>
        </w:rPr>
        <w:t>25</w:t>
      </w:r>
      <w:r>
        <w:rPr>
          <w:rFonts w:cs="楷体" w:eastAsia="楷体"/>
          <w:b/>
          <w:bCs/>
          <w:sz w:val="22"/>
          <w:szCs w:val="22"/>
        </w:rPr>
        <w:t>年营收占比约</w:t>
      </w:r>
      <w:r>
        <w:rPr>
          <w:rFonts w:eastAsia="楷体" w:cs="楷体"/>
          <w:b/>
          <w:bCs/>
          <w:sz w:val="22"/>
          <w:szCs w:val="22"/>
        </w:rPr>
        <w:t>35%</w:t>
      </w:r>
      <w:r>
        <w:rPr>
          <w:rFonts w:cs="楷体" w:eastAsia="楷体"/>
          <w:b/>
          <w:bCs/>
          <w:sz w:val="22"/>
          <w:szCs w:val="22"/>
        </w:rPr>
        <w:t>）</w:t>
      </w:r>
      <w:r>
        <w:rPr>
          <w:rFonts w:cs="楷体" w:eastAsia="楷体"/>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Pr>
          <w:rFonts w:eastAsia="楷体" w:cs="楷体"/>
          <w:sz w:val="22"/>
          <w:szCs w:val="22"/>
        </w:rPr>
        <w:t>EMS</w:t>
      </w:r>
      <w:r>
        <w:rPr>
          <w:rFonts w:cs="楷体" w:eastAsia="楷体"/>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Pr>
          <w:rFonts w:eastAsia="楷体" w:cs="楷体"/>
          <w:sz w:val="22"/>
          <w:szCs w:val="22"/>
        </w:rPr>
        <w:t>"</w:t>
      </w:r>
      <w:r>
        <w:rPr>
          <w:rFonts w:cs="楷体" w:eastAsia="楷体"/>
          <w:sz w:val="22"/>
          <w:szCs w:val="22"/>
        </w:rPr>
        <w:t>高品质硬件</w:t>
      </w:r>
      <w:r>
        <w:rPr>
          <w:rFonts w:eastAsia="楷体" w:cs="楷体"/>
          <w:sz w:val="22"/>
          <w:szCs w:val="22"/>
        </w:rPr>
        <w:t>+</w:t>
      </w:r>
      <w:r>
        <w:rPr>
          <w:rFonts w:cs="楷体" w:eastAsia="楷体"/>
          <w:sz w:val="22"/>
          <w:szCs w:val="22"/>
        </w:rPr>
        <w:t>高水平应用软件</w:t>
      </w:r>
      <w:r>
        <w:rPr>
          <w:rFonts w:eastAsia="楷体" w:cs="楷体"/>
          <w:sz w:val="22"/>
          <w:szCs w:val="22"/>
        </w:rPr>
        <w:t>+</w:t>
      </w:r>
      <w:r>
        <w:rPr>
          <w:rFonts w:cs="楷体" w:eastAsia="楷体"/>
          <w:sz w:val="22"/>
          <w:szCs w:val="22"/>
        </w:rPr>
        <w:t>专业化</w:t>
      </w:r>
      <w:r>
        <w:rPr>
          <w:rFonts w:eastAsia="楷体" w:cs="楷体"/>
          <w:sz w:val="22"/>
          <w:szCs w:val="22"/>
        </w:rPr>
        <w:t>EPC</w:t>
      </w:r>
      <w:r>
        <w:rPr>
          <w:rFonts w:cs="楷体" w:eastAsia="楷体"/>
          <w:sz w:val="22"/>
          <w:szCs w:val="22"/>
        </w:rPr>
        <w:t>工程能力</w:t>
      </w:r>
      <w:r>
        <w:rPr>
          <w:rFonts w:eastAsia="楷体" w:cs="楷体"/>
          <w:sz w:val="22"/>
          <w:szCs w:val="22"/>
        </w:rPr>
        <w:t>+</w:t>
      </w:r>
      <w:r>
        <w:rPr>
          <w:rFonts w:cs="楷体" w:eastAsia="楷体"/>
          <w:sz w:val="22"/>
          <w:szCs w:val="22"/>
        </w:rPr>
        <w:t>光伏微网解决方案的综合能力</w:t>
      </w:r>
      <w:r>
        <w:rPr>
          <w:rFonts w:eastAsia="楷体" w:cs="楷体"/>
          <w:sz w:val="22"/>
          <w:szCs w:val="22"/>
        </w:rPr>
        <w:t>"</w:t>
      </w:r>
      <w:r>
        <w:rPr>
          <w:rFonts w:cs="楷体" w:eastAsia="楷体"/>
          <w:sz w:val="22"/>
          <w:szCs w:val="22"/>
        </w:rPr>
        <w:t>。该板块的业务由集团持股的子公司惟远能源技术股份有限公司负责运营。</w:t>
      </w:r>
    </w:p>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sz w:val="22"/>
          <w:szCs w:val="22"/>
        </w:rPr>
        <w:t>在“双碳”政策驱动下，新型储能与配电自动化市场迎来了爆发式增长。市场参与者既包括传统的电力设备巨头，如施耐德、</w:t>
      </w:r>
      <w:r>
        <w:rPr>
          <w:rFonts w:eastAsia="楷体" w:cs="楷体"/>
          <w:sz w:val="22"/>
          <w:szCs w:val="22"/>
        </w:rPr>
        <w:t>ABB</w:t>
      </w:r>
      <w:r>
        <w:rPr>
          <w:rFonts w:cs="楷体" w:eastAsia="楷体"/>
          <w:sz w:val="22"/>
          <w:szCs w:val="22"/>
        </w:rPr>
        <w:t>、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Pr>
          <w:rFonts w:eastAsia="楷体" w:cs="楷体"/>
          <w:sz w:val="22"/>
          <w:szCs w:val="22"/>
        </w:rPr>
        <w:t>EMS</w:t>
      </w:r>
      <w:r>
        <w:rPr>
          <w:rFonts w:cs="楷体" w:eastAsia="楷体"/>
          <w:sz w:val="22"/>
          <w:szCs w:val="22"/>
        </w:rPr>
        <w:t>、需求侧管理）的深度融合。</w:t>
      </w:r>
    </w:p>
    <w:p>
      <w:pPr>
        <w:pStyle w:val="1"/>
        <w:rPr>
          <w:rFonts w:eastAsia="楷体" w:cs="楷体"/>
          <w:sz w:val="22"/>
          <w:szCs w:val="22"/>
        </w:rPr>
      </w:pPr>
      <w:r>
        <w:rPr>
          <w:rFonts w:eastAsia="楷体" w:cs="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数据中心解决方案</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5270500" cy="2929890"/>
                  <wp:effectExtent l="0" t="0" r="0" b="0"/>
                  <wp:docPr id="3"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图示&#10;&#10;AI 生成的内容可能不正确。"/>
                          <pic:cNvPicPr>
                            <a:picLocks noChangeAspect="1" noChangeArrowheads="1"/>
                          </pic:cNvPicPr>
                        </pic:nvPicPr>
                        <pic:blipFill>
                          <a:blip r:embed="rId25"/>
                          <a:stretch>
                            <a:fillRect/>
                          </a:stretch>
                        </pic:blipFill>
                        <pic:spPr bwMode="auto">
                          <a:xfrm>
                            <a:off x="0" y="0"/>
                            <a:ext cx="5270500" cy="292989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cs="楷体" w:eastAsia="楷体"/>
                <w:kern w:val="0"/>
                <w:sz w:val="20"/>
                <w:szCs w:val="20"/>
              </w:rPr>
              <w:t>公司官网、</w:t>
            </w:r>
            <w:r>
              <w:rPr>
                <w:rFonts w:eastAsia="楷体" w:cs="楷体"/>
                <w:kern w:val="0"/>
                <w:sz w:val="20"/>
                <w:szCs w:val="20"/>
              </w:rPr>
              <w:t>HFI</w:t>
            </w:r>
          </w:p>
        </w:tc>
      </w:tr>
    </w:tbl>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sz w:val="22"/>
          <w:szCs w:val="22"/>
        </w:rPr>
        <w:t>威胜控股的经营子公司长沙威胜早</w:t>
      </w:r>
      <w:r>
        <w:rPr>
          <w:rFonts w:eastAsia="楷体" w:cs="楷体"/>
          <w:sz w:val="22"/>
          <w:szCs w:val="22"/>
        </w:rPr>
        <w:t>2000</w:t>
      </w:r>
      <w:r>
        <w:rPr>
          <w:rFonts w:cs="楷体" w:eastAsia="楷体"/>
          <w:sz w:val="22"/>
          <w:szCs w:val="22"/>
        </w:rPr>
        <w:t>年在湖南省长沙市成立，从事生产及销售电度表业务。</w:t>
      </w:r>
      <w:r>
        <w:rPr>
          <w:rFonts w:eastAsia="楷体" w:cs="楷体"/>
          <w:sz w:val="22"/>
          <w:szCs w:val="22"/>
        </w:rPr>
        <w:t>2004</w:t>
      </w:r>
      <w:r>
        <w:rPr>
          <w:rFonts w:cs="楷体" w:eastAsia="楷体"/>
          <w:sz w:val="22"/>
          <w:szCs w:val="22"/>
        </w:rPr>
        <w:t>年，公司开始拓展海外市场业务。</w:t>
      </w:r>
      <w:r>
        <w:rPr>
          <w:rFonts w:eastAsia="楷体" w:cs="楷体"/>
          <w:sz w:val="22"/>
          <w:szCs w:val="22"/>
        </w:rPr>
        <w:t>2005</w:t>
      </w:r>
      <w:r>
        <w:rPr>
          <w:rFonts w:cs="楷体" w:eastAsia="楷体"/>
          <w:sz w:val="22"/>
          <w:szCs w:val="22"/>
        </w:rPr>
        <w:t>年，威胜控股在港交所主板上市， 代码</w:t>
      </w:r>
      <w:r>
        <w:rPr>
          <w:rFonts w:eastAsia="楷体" w:cs="楷体"/>
          <w:sz w:val="22"/>
          <w:szCs w:val="22"/>
        </w:rPr>
        <w:t>3393.HK</w:t>
      </w:r>
      <w:r>
        <w:rPr>
          <w:rFonts w:cs="楷体" w:eastAsia="楷体"/>
          <w:sz w:val="22"/>
          <w:szCs w:val="22"/>
        </w:rPr>
        <w:t>，成为湖南省第一家在境外上市的企业。</w:t>
      </w:r>
      <w:r>
        <w:rPr>
          <w:rFonts w:eastAsia="楷体" w:cs="楷体"/>
          <w:sz w:val="22"/>
          <w:szCs w:val="22"/>
        </w:rPr>
        <w:t>2020</w:t>
      </w:r>
      <w:r>
        <w:rPr>
          <w:rFonts w:cs="楷体" w:eastAsia="楷体"/>
          <w:sz w:val="22"/>
          <w:szCs w:val="22"/>
        </w:rPr>
        <w:t>年，公司的控股子公司威胜信息在</w:t>
      </w:r>
      <w:r>
        <w:rPr>
          <w:rFonts w:eastAsia="楷体" w:cs="楷体"/>
          <w:sz w:val="22"/>
          <w:szCs w:val="22"/>
        </w:rPr>
        <w:t>A</w:t>
      </w:r>
      <w:r>
        <w:rPr>
          <w:rFonts w:cs="楷体" w:eastAsia="楷体"/>
          <w:sz w:val="22"/>
          <w:szCs w:val="22"/>
        </w:rPr>
        <w:t>股上市，代码</w:t>
      </w:r>
      <w:r>
        <w:rPr>
          <w:rFonts w:eastAsia="楷体" w:cs="楷体"/>
          <w:sz w:val="22"/>
          <w:szCs w:val="22"/>
        </w:rPr>
        <w:t>688100.SH</w:t>
      </w:r>
      <w:r>
        <w:rPr>
          <w:rFonts w:cs="楷体" w:eastAsia="楷体"/>
          <w:sz w:val="22"/>
          <w:szCs w:val="22"/>
        </w:rPr>
        <w:t>。</w:t>
      </w:r>
      <w:r>
        <w:rPr>
          <w:rFonts w:eastAsia="楷体" w:cs="楷体"/>
          <w:sz w:val="22"/>
          <w:szCs w:val="22"/>
        </w:rPr>
        <w:t>2021</w:t>
      </w:r>
      <w:r>
        <w:rPr>
          <w:rFonts w:cs="楷体" w:eastAsia="楷体"/>
          <w:sz w:val="22"/>
          <w:szCs w:val="22"/>
        </w:rPr>
        <w:t>年起，公司的墨西哥、匈牙利等工厂逐步投产， 海外市场收入快速增长。</w:t>
      </w:r>
    </w:p>
    <w:p>
      <w:pPr>
        <w:pStyle w:val="1"/>
        <w:rPr>
          <w:rFonts w:eastAsia="楷体" w:cs="楷体"/>
          <w:b/>
          <w:b/>
          <w:bCs/>
          <w:sz w:val="22"/>
          <w:szCs w:val="22"/>
          <w:u w:val="single"/>
        </w:rPr>
      </w:pPr>
      <w:r>
        <w:rPr>
          <w:rFonts w:eastAsia="楷体" w:cs="楷体"/>
          <w:b/>
          <w:bCs/>
          <w:sz w:val="22"/>
          <w:szCs w:val="22"/>
          <w:u w:val="single"/>
        </w:rPr>
      </w:r>
    </w:p>
    <w:tbl>
      <w:tblPr>
        <w:tblStyle w:val="19"/>
        <w:tblW w:w="10443" w:type="dxa"/>
        <w:jc w:val="left"/>
        <w:tblInd w:w="-2977" w:type="dxa"/>
        <w:tblLayout w:type="fixed"/>
        <w:tblCellMar>
          <w:top w:w="0" w:type="dxa"/>
          <w:left w:w="0" w:type="dxa"/>
          <w:bottom w:w="0" w:type="dxa"/>
          <w:right w:w="28" w:type="dxa"/>
        </w:tblCellMar>
      </w:tblPr>
      <w:tblGrid>
        <w:gridCol w:w="10443"/>
      </w:tblGrid>
      <w:tr>
        <w:trPr>
          <w:trHeight w:val="302" w:hRule="atLeast"/>
        </w:trPr>
        <w:tc>
          <w:tcPr>
            <w:tcW w:w="10443" w:type="dxa"/>
            <w:tcBorders>
              <w:bottom w:val="single" w:sz="4" w:space="0" w:color="000000"/>
            </w:tcBorders>
          </w:tcPr>
          <w:p>
            <w:pPr>
              <w:pStyle w:val="1"/>
              <w:widowControl/>
              <w:spacing w:before="48" w:after="48"/>
              <w:jc w:val="both"/>
              <w:textAlignment w:val="center"/>
              <w:rPr>
                <w:rFonts w:eastAsia="楷体" w:cs="Calibri"/>
                <w:sz w:val="20"/>
                <w:szCs w:val="20"/>
              </w:rPr>
            </w:pPr>
            <w:r>
              <w:rPr>
                <w:rFonts w:cs="楷体" w:eastAsia="楷体"/>
                <w:b/>
                <w:bCs/>
                <w:kern w:val="2"/>
                <w:sz w:val="20"/>
                <w:szCs w:val="20"/>
              </w:rPr>
              <w:t>图</w:t>
            </w:r>
            <w:r>
              <w:rPr>
                <w:rFonts w:eastAsia="楷体" w:cs="楷体"/>
                <w:b/>
                <w:bCs/>
                <w:kern w:val="2"/>
                <w:sz w:val="20"/>
                <w:szCs w:val="20"/>
              </w:rPr>
              <w:t>:</w:t>
            </w:r>
            <w:r>
              <w:rPr>
                <w:rFonts w:cs="楷体" w:eastAsia="楷体"/>
                <w:b/>
                <w:bCs/>
                <w:kern w:val="2"/>
                <w:sz w:val="20"/>
                <w:szCs w:val="20"/>
              </w:rPr>
              <w:t>威胜控股发展历程</w:t>
            </w:r>
          </w:p>
        </w:tc>
      </w:tr>
      <w:tr>
        <w:trPr>
          <w:trHeight w:val="856" w:hRule="atLeast"/>
        </w:trPr>
        <w:tc>
          <w:tcPr>
            <w:tcW w:w="10443"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6409690" cy="1990725"/>
                  <wp:effectExtent l="0" t="0" r="0" b="0"/>
                  <wp:docPr id="4"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
                          <pic:cNvPicPr>
                            <a:picLocks noChangeAspect="1" noChangeArrowheads="1"/>
                          </pic:cNvPicPr>
                        </pic:nvPicPr>
                        <pic:blipFill>
                          <a:blip r:embed="rId26"/>
                          <a:stretch>
                            <a:fillRect/>
                          </a:stretch>
                        </pic:blipFill>
                        <pic:spPr bwMode="auto">
                          <a:xfrm>
                            <a:off x="0" y="0"/>
                            <a:ext cx="6409690" cy="1990725"/>
                          </a:xfrm>
                          <a:prstGeom prst="rect">
                            <a:avLst/>
                          </a:prstGeom>
                        </pic:spPr>
                      </pic:pic>
                    </a:graphicData>
                  </a:graphic>
                </wp:inline>
              </w:drawing>
            </w:r>
          </w:p>
        </w:tc>
      </w:tr>
      <w:tr>
        <w:trPr>
          <w:trHeight w:val="64" w:hRule="atLeast"/>
        </w:trPr>
        <w:tc>
          <w:tcPr>
            <w:tcW w:w="10443"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r>
    </w:tbl>
    <w:p>
      <w:pPr>
        <w:pStyle w:val="1"/>
        <w:rPr>
          <w:rFonts w:eastAsia="楷体" w:cs="Calibri"/>
          <w:sz w:val="22"/>
          <w:szCs w:val="22"/>
        </w:rPr>
      </w:pPr>
      <w:r>
        <w:rPr>
          <w:rFonts w:eastAsia="楷体" w:cs="Calibri"/>
          <w:sz w:val="22"/>
          <w:szCs w:val="22"/>
        </w:rPr>
      </w:r>
    </w:p>
    <w:p>
      <w:pPr>
        <w:pStyle w:val="1"/>
        <w:widowControl w:val="false"/>
        <w:jc w:val="both"/>
        <w:rPr>
          <w:rFonts w:eastAsia="楷体" w:cs="等线" w:cstheme="minorHAnsi"/>
          <w:kern w:val="2"/>
          <w:sz w:val="22"/>
          <w:szCs w:val="22"/>
        </w:rPr>
      </w:pPr>
      <w:r>
        <w:rPr>
          <w:rFonts w:cs="等线" w:eastAsia="楷体" w:cstheme="minorHAnsi"/>
          <w:kern w:val="2"/>
          <w:sz w:val="22"/>
          <w:szCs w:val="22"/>
        </w:rPr>
        <w:t>威胜控股有限公司在香港联合交易所主板上市，股票代码为</w:t>
      </w:r>
      <w:r>
        <w:rPr>
          <w:rFonts w:eastAsia="楷体" w:cs="等线" w:cstheme="minorHAnsi"/>
          <w:kern w:val="2"/>
          <w:sz w:val="22"/>
          <w:szCs w:val="22"/>
        </w:rPr>
        <w:t xml:space="preserve">03393.HK </w:t>
      </w:r>
      <w:r>
        <w:rPr>
          <w:rFonts w:cs="等线" w:eastAsia="楷体" w:cstheme="minorHAnsi"/>
          <w:kern w:val="2"/>
          <w:sz w:val="22"/>
          <w:szCs w:val="22"/>
        </w:rPr>
        <w:t>。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Pr>
          <w:rFonts w:eastAsia="楷体" w:cs="等线" w:cstheme="minorHAnsi"/>
          <w:kern w:val="2"/>
          <w:sz w:val="22"/>
          <w:szCs w:val="22"/>
        </w:rPr>
        <w:t>59.55%</w:t>
      </w:r>
      <w:r>
        <w:rPr>
          <w:rFonts w:cs="等线" w:eastAsia="楷体" w:cstheme="minorHAnsi"/>
          <w:kern w:val="2"/>
          <w:sz w:val="22"/>
          <w:szCs w:val="22"/>
        </w:rPr>
        <w:t>的威胜信息技术股份有限公司，以及专注于智能配电网、数据中心及新型储能领域的数字能源解决方案提供商惟远能源技术。（已于</w:t>
      </w:r>
      <w:r>
        <w:rPr>
          <w:rFonts w:eastAsia="楷体" w:cs="等线" w:cstheme="minorHAnsi"/>
          <w:b/>
          <w:bCs/>
          <w:kern w:val="2"/>
          <w:sz w:val="22"/>
          <w:szCs w:val="22"/>
        </w:rPr>
        <w:t>2026</w:t>
      </w:r>
      <w:r>
        <w:rPr>
          <w:rFonts w:cs="等线" w:eastAsia="楷体" w:cstheme="minorHAnsi"/>
          <w:b/>
          <w:bCs/>
          <w:kern w:val="2"/>
          <w:sz w:val="22"/>
          <w:szCs w:val="22"/>
        </w:rPr>
        <w:t>年</w:t>
      </w:r>
      <w:r>
        <w:rPr>
          <w:rFonts w:eastAsia="楷体" w:cs="等线" w:cstheme="minorHAnsi"/>
          <w:b/>
          <w:bCs/>
          <w:kern w:val="2"/>
          <w:sz w:val="22"/>
          <w:szCs w:val="22"/>
        </w:rPr>
        <w:t>1</w:t>
      </w:r>
      <w:r>
        <w:rPr>
          <w:rFonts w:cs="等线" w:eastAsia="楷体" w:cstheme="minorHAnsi"/>
          <w:b/>
          <w:bCs/>
          <w:kern w:val="2"/>
          <w:sz w:val="22"/>
          <w:szCs w:val="22"/>
        </w:rPr>
        <w:t>月</w:t>
      </w:r>
      <w:r>
        <w:rPr>
          <w:rFonts w:eastAsia="楷体" w:cs="等线" w:cstheme="minorHAnsi"/>
          <w:b/>
          <w:bCs/>
          <w:kern w:val="2"/>
          <w:sz w:val="22"/>
          <w:szCs w:val="22"/>
        </w:rPr>
        <w:t>27</w:t>
      </w:r>
      <w:r>
        <w:rPr>
          <w:rFonts w:cs="等线" w:eastAsia="楷体" w:cstheme="minorHAnsi"/>
          <w:b/>
          <w:bCs/>
          <w:kern w:val="2"/>
          <w:sz w:val="22"/>
          <w:szCs w:val="22"/>
        </w:rPr>
        <w:t>日</w:t>
      </w:r>
      <w:r>
        <w:rPr>
          <w:rFonts w:cs="等线" w:eastAsia="楷体" w:cstheme="minorHAnsi"/>
          <w:kern w:val="2"/>
          <w:sz w:val="22"/>
          <w:szCs w:val="22"/>
        </w:rPr>
        <w:t xml:space="preserve">正式向港交所递交上市申请，计划通过分拆上市进一步强化其在储能与配电领域的全球竞争力） </w:t>
      </w:r>
    </w:p>
    <w:p>
      <w:pPr>
        <w:pStyle w:val="77"/>
        <w:jc w:val="both"/>
        <w:rPr>
          <w:rFonts w:ascii="Calibri" w:hAnsi="Calibri" w:eastAsia="楷体" w:cs="楷体"/>
          <w:color w:val="23558C"/>
          <w:sz w:val="24"/>
          <w:szCs w:val="24"/>
        </w:rPr>
      </w:pPr>
      <w:bookmarkStart w:id="2" w:name="_Toc225872239"/>
      <w:r>
        <w:rPr>
          <w:rFonts w:eastAsia="楷体" w:cs="楷体" w:ascii="Calibri" w:hAnsi="Calibri"/>
          <w:color w:val="23558C"/>
          <w:sz w:val="24"/>
          <w:szCs w:val="24"/>
        </w:rPr>
        <w:t xml:space="preserve">1.2 </w:t>
      </w:r>
      <w:r>
        <w:rPr>
          <w:rFonts w:ascii="Calibri" w:hAnsi="Calibri" w:cs="楷体" w:eastAsia="楷体"/>
          <w:color w:val="23558C"/>
          <w:sz w:val="24"/>
          <w:szCs w:val="24"/>
        </w:rPr>
        <w:t>财务表现</w:t>
      </w:r>
      <w:bookmarkEnd w:id="2"/>
    </w:p>
    <w:p>
      <w:pPr>
        <w:pStyle w:val="1"/>
        <w:widowControl w:val="false"/>
        <w:jc w:val="both"/>
        <w:rPr>
          <w:rFonts w:eastAsia="楷体" w:cs="楷体"/>
          <w:kern w:val="2"/>
          <w:sz w:val="22"/>
          <w:szCs w:val="22"/>
        </w:rPr>
      </w:pPr>
      <w:r>
        <w:rPr>
          <w:rFonts w:cs="楷体" w:eastAsia="楷体"/>
          <w:b/>
          <w:bCs/>
          <w:kern w:val="2"/>
          <w:sz w:val="22"/>
          <w:szCs w:val="22"/>
        </w:rPr>
        <w:t>威胜控股的毛利率持续提升，业务结构优化显著。</w:t>
      </w:r>
      <w:r>
        <w:rPr>
          <w:rFonts w:cs="楷体" w:eastAsia="楷体"/>
          <w:kern w:val="2"/>
          <w:sz w:val="22"/>
          <w:szCs w:val="22"/>
        </w:rPr>
        <w:t>近年来，威胜控股的毛利率呈现稳步上升的趋势，从</w:t>
      </w:r>
      <w:r>
        <w:rPr>
          <w:rFonts w:eastAsia="楷体" w:cs="楷体"/>
          <w:kern w:val="2"/>
          <w:sz w:val="22"/>
          <w:szCs w:val="22"/>
        </w:rPr>
        <w:t>2022</w:t>
      </w:r>
      <w:r>
        <w:rPr>
          <w:rFonts w:cs="楷体" w:eastAsia="楷体"/>
          <w:kern w:val="2"/>
          <w:sz w:val="22"/>
          <w:szCs w:val="22"/>
        </w:rPr>
        <w:t>年的</w:t>
      </w:r>
      <w:r>
        <w:rPr>
          <w:rFonts w:eastAsia="楷体" w:cs="楷体"/>
          <w:kern w:val="2"/>
          <w:sz w:val="22"/>
          <w:szCs w:val="22"/>
        </w:rPr>
        <w:t>32.95%</w:t>
      </w:r>
      <w:r>
        <w:rPr>
          <w:rFonts w:cs="楷体" w:eastAsia="楷体"/>
          <w:kern w:val="2"/>
          <w:sz w:val="22"/>
          <w:szCs w:val="22"/>
        </w:rPr>
        <w:t>提升至</w:t>
      </w:r>
      <w:r>
        <w:rPr>
          <w:rFonts w:eastAsia="楷体" w:cs="楷体"/>
          <w:kern w:val="2"/>
          <w:sz w:val="22"/>
          <w:szCs w:val="22"/>
        </w:rPr>
        <w:t>2025</w:t>
      </w:r>
      <w:r>
        <w:rPr>
          <w:rFonts w:cs="楷体" w:eastAsia="楷体"/>
          <w:kern w:val="2"/>
          <w:sz w:val="22"/>
          <w:szCs w:val="22"/>
        </w:rPr>
        <w:t>的</w:t>
      </w:r>
      <w:r>
        <w:rPr>
          <w:rFonts w:eastAsia="楷体" w:cs="楷体"/>
          <w:kern w:val="2"/>
          <w:sz w:val="22"/>
          <w:szCs w:val="22"/>
        </w:rPr>
        <w:t>35.7%</w:t>
      </w:r>
      <w:r>
        <w:rPr>
          <w:rFonts w:cs="楷体" w:eastAsia="楷体"/>
          <w:kern w:val="2"/>
          <w:sz w:val="22"/>
          <w:szCs w:val="22"/>
        </w:rPr>
        <w:t>。这种变化主要得益于公司在智能电表和智能电网系统产品上的持续创新，以及在能源服务领域的拓展。此外，公司在海外市场特别是东南亚和非洲的布局深化，为其带来了新的业绩增长点。例如，</w:t>
      </w:r>
      <w:r>
        <w:rPr>
          <w:rFonts w:eastAsia="楷体" w:cs="楷体"/>
          <w:kern w:val="2"/>
          <w:sz w:val="22"/>
          <w:szCs w:val="22"/>
        </w:rPr>
        <w:t>2025</w:t>
      </w:r>
      <w:r>
        <w:rPr>
          <w:rFonts w:cs="楷体" w:eastAsia="楷体"/>
          <w:kern w:val="2"/>
          <w:sz w:val="22"/>
          <w:szCs w:val="22"/>
        </w:rPr>
        <w:t>年电智能计量解决方案</w:t>
      </w:r>
      <w:r>
        <w:rPr>
          <w:rFonts w:eastAsia="楷体" w:cs="楷体"/>
          <w:kern w:val="2"/>
          <w:sz w:val="22"/>
          <w:szCs w:val="22"/>
        </w:rPr>
        <w:t>(</w:t>
      </w:r>
      <w:r>
        <w:rPr>
          <w:rFonts w:cs="楷体" w:eastAsia="楷体"/>
          <w:kern w:val="2"/>
          <w:sz w:val="22"/>
          <w:szCs w:val="22"/>
        </w:rPr>
        <w:t>电</w:t>
      </w:r>
      <w:r>
        <w:rPr>
          <w:rFonts w:eastAsia="楷体" w:cs="楷体"/>
          <w:kern w:val="2"/>
          <w:sz w:val="22"/>
          <w:szCs w:val="22"/>
        </w:rPr>
        <w:t>AMI)</w:t>
      </w:r>
      <w:r>
        <w:rPr>
          <w:rFonts w:cs="楷体" w:eastAsia="楷体"/>
          <w:kern w:val="2"/>
          <w:sz w:val="22"/>
          <w:szCs w:val="22"/>
        </w:rPr>
        <w:t>业务营业额同比增长</w:t>
      </w:r>
      <w:r>
        <w:rPr>
          <w:rFonts w:eastAsia="楷体" w:cs="楷体"/>
          <w:kern w:val="2"/>
          <w:sz w:val="22"/>
          <w:szCs w:val="22"/>
        </w:rPr>
        <w:t>14%</w:t>
      </w:r>
      <w:r>
        <w:rPr>
          <w:rFonts w:cs="楷体" w:eastAsia="楷体"/>
          <w:kern w:val="2"/>
          <w:sz w:val="22"/>
          <w:szCs w:val="22"/>
        </w:rPr>
        <w:t>至</w:t>
      </w:r>
      <w:r>
        <w:rPr>
          <w:rFonts w:eastAsia="楷体" w:cs="楷体"/>
          <w:kern w:val="2"/>
          <w:sz w:val="22"/>
          <w:szCs w:val="22"/>
        </w:rPr>
        <w:t>36.5</w:t>
      </w:r>
      <w:r>
        <w:rPr>
          <w:rFonts w:cs="楷体" w:eastAsia="楷体"/>
          <w:kern w:val="2"/>
          <w:sz w:val="22"/>
          <w:szCs w:val="22"/>
        </w:rPr>
        <w:t>亿元，显示出公司在高端市场的竞争力不断增强。通过优化产品结构和市场布局，威胜控股的毛利率得以持续提升，为其盈利能力的增强奠定了基础。</w:t>
      </w:r>
    </w:p>
    <w:p>
      <w:pPr>
        <w:pStyle w:val="1"/>
        <w:widowControl w:val="false"/>
        <w:jc w:val="both"/>
        <w:rPr>
          <w:rFonts w:eastAsia="楷体" w:cs="楷体"/>
          <w:kern w:val="2"/>
          <w:sz w:val="22"/>
          <w:szCs w:val="22"/>
        </w:rPr>
      </w:pPr>
      <w:r>
        <w:rPr>
          <w:rFonts w:eastAsia="楷体" w:cs="楷体"/>
          <w:kern w:val="2"/>
          <w:sz w:val="22"/>
          <w:szCs w:val="22"/>
        </w:rPr>
      </w:r>
    </w:p>
    <w:p>
      <w:pPr>
        <w:pStyle w:val="1"/>
        <w:widowControl w:val="false"/>
        <w:jc w:val="both"/>
        <w:rPr>
          <w:rFonts w:eastAsia="楷体" w:cs="楷体"/>
          <w:kern w:val="2"/>
          <w:sz w:val="22"/>
          <w:szCs w:val="22"/>
        </w:rPr>
      </w:pPr>
      <w:r>
        <w:rPr>
          <w:rFonts w:cs="楷体" w:eastAsia="楷体"/>
          <w:b/>
          <w:bCs/>
          <w:kern w:val="2"/>
          <w:sz w:val="22"/>
          <w:szCs w:val="22"/>
        </w:rPr>
        <w:t>营业收入稳步增长，海外市场贡献显著。</w:t>
      </w:r>
      <w:r>
        <w:rPr>
          <w:rFonts w:cs="楷体" w:eastAsia="楷体"/>
          <w:kern w:val="2"/>
          <w:sz w:val="22"/>
          <w:szCs w:val="22"/>
        </w:rPr>
        <w:t>威胜控股的营业收入在</w:t>
      </w:r>
      <w:r>
        <w:rPr>
          <w:rFonts w:eastAsia="楷体" w:cs="楷体"/>
          <w:kern w:val="2"/>
          <w:sz w:val="22"/>
          <w:szCs w:val="22"/>
        </w:rPr>
        <w:t>2025</w:t>
      </w:r>
      <w:r>
        <w:rPr>
          <w:rFonts w:cs="楷体" w:eastAsia="楷体"/>
          <w:kern w:val="2"/>
          <w:sz w:val="22"/>
          <w:szCs w:val="22"/>
        </w:rPr>
        <w:t>年实现</w:t>
      </w:r>
      <w:r>
        <w:rPr>
          <w:rFonts w:eastAsia="楷体" w:cs="楷体"/>
          <w:kern w:val="2"/>
          <w:sz w:val="22"/>
          <w:szCs w:val="22"/>
        </w:rPr>
        <w:t>100.74</w:t>
      </w:r>
      <w:r>
        <w:rPr>
          <w:rFonts w:cs="楷体" w:eastAsia="楷体"/>
          <w:kern w:val="2"/>
          <w:sz w:val="22"/>
          <w:szCs w:val="22"/>
        </w:rPr>
        <w:t>亿元，较</w:t>
      </w:r>
      <w:r>
        <w:rPr>
          <w:rFonts w:eastAsia="楷体" w:cs="楷体"/>
          <w:kern w:val="2"/>
          <w:sz w:val="22"/>
          <w:szCs w:val="22"/>
        </w:rPr>
        <w:t>2024</w:t>
      </w:r>
      <w:r>
        <w:rPr>
          <w:rFonts w:cs="楷体" w:eastAsia="楷体"/>
          <w:kern w:val="2"/>
          <w:sz w:val="22"/>
          <w:szCs w:val="22"/>
        </w:rPr>
        <w:t>年同比增长</w:t>
      </w:r>
      <w:r>
        <w:rPr>
          <w:rFonts w:eastAsia="楷体" w:cs="楷体"/>
          <w:kern w:val="2"/>
          <w:sz w:val="22"/>
          <w:szCs w:val="22"/>
        </w:rPr>
        <w:t>16%</w:t>
      </w:r>
      <w:r>
        <w:rPr>
          <w:rFonts w:cs="楷体" w:eastAsia="楷体"/>
          <w:kern w:val="2"/>
          <w:sz w:val="22"/>
          <w:szCs w:val="22"/>
        </w:rPr>
        <w:t>，显示出强劲的市场表现 。其中，海外收入在</w:t>
      </w:r>
      <w:r>
        <w:rPr>
          <w:rFonts w:eastAsia="楷体" w:cs="楷体"/>
          <w:kern w:val="2"/>
          <w:sz w:val="22"/>
          <w:szCs w:val="22"/>
        </w:rPr>
        <w:t>2025</w:t>
      </w:r>
      <w:r>
        <w:rPr>
          <w:rFonts w:cs="楷体" w:eastAsia="楷体"/>
          <w:kern w:val="2"/>
          <w:sz w:val="22"/>
          <w:szCs w:val="22"/>
        </w:rPr>
        <w:t>年达到</w:t>
      </w:r>
      <w:r>
        <w:rPr>
          <w:rFonts w:eastAsia="楷体" w:cs="楷体"/>
          <w:kern w:val="2"/>
          <w:sz w:val="22"/>
          <w:szCs w:val="22"/>
        </w:rPr>
        <w:t>30</w:t>
      </w:r>
      <w:r>
        <w:rPr>
          <w:rFonts w:cs="楷体" w:eastAsia="楷体"/>
          <w:kern w:val="2"/>
          <w:sz w:val="22"/>
          <w:szCs w:val="22"/>
        </w:rPr>
        <w:t>亿元，同比增长</w:t>
      </w:r>
      <w:r>
        <w:rPr>
          <w:rFonts w:eastAsia="楷体" w:cs="楷体"/>
          <w:kern w:val="2"/>
          <w:sz w:val="22"/>
          <w:szCs w:val="22"/>
        </w:rPr>
        <w:t>25%</w:t>
      </w:r>
      <w:r>
        <w:rPr>
          <w:rFonts w:cs="楷体" w:eastAsia="楷体"/>
          <w:kern w:val="2"/>
          <w:sz w:val="22"/>
          <w:szCs w:val="22"/>
        </w:rPr>
        <w:t>，占总收入的</w:t>
      </w:r>
      <w:r>
        <w:rPr>
          <w:rFonts w:eastAsia="楷体" w:cs="楷体"/>
          <w:kern w:val="2"/>
          <w:sz w:val="22"/>
          <w:szCs w:val="22"/>
        </w:rPr>
        <w:t>29.8%</w:t>
      </w:r>
      <w:r>
        <w:rPr>
          <w:rFonts w:cs="楷体" w:eastAsia="楷体"/>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3" w:name="_Hlk216642019"/>
      <w:r>
        <w:rPr>
          <w:rFonts w:cs="楷体" w:eastAsia="楷体"/>
          <w:kern w:val="2"/>
          <w:sz w:val="22"/>
          <w:szCs w:val="22"/>
        </w:rPr>
        <w:t>分区域来看，亚洲同比</w:t>
      </w:r>
      <w:r>
        <w:rPr>
          <w:rFonts w:eastAsia="楷体" w:cs="楷体"/>
          <w:kern w:val="2"/>
          <w:sz w:val="22"/>
          <w:szCs w:val="22"/>
        </w:rPr>
        <w:t>+104.1%</w:t>
      </w:r>
      <w:r>
        <w:rPr>
          <w:rFonts w:cs="楷体" w:eastAsia="楷体"/>
          <w:kern w:val="2"/>
          <w:sz w:val="22"/>
          <w:szCs w:val="22"/>
        </w:rPr>
        <w:t xml:space="preserve">至 </w:t>
      </w:r>
      <w:r>
        <w:rPr>
          <w:rFonts w:eastAsia="楷体" w:cs="楷体"/>
          <w:kern w:val="2"/>
          <w:sz w:val="22"/>
          <w:szCs w:val="22"/>
        </w:rPr>
        <w:t xml:space="preserve">11.6 </w:t>
      </w:r>
      <w:r>
        <w:rPr>
          <w:rFonts w:cs="楷体" w:eastAsia="楷体"/>
          <w:kern w:val="2"/>
          <w:sz w:val="22"/>
          <w:szCs w:val="22"/>
        </w:rPr>
        <w:t>亿元，我们认为主要得益于印尼和马来新工厂投入运营、海外数据中心业务快速发展，欧洲同比</w:t>
      </w:r>
      <w:r>
        <w:rPr>
          <w:rFonts w:eastAsia="楷体" w:cs="楷体"/>
          <w:kern w:val="2"/>
          <w:sz w:val="22"/>
          <w:szCs w:val="22"/>
        </w:rPr>
        <w:t>+84%</w:t>
      </w:r>
      <w:r>
        <w:rPr>
          <w:rFonts w:cs="楷体" w:eastAsia="楷体"/>
          <w:kern w:val="2"/>
          <w:sz w:val="22"/>
          <w:szCs w:val="22"/>
        </w:rPr>
        <w:t xml:space="preserve">至 </w:t>
      </w:r>
      <w:r>
        <w:rPr>
          <w:rFonts w:eastAsia="楷体" w:cs="楷体"/>
          <w:kern w:val="2"/>
          <w:sz w:val="22"/>
          <w:szCs w:val="22"/>
        </w:rPr>
        <w:t xml:space="preserve">6.8 </w:t>
      </w:r>
      <w:r>
        <w:rPr>
          <w:rFonts w:cs="楷体" w:eastAsia="楷体"/>
          <w:kern w:val="2"/>
          <w:sz w:val="22"/>
          <w:szCs w:val="22"/>
        </w:rPr>
        <w:t>亿元，以匈牙利工厂为据点深化欧洲布局，美洲同比</w:t>
      </w:r>
      <w:r>
        <w:rPr>
          <w:rFonts w:eastAsia="楷体" w:cs="楷体"/>
          <w:kern w:val="2"/>
          <w:sz w:val="22"/>
          <w:szCs w:val="22"/>
        </w:rPr>
        <w:t>+18.9%</w:t>
      </w:r>
      <w:r>
        <w:rPr>
          <w:rFonts w:cs="楷体" w:eastAsia="楷体"/>
          <w:kern w:val="2"/>
          <w:sz w:val="22"/>
          <w:szCs w:val="22"/>
        </w:rPr>
        <w:t xml:space="preserve">至 </w:t>
      </w:r>
      <w:r>
        <w:rPr>
          <w:rFonts w:eastAsia="楷体" w:cs="楷体"/>
          <w:kern w:val="2"/>
          <w:sz w:val="22"/>
          <w:szCs w:val="22"/>
        </w:rPr>
        <w:t xml:space="preserve">13.2 </w:t>
      </w:r>
      <w:r>
        <w:rPr>
          <w:rFonts w:cs="楷体" w:eastAsia="楷体"/>
          <w:kern w:val="2"/>
          <w:sz w:val="22"/>
          <w:szCs w:val="22"/>
        </w:rPr>
        <w:t>亿元。</w:t>
      </w:r>
      <w:r>
        <w:rPr>
          <w:rFonts w:eastAsia="楷体" w:cs="楷体"/>
          <w:kern w:val="2"/>
          <w:sz w:val="22"/>
          <w:szCs w:val="22"/>
        </w:rPr>
        <w:t xml:space="preserve">2025 </w:t>
      </w:r>
      <w:r>
        <w:rPr>
          <w:rFonts w:cs="楷体" w:eastAsia="楷体"/>
          <w:kern w:val="2"/>
          <w:sz w:val="22"/>
          <w:szCs w:val="22"/>
        </w:rPr>
        <w:t xml:space="preserve">年公司海外新签订单 </w:t>
      </w:r>
      <w:r>
        <w:rPr>
          <w:rFonts w:eastAsia="楷体" w:cs="楷体"/>
          <w:kern w:val="2"/>
          <w:sz w:val="22"/>
          <w:szCs w:val="22"/>
        </w:rPr>
        <w:t xml:space="preserve">40.7 </w:t>
      </w:r>
      <w:r>
        <w:rPr>
          <w:rFonts w:cs="楷体" w:eastAsia="楷体"/>
          <w:kern w:val="2"/>
          <w:sz w:val="22"/>
          <w:szCs w:val="22"/>
        </w:rPr>
        <w:t>亿元，同比</w:t>
      </w:r>
      <w:r>
        <w:rPr>
          <w:rFonts w:eastAsia="楷体" w:cs="楷体"/>
          <w:kern w:val="2"/>
          <w:sz w:val="22"/>
          <w:szCs w:val="22"/>
        </w:rPr>
        <w:t>+17.2%</w:t>
      </w:r>
      <w:r>
        <w:rPr>
          <w:rFonts w:cs="楷体" w:eastAsia="楷体"/>
          <w:kern w:val="2"/>
          <w:sz w:val="22"/>
          <w:szCs w:val="22"/>
        </w:rPr>
        <w:t>。</w:t>
      </w:r>
    </w:p>
    <w:p>
      <w:pPr>
        <w:pStyle w:val="1"/>
        <w:widowControl w:val="false"/>
        <w:jc w:val="both"/>
        <w:rPr>
          <w:rFonts w:eastAsia="楷体" w:cs="Calibri"/>
          <w:kern w:val="2"/>
          <w:sz w:val="22"/>
          <w:szCs w:val="22"/>
        </w:rPr>
      </w:pPr>
      <w:r>
        <w:rPr>
          <w:rFonts w:eastAsia="楷体" w:cs="Calibri"/>
          <w:kern w:val="2"/>
          <w:sz w:val="22"/>
          <w:szCs w:val="22"/>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图：威胜控股毛利率情况</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1"/>
              <w:widowControl/>
              <w:spacing w:before="48" w:after="48"/>
              <w:jc w:val="both"/>
              <w:rPr>
                <w:rFonts w:eastAsia="楷体" w:cs="Calibri"/>
                <w:b/>
                <w:b/>
                <w:sz w:val="20"/>
                <w:szCs w:val="20"/>
              </w:rPr>
            </w:pPr>
            <w:r>
              <w:rPr>
                <w:rFonts w:cs="Calibri" w:eastAsia="楷体"/>
                <w:b/>
                <w:kern w:val="0"/>
                <w:sz w:val="20"/>
                <w:szCs w:val="20"/>
              </w:rPr>
              <w:t>图：威胜控股分业务营收情况（万元）</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1"/>
              <w:widowControl/>
              <w:spacing w:before="48" w:after="48"/>
              <w:jc w:val="both"/>
              <w:textAlignment w:val="center"/>
              <w:rPr>
                <w:rFonts w:eastAsia="楷体" w:cs="Calibri"/>
                <w:b/>
                <w:b/>
                <w:color w:val="000000"/>
                <w:sz w:val="20"/>
                <w:szCs w:val="20"/>
                <w:lang w:bidi="ar-SA"/>
              </w:rPr>
            </w:pPr>
            <w:r>
              <w:rPr>
                <w:kern w:val="0"/>
              </w:rPr>
              <w:drawing>
                <wp:inline distT="0" distB="0" distL="0" distR="0">
                  <wp:extent cx="3101340" cy="185229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27"/>
                          <a:stretch>
                            <a:fillRect/>
                          </a:stretch>
                        </pic:blipFill>
                        <pic:spPr bwMode="auto">
                          <a:xfrm>
                            <a:off x="0" y="0"/>
                            <a:ext cx="3101340" cy="1852295"/>
                          </a:xfrm>
                          <a:prstGeom prst="rect">
                            <a:avLst/>
                          </a:prstGeom>
                        </pic:spPr>
                      </pic:pic>
                    </a:graphicData>
                  </a:graphic>
                </wp:inline>
              </w:drawing>
            </w:r>
          </w:p>
        </w:tc>
        <w:tc>
          <w:tcPr>
            <w:tcW w:w="241" w:type="dxa"/>
            <w:tcBorders/>
            <w:tcMar>
              <w:left w:w="108" w:type="dxa"/>
              <w:right w:w="108" w:type="dxa"/>
            </w:tcMar>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1"/>
              <w:widowControl/>
              <w:spacing w:before="48" w:after="48"/>
              <w:jc w:val="both"/>
              <w:rPr>
                <w:rFonts w:eastAsia="楷体" w:cs="Calibri"/>
                <w:b/>
                <w:b/>
                <w:sz w:val="20"/>
                <w:szCs w:val="20"/>
              </w:rPr>
            </w:pPr>
            <w:r>
              <w:rPr>
                <w:kern w:val="0"/>
              </w:rPr>
              <w:drawing>
                <wp:inline distT="0" distB="0" distL="0" distR="0">
                  <wp:extent cx="3259455" cy="18802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28"/>
                          <a:stretch>
                            <a:fillRect/>
                          </a:stretch>
                        </pic:blipFill>
                        <pic:spPr bwMode="auto">
                          <a:xfrm>
                            <a:off x="0" y="0"/>
                            <a:ext cx="3259455" cy="188023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1"/>
              <w:widowControl/>
              <w:spacing w:before="48" w:after="48"/>
              <w:jc w:val="both"/>
              <w:textAlignment w:val="center"/>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1"/>
              <w:widowControl/>
              <w:spacing w:before="48" w:after="48"/>
              <w:jc w:val="both"/>
              <w:rPr>
                <w:rFonts w:eastAsia="楷体" w:cs="Calibri"/>
                <w:sz w:val="20"/>
                <w:szCs w:val="20"/>
              </w:rPr>
            </w:pPr>
            <w:r>
              <w:rPr>
                <w:rFonts w:cs="楷体" w:eastAsia="楷体"/>
                <w:b/>
                <w:bCs/>
                <w:kern w:val="0"/>
                <w:sz w:val="20"/>
                <w:szCs w:val="20"/>
              </w:rPr>
              <w:t>资料来源：</w:t>
            </w:r>
            <w:r>
              <w:rPr>
                <w:rFonts w:eastAsia="楷体" w:cs="楷体"/>
                <w:kern w:val="0"/>
                <w:sz w:val="20"/>
                <w:szCs w:val="20"/>
              </w:rPr>
              <w:t>wind</w:t>
            </w:r>
            <w:r>
              <w:rPr>
                <w:rFonts w:cs="楷体" w:eastAsia="楷体"/>
                <w:kern w:val="0"/>
                <w:sz w:val="20"/>
                <w:szCs w:val="20"/>
              </w:rPr>
              <w:t>、</w:t>
            </w:r>
            <w:r>
              <w:rPr>
                <w:rFonts w:eastAsia="楷体" w:cs="楷体"/>
                <w:kern w:val="0"/>
                <w:sz w:val="20"/>
                <w:szCs w:val="20"/>
              </w:rPr>
              <w:t>HFI</w:t>
            </w:r>
          </w:p>
        </w:tc>
      </w:tr>
    </w:tbl>
    <w:p>
      <w:pPr>
        <w:pStyle w:val="1"/>
        <w:widowControl w:val="false"/>
        <w:jc w:val="both"/>
        <w:rPr>
          <w:rFonts w:eastAsia="楷体" w:cs="等线" w:cstheme="minorHAnsi"/>
          <w:kern w:val="2"/>
          <w:sz w:val="22"/>
          <w:szCs w:val="22"/>
        </w:rPr>
      </w:pPr>
      <w:r>
        <w:rPr>
          <w:rFonts w:eastAsia="楷体" w:cs="等线" w:cstheme="minorHAnsi"/>
          <w:kern w:val="2"/>
          <w:sz w:val="22"/>
          <w:szCs w:val="22"/>
        </w:rPr>
      </w:r>
      <w:bookmarkEnd w:id="3"/>
    </w:p>
    <w:p>
      <w:pPr>
        <w:pStyle w:val="2"/>
        <w:spacing w:before="240" w:after="240"/>
        <w:jc w:val="both"/>
        <w:rPr>
          <w:rFonts w:ascii="Calibri" w:hAnsi="Calibri" w:eastAsia="楷体" w:cs="楷体"/>
          <w:b/>
          <w:b/>
          <w:bCs/>
          <w:color w:val="23558C"/>
          <w:sz w:val="28"/>
          <w:szCs w:val="28"/>
        </w:rPr>
      </w:pPr>
      <w:bookmarkStart w:id="4" w:name="_Toc186105500"/>
      <w:bookmarkStart w:id="5" w:name="_Hlk216642041"/>
      <w:bookmarkStart w:id="6" w:name="_Toc225872240"/>
      <w:bookmarkEnd w:id="4"/>
      <w:r>
        <w:rPr>
          <w:rFonts w:eastAsia="楷体" w:cs="楷体" w:ascii="Calibri" w:hAnsi="Calibri"/>
          <w:b/>
          <w:bCs/>
          <w:color w:val="23558C"/>
          <w:sz w:val="28"/>
          <w:szCs w:val="28"/>
        </w:rPr>
        <w:t>2</w:t>
      </w:r>
      <w:r>
        <w:rPr>
          <w:rFonts w:ascii="Calibri" w:hAnsi="Calibri" w:cs="楷体" w:eastAsia="楷体"/>
          <w:b/>
          <w:bCs/>
          <w:color w:val="23558C"/>
          <w:sz w:val="28"/>
          <w:szCs w:val="28"/>
        </w:rPr>
        <w:t>能源计量与配用电智能化浪潮奔涌，三大赛道共迎成长机遇</w:t>
      </w:r>
      <w:bookmarkEnd w:id="5"/>
    </w:p>
    <w:p>
      <w:pPr>
        <w:pStyle w:val="77"/>
        <w:jc w:val="both"/>
        <w:rPr>
          <w:rFonts w:ascii="Calibri" w:hAnsi="Calibri" w:eastAsia="楷体" w:cs="楷体"/>
          <w:color w:val="23558C"/>
          <w:sz w:val="24"/>
        </w:rPr>
      </w:pPr>
      <w:bookmarkStart w:id="7" w:name="_Toc225872241"/>
      <w:r>
        <w:rPr>
          <w:rFonts w:eastAsia="楷体" w:cs="楷体" w:ascii="Calibri" w:hAnsi="Calibri"/>
          <w:color w:val="23558C"/>
          <w:sz w:val="24"/>
        </w:rPr>
        <w:t>2.1</w:t>
      </w:r>
      <w:r>
        <w:rPr>
          <w:rFonts w:ascii="Calibri" w:hAnsi="Calibri" w:cs="楷体" w:eastAsia="楷体"/>
          <w:color w:val="23558C"/>
          <w:sz w:val="24"/>
        </w:rPr>
        <w:t>智能电网解决方案：存量替换与新标升级共振，配网智能化催生量价齐升周期</w:t>
      </w:r>
      <w:bookmarkEnd w:id="6"/>
    </w:p>
    <w:p>
      <w:pPr>
        <w:pStyle w:val="1"/>
        <w:jc w:val="both"/>
        <w:rPr>
          <w:rFonts w:eastAsia="楷体" w:cs="楷体"/>
          <w:kern w:val="2"/>
          <w:sz w:val="22"/>
          <w:szCs w:val="22"/>
        </w:rPr>
      </w:pPr>
      <w:r>
        <w:rPr>
          <w:rFonts w:eastAsia="楷体" w:cs="楷体"/>
          <w:b/>
          <w:bCs/>
          <w:kern w:val="2"/>
          <w:sz w:val="22"/>
          <w:szCs w:val="22"/>
        </w:rPr>
        <w:t>“</w:t>
      </w:r>
      <w:r>
        <w:rPr>
          <w:rFonts w:cs="楷体" w:eastAsia="楷体"/>
          <w:b/>
          <w:bCs/>
          <w:kern w:val="2"/>
          <w:sz w:val="22"/>
          <w:szCs w:val="22"/>
        </w:rPr>
        <w:t>双碳”战略加速新能源并网，配电网智能化升级成为必然趋势。</w:t>
      </w:r>
      <w:r>
        <w:rPr>
          <w:rFonts w:cs="楷体" w:eastAsia="楷体"/>
          <w:kern w:val="2"/>
          <w:sz w:val="22"/>
          <w:szCs w:val="22"/>
        </w:rPr>
        <w:t xml:space="preserve"> 在“碳达峰、碳中和”目标牵引下，我国风电、光伏等清洁能源装机占比快速攀升。根据国家能源局数据，</w:t>
      </w:r>
      <w:r>
        <w:rPr>
          <w:rFonts w:eastAsia="楷体" w:cs="楷体"/>
          <w:kern w:val="2"/>
          <w:sz w:val="22"/>
          <w:szCs w:val="22"/>
        </w:rPr>
        <w:t>2024</w:t>
      </w:r>
      <w:r>
        <w:rPr>
          <w:rFonts w:cs="楷体" w:eastAsia="楷体"/>
          <w:kern w:val="2"/>
          <w:sz w:val="22"/>
          <w:szCs w:val="22"/>
        </w:rPr>
        <w:t>年全国风电、光伏新增装机合计超过</w:t>
      </w:r>
      <w:r>
        <w:rPr>
          <w:rFonts w:eastAsia="楷体" w:cs="楷体"/>
          <w:kern w:val="2"/>
          <w:sz w:val="22"/>
          <w:szCs w:val="22"/>
        </w:rPr>
        <w:t>2.5</w:t>
      </w:r>
      <w:r>
        <w:rPr>
          <w:rFonts w:cs="楷体" w:eastAsia="楷体"/>
          <w:kern w:val="2"/>
          <w:sz w:val="22"/>
          <w:szCs w:val="22"/>
        </w:rPr>
        <w:t>亿千瓦，累计装机突破</w:t>
      </w:r>
      <w:r>
        <w:rPr>
          <w:rFonts w:eastAsia="楷体" w:cs="楷体"/>
          <w:kern w:val="2"/>
          <w:sz w:val="22"/>
          <w:szCs w:val="22"/>
        </w:rPr>
        <w:t>12</w:t>
      </w:r>
      <w:r>
        <w:rPr>
          <w:rFonts w:cs="楷体" w:eastAsia="楷体"/>
          <w:kern w:val="2"/>
          <w:sz w:val="22"/>
          <w:szCs w:val="22"/>
        </w:rPr>
        <w:t>亿千瓦。随着新能源发电量占比持续提升——国家发改委要求</w:t>
      </w:r>
      <w:r>
        <w:rPr>
          <w:rFonts w:eastAsia="楷体" w:cs="楷体"/>
          <w:kern w:val="2"/>
          <w:sz w:val="22"/>
          <w:szCs w:val="22"/>
        </w:rPr>
        <w:t>2027</w:t>
      </w:r>
      <w:r>
        <w:rPr>
          <w:rFonts w:cs="楷体" w:eastAsia="楷体"/>
          <w:kern w:val="2"/>
          <w:sz w:val="22"/>
          <w:szCs w:val="22"/>
        </w:rPr>
        <w:t>年新能源发电量占比达到</w:t>
      </w:r>
      <w:r>
        <w:rPr>
          <w:rFonts w:eastAsia="楷体" w:cs="楷体"/>
          <w:kern w:val="2"/>
          <w:sz w:val="22"/>
          <w:szCs w:val="22"/>
        </w:rPr>
        <w:t>20%</w:t>
      </w:r>
      <w:r>
        <w:rPr>
          <w:rFonts w:cs="楷体" w:eastAsia="楷体"/>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pPr>
        <w:pStyle w:val="1"/>
        <w:rPr>
          <w:rFonts w:eastAsia="楷体"/>
        </w:rPr>
      </w:pPr>
      <w:r>
        <w:rPr>
          <w:rFonts w:eastAsia="楷体"/>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图：中国光伏新增装机年度变化</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1"/>
              <w:widowControl/>
              <w:spacing w:before="48" w:after="48"/>
              <w:jc w:val="both"/>
              <w:rPr>
                <w:rFonts w:eastAsia="楷体" w:cs="Calibri"/>
                <w:b/>
                <w:b/>
                <w:sz w:val="20"/>
                <w:szCs w:val="20"/>
              </w:rPr>
            </w:pPr>
            <w:r>
              <w:rPr>
                <w:rFonts w:cs="Calibri" w:eastAsia="楷体"/>
                <w:b/>
                <w:kern w:val="0"/>
                <w:sz w:val="20"/>
                <w:szCs w:val="20"/>
              </w:rPr>
              <w:t>图：</w:t>
            </w:r>
            <w:r>
              <w:rPr>
                <w:rFonts w:cs="Calibri" w:eastAsia="楷体"/>
                <w:b/>
                <w:bCs/>
                <w:kern w:val="2"/>
                <w:sz w:val="22"/>
                <w:szCs w:val="22"/>
              </w:rPr>
              <w:t>中国风电新增装机年度变化</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1"/>
              <w:widowControl/>
              <w:spacing w:before="48" w:after="48"/>
              <w:jc w:val="both"/>
              <w:textAlignment w:val="center"/>
              <w:rPr>
                <w:rFonts w:eastAsia="楷体" w:cs="Calibri"/>
                <w:b/>
                <w:b/>
                <w:color w:val="000000"/>
                <w:sz w:val="20"/>
                <w:szCs w:val="20"/>
                <w:lang w:bidi="ar-SA"/>
              </w:rPr>
            </w:pPr>
            <w:r>
              <w:rPr>
                <w:kern w:val="0"/>
              </w:rPr>
              <w:drawing>
                <wp:inline distT="0" distB="0" distL="0" distR="0">
                  <wp:extent cx="3101340" cy="185801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29"/>
                          <a:stretch>
                            <a:fillRect/>
                          </a:stretch>
                        </pic:blipFill>
                        <pic:spPr bwMode="auto">
                          <a:xfrm>
                            <a:off x="0" y="0"/>
                            <a:ext cx="3101340" cy="1858010"/>
                          </a:xfrm>
                          <a:prstGeom prst="rect">
                            <a:avLst/>
                          </a:prstGeom>
                        </pic:spPr>
                      </pic:pic>
                    </a:graphicData>
                  </a:graphic>
                </wp:inline>
              </w:drawing>
            </w:r>
          </w:p>
        </w:tc>
        <w:tc>
          <w:tcPr>
            <w:tcW w:w="241" w:type="dxa"/>
            <w:tcBorders/>
            <w:tcMar>
              <w:left w:w="108" w:type="dxa"/>
              <w:right w:w="108" w:type="dxa"/>
            </w:tcMar>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1"/>
              <w:widowControl/>
              <w:spacing w:before="48" w:after="48"/>
              <w:jc w:val="both"/>
              <w:rPr>
                <w:rFonts w:eastAsia="楷体" w:cs="Calibri"/>
                <w:b/>
                <w:b/>
                <w:sz w:val="20"/>
                <w:szCs w:val="20"/>
              </w:rPr>
            </w:pPr>
            <w:r>
              <w:rPr>
                <w:kern w:val="0"/>
              </w:rPr>
              <w:drawing>
                <wp:inline distT="0" distB="0" distL="0" distR="0">
                  <wp:extent cx="3132455" cy="191452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30"/>
                          <a:stretch>
                            <a:fillRect/>
                          </a:stretch>
                        </pic:blipFill>
                        <pic:spPr bwMode="auto">
                          <a:xfrm>
                            <a:off x="0" y="0"/>
                            <a:ext cx="3132455" cy="191452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1"/>
              <w:widowControl/>
              <w:spacing w:before="48" w:after="48"/>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国家统计局</w:t>
            </w:r>
            <w:r>
              <w:rPr>
                <w:rFonts w:eastAsia="楷体" w:cs="Calibri"/>
                <w:kern w:val="0"/>
                <w:sz w:val="20"/>
                <w:szCs w:val="20"/>
              </w:rPr>
              <w:t>, HFI</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1"/>
              <w:widowControl/>
              <w:spacing w:before="48" w:after="48"/>
              <w:jc w:val="both"/>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w:t>
            </w:r>
            <w:r>
              <w:rPr>
                <w:rFonts w:eastAsia="楷体" w:cs="Calibri"/>
                <w:kern w:val="0"/>
                <w:sz w:val="20"/>
                <w:szCs w:val="20"/>
              </w:rPr>
              <w:t xml:space="preserve"> </w:t>
            </w:r>
            <w:r>
              <w:rPr>
                <w:rFonts w:cs="Calibri" w:eastAsia="楷体"/>
                <w:kern w:val="0"/>
                <w:sz w:val="20"/>
                <w:szCs w:val="20"/>
              </w:rPr>
              <w:t>国家统计局</w:t>
            </w:r>
            <w:r>
              <w:rPr>
                <w:rFonts w:eastAsia="楷体" w:cs="Calibri"/>
                <w:kern w:val="0"/>
                <w:sz w:val="20"/>
                <w:szCs w:val="20"/>
              </w:rPr>
              <w:t>, HFI</w:t>
            </w:r>
          </w:p>
        </w:tc>
      </w:tr>
    </w:tbl>
    <w:p>
      <w:pPr>
        <w:pStyle w:val="1"/>
        <w:rPr>
          <w:rFonts w:eastAsia="楷体"/>
        </w:rPr>
      </w:pPr>
      <w:r>
        <w:rPr>
          <w:rFonts w:eastAsia="楷体"/>
        </w:rPr>
      </w:r>
    </w:p>
    <w:p>
      <w:pPr>
        <w:pStyle w:val="1"/>
        <w:rPr>
          <w:rFonts w:eastAsia="楷体" w:cs="楷体"/>
          <w:kern w:val="2"/>
          <w:sz w:val="22"/>
          <w:szCs w:val="22"/>
        </w:rPr>
      </w:pPr>
      <w:r>
        <w:rPr>
          <w:rFonts w:cs="楷体" w:eastAsia="楷体"/>
          <w:b/>
          <w:bCs/>
          <w:kern w:val="2"/>
          <w:sz w:val="22"/>
          <w:szCs w:val="22"/>
        </w:rPr>
        <w:t>国家顶层政策已明确将智能化改造纳入刚性配套体系，并以智能电表为核心终端重构配电网交互能力。</w:t>
      </w:r>
      <w:r>
        <w:rPr>
          <w:rFonts w:cs="楷体" w:eastAsia="楷体"/>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图：配电网智能化相关政策</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4385310" cy="2174875"/>
                  <wp:effectExtent l="0" t="0" r="0" b="0"/>
                  <wp:docPr id="9" name="Image6"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图片包含 日历&#10;&#10;AI 生成的内容可能不正确。"/>
                          <pic:cNvPicPr>
                            <a:picLocks noChangeAspect="1" noChangeArrowheads="1"/>
                          </pic:cNvPicPr>
                        </pic:nvPicPr>
                        <pic:blipFill>
                          <a:blip r:embed="rId31"/>
                          <a:stretch>
                            <a:fillRect/>
                          </a:stretch>
                        </pic:blipFill>
                        <pic:spPr bwMode="auto">
                          <a:xfrm>
                            <a:off x="0" y="0"/>
                            <a:ext cx="4385310" cy="217487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2"/>
                <w:sz w:val="22"/>
                <w:szCs w:val="22"/>
              </w:rPr>
              <w:t>国家能源局</w:t>
            </w:r>
            <w:r>
              <w:rPr>
                <w:rFonts w:eastAsia="楷体" w:cs="Calibri"/>
                <w:kern w:val="0"/>
                <w:sz w:val="20"/>
                <w:szCs w:val="20"/>
              </w:rPr>
              <w:t>, HFI</w:t>
            </w:r>
          </w:p>
        </w:tc>
      </w:tr>
    </w:tbl>
    <w:p>
      <w:pPr>
        <w:pStyle w:val="1"/>
        <w:rPr>
          <w:rFonts w:eastAsia="楷体"/>
        </w:rPr>
      </w:pPr>
      <w:r>
        <w:rPr>
          <w:rFonts w:eastAsia="楷体"/>
        </w:rPr>
      </w:r>
    </w:p>
    <w:p>
      <w:pPr>
        <w:pStyle w:val="1"/>
        <w:rPr>
          <w:rFonts w:eastAsia="楷体" w:cs="楷体"/>
          <w:sz w:val="22"/>
          <w:szCs w:val="22"/>
        </w:rPr>
      </w:pPr>
      <w:r>
        <w:rPr>
          <w:rFonts w:cs="楷体" w:eastAsia="楷体"/>
          <w:b/>
          <w:bCs/>
          <w:sz w:val="22"/>
          <w:szCs w:val="22"/>
        </w:rPr>
        <w:t>智能电表已从单一计量终端升级为电网智能化交互的核心节点。</w:t>
      </w:r>
      <w:r>
        <w:rPr>
          <w:rFonts w:cs="楷体" w:eastAsia="楷体"/>
          <w:sz w:val="22"/>
          <w:szCs w:val="22"/>
        </w:rPr>
        <w:t>其技术迭代清晰映射出新型电力系统对用户侧互动能力的持续升级需求：</w:t>
      </w:r>
    </w:p>
    <w:p>
      <w:pPr>
        <w:pStyle w:val="1"/>
        <w:rPr>
          <w:rFonts w:eastAsia="楷体" w:cs="楷体"/>
          <w:sz w:val="22"/>
          <w:szCs w:val="22"/>
        </w:rPr>
      </w:pPr>
      <w:r>
        <w:rPr>
          <w:rFonts w:eastAsia="楷体" w:cs="楷体"/>
          <w:sz w:val="22"/>
          <w:szCs w:val="22"/>
        </w:rPr>
      </w:r>
    </w:p>
    <w:p>
      <w:pPr>
        <w:pStyle w:val="37"/>
        <w:numPr>
          <w:ilvl w:val="0"/>
          <w:numId w:val="2"/>
        </w:numPr>
        <w:rPr>
          <w:rFonts w:eastAsia="楷体" w:cs="楷体"/>
          <w:sz w:val="22"/>
          <w:szCs w:val="22"/>
        </w:rPr>
      </w:pPr>
      <w:r>
        <w:rPr>
          <w:rFonts w:eastAsia="楷体" w:cs="楷体"/>
          <w:sz w:val="22"/>
          <w:szCs w:val="22"/>
        </w:rPr>
        <w:t>1997</w:t>
      </w:r>
      <w:r>
        <w:rPr>
          <w:rFonts w:cs="楷体" w:eastAsia="楷体"/>
          <w:sz w:val="22"/>
          <w:szCs w:val="22"/>
        </w:rPr>
        <w:t>年以前的第一代机电一体化机械表仅具备简单计数功能；</w:t>
      </w:r>
    </w:p>
    <w:p>
      <w:pPr>
        <w:pStyle w:val="37"/>
        <w:numPr>
          <w:ilvl w:val="0"/>
          <w:numId w:val="2"/>
        </w:numPr>
        <w:rPr>
          <w:rFonts w:eastAsia="楷体" w:cs="楷体"/>
          <w:sz w:val="22"/>
          <w:szCs w:val="22"/>
        </w:rPr>
      </w:pPr>
      <w:r>
        <w:rPr>
          <w:rFonts w:eastAsia="楷体" w:cs="楷体"/>
          <w:sz w:val="22"/>
          <w:szCs w:val="22"/>
        </w:rPr>
        <w:t>1998-2009</w:t>
      </w:r>
      <w:r>
        <w:rPr>
          <w:rFonts w:cs="楷体" w:eastAsia="楷体"/>
          <w:sz w:val="22"/>
          <w:szCs w:val="22"/>
        </w:rPr>
        <w:t>年的第二代电子式电能表引入通讯接口与多费率计量，初步实现数字化；</w:t>
      </w:r>
    </w:p>
    <w:p>
      <w:pPr>
        <w:pStyle w:val="37"/>
        <w:numPr>
          <w:ilvl w:val="0"/>
          <w:numId w:val="2"/>
        </w:numPr>
        <w:rPr>
          <w:rFonts w:eastAsia="楷体" w:cs="楷体"/>
          <w:sz w:val="22"/>
          <w:szCs w:val="22"/>
        </w:rPr>
      </w:pPr>
      <w:r>
        <w:rPr>
          <w:rFonts w:eastAsia="楷体" w:cs="楷体"/>
          <w:sz w:val="22"/>
          <w:szCs w:val="22"/>
        </w:rPr>
        <w:t>2009</w:t>
      </w:r>
      <w:r>
        <w:rPr>
          <w:rFonts w:cs="楷体" w:eastAsia="楷体"/>
          <w:sz w:val="22"/>
          <w:szCs w:val="22"/>
        </w:rPr>
        <w:t>年起，国网发布智能电表标准，第三代智能电表在计量基础上集成实时监测、自动控制、费控与防窃电等功能；</w:t>
      </w:r>
    </w:p>
    <w:p>
      <w:pPr>
        <w:pStyle w:val="37"/>
        <w:numPr>
          <w:ilvl w:val="0"/>
          <w:numId w:val="2"/>
        </w:numPr>
        <w:rPr>
          <w:rFonts w:eastAsia="楷体" w:cs="楷体"/>
          <w:sz w:val="22"/>
          <w:szCs w:val="22"/>
        </w:rPr>
      </w:pPr>
      <w:r>
        <w:rPr>
          <w:rFonts w:eastAsia="楷体" w:cs="楷体"/>
          <w:sz w:val="22"/>
          <w:szCs w:val="22"/>
        </w:rPr>
        <w:t>2016</w:t>
      </w:r>
      <w:r>
        <w:rPr>
          <w:rFonts w:cs="楷体" w:eastAsia="楷体"/>
          <w:sz w:val="22"/>
          <w:szCs w:val="22"/>
        </w:rPr>
        <w:t>年国网借鉴</w:t>
      </w:r>
      <w:r>
        <w:rPr>
          <w:rFonts w:eastAsia="楷体" w:cs="楷体"/>
          <w:sz w:val="22"/>
          <w:szCs w:val="22"/>
        </w:rPr>
        <w:t>IR46</w:t>
      </w:r>
      <w:r>
        <w:rPr>
          <w:rFonts w:cs="楷体" w:eastAsia="楷体"/>
          <w:sz w:val="22"/>
          <w:szCs w:val="22"/>
        </w:rPr>
        <w:t>国际标准提出“双芯”模组化设计方案；</w:t>
      </w:r>
    </w:p>
    <w:p>
      <w:pPr>
        <w:pStyle w:val="37"/>
        <w:numPr>
          <w:ilvl w:val="0"/>
          <w:numId w:val="2"/>
        </w:numPr>
        <w:rPr>
          <w:rFonts w:eastAsia="楷体" w:cs="楷体"/>
          <w:sz w:val="22"/>
          <w:szCs w:val="22"/>
        </w:rPr>
      </w:pPr>
      <w:r>
        <w:rPr>
          <w:rFonts w:eastAsia="楷体" w:cs="楷体"/>
          <w:sz w:val="22"/>
          <w:szCs w:val="22"/>
        </w:rPr>
        <w:t>2020</w:t>
      </w:r>
      <w:r>
        <w:rPr>
          <w:rFonts w:cs="楷体" w:eastAsia="楷体"/>
          <w:sz w:val="22"/>
          <w:szCs w:val="22"/>
        </w:rPr>
        <w:t>年</w:t>
      </w:r>
      <w:r>
        <w:rPr>
          <w:rFonts w:eastAsia="楷体" w:cs="楷体"/>
          <w:sz w:val="22"/>
          <w:szCs w:val="22"/>
        </w:rPr>
        <w:t>8</w:t>
      </w:r>
      <w:r>
        <w:rPr>
          <w:rFonts w:cs="楷体" w:eastAsia="楷体"/>
          <w:sz w:val="22"/>
          <w:szCs w:val="22"/>
        </w:rPr>
        <w:t>月，《单、三相智能物联电能表通用技术规范》正式落地，新一代智能物联表采用计量芯</w:t>
      </w:r>
      <w:r>
        <w:rPr>
          <w:rFonts w:eastAsia="楷体" w:cs="楷体"/>
          <w:sz w:val="22"/>
          <w:szCs w:val="22"/>
        </w:rPr>
        <w:t>+</w:t>
      </w:r>
      <w:r>
        <w:rPr>
          <w:rFonts w:cs="楷体" w:eastAsia="楷体"/>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pPr>
        <w:pStyle w:val="1"/>
        <w:rPr>
          <w:rFonts w:eastAsia="楷体" w:cs="楷体"/>
          <w:sz w:val="22"/>
          <w:szCs w:val="22"/>
        </w:rPr>
      </w:pPr>
      <w:r>
        <w:rPr>
          <w:rFonts w:eastAsia="楷体" w:cs="楷体"/>
          <w:sz w:val="22"/>
          <w:szCs w:val="22"/>
        </w:rPr>
      </w:r>
    </w:p>
    <w:p>
      <w:pPr>
        <w:pStyle w:val="1"/>
        <w:rPr>
          <w:rFonts w:eastAsia="楷体" w:cs="楷体"/>
          <w:sz w:val="22"/>
          <w:szCs w:val="22"/>
        </w:rPr>
      </w:pPr>
      <w:r>
        <w:rPr>
          <w:rFonts w:cs="楷体" w:eastAsia="楷体"/>
          <w:sz w:val="22"/>
          <w:szCs w:val="22"/>
        </w:rPr>
        <w:t>总而言之，智能电表是一个集成了计量、通信、数据管理和高级控制功能的智能化终端，它是实现智能电网和智慧用电的基础。而普通电表只是一个功能单一的计量器具。</w:t>
      </w:r>
    </w:p>
    <w:p>
      <w:pPr>
        <w:pStyle w:val="1"/>
        <w:rPr>
          <w:rFonts w:eastAsia="楷体" w:cs="等线" w:cstheme="minorHAnsi"/>
          <w:kern w:val="2"/>
          <w:szCs w:val="22"/>
        </w:rPr>
      </w:pPr>
      <w:r>
        <w:rPr>
          <w:rFonts w:eastAsia="楷体" w:cs="等线" w:cstheme="minorHAnsi"/>
          <w:kern w:val="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图：智能电表对比</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20"/>
                <w:szCs w:val="20"/>
              </w:rPr>
            </w:pPr>
            <w:r>
              <w:rPr>
                <w:kern w:val="0"/>
              </w:rPr>
              <w:drawing>
                <wp:inline distT="0" distB="0" distL="0" distR="0">
                  <wp:extent cx="5270500" cy="1867535"/>
                  <wp:effectExtent l="0" t="0" r="0" b="0"/>
                  <wp:docPr id="10" name="Image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图形用户界面&#10;&#10;AI 生成的内容可能不正确。"/>
                          <pic:cNvPicPr>
                            <a:picLocks noChangeAspect="1" noChangeArrowheads="1"/>
                          </pic:cNvPicPr>
                        </pic:nvPicPr>
                        <pic:blipFill>
                          <a:blip r:embed="rId32"/>
                          <a:stretch>
                            <a:fillRect/>
                          </a:stretch>
                        </pic:blipFill>
                        <pic:spPr bwMode="auto">
                          <a:xfrm>
                            <a:off x="0" y="0"/>
                            <a:ext cx="5270500" cy="186753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HFI</w:t>
            </w:r>
          </w:p>
        </w:tc>
      </w:tr>
    </w:tbl>
    <w:p>
      <w:pPr>
        <w:pStyle w:val="1"/>
        <w:rPr>
          <w:rFonts w:eastAsia="楷体" w:cs="Calibri"/>
          <w:kern w:val="2"/>
          <w:sz w:val="22"/>
          <w:szCs w:val="22"/>
        </w:rPr>
      </w:pPr>
      <w:r>
        <w:rPr>
          <w:rFonts w:eastAsia="楷体" w:cs="Calibri"/>
          <w:kern w:val="2"/>
          <w:sz w:val="22"/>
          <w:szCs w:val="22"/>
        </w:rPr>
      </w:r>
    </w:p>
    <w:p>
      <w:pPr>
        <w:pStyle w:val="1"/>
        <w:rPr>
          <w:rFonts w:eastAsia="楷体" w:cs="Calibri"/>
          <w:kern w:val="2"/>
          <w:sz w:val="22"/>
          <w:szCs w:val="22"/>
        </w:rPr>
      </w:pPr>
      <w:r>
        <w:rPr>
          <w:rFonts w:cs="Calibri" w:eastAsia="楷体"/>
          <w:b/>
          <w:bCs/>
          <w:kern w:val="2"/>
          <w:sz w:val="22"/>
          <w:szCs w:val="22"/>
        </w:rPr>
        <w:t>国内智能电表市场较为成熟，需求主要由存量替换升级拉动。</w:t>
      </w:r>
      <w:r>
        <w:rPr>
          <w:rFonts w:cs="Calibri" w:eastAsia="楷体"/>
          <w:kern w:val="2"/>
          <w:sz w:val="22"/>
          <w:szCs w:val="22"/>
        </w:rPr>
        <w:t>从国家电网招标量看，上一轮周期高点位于</w:t>
      </w:r>
      <w:r>
        <w:rPr>
          <w:rFonts w:eastAsia="楷体" w:cs="Calibri"/>
          <w:kern w:val="2"/>
          <w:sz w:val="22"/>
          <w:szCs w:val="22"/>
        </w:rPr>
        <w:t>2014-2015</w:t>
      </w:r>
      <w:r>
        <w:rPr>
          <w:rFonts w:cs="Calibri" w:eastAsia="楷体"/>
          <w:kern w:val="2"/>
          <w:sz w:val="22"/>
          <w:szCs w:val="22"/>
        </w:rPr>
        <w:t>年，单年度招标量超过</w:t>
      </w:r>
      <w:r>
        <w:rPr>
          <w:rFonts w:eastAsia="楷体" w:cs="Calibri"/>
          <w:kern w:val="2"/>
          <w:sz w:val="22"/>
          <w:szCs w:val="22"/>
        </w:rPr>
        <w:t>9000</w:t>
      </w:r>
      <w:r>
        <w:rPr>
          <w:rFonts w:cs="Calibri" w:eastAsia="楷体"/>
          <w:kern w:val="2"/>
          <w:sz w:val="22"/>
          <w:szCs w:val="22"/>
        </w:rPr>
        <w:t>万只。</w:t>
      </w:r>
      <w:r>
        <w:rPr>
          <w:rFonts w:eastAsia="楷体" w:cs="Calibri"/>
          <w:kern w:val="2"/>
          <w:sz w:val="22"/>
          <w:szCs w:val="22"/>
        </w:rPr>
        <w:t>2020</w:t>
      </w:r>
      <w:r>
        <w:rPr>
          <w:rFonts w:cs="Calibri" w:eastAsia="楷体"/>
          <w:kern w:val="2"/>
          <w:sz w:val="22"/>
          <w:szCs w:val="22"/>
        </w:rPr>
        <w:t>年新一代</w:t>
      </w:r>
      <w:r>
        <w:rPr>
          <w:rFonts w:eastAsia="楷体" w:cs="Calibri"/>
          <w:kern w:val="2"/>
          <w:sz w:val="22"/>
          <w:szCs w:val="22"/>
        </w:rPr>
        <w:t>IR46</w:t>
      </w:r>
      <w:r>
        <w:rPr>
          <w:rFonts w:cs="Calibri" w:eastAsia="楷体"/>
          <w:kern w:val="2"/>
          <w:sz w:val="22"/>
          <w:szCs w:val="22"/>
        </w:rPr>
        <w:t>智能物联表技术标准定型后，招标量进入逐步爬升通道，</w:t>
      </w:r>
      <w:r>
        <w:rPr>
          <w:rFonts w:eastAsia="楷体" w:cs="Calibri"/>
          <w:kern w:val="2"/>
          <w:sz w:val="22"/>
          <w:szCs w:val="22"/>
        </w:rPr>
        <w:t>2024</w:t>
      </w:r>
      <w:r>
        <w:rPr>
          <w:rFonts w:cs="Calibri" w:eastAsia="楷体"/>
          <w:kern w:val="2"/>
          <w:sz w:val="22"/>
          <w:szCs w:val="22"/>
        </w:rPr>
        <w:t>年国网智能电表招标总量已达</w:t>
      </w:r>
      <w:r>
        <w:rPr>
          <w:rFonts w:eastAsia="楷体" w:cs="Calibri"/>
          <w:kern w:val="2"/>
          <w:sz w:val="22"/>
          <w:szCs w:val="22"/>
        </w:rPr>
        <w:t>8939</w:t>
      </w:r>
      <w:r>
        <w:rPr>
          <w:rFonts w:cs="Calibri" w:eastAsia="楷体"/>
          <w:kern w:val="2"/>
          <w:sz w:val="22"/>
          <w:szCs w:val="22"/>
        </w:rPr>
        <w:t>万台，对应招标金额</w:t>
      </w:r>
      <w:r>
        <w:rPr>
          <w:rFonts w:eastAsia="楷体" w:cs="Calibri"/>
          <w:kern w:val="2"/>
          <w:sz w:val="22"/>
          <w:szCs w:val="22"/>
        </w:rPr>
        <w:t>203.1</w:t>
      </w:r>
      <w:r>
        <w:rPr>
          <w:rFonts w:cs="Calibri" w:eastAsia="楷体"/>
          <w:kern w:val="2"/>
          <w:sz w:val="22"/>
          <w:szCs w:val="22"/>
        </w:rPr>
        <w:t>亿元，规模已回升至上一轮周期高点附近。</w:t>
      </w:r>
    </w:p>
    <w:p>
      <w:pPr>
        <w:pStyle w:val="1"/>
        <w:rPr>
          <w:rFonts w:eastAsia="楷体" w:cs="Calibri"/>
          <w:kern w:val="2"/>
          <w:sz w:val="22"/>
          <w:szCs w:val="22"/>
        </w:rPr>
      </w:pPr>
      <w:r>
        <w:rPr>
          <w:rFonts w:eastAsia="楷体" w:cs="Calibr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图：国家电网智能电表招标台数</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4819650" cy="2004695"/>
                  <wp:effectExtent l="0" t="0" r="0" b="0"/>
                  <wp:docPr id="11" name="Image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图表, 条形图&#10;&#10;AI 生成的内容可能不正确。"/>
                          <pic:cNvPicPr>
                            <a:picLocks noChangeAspect="1" noChangeArrowheads="1"/>
                          </pic:cNvPicPr>
                        </pic:nvPicPr>
                        <pic:blipFill>
                          <a:blip r:embed="rId33"/>
                          <a:stretch>
                            <a:fillRect/>
                          </a:stretch>
                        </pic:blipFill>
                        <pic:spPr bwMode="auto">
                          <a:xfrm>
                            <a:off x="0" y="0"/>
                            <a:ext cx="4819650" cy="200469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1"/>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图：国家电网智能电表招标金额</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3421380" cy="205105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34"/>
                          <a:stretch>
                            <a:fillRect/>
                          </a:stretch>
                        </pic:blipFill>
                        <pic:spPr bwMode="auto">
                          <a:xfrm>
                            <a:off x="0" y="0"/>
                            <a:ext cx="3421380" cy="205105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b/>
          <w:bCs/>
          <w:kern w:val="2"/>
          <w:sz w:val="22"/>
          <w:szCs w:val="22"/>
        </w:rPr>
        <w:t>2025</w:t>
      </w:r>
      <w:r>
        <w:rPr>
          <w:rFonts w:cs="等线" w:eastAsia="楷体" w:cstheme="minorHAnsi"/>
          <w:b/>
          <w:bCs/>
          <w:kern w:val="2"/>
          <w:sz w:val="22"/>
          <w:szCs w:val="22"/>
        </w:rPr>
        <w:t>年国网计量设备全年招标金额约</w:t>
      </w:r>
      <w:r>
        <w:rPr>
          <w:rFonts w:eastAsia="楷体" w:cs="等线" w:cstheme="minorHAnsi"/>
          <w:b/>
          <w:bCs/>
          <w:kern w:val="2"/>
          <w:sz w:val="22"/>
          <w:szCs w:val="22"/>
        </w:rPr>
        <w:t>135</w:t>
      </w:r>
      <w:r>
        <w:rPr>
          <w:rFonts w:cs="等线" w:eastAsia="楷体" w:cstheme="minorHAnsi"/>
          <w:b/>
          <w:bCs/>
          <w:kern w:val="2"/>
          <w:sz w:val="22"/>
          <w:szCs w:val="22"/>
        </w:rPr>
        <w:t>亿元，同比减少</w:t>
      </w:r>
      <w:r>
        <w:rPr>
          <w:rFonts w:eastAsia="楷体" w:cs="等线" w:cstheme="minorHAnsi"/>
          <w:b/>
          <w:bCs/>
          <w:kern w:val="2"/>
          <w:sz w:val="22"/>
          <w:szCs w:val="22"/>
        </w:rPr>
        <w:t>46%</w:t>
      </w:r>
      <w:r>
        <w:rPr>
          <w:rFonts w:cs="等线" w:eastAsia="楷体" w:cstheme="minorHAnsi"/>
          <w:b/>
          <w:bCs/>
          <w:kern w:val="2"/>
          <w:sz w:val="22"/>
          <w:szCs w:val="22"/>
        </w:rPr>
        <w:t>，主要受新旧标准切换期招标节奏扰动及产品单价下行双重影响。</w:t>
      </w:r>
      <w:r>
        <w:rPr>
          <w:rFonts w:cs="等线" w:eastAsia="楷体" w:cstheme="minorHAnsi"/>
          <w:kern w:val="2"/>
          <w:sz w:val="22"/>
          <w:szCs w:val="22"/>
        </w:rPr>
        <w:t xml:space="preserve"> 一方面，新标全面推广前，现有版本电表招标量主动压降，叠加第三批次因企业报价过高流标，全年电表实际招标量约</w:t>
      </w:r>
      <w:r>
        <w:rPr>
          <w:rFonts w:eastAsia="楷体" w:cs="等线" w:cstheme="minorHAnsi"/>
          <w:kern w:val="2"/>
          <w:sz w:val="22"/>
          <w:szCs w:val="22"/>
        </w:rPr>
        <w:t>4956</w:t>
      </w:r>
      <w:r>
        <w:rPr>
          <w:rFonts w:cs="等线" w:eastAsia="楷体" w:cstheme="minorHAnsi"/>
          <w:kern w:val="2"/>
          <w:sz w:val="22"/>
          <w:szCs w:val="22"/>
        </w:rPr>
        <w:t>万只，较</w:t>
      </w:r>
      <w:r>
        <w:rPr>
          <w:rFonts w:eastAsia="楷体" w:cs="等线" w:cstheme="minorHAnsi"/>
          <w:kern w:val="2"/>
          <w:sz w:val="22"/>
          <w:szCs w:val="22"/>
        </w:rPr>
        <w:t>2024</w:t>
      </w:r>
      <w:r>
        <w:rPr>
          <w:rFonts w:cs="等线" w:eastAsia="楷体" w:cstheme="minorHAnsi"/>
          <w:kern w:val="2"/>
          <w:sz w:val="22"/>
          <w:szCs w:val="22"/>
        </w:rPr>
        <w:t>年超</w:t>
      </w:r>
      <w:r>
        <w:rPr>
          <w:rFonts w:eastAsia="楷体" w:cs="等线" w:cstheme="minorHAnsi"/>
          <w:kern w:val="2"/>
          <w:sz w:val="22"/>
          <w:szCs w:val="22"/>
        </w:rPr>
        <w:t>8900</w:t>
      </w:r>
      <w:r>
        <w:rPr>
          <w:rFonts w:cs="等线" w:eastAsia="楷体" w:cstheme="minorHAnsi"/>
          <w:kern w:val="2"/>
          <w:sz w:val="22"/>
          <w:szCs w:val="22"/>
        </w:rPr>
        <w:t>万只的水平显著减少；另一方面，</w:t>
      </w:r>
      <w:r>
        <w:rPr>
          <w:rFonts w:eastAsia="楷体" w:cs="等线" w:cstheme="minorHAnsi"/>
          <w:kern w:val="2"/>
          <w:sz w:val="22"/>
          <w:szCs w:val="22"/>
        </w:rPr>
        <w:t>A</w:t>
      </w:r>
      <w:r>
        <w:rPr>
          <w:rFonts w:cs="等线" w:eastAsia="楷体" w:cstheme="minorHAnsi"/>
          <w:kern w:val="2"/>
          <w:sz w:val="22"/>
          <w:szCs w:val="22"/>
        </w:rPr>
        <w:t>级、</w:t>
      </w:r>
      <w:r>
        <w:rPr>
          <w:rFonts w:eastAsia="楷体" w:cs="等线" w:cstheme="minorHAnsi"/>
          <w:kern w:val="2"/>
          <w:sz w:val="22"/>
          <w:szCs w:val="22"/>
        </w:rPr>
        <w:t>B</w:t>
      </w:r>
      <w:r>
        <w:rPr>
          <w:rFonts w:cs="等线" w:eastAsia="楷体" w:cstheme="minorHAnsi"/>
          <w:kern w:val="2"/>
          <w:sz w:val="22"/>
          <w:szCs w:val="22"/>
        </w:rPr>
        <w:t>级、</w:t>
      </w:r>
      <w:r>
        <w:rPr>
          <w:rFonts w:eastAsia="楷体" w:cs="等线" w:cstheme="minorHAnsi"/>
          <w:kern w:val="2"/>
          <w:sz w:val="22"/>
          <w:szCs w:val="22"/>
        </w:rPr>
        <w:t>C</w:t>
      </w:r>
      <w:r>
        <w:rPr>
          <w:rFonts w:cs="等线" w:eastAsia="楷体" w:cstheme="minorHAnsi"/>
          <w:kern w:val="2"/>
          <w:sz w:val="22"/>
          <w:szCs w:val="22"/>
        </w:rPr>
        <w:t>级、</w:t>
      </w:r>
      <w:r>
        <w:rPr>
          <w:rFonts w:eastAsia="楷体" w:cs="等线" w:cstheme="minorHAnsi"/>
          <w:kern w:val="2"/>
          <w:sz w:val="22"/>
          <w:szCs w:val="22"/>
        </w:rPr>
        <w:t>D</w:t>
      </w:r>
      <w:r>
        <w:rPr>
          <w:rFonts w:cs="等线" w:eastAsia="楷体" w:cstheme="minorHAnsi"/>
          <w:kern w:val="2"/>
          <w:sz w:val="22"/>
          <w:szCs w:val="22"/>
        </w:rPr>
        <w:t>级及高端智能表中标均价同比分别下滑</w:t>
      </w:r>
      <w:r>
        <w:rPr>
          <w:rFonts w:eastAsia="楷体" w:cs="等线" w:cstheme="minorHAnsi"/>
          <w:kern w:val="2"/>
          <w:sz w:val="22"/>
          <w:szCs w:val="22"/>
        </w:rPr>
        <w:t>20%</w:t>
      </w:r>
      <w:r>
        <w:rPr>
          <w:rFonts w:cs="等线" w:eastAsia="楷体" w:cstheme="minorHAnsi"/>
          <w:kern w:val="2"/>
          <w:sz w:val="22"/>
          <w:szCs w:val="22"/>
        </w:rPr>
        <w:t>、</w:t>
      </w:r>
      <w:r>
        <w:rPr>
          <w:rFonts w:eastAsia="楷体" w:cs="等线" w:cstheme="minorHAnsi"/>
          <w:kern w:val="2"/>
          <w:sz w:val="22"/>
          <w:szCs w:val="22"/>
        </w:rPr>
        <w:t>19%</w:t>
      </w:r>
      <w:r>
        <w:rPr>
          <w:rFonts w:cs="等线" w:eastAsia="楷体" w:cstheme="minorHAnsi"/>
          <w:kern w:val="2"/>
          <w:sz w:val="22"/>
          <w:szCs w:val="22"/>
        </w:rPr>
        <w:t>、</w:t>
      </w:r>
      <w:r>
        <w:rPr>
          <w:rFonts w:eastAsia="楷体" w:cs="等线" w:cstheme="minorHAnsi"/>
          <w:kern w:val="2"/>
          <w:sz w:val="22"/>
          <w:szCs w:val="22"/>
        </w:rPr>
        <w:t>25%</w:t>
      </w:r>
      <w:r>
        <w:rPr>
          <w:rFonts w:cs="等线" w:eastAsia="楷体" w:cstheme="minorHAnsi"/>
          <w:kern w:val="2"/>
          <w:sz w:val="22"/>
          <w:szCs w:val="22"/>
        </w:rPr>
        <w:t>、</w:t>
      </w:r>
      <w:r>
        <w:rPr>
          <w:rFonts w:eastAsia="楷体" w:cs="等线" w:cstheme="minorHAnsi"/>
          <w:kern w:val="2"/>
          <w:sz w:val="22"/>
          <w:szCs w:val="22"/>
        </w:rPr>
        <w:t>54%</w:t>
      </w:r>
      <w:r>
        <w:rPr>
          <w:rFonts w:cs="等线" w:eastAsia="楷体" w:cstheme="minorHAnsi"/>
          <w:kern w:val="2"/>
          <w:sz w:val="22"/>
          <w:szCs w:val="22"/>
        </w:rPr>
        <w:t>、</w:t>
      </w:r>
      <w:r>
        <w:rPr>
          <w:rFonts w:eastAsia="楷体" w:cs="等线" w:cstheme="minorHAnsi"/>
          <w:kern w:val="2"/>
          <w:sz w:val="22"/>
          <w:szCs w:val="22"/>
        </w:rPr>
        <w:t>66%</w:t>
      </w:r>
      <w:r>
        <w:rPr>
          <w:rFonts w:cs="等线" w:eastAsia="楷体" w:cstheme="minorHAnsi"/>
          <w:kern w:val="2"/>
          <w:sz w:val="22"/>
          <w:szCs w:val="22"/>
        </w:rPr>
        <w:t>，进一步拖累招标总额表现。</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随着新标电表价格机制明确，限价环比涨幅普遍超</w:t>
      </w:r>
      <w:r>
        <w:rPr>
          <w:rFonts w:eastAsia="楷体" w:cs="等线" w:cstheme="minorHAnsi"/>
          <w:b/>
          <w:bCs/>
          <w:kern w:val="2"/>
          <w:sz w:val="22"/>
          <w:szCs w:val="22"/>
        </w:rPr>
        <w:t>20%</w:t>
      </w:r>
      <w:r>
        <w:rPr>
          <w:rFonts w:cs="等线" w:eastAsia="楷体" w:cstheme="minorHAnsi"/>
          <w:b/>
          <w:bCs/>
          <w:kern w:val="2"/>
          <w:sz w:val="22"/>
          <w:szCs w:val="22"/>
        </w:rPr>
        <w:t>，</w:t>
      </w:r>
      <w:r>
        <w:rPr>
          <w:rFonts w:eastAsia="楷体" w:cs="等线" w:cstheme="minorHAnsi"/>
          <w:b/>
          <w:bCs/>
          <w:kern w:val="2"/>
          <w:sz w:val="22"/>
          <w:szCs w:val="22"/>
        </w:rPr>
        <w:t>2026</w:t>
      </w:r>
      <w:r>
        <w:rPr>
          <w:rFonts w:cs="等线" w:eastAsia="楷体" w:cstheme="minorHAnsi"/>
          <w:b/>
          <w:bCs/>
          <w:kern w:val="2"/>
          <w:sz w:val="22"/>
          <w:szCs w:val="22"/>
        </w:rPr>
        <w:t>年有望迎来量价齐升的补招大年。</w:t>
      </w:r>
      <w:r>
        <w:rPr>
          <w:rFonts w:cs="等线" w:eastAsia="楷体" w:cstheme="minorHAnsi"/>
          <w:kern w:val="2"/>
          <w:sz w:val="22"/>
          <w:szCs w:val="22"/>
        </w:rPr>
        <w:t xml:space="preserve"> </w:t>
      </w:r>
      <w:r>
        <w:rPr>
          <w:rFonts w:eastAsia="楷体" w:cs="等线" w:cstheme="minorHAnsi"/>
          <w:kern w:val="2"/>
          <w:sz w:val="22"/>
          <w:szCs w:val="22"/>
        </w:rPr>
        <w:t>2025</w:t>
      </w:r>
      <w:r>
        <w:rPr>
          <w:rFonts w:cs="等线" w:eastAsia="楷体" w:cstheme="minorHAnsi"/>
          <w:kern w:val="2"/>
          <w:sz w:val="22"/>
          <w:szCs w:val="22"/>
        </w:rPr>
        <w:t>年第三批为新标电表首次全面采招批次，受企业报价普遍偏高影响最终流标，但开标单价环比第二批已录得</w:t>
      </w:r>
      <w:r>
        <w:rPr>
          <w:rFonts w:eastAsia="楷体" w:cs="等线" w:cstheme="minorHAnsi"/>
          <w:kern w:val="2"/>
          <w:sz w:val="22"/>
          <w:szCs w:val="22"/>
        </w:rPr>
        <w:t>55%</w:t>
      </w:r>
      <w:r>
        <w:rPr>
          <w:rFonts w:cs="等线" w:eastAsia="楷体" w:cstheme="minorHAnsi"/>
          <w:kern w:val="2"/>
          <w:sz w:val="22"/>
          <w:szCs w:val="22"/>
        </w:rPr>
        <w:t>、</w:t>
      </w:r>
      <w:r>
        <w:rPr>
          <w:rFonts w:eastAsia="楷体" w:cs="等线" w:cstheme="minorHAnsi"/>
          <w:kern w:val="2"/>
          <w:sz w:val="22"/>
          <w:szCs w:val="22"/>
        </w:rPr>
        <w:t>46%</w:t>
      </w:r>
      <w:r>
        <w:rPr>
          <w:rFonts w:cs="等线" w:eastAsia="楷体" w:cstheme="minorHAnsi"/>
          <w:kern w:val="2"/>
          <w:sz w:val="22"/>
          <w:szCs w:val="22"/>
        </w:rPr>
        <w:t>、</w:t>
      </w:r>
      <w:r>
        <w:rPr>
          <w:rFonts w:eastAsia="楷体" w:cs="等线" w:cstheme="minorHAnsi"/>
          <w:kern w:val="2"/>
          <w:sz w:val="22"/>
          <w:szCs w:val="22"/>
        </w:rPr>
        <w:t>37%</w:t>
      </w:r>
      <w:r>
        <w:rPr>
          <w:rFonts w:cs="等线" w:eastAsia="楷体" w:cstheme="minorHAnsi"/>
          <w:kern w:val="2"/>
          <w:sz w:val="22"/>
          <w:szCs w:val="22"/>
        </w:rPr>
        <w:t>、</w:t>
      </w:r>
      <w:r>
        <w:rPr>
          <w:rFonts w:eastAsia="楷体" w:cs="等线" w:cstheme="minorHAnsi"/>
          <w:kern w:val="2"/>
          <w:sz w:val="22"/>
          <w:szCs w:val="22"/>
        </w:rPr>
        <w:t>111%</w:t>
      </w:r>
      <w:r>
        <w:rPr>
          <w:rFonts w:cs="等线" w:eastAsia="楷体" w:cstheme="minorHAnsi"/>
          <w:kern w:val="2"/>
          <w:sz w:val="22"/>
          <w:szCs w:val="22"/>
        </w:rPr>
        <w:t>、</w:t>
      </w:r>
      <w:r>
        <w:rPr>
          <w:rFonts w:eastAsia="楷体" w:cs="等线" w:cstheme="minorHAnsi"/>
          <w:kern w:val="2"/>
          <w:sz w:val="22"/>
          <w:szCs w:val="22"/>
        </w:rPr>
        <w:t>53%</w:t>
      </w:r>
      <w:r>
        <w:rPr>
          <w:rFonts w:cs="等线" w:eastAsia="楷体" w:cstheme="minorHAnsi"/>
          <w:kern w:val="2"/>
          <w:sz w:val="22"/>
          <w:szCs w:val="22"/>
        </w:rPr>
        <w:t>的大幅上涨，反映新标产品价值量显著提升。后续补招批次中，国网对不同等级电表设置明确限价，</w:t>
      </w:r>
      <w:r>
        <w:rPr>
          <w:rFonts w:eastAsia="楷体" w:cs="等线" w:cstheme="minorHAnsi"/>
          <w:kern w:val="2"/>
          <w:sz w:val="22"/>
          <w:szCs w:val="22"/>
        </w:rPr>
        <w:t>A/B/C/D/</w:t>
      </w:r>
      <w:r>
        <w:rPr>
          <w:rFonts w:cs="等线" w:eastAsia="楷体" w:cstheme="minorHAnsi"/>
          <w:kern w:val="2"/>
          <w:sz w:val="22"/>
          <w:szCs w:val="22"/>
        </w:rPr>
        <w:t>高端表限价分别为</w:t>
      </w:r>
      <w:r>
        <w:rPr>
          <w:rFonts w:eastAsia="楷体" w:cs="等线" w:cstheme="minorHAnsi"/>
          <w:kern w:val="2"/>
          <w:sz w:val="22"/>
          <w:szCs w:val="22"/>
        </w:rPr>
        <w:t>170/435/380/570/3900</w:t>
      </w:r>
      <w:r>
        <w:rPr>
          <w:rFonts w:cs="等线" w:eastAsia="楷体" w:cstheme="minorHAnsi"/>
          <w:kern w:val="2"/>
          <w:sz w:val="22"/>
          <w:szCs w:val="22"/>
        </w:rPr>
        <w:t>元，较</w:t>
      </w:r>
      <w:r>
        <w:rPr>
          <w:rFonts w:eastAsia="楷体" w:cs="等线" w:cstheme="minorHAnsi"/>
          <w:kern w:val="2"/>
          <w:sz w:val="22"/>
          <w:szCs w:val="22"/>
        </w:rPr>
        <w:t>2025</w:t>
      </w:r>
      <w:r>
        <w:rPr>
          <w:rFonts w:cs="等线" w:eastAsia="楷体" w:cstheme="minorHAnsi"/>
          <w:kern w:val="2"/>
          <w:sz w:val="22"/>
          <w:szCs w:val="22"/>
        </w:rPr>
        <w:t>年第二批中标均价普遍上涨</w:t>
      </w:r>
      <w:r>
        <w:rPr>
          <w:rFonts w:eastAsia="楷体" w:cs="等线" w:cstheme="minorHAnsi"/>
          <w:kern w:val="2"/>
          <w:sz w:val="22"/>
          <w:szCs w:val="22"/>
        </w:rPr>
        <w:t>20%</w:t>
      </w:r>
      <w:r>
        <w:rPr>
          <w:rFonts w:cs="等线" w:eastAsia="楷体" w:cstheme="minorHAnsi"/>
          <w:kern w:val="2"/>
          <w:sz w:val="22"/>
          <w:szCs w:val="22"/>
        </w:rPr>
        <w:t>以上，价格实现止跌回升。复盘</w:t>
      </w:r>
      <w:r>
        <w:rPr>
          <w:rFonts w:eastAsia="楷体" w:cs="等线" w:cstheme="minorHAnsi"/>
          <w:kern w:val="2"/>
          <w:sz w:val="22"/>
          <w:szCs w:val="22"/>
        </w:rPr>
        <w:t>2025</w:t>
      </w:r>
      <w:r>
        <w:rPr>
          <w:rFonts w:cs="等线" w:eastAsia="楷体" w:cstheme="minorHAnsi"/>
          <w:kern w:val="2"/>
          <w:sz w:val="22"/>
          <w:szCs w:val="22"/>
        </w:rPr>
        <w:t>年，电表类招标总量</w:t>
      </w:r>
      <w:r>
        <w:rPr>
          <w:rFonts w:eastAsia="楷体" w:cs="等线" w:cstheme="minorHAnsi"/>
          <w:kern w:val="2"/>
          <w:sz w:val="22"/>
          <w:szCs w:val="22"/>
        </w:rPr>
        <w:t>6647</w:t>
      </w:r>
      <w:r>
        <w:rPr>
          <w:rFonts w:cs="等线" w:eastAsia="楷体" w:cstheme="minorHAnsi"/>
          <w:kern w:val="2"/>
          <w:sz w:val="22"/>
          <w:szCs w:val="22"/>
        </w:rPr>
        <w:t>万只，实际成交</w:t>
      </w:r>
      <w:r>
        <w:rPr>
          <w:rFonts w:eastAsia="楷体" w:cs="等线" w:cstheme="minorHAnsi"/>
          <w:kern w:val="2"/>
          <w:sz w:val="22"/>
          <w:szCs w:val="22"/>
        </w:rPr>
        <w:t>4952</w:t>
      </w:r>
      <w:r>
        <w:rPr>
          <w:rFonts w:cs="等线" w:eastAsia="楷体" w:cstheme="minorHAnsi"/>
          <w:kern w:val="2"/>
          <w:sz w:val="22"/>
          <w:szCs w:val="22"/>
        </w:rPr>
        <w:t>万只，较上一轮替换周期对应年份的常规需求存在明显缺口。考虑到电表作为标准化产品，</w:t>
      </w:r>
      <w:r>
        <w:rPr>
          <w:rFonts w:eastAsia="楷体" w:cs="等线" w:cstheme="minorHAnsi"/>
          <w:kern w:val="2"/>
          <w:sz w:val="22"/>
          <w:szCs w:val="22"/>
        </w:rPr>
        <w:t>2025</w:t>
      </w:r>
      <w:r>
        <w:rPr>
          <w:rFonts w:cs="等线" w:eastAsia="楷体" w:cstheme="minorHAnsi"/>
          <w:kern w:val="2"/>
          <w:sz w:val="22"/>
          <w:szCs w:val="22"/>
        </w:rPr>
        <w:t>年低基数为</w:t>
      </w:r>
      <w:r>
        <w:rPr>
          <w:rFonts w:eastAsia="楷体" w:cs="等线" w:cstheme="minorHAnsi"/>
          <w:kern w:val="2"/>
          <w:sz w:val="22"/>
          <w:szCs w:val="22"/>
        </w:rPr>
        <w:t>2026</w:t>
      </w:r>
      <w:r>
        <w:rPr>
          <w:rFonts w:cs="等线" w:eastAsia="楷体" w:cstheme="minorHAnsi"/>
          <w:kern w:val="2"/>
          <w:sz w:val="22"/>
          <w:szCs w:val="22"/>
        </w:rPr>
        <w:t>年积蓄较强补库动能；且历史经验表明，新标准推出后首个完整招标年度往往伴随需求放量。综合判断，</w:t>
      </w:r>
      <w:r>
        <w:rPr>
          <w:rFonts w:eastAsia="楷体" w:cs="等线" w:cstheme="minorHAnsi"/>
          <w:kern w:val="2"/>
          <w:sz w:val="22"/>
          <w:szCs w:val="22"/>
        </w:rPr>
        <w:t>2026</w:t>
      </w:r>
      <w:r>
        <w:rPr>
          <w:rFonts w:cs="等线" w:eastAsia="楷体" w:cstheme="minorHAnsi"/>
          <w:kern w:val="2"/>
          <w:sz w:val="22"/>
          <w:szCs w:val="22"/>
        </w:rPr>
        <w:t>年国网智能电表招标量有望重回高位，并带动市场规模创下新高。</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b/>
          <w:b/>
          <w:bCs/>
          <w:kern w:val="2"/>
          <w:sz w:val="22"/>
          <w:szCs w:val="22"/>
        </w:rPr>
      </w:pPr>
      <w:r>
        <w:rPr>
          <w:rFonts w:cs="等线" w:eastAsia="楷体" w:cstheme="minorHAnsi"/>
          <w:b/>
          <w:bCs/>
          <w:kern w:val="2"/>
          <w:sz w:val="22"/>
          <w:szCs w:val="22"/>
        </w:rPr>
        <w:t>智能电表行业进入壁垒高企，集中体现为技术、认证与渠道三重门槛。</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技术壁垒：高可靠性与精准计量构筑核心护城河。</w:t>
      </w:r>
      <w:r>
        <w:rPr>
          <w:rFonts w:cs="等线" w:eastAsia="楷体" w:cstheme="minorHAnsi"/>
          <w:kern w:val="2"/>
          <w:sz w:val="22"/>
          <w:szCs w:val="22"/>
        </w:rPr>
        <w:t xml:space="preserve"> 智能电表并非通用电子消费品，其需在高温、高湿、强电磁干扰等恶劣环境下，面对发电侧随机波动，持续满足</w:t>
      </w:r>
      <w:r>
        <w:rPr>
          <w:rFonts w:eastAsia="楷体" w:cs="等线" w:cstheme="minorHAnsi"/>
          <w:kern w:val="2"/>
          <w:sz w:val="22"/>
          <w:szCs w:val="22"/>
        </w:rPr>
        <w:t>0.2S</w:t>
      </w:r>
      <w:r>
        <w:rPr>
          <w:rFonts w:cs="等线" w:eastAsia="楷体" w:cstheme="minorHAnsi"/>
          <w:kern w:val="2"/>
          <w:sz w:val="22"/>
          <w:szCs w:val="22"/>
        </w:rPr>
        <w:t>级高精度计量、</w:t>
      </w:r>
      <w:r>
        <w:rPr>
          <w:rFonts w:eastAsia="楷体" w:cs="等线" w:cstheme="minorHAnsi"/>
          <w:kern w:val="2"/>
          <w:sz w:val="22"/>
          <w:szCs w:val="22"/>
        </w:rPr>
        <w:t>24</w:t>
      </w:r>
      <w:r>
        <w:rPr>
          <w:rFonts w:cs="等线" w:eastAsia="楷体" w:cstheme="minorHAnsi"/>
          <w:kern w:val="2"/>
          <w:sz w:val="22"/>
          <w:szCs w:val="22"/>
        </w:rPr>
        <w:t>小时不间断稳定运行、数据实时安全加密传输及</w:t>
      </w:r>
      <w:r>
        <w:rPr>
          <w:rFonts w:eastAsia="楷体" w:cs="等线" w:cstheme="minorHAnsi"/>
          <w:kern w:val="2"/>
          <w:sz w:val="22"/>
          <w:szCs w:val="22"/>
        </w:rPr>
        <w:t>10</w:t>
      </w:r>
      <w:r>
        <w:rPr>
          <w:rFonts w:cs="等线" w:eastAsia="楷体" w:cstheme="minorHAnsi"/>
          <w:kern w:val="2"/>
          <w:sz w:val="22"/>
          <w:szCs w:val="22"/>
        </w:rPr>
        <w:t>年以上使用寿命等严苛要求。安全性、可靠性、精确性三大技术维度的长期积累，构成行业首要准入障碍。</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 xml:space="preserve">认证壁垒：国际及区域标准认证周期长、成本高。 </w:t>
      </w:r>
      <w:r>
        <w:rPr>
          <w:rFonts w:cs="等线" w:eastAsia="楷体" w:cstheme="minorHAnsi"/>
          <w:kern w:val="2"/>
          <w:sz w:val="22"/>
          <w:szCs w:val="22"/>
        </w:rPr>
        <w:t>下游客户普遍实行严格的招投标准入机制，产品须通过</w:t>
      </w:r>
      <w:r>
        <w:rPr>
          <w:rFonts w:eastAsia="楷体" w:cs="等线" w:cstheme="minorHAnsi"/>
          <w:kern w:val="2"/>
          <w:sz w:val="22"/>
          <w:szCs w:val="22"/>
        </w:rPr>
        <w:t>ANSI</w:t>
      </w:r>
      <w:r>
        <w:rPr>
          <w:rFonts w:cs="等线" w:eastAsia="楷体" w:cstheme="minorHAnsi"/>
          <w:kern w:val="2"/>
          <w:sz w:val="22"/>
          <w:szCs w:val="22"/>
        </w:rPr>
        <w:t>、</w:t>
      </w:r>
      <w:r>
        <w:rPr>
          <w:rFonts w:eastAsia="楷体" w:cs="等线" w:cstheme="minorHAnsi"/>
          <w:kern w:val="2"/>
          <w:sz w:val="22"/>
          <w:szCs w:val="22"/>
        </w:rPr>
        <w:t>IEC</w:t>
      </w:r>
      <w:r>
        <w:rPr>
          <w:rFonts w:cs="等线" w:eastAsia="楷体" w:cstheme="minorHAnsi"/>
          <w:kern w:val="2"/>
          <w:sz w:val="22"/>
          <w:szCs w:val="22"/>
        </w:rPr>
        <w:t>、</w:t>
      </w:r>
      <w:r>
        <w:rPr>
          <w:rFonts w:eastAsia="楷体" w:cs="等线" w:cstheme="minorHAnsi"/>
          <w:kern w:val="2"/>
          <w:sz w:val="22"/>
          <w:szCs w:val="22"/>
        </w:rPr>
        <w:t>IR46</w:t>
      </w:r>
      <w:r>
        <w:rPr>
          <w:rFonts w:cs="等线" w:eastAsia="楷体" w:cstheme="minorHAnsi"/>
          <w:kern w:val="2"/>
          <w:sz w:val="22"/>
          <w:szCs w:val="22"/>
        </w:rPr>
        <w:t>等国际通行标准认证，部分区域市场还附加本地化认证要求（如巴西</w:t>
      </w:r>
      <w:r>
        <w:rPr>
          <w:rFonts w:eastAsia="楷体" w:cs="等线" w:cstheme="minorHAnsi"/>
          <w:kern w:val="2"/>
          <w:sz w:val="22"/>
          <w:szCs w:val="22"/>
        </w:rPr>
        <w:t>INMETRO</w:t>
      </w:r>
      <w:r>
        <w:rPr>
          <w:rFonts w:cs="等线" w:eastAsia="楷体" w:cstheme="minorHAnsi"/>
          <w:kern w:val="2"/>
          <w:sz w:val="22"/>
          <w:szCs w:val="22"/>
        </w:rPr>
        <w:t>、欧盟</w:t>
      </w:r>
      <w:r>
        <w:rPr>
          <w:rFonts w:eastAsia="楷体" w:cs="等线" w:cstheme="minorHAnsi"/>
          <w:kern w:val="2"/>
          <w:sz w:val="22"/>
          <w:szCs w:val="22"/>
        </w:rPr>
        <w:t>MID</w:t>
      </w:r>
      <w:r>
        <w:rPr>
          <w:rFonts w:cs="等线" w:eastAsia="楷体" w:cstheme="minorHAnsi"/>
          <w:kern w:val="2"/>
          <w:sz w:val="22"/>
          <w:szCs w:val="22"/>
        </w:rPr>
        <w:t>）。从产品送检、型式试验到批量挂网运行，完整认证周期通常达</w:t>
      </w:r>
      <w:r>
        <w:rPr>
          <w:rFonts w:eastAsia="楷体" w:cs="等线" w:cstheme="minorHAnsi"/>
          <w:kern w:val="2"/>
          <w:sz w:val="22"/>
          <w:szCs w:val="22"/>
        </w:rPr>
        <w:t>12-18</w:t>
      </w:r>
      <w:r>
        <w:rPr>
          <w:rFonts w:cs="等线" w:eastAsia="楷体" w:cstheme="minorHAnsi"/>
          <w:kern w:val="2"/>
          <w:sz w:val="22"/>
          <w:szCs w:val="22"/>
        </w:rPr>
        <w:t>个月，且不同标准体系间兼容性有限，大幅抬升新厂商跨区域扩张的时间与资金成本。</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渠道壁垒：深度绑定电网客户的属地化服务网络难以复制。</w:t>
      </w:r>
      <w:r>
        <w:rPr>
          <w:rFonts w:cs="等线" w:eastAsia="楷体" w:cstheme="minorHAnsi"/>
          <w:kern w:val="2"/>
          <w:sz w:val="22"/>
          <w:szCs w:val="22"/>
        </w:rPr>
        <w:t xml:space="preserve"> 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智能电表行业呈显著头部集中特征，市场份额长期保持稳定。</w:t>
      </w:r>
      <w:r>
        <w:rPr>
          <w:rFonts w:cs="等线" w:eastAsia="楷体" w:cstheme="minorHAnsi"/>
          <w:kern w:val="2"/>
          <w:sz w:val="22"/>
          <w:szCs w:val="22"/>
        </w:rPr>
        <w:t> 国网与南网招标数据是观察行业竞争格局的核心窗口。</w:t>
      </w:r>
      <w:r>
        <w:rPr>
          <w:rFonts w:eastAsia="楷体" w:cs="等线" w:cstheme="minorHAnsi"/>
          <w:kern w:val="2"/>
          <w:sz w:val="22"/>
          <w:szCs w:val="22"/>
        </w:rPr>
        <w:t>2025</w:t>
      </w:r>
      <w:r>
        <w:rPr>
          <w:rFonts w:cs="等线" w:eastAsia="楷体" w:cstheme="minorHAnsi"/>
          <w:kern w:val="2"/>
          <w:sz w:val="22"/>
          <w:szCs w:val="22"/>
        </w:rPr>
        <w:t>年国网第二批次电能表及终端招标中，</w:t>
      </w:r>
      <w:r>
        <w:rPr>
          <w:rFonts w:eastAsia="楷体" w:cs="等线" w:cstheme="minorHAnsi"/>
          <w:kern w:val="2"/>
          <w:sz w:val="22"/>
          <w:szCs w:val="22"/>
        </w:rPr>
        <w:t>CR10</w:t>
      </w:r>
      <w:r>
        <w:rPr>
          <w:rFonts w:cs="等线" w:eastAsia="楷体" w:cstheme="minorHAnsi"/>
          <w:kern w:val="2"/>
          <w:sz w:val="22"/>
          <w:szCs w:val="22"/>
        </w:rPr>
        <w:t>约为</w:t>
      </w:r>
      <w:r>
        <w:rPr>
          <w:rFonts w:eastAsia="楷体" w:cs="等线" w:cstheme="minorHAnsi"/>
          <w:kern w:val="2"/>
          <w:sz w:val="22"/>
          <w:szCs w:val="22"/>
        </w:rPr>
        <w:t>32%</w:t>
      </w:r>
      <w:r>
        <w:rPr>
          <w:rFonts w:cs="等线" w:eastAsia="楷体" w:cstheme="minorHAnsi"/>
          <w:kern w:val="2"/>
          <w:sz w:val="22"/>
          <w:szCs w:val="22"/>
        </w:rPr>
        <w:t>，第一梯队企业普遍维持</w:t>
      </w:r>
      <w:r>
        <w:rPr>
          <w:rFonts w:eastAsia="楷体" w:cs="等线" w:cstheme="minorHAnsi"/>
          <w:kern w:val="2"/>
          <w:sz w:val="22"/>
          <w:szCs w:val="22"/>
        </w:rPr>
        <w:t>3%</w:t>
      </w:r>
      <w:r>
        <w:rPr>
          <w:rFonts w:cs="等线" w:eastAsia="楷体" w:cstheme="minorHAnsi"/>
          <w:kern w:val="2"/>
          <w:sz w:val="22"/>
          <w:szCs w:val="22"/>
        </w:rPr>
        <w:t>以上中标份额。南网市场集中度更高，</w:t>
      </w:r>
      <w:r>
        <w:rPr>
          <w:rFonts w:eastAsia="楷体" w:cs="等线" w:cstheme="minorHAnsi"/>
          <w:kern w:val="2"/>
          <w:sz w:val="22"/>
          <w:szCs w:val="22"/>
        </w:rPr>
        <w:t>2025</w:t>
      </w:r>
      <w:r>
        <w:rPr>
          <w:rFonts w:cs="等线" w:eastAsia="楷体" w:cstheme="minorHAnsi"/>
          <w:kern w:val="2"/>
          <w:sz w:val="22"/>
          <w:szCs w:val="22"/>
        </w:rPr>
        <w:t>年第一批次计量设备招标</w:t>
      </w:r>
      <w:r>
        <w:rPr>
          <w:rFonts w:eastAsia="楷体" w:cs="等线" w:cstheme="minorHAnsi"/>
          <w:kern w:val="2"/>
          <w:sz w:val="22"/>
          <w:szCs w:val="22"/>
        </w:rPr>
        <w:t>CR10</w:t>
      </w:r>
      <w:r>
        <w:rPr>
          <w:rFonts w:cs="等线" w:eastAsia="楷体" w:cstheme="minorHAnsi"/>
          <w:kern w:val="2"/>
          <w:sz w:val="22"/>
          <w:szCs w:val="22"/>
        </w:rPr>
        <w:t>超过</w:t>
      </w:r>
      <w:r>
        <w:rPr>
          <w:rFonts w:eastAsia="楷体" w:cs="等线" w:cstheme="minorHAnsi"/>
          <w:kern w:val="2"/>
          <w:sz w:val="22"/>
          <w:szCs w:val="22"/>
        </w:rPr>
        <w:t>70%</w:t>
      </w:r>
      <w:r>
        <w:rPr>
          <w:rFonts w:cs="等线" w:eastAsia="楷体" w:cstheme="minorHAnsi"/>
          <w:kern w:val="2"/>
          <w:sz w:val="22"/>
          <w:szCs w:val="22"/>
        </w:rPr>
        <w:t>，第一梯队企业中标份额接近</w:t>
      </w:r>
      <w:r>
        <w:rPr>
          <w:rFonts w:eastAsia="楷体" w:cs="等线" w:cstheme="minorHAnsi"/>
          <w:kern w:val="2"/>
          <w:sz w:val="22"/>
          <w:szCs w:val="22"/>
        </w:rPr>
        <w:t>10%</w:t>
      </w:r>
      <w:r>
        <w:rPr>
          <w:rFonts w:cs="等线" w:eastAsia="楷体" w:cstheme="minorHAnsi"/>
          <w:kern w:val="2"/>
          <w:sz w:val="22"/>
          <w:szCs w:val="22"/>
        </w:rPr>
        <w:t>，领先厂商优势更为突出。随着国网、南网双双进入智能电表新一轮替换高峰，第一梯队企业凭借稳定的份额基盘与属地化服务能力，中标金额持续维持高位，行业格局已从充分竞争阶段过渡至头部优势自我强化段。</w:t>
      </w:r>
    </w:p>
    <w:p>
      <w:pPr>
        <w:pStyle w:val="1"/>
        <w:rPr>
          <w:rFonts w:eastAsia="楷体" w:cs="等线" w:cstheme="minorHAnsi"/>
          <w:kern w:val="2"/>
          <w:sz w:val="22"/>
          <w:szCs w:val="22"/>
        </w:rPr>
      </w:pPr>
      <w:r>
        <w:rPr>
          <w:rFonts w:eastAsia="楷体" w:cs="等线" w:cstheme="minorHAnsi"/>
          <w:kern w:val="2"/>
          <w:sz w:val="22"/>
          <w:szCs w:val="22"/>
        </w:rPr>
      </w:r>
    </w:p>
    <w:tbl>
      <w:tblPr>
        <w:tblStyle w:val="19"/>
        <w:tblW w:w="10585" w:type="dxa"/>
        <w:jc w:val="left"/>
        <w:tblInd w:w="-3119" w:type="dxa"/>
        <w:tblLayout w:type="fixed"/>
        <w:tblCellMar>
          <w:top w:w="0" w:type="dxa"/>
          <w:left w:w="0" w:type="dxa"/>
          <w:bottom w:w="0" w:type="dxa"/>
          <w:right w:w="28" w:type="dxa"/>
        </w:tblCellMar>
      </w:tblPr>
      <w:tblGrid>
        <w:gridCol w:w="10585"/>
      </w:tblGrid>
      <w:tr>
        <w:trPr>
          <w:trHeight w:val="302" w:hRule="atLeast"/>
        </w:trPr>
        <w:tc>
          <w:tcPr>
            <w:tcW w:w="10585"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图：国家电网智能电表招标份额</w:t>
            </w:r>
          </w:p>
        </w:tc>
      </w:tr>
      <w:tr>
        <w:trPr>
          <w:trHeight w:val="856" w:hRule="atLeast"/>
        </w:trPr>
        <w:tc>
          <w:tcPr>
            <w:tcW w:w="10585"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6642100" cy="2035175"/>
                  <wp:effectExtent l="0" t="0" r="0" b="0"/>
                  <wp:docPr id="13" name="Image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表格&#10;&#10;AI 生成的内容可能不正确。"/>
                          <pic:cNvPicPr>
                            <a:picLocks noChangeAspect="1" noChangeArrowheads="1"/>
                          </pic:cNvPicPr>
                        </pic:nvPicPr>
                        <pic:blipFill>
                          <a:blip r:embed="rId35"/>
                          <a:stretch>
                            <a:fillRect/>
                          </a:stretch>
                        </pic:blipFill>
                        <pic:spPr bwMode="auto">
                          <a:xfrm>
                            <a:off x="0" y="0"/>
                            <a:ext cx="6642100" cy="2035175"/>
                          </a:xfrm>
                          <a:prstGeom prst="rect">
                            <a:avLst/>
                          </a:prstGeom>
                        </pic:spPr>
                      </pic:pic>
                    </a:graphicData>
                  </a:graphic>
                </wp:inline>
              </w:drawing>
            </w:r>
          </w:p>
        </w:tc>
      </w:tr>
      <w:tr>
        <w:trPr>
          <w:trHeight w:val="64" w:hRule="atLeast"/>
        </w:trPr>
        <w:tc>
          <w:tcPr>
            <w:tcW w:w="10585"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国家电网</w:t>
            </w:r>
            <w:r>
              <w:rPr>
                <w:rFonts w:eastAsia="楷体" w:cs="Calibri"/>
                <w:kern w:val="0"/>
                <w:sz w:val="20"/>
                <w:szCs w:val="20"/>
              </w:rPr>
              <w:t>, 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全球智能电力计量设备市场正步入稳定增长通道，</w:t>
      </w:r>
      <w:r>
        <w:rPr>
          <w:rFonts w:eastAsia="楷体" w:cs="等线" w:cstheme="minorHAnsi"/>
          <w:b/>
          <w:bCs/>
          <w:kern w:val="2"/>
          <w:sz w:val="22"/>
          <w:szCs w:val="22"/>
        </w:rPr>
        <w:t>AI</w:t>
      </w:r>
      <w:r>
        <w:rPr>
          <w:rFonts w:cs="等线" w:eastAsia="楷体" w:cstheme="minorHAnsi"/>
          <w:b/>
          <w:bCs/>
          <w:kern w:val="2"/>
          <w:sz w:val="22"/>
          <w:szCs w:val="22"/>
        </w:rPr>
        <w:t>算力爆发与能源结构转型构成核心驱动力。</w:t>
      </w:r>
      <w:r>
        <w:rPr>
          <w:rFonts w:cs="等线" w:eastAsia="楷体" w:cstheme="minorHAnsi"/>
          <w:kern w:val="2"/>
          <w:sz w:val="22"/>
          <w:szCs w:val="22"/>
        </w:rPr>
        <w:t xml:space="preserve"> 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Pr>
          <w:rFonts w:eastAsia="楷体" w:cs="等线" w:cstheme="minorHAnsi"/>
          <w:kern w:val="2"/>
          <w:sz w:val="22"/>
          <w:szCs w:val="22"/>
        </w:rPr>
        <w:t>Fortune Business Insights</w:t>
      </w:r>
      <w:r>
        <w:rPr>
          <w:rFonts w:cs="等线" w:eastAsia="楷体" w:cstheme="minorHAnsi"/>
          <w:kern w:val="2"/>
          <w:sz w:val="22"/>
          <w:szCs w:val="22"/>
        </w:rPr>
        <w:t>数据，</w:t>
      </w:r>
      <w:r>
        <w:rPr>
          <w:rFonts w:eastAsia="楷体" w:cs="等线" w:cstheme="minorHAnsi"/>
          <w:kern w:val="2"/>
          <w:sz w:val="22"/>
          <w:szCs w:val="22"/>
        </w:rPr>
        <w:t>2024</w:t>
      </w:r>
      <w:r>
        <w:rPr>
          <w:rFonts w:cs="等线" w:eastAsia="楷体" w:cstheme="minorHAnsi"/>
          <w:kern w:val="2"/>
          <w:sz w:val="22"/>
          <w:szCs w:val="22"/>
        </w:rPr>
        <w:t>年全球智能电力计量设备市场规模约</w:t>
      </w:r>
      <w:r>
        <w:rPr>
          <w:rFonts w:eastAsia="楷体" w:cs="等线" w:cstheme="minorHAnsi"/>
          <w:kern w:val="2"/>
          <w:sz w:val="22"/>
          <w:szCs w:val="22"/>
        </w:rPr>
        <w:t>260</w:t>
      </w:r>
      <w:r>
        <w:rPr>
          <w:rFonts w:cs="等线" w:eastAsia="楷体" w:cstheme="minorHAnsi"/>
          <w:kern w:val="2"/>
          <w:sz w:val="22"/>
          <w:szCs w:val="22"/>
        </w:rPr>
        <w:t>亿美元，同比增长</w:t>
      </w:r>
      <w:r>
        <w:rPr>
          <w:rFonts w:eastAsia="楷体" w:cs="等线" w:cstheme="minorHAnsi"/>
          <w:kern w:val="2"/>
          <w:sz w:val="22"/>
          <w:szCs w:val="22"/>
        </w:rPr>
        <w:t>7.9%</w:t>
      </w:r>
      <w:r>
        <w:rPr>
          <w:rFonts w:cs="等线" w:eastAsia="楷体" w:cstheme="minorHAnsi"/>
          <w:kern w:val="2"/>
          <w:sz w:val="22"/>
          <w:szCs w:val="22"/>
        </w:rPr>
        <w:t>；预计</w:t>
      </w:r>
      <w:r>
        <w:rPr>
          <w:rFonts w:eastAsia="楷体" w:cs="等线" w:cstheme="minorHAnsi"/>
          <w:kern w:val="2"/>
          <w:sz w:val="22"/>
          <w:szCs w:val="22"/>
        </w:rPr>
        <w:t>2032</w:t>
      </w:r>
      <w:r>
        <w:rPr>
          <w:rFonts w:cs="等线" w:eastAsia="楷体" w:cstheme="minorHAnsi"/>
          <w:kern w:val="2"/>
          <w:sz w:val="22"/>
          <w:szCs w:val="22"/>
        </w:rPr>
        <w:t>年将达</w:t>
      </w:r>
      <w:r>
        <w:rPr>
          <w:rFonts w:eastAsia="楷体" w:cs="等线" w:cstheme="minorHAnsi"/>
          <w:kern w:val="2"/>
          <w:sz w:val="22"/>
          <w:szCs w:val="22"/>
        </w:rPr>
        <w:t>516</w:t>
      </w:r>
      <w:r>
        <w:rPr>
          <w:rFonts w:cs="等线" w:eastAsia="楷体" w:cstheme="minorHAnsi"/>
          <w:kern w:val="2"/>
          <w:sz w:val="22"/>
          <w:szCs w:val="22"/>
        </w:rPr>
        <w:t>亿美元，</w:t>
      </w:r>
      <w:r>
        <w:rPr>
          <w:rFonts w:eastAsia="楷体" w:cs="等线" w:cstheme="minorHAnsi"/>
          <w:kern w:val="2"/>
          <w:sz w:val="22"/>
          <w:szCs w:val="22"/>
        </w:rPr>
        <w:t>2024-2032</w:t>
      </w:r>
      <w:r>
        <w:rPr>
          <w:rFonts w:cs="等线" w:eastAsia="楷体" w:cstheme="minorHAnsi"/>
          <w:kern w:val="2"/>
          <w:sz w:val="22"/>
          <w:szCs w:val="22"/>
        </w:rPr>
        <w:t>年复合增长率（</w:t>
      </w:r>
      <w:r>
        <w:rPr>
          <w:rFonts w:eastAsia="楷体" w:cs="等线" w:cstheme="minorHAnsi"/>
          <w:kern w:val="2"/>
          <w:sz w:val="22"/>
          <w:szCs w:val="22"/>
        </w:rPr>
        <w:t>CAGR</w:t>
      </w:r>
      <w:r>
        <w:rPr>
          <w:rFonts w:cs="等线" w:eastAsia="楷体" w:cstheme="minorHAnsi"/>
          <w:kern w:val="2"/>
          <w:sz w:val="22"/>
          <w:szCs w:val="22"/>
        </w:rPr>
        <w:t>）为</w:t>
      </w:r>
      <w:r>
        <w:rPr>
          <w:rFonts w:eastAsia="楷体" w:cs="等线" w:cstheme="minorHAnsi"/>
          <w:kern w:val="2"/>
          <w:sz w:val="22"/>
          <w:szCs w:val="22"/>
        </w:rPr>
        <w:t>8.9%</w:t>
      </w:r>
      <w:r>
        <w:rPr>
          <w:rFonts w:cs="等线" w:eastAsia="楷体" w:cstheme="minorHAnsi"/>
          <w:kern w:val="2"/>
          <w:sz w:val="22"/>
          <w:szCs w:val="22"/>
        </w:rPr>
        <w:t>，行业景气度有望长期维持。</w:t>
      </w:r>
    </w:p>
    <w:p>
      <w:pPr>
        <w:pStyle w:val="1"/>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图：全球智能电力计量设备市场规模</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4603750" cy="2592070"/>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36"/>
                          <a:stretch>
                            <a:fillRect/>
                          </a:stretch>
                        </pic:blipFill>
                        <pic:spPr bwMode="auto">
                          <a:xfrm>
                            <a:off x="0" y="0"/>
                            <a:ext cx="4603750" cy="259207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Fortune Business Insights, 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全球电网建设进程呈现显著阶段性特征，各国因经济发展与电力基础差异，处于不同的智能化演进阶段。</w:t>
      </w:r>
      <w:r>
        <w:rPr>
          <w:rFonts w:cs="等线" w:eastAsia="楷体" w:cstheme="minorHAnsi"/>
          <w:kern w:val="2"/>
          <w:sz w:val="22"/>
          <w:szCs w:val="22"/>
        </w:rPr>
        <w:t xml:space="preserve"> 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kern w:val="2"/>
          <w:sz w:val="22"/>
          <w:szCs w:val="22"/>
        </w:rPr>
        <w:t>受此规律影响，全球智能电网发展水平呈现明显的区域梯度：</w:t>
      </w:r>
    </w:p>
    <w:p>
      <w:pPr>
        <w:pStyle w:val="1"/>
        <w:rPr>
          <w:rFonts w:eastAsia="楷体" w:cs="等线" w:cstheme="minorHAnsi"/>
          <w:kern w:val="2"/>
          <w:sz w:val="22"/>
          <w:szCs w:val="22"/>
        </w:rPr>
      </w:pPr>
      <w:r>
        <w:rPr>
          <w:rFonts w:eastAsia="楷体" w:cs="等线" w:cstheme="minorHAnsi"/>
          <w:kern w:val="2"/>
          <w:sz w:val="22"/>
          <w:szCs w:val="22"/>
        </w:rPr>
      </w:r>
    </w:p>
    <w:p>
      <w:pPr>
        <w:pStyle w:val="37"/>
        <w:numPr>
          <w:ilvl w:val="0"/>
          <w:numId w:val="3"/>
        </w:numPr>
        <w:rPr>
          <w:rFonts w:eastAsia="楷体" w:cs="等线" w:cstheme="minorHAnsi"/>
          <w:kern w:val="2"/>
          <w:sz w:val="22"/>
          <w:szCs w:val="22"/>
        </w:rPr>
      </w:pPr>
      <w:r>
        <w:rPr>
          <w:rFonts w:cs="等线" w:eastAsia="楷体" w:cstheme="minorHAnsi"/>
          <w:kern w:val="2"/>
          <w:sz w:val="22"/>
          <w:szCs w:val="22"/>
        </w:rPr>
        <w:t>发展中国家（拉美、非洲、东南亚、中东等） 多数仍处电网建设第一阶段，核心任务是扩大发电装机、构建跨国跨区骨干网架、提升输电覆盖能力，智能化仍为远期选项；</w:t>
      </w:r>
    </w:p>
    <w:p>
      <w:pPr>
        <w:pStyle w:val="37"/>
        <w:numPr>
          <w:ilvl w:val="0"/>
          <w:numId w:val="3"/>
        </w:numPr>
        <w:rPr>
          <w:rFonts w:eastAsia="楷体" w:cs="等线" w:cstheme="minorHAnsi"/>
          <w:kern w:val="2"/>
          <w:sz w:val="22"/>
          <w:szCs w:val="22"/>
        </w:rPr>
      </w:pPr>
      <w:r>
        <w:rPr>
          <w:rFonts w:cs="等线" w:eastAsia="楷体" w:cstheme="minorHAnsi"/>
          <w:kern w:val="2"/>
          <w:sz w:val="22"/>
          <w:szCs w:val="22"/>
        </w:rPr>
        <w:t>发达国家（欧美、日韩澳等）及中国等部分新兴经济体 已迈入电网发展第二、三阶段，重点转向系统智能化互联、电能质量提升、调度自动化及多元技术融合应用，正面临存量升级与增量转型并行的双重任务。</w:t>
      </w:r>
    </w:p>
    <w:p>
      <w:pPr>
        <w:pStyle w:val="1"/>
        <w:rPr>
          <w:rFonts w:eastAsia="楷体" w:cs="等线" w:cstheme="minorHAnsi"/>
          <w:kern w:val="2"/>
          <w:sz w:val="22"/>
          <w:szCs w:val="22"/>
        </w:rPr>
      </w:pPr>
      <w:r>
        <w:rPr>
          <w:rFonts w:eastAsia="楷体" w:cs="等线" w:cstheme="minorHAns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图：全球智能电表渗透率</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5270500" cy="2369185"/>
                  <wp:effectExtent l="0" t="0" r="0" b="0"/>
                  <wp:docPr id="15" name="Image12"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图片包含 游戏机&#10;&#10;AI 生成的内容可能不正确。"/>
                          <pic:cNvPicPr>
                            <a:picLocks noChangeAspect="1" noChangeArrowheads="1"/>
                          </pic:cNvPicPr>
                        </pic:nvPicPr>
                        <pic:blipFill>
                          <a:blip r:embed="rId37"/>
                          <a:stretch>
                            <a:fillRect/>
                          </a:stretch>
                        </pic:blipFill>
                        <pic:spPr bwMode="auto">
                          <a:xfrm>
                            <a:off x="0" y="0"/>
                            <a:ext cx="5270500" cy="236918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eastAsia="楷体" w:cs="Calibri"/>
                <w:kern w:val="0"/>
                <w:sz w:val="20"/>
                <w:szCs w:val="20"/>
              </w:rPr>
              <w:t>Mordor Intelligence, HFI</w:t>
            </w:r>
          </w:p>
        </w:tc>
      </w:tr>
    </w:tbl>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b/>
          <w:b/>
          <w:bCs/>
          <w:kern w:val="2"/>
          <w:sz w:val="22"/>
          <w:szCs w:val="22"/>
        </w:rPr>
      </w:pPr>
      <w:r>
        <w:rPr>
          <w:rFonts w:cs="等线" w:eastAsia="楷体" w:cstheme="minorHAnsi"/>
          <w:b/>
          <w:bCs/>
          <w:kern w:val="2"/>
          <w:sz w:val="22"/>
          <w:szCs w:val="22"/>
        </w:rPr>
        <w:t>全球智能电网建设进程呈显著非均衡态势，各区域市场因发展阶段的不同存在差异。</w:t>
      </w:r>
    </w:p>
    <w:p>
      <w:pPr>
        <w:pStyle w:val="37"/>
        <w:numPr>
          <w:ilvl w:val="0"/>
          <w:numId w:val="4"/>
        </w:numPr>
        <w:rPr>
          <w:rFonts w:eastAsia="楷体" w:cs="等线" w:cstheme="minorHAnsi"/>
          <w:kern w:val="2"/>
          <w:sz w:val="22"/>
          <w:szCs w:val="22"/>
        </w:rPr>
      </w:pPr>
      <w:r>
        <w:rPr>
          <w:rFonts w:cs="等线" w:eastAsia="楷体" w:cstheme="minorHAnsi"/>
          <w:b/>
          <w:bCs/>
          <w:kern w:val="2"/>
          <w:sz w:val="22"/>
          <w:szCs w:val="22"/>
        </w:rPr>
        <w:t>欧洲：全球智能计量技术策源地，市场成熟、渗透率已处高位。</w:t>
      </w:r>
      <w:r>
        <w:rPr>
          <w:rFonts w:cs="等线" w:eastAsia="楷体" w:cstheme="minorHAnsi"/>
          <w:kern w:val="2"/>
          <w:sz w:val="22"/>
          <w:szCs w:val="22"/>
        </w:rPr>
        <w:t>作为最早部署智能电网的地区，欧洲智能电表用户基础广泛。根据</w:t>
      </w:r>
      <w:r>
        <w:rPr>
          <w:rFonts w:eastAsia="楷体" w:cs="等线" w:cstheme="minorHAnsi"/>
          <w:kern w:val="2"/>
          <w:sz w:val="22"/>
          <w:szCs w:val="22"/>
        </w:rPr>
        <w:t>Berg Insight</w:t>
      </w:r>
      <w:r>
        <w:rPr>
          <w:rFonts w:cs="等线" w:eastAsia="楷体" w:cstheme="minorHAnsi"/>
          <w:kern w:val="2"/>
          <w:sz w:val="22"/>
          <w:szCs w:val="22"/>
        </w:rPr>
        <w:t>，</w:t>
      </w:r>
      <w:r>
        <w:rPr>
          <w:rFonts w:eastAsia="楷体" w:cs="等线" w:cstheme="minorHAnsi"/>
          <w:kern w:val="2"/>
          <w:sz w:val="22"/>
          <w:szCs w:val="22"/>
        </w:rPr>
        <w:t>2028</w:t>
      </w:r>
      <w:r>
        <w:rPr>
          <w:rFonts w:cs="等线" w:eastAsia="楷体" w:cstheme="minorHAnsi"/>
          <w:kern w:val="2"/>
          <w:sz w:val="22"/>
          <w:szCs w:val="22"/>
        </w:rPr>
        <w:t>年欧洲智能电表用户基数预计达</w:t>
      </w:r>
      <w:r>
        <w:rPr>
          <w:rFonts w:eastAsia="楷体" w:cs="等线" w:cstheme="minorHAnsi"/>
          <w:kern w:val="2"/>
          <w:sz w:val="22"/>
          <w:szCs w:val="22"/>
        </w:rPr>
        <w:t>2.48</w:t>
      </w:r>
      <w:r>
        <w:rPr>
          <w:rFonts w:cs="等线" w:eastAsia="楷体" w:cstheme="minorHAnsi"/>
          <w:kern w:val="2"/>
          <w:sz w:val="22"/>
          <w:szCs w:val="22"/>
        </w:rPr>
        <w:t>亿户，渗透率升至</w:t>
      </w:r>
      <w:r>
        <w:rPr>
          <w:rFonts w:eastAsia="楷体" w:cs="等线" w:cstheme="minorHAnsi"/>
          <w:kern w:val="2"/>
          <w:sz w:val="22"/>
          <w:szCs w:val="22"/>
        </w:rPr>
        <w:t>78%</w:t>
      </w:r>
      <w:r>
        <w:rPr>
          <w:rFonts w:cs="等线" w:eastAsia="楷体" w:cstheme="minorHAnsi"/>
          <w:kern w:val="2"/>
          <w:sz w:val="22"/>
          <w:szCs w:val="22"/>
        </w:rPr>
        <w:t>。</w:t>
      </w:r>
      <w:r>
        <w:rPr>
          <w:rFonts w:eastAsia="楷体" w:cs="等线" w:cstheme="minorHAnsi"/>
          <w:kern w:val="2"/>
          <w:sz w:val="22"/>
          <w:szCs w:val="22"/>
        </w:rPr>
        <w:t>Markets and Markets</w:t>
      </w:r>
      <w:r>
        <w:rPr>
          <w:rFonts w:cs="等线" w:eastAsia="楷体" w:cstheme="minorHAnsi"/>
          <w:kern w:val="2"/>
          <w:sz w:val="22"/>
          <w:szCs w:val="22"/>
        </w:rPr>
        <w:t>数据显示，</w:t>
      </w:r>
      <w:r>
        <w:rPr>
          <w:rFonts w:eastAsia="楷体" w:cs="等线" w:cstheme="minorHAnsi"/>
          <w:kern w:val="2"/>
          <w:sz w:val="22"/>
          <w:szCs w:val="22"/>
        </w:rPr>
        <w:t>2022</w:t>
      </w:r>
      <w:r>
        <w:rPr>
          <w:rFonts w:cs="等线" w:eastAsia="楷体" w:cstheme="minorHAnsi"/>
          <w:kern w:val="2"/>
          <w:sz w:val="22"/>
          <w:szCs w:val="22"/>
        </w:rPr>
        <w:t>年欧洲智能计量市场规模占全球</w:t>
      </w:r>
      <w:r>
        <w:rPr>
          <w:rFonts w:eastAsia="楷体" w:cs="等线" w:cstheme="minorHAnsi"/>
          <w:kern w:val="2"/>
          <w:sz w:val="22"/>
          <w:szCs w:val="22"/>
        </w:rPr>
        <w:t>18%</w:t>
      </w:r>
      <w:r>
        <w:rPr>
          <w:rFonts w:cs="等线" w:eastAsia="楷体" w:cstheme="minorHAnsi"/>
          <w:kern w:val="2"/>
          <w:sz w:val="22"/>
          <w:szCs w:val="22"/>
        </w:rPr>
        <w:t>，</w:t>
      </w:r>
      <w:r>
        <w:rPr>
          <w:rFonts w:eastAsia="楷体" w:cs="等线" w:cstheme="minorHAnsi"/>
          <w:kern w:val="2"/>
          <w:sz w:val="22"/>
          <w:szCs w:val="22"/>
        </w:rPr>
        <w:t>2022–2027</w:t>
      </w:r>
      <w:r>
        <w:rPr>
          <w:rFonts w:cs="等线" w:eastAsia="楷体" w:cstheme="minorHAnsi"/>
          <w:kern w:val="2"/>
          <w:sz w:val="22"/>
          <w:szCs w:val="22"/>
        </w:rPr>
        <w:t>年复合增长率（</w:t>
      </w:r>
      <w:r>
        <w:rPr>
          <w:rFonts w:eastAsia="楷体" w:cs="等线" w:cstheme="minorHAnsi"/>
          <w:kern w:val="2"/>
          <w:sz w:val="22"/>
          <w:szCs w:val="22"/>
        </w:rPr>
        <w:t>CAGR</w:t>
      </w:r>
      <w:r>
        <w:rPr>
          <w:rFonts w:cs="等线" w:eastAsia="楷体" w:cstheme="minorHAnsi"/>
          <w:kern w:val="2"/>
          <w:sz w:val="22"/>
          <w:szCs w:val="22"/>
        </w:rPr>
        <w:t>）为</w:t>
      </w:r>
      <w:r>
        <w:rPr>
          <w:rFonts w:eastAsia="楷体" w:cs="等线" w:cstheme="minorHAnsi"/>
          <w:kern w:val="2"/>
          <w:sz w:val="22"/>
          <w:szCs w:val="22"/>
        </w:rPr>
        <w:t>7.3%</w:t>
      </w:r>
      <w:r>
        <w:rPr>
          <w:rFonts w:cs="等线" w:eastAsia="楷体" w:cstheme="minorHAnsi"/>
          <w:kern w:val="2"/>
          <w:sz w:val="22"/>
          <w:szCs w:val="22"/>
        </w:rPr>
        <w:t>，市场步入以存量替换与功能升级为主的稳健增长阶段。</w:t>
      </w:r>
    </w:p>
    <w:p>
      <w:pPr>
        <w:pStyle w:val="37"/>
        <w:numPr>
          <w:ilvl w:val="0"/>
          <w:numId w:val="4"/>
        </w:numPr>
        <w:rPr>
          <w:rFonts w:eastAsia="楷体" w:cs="等线" w:cstheme="minorHAnsi"/>
          <w:kern w:val="2"/>
          <w:sz w:val="22"/>
          <w:szCs w:val="22"/>
        </w:rPr>
      </w:pPr>
      <w:r>
        <w:rPr>
          <w:rFonts w:cs="等线" w:eastAsia="楷体" w:cstheme="minorHAnsi"/>
          <w:b/>
          <w:bCs/>
          <w:kern w:val="2"/>
          <w:sz w:val="22"/>
          <w:szCs w:val="22"/>
        </w:rPr>
        <w:t>亚洲：全球最大智能电表市场，人口与电网建设双轮驱动。</w:t>
      </w:r>
      <w:r>
        <w:rPr>
          <w:rFonts w:cs="等线" w:eastAsia="楷体" w:cstheme="minorHAnsi"/>
          <w:kern w:val="2"/>
          <w:sz w:val="22"/>
          <w:szCs w:val="22"/>
        </w:rPr>
        <w:t>凭借庞大人口基数及持续扩大的电力需求，亚洲稳居全球智能电表市场份额首位。东南亚与中东正处于快速渗透期，据</w:t>
      </w:r>
      <w:r>
        <w:rPr>
          <w:rFonts w:eastAsia="楷体" w:cs="等线" w:cstheme="minorHAnsi"/>
          <w:kern w:val="2"/>
          <w:sz w:val="22"/>
          <w:szCs w:val="22"/>
        </w:rPr>
        <w:t>Markets and Markets</w:t>
      </w:r>
      <w:r>
        <w:rPr>
          <w:rFonts w:cs="等线" w:eastAsia="楷体" w:cstheme="minorHAnsi"/>
          <w:kern w:val="2"/>
          <w:sz w:val="22"/>
          <w:szCs w:val="22"/>
        </w:rPr>
        <w:t>预测，</w:t>
      </w:r>
      <w:r>
        <w:rPr>
          <w:rFonts w:eastAsia="楷体" w:cs="等线" w:cstheme="minorHAnsi"/>
          <w:kern w:val="2"/>
          <w:sz w:val="22"/>
          <w:szCs w:val="22"/>
        </w:rPr>
        <w:t>2022–2027</w:t>
      </w:r>
      <w:r>
        <w:rPr>
          <w:rFonts w:cs="等线" w:eastAsia="楷体" w:cstheme="minorHAnsi"/>
          <w:kern w:val="2"/>
          <w:sz w:val="22"/>
          <w:szCs w:val="22"/>
        </w:rPr>
        <w:t>年两地智能计量市场规模</w:t>
      </w:r>
      <w:r>
        <w:rPr>
          <w:rFonts w:eastAsia="楷体" w:cs="等线" w:cstheme="minorHAnsi"/>
          <w:kern w:val="2"/>
          <w:sz w:val="22"/>
          <w:szCs w:val="22"/>
        </w:rPr>
        <w:t>CAGR</w:t>
      </w:r>
      <w:r>
        <w:rPr>
          <w:rFonts w:cs="等线" w:eastAsia="楷体" w:cstheme="minorHAnsi"/>
          <w:kern w:val="2"/>
          <w:sz w:val="22"/>
          <w:szCs w:val="22"/>
        </w:rPr>
        <w:t>分别为</w:t>
      </w:r>
      <w:r>
        <w:rPr>
          <w:rFonts w:eastAsia="楷体" w:cs="等线" w:cstheme="minorHAnsi"/>
          <w:kern w:val="2"/>
          <w:sz w:val="22"/>
          <w:szCs w:val="22"/>
        </w:rPr>
        <w:t>6.0%</w:t>
      </w:r>
      <w:r>
        <w:rPr>
          <w:rFonts w:cs="等线" w:eastAsia="楷体" w:cstheme="minorHAnsi"/>
          <w:kern w:val="2"/>
          <w:sz w:val="22"/>
          <w:szCs w:val="22"/>
        </w:rPr>
        <w:t>和</w:t>
      </w:r>
      <w:r>
        <w:rPr>
          <w:rFonts w:eastAsia="楷体" w:cs="等线" w:cstheme="minorHAnsi"/>
          <w:kern w:val="2"/>
          <w:sz w:val="22"/>
          <w:szCs w:val="22"/>
        </w:rPr>
        <w:t>6.6%</w:t>
      </w:r>
      <w:r>
        <w:rPr>
          <w:rFonts w:cs="等线" w:eastAsia="楷体" w:cstheme="minorHAnsi"/>
          <w:kern w:val="2"/>
          <w:sz w:val="22"/>
          <w:szCs w:val="22"/>
        </w:rPr>
        <w:t>，区域需求动能充沛。</w:t>
      </w:r>
    </w:p>
    <w:p>
      <w:pPr>
        <w:pStyle w:val="37"/>
        <w:numPr>
          <w:ilvl w:val="0"/>
          <w:numId w:val="4"/>
        </w:numPr>
        <w:rPr>
          <w:rFonts w:eastAsia="楷体" w:cs="等线" w:cstheme="minorHAnsi"/>
          <w:kern w:val="2"/>
          <w:sz w:val="22"/>
          <w:szCs w:val="22"/>
        </w:rPr>
      </w:pPr>
      <w:r>
        <w:rPr>
          <w:rFonts w:cs="等线" w:eastAsia="楷体" w:cstheme="minorHAnsi"/>
          <w:b/>
          <w:bCs/>
          <w:kern w:val="2"/>
          <w:sz w:val="22"/>
          <w:szCs w:val="22"/>
        </w:rPr>
        <w:t>拉丁美洲：全球最具弹性的增量市场，低渗透率下高增长窗口已开启。</w:t>
      </w:r>
      <w:r>
        <w:rPr>
          <w:rFonts w:cs="等线" w:eastAsia="楷体" w:cstheme="minorHAnsi"/>
          <w:kern w:val="2"/>
          <w:sz w:val="22"/>
          <w:szCs w:val="22"/>
        </w:rPr>
        <w:t>拉美多国（如巴西）依托丰富水能资源，正加速向新能源与智能配网协同转型。</w:t>
      </w:r>
      <w:r>
        <w:rPr>
          <w:rFonts w:eastAsia="楷体" w:cs="等线" w:cstheme="minorHAnsi"/>
          <w:kern w:val="2"/>
          <w:sz w:val="22"/>
          <w:szCs w:val="22"/>
        </w:rPr>
        <w:t>Berg Insight</w:t>
      </w:r>
      <w:r>
        <w:rPr>
          <w:rFonts w:cs="等线" w:eastAsia="楷体" w:cstheme="minorHAnsi"/>
          <w:kern w:val="2"/>
          <w:sz w:val="22"/>
          <w:szCs w:val="22"/>
        </w:rPr>
        <w:t>数据显示，</w:t>
      </w:r>
      <w:r>
        <w:rPr>
          <w:rFonts w:eastAsia="楷体" w:cs="等线" w:cstheme="minorHAnsi"/>
          <w:kern w:val="2"/>
          <w:sz w:val="22"/>
          <w:szCs w:val="22"/>
        </w:rPr>
        <w:t>2022</w:t>
      </w:r>
      <w:r>
        <w:rPr>
          <w:rFonts w:cs="等线" w:eastAsia="楷体" w:cstheme="minorHAnsi"/>
          <w:kern w:val="2"/>
          <w:sz w:val="22"/>
          <w:szCs w:val="22"/>
        </w:rPr>
        <w:t>年拉美智能电表渗透率仅</w:t>
      </w:r>
      <w:r>
        <w:rPr>
          <w:rFonts w:eastAsia="楷体" w:cs="等线" w:cstheme="minorHAnsi"/>
          <w:kern w:val="2"/>
          <w:sz w:val="22"/>
          <w:szCs w:val="22"/>
        </w:rPr>
        <w:t>6.2%</w:t>
      </w:r>
      <w:r>
        <w:rPr>
          <w:rFonts w:cs="等线" w:eastAsia="楷体" w:cstheme="minorHAnsi"/>
          <w:kern w:val="2"/>
          <w:sz w:val="22"/>
          <w:szCs w:val="22"/>
        </w:rPr>
        <w:t>，年出货量约</w:t>
      </w:r>
      <w:r>
        <w:rPr>
          <w:rFonts w:eastAsia="楷体" w:cs="等线" w:cstheme="minorHAnsi"/>
          <w:kern w:val="2"/>
          <w:sz w:val="22"/>
          <w:szCs w:val="22"/>
        </w:rPr>
        <w:t>190</w:t>
      </w:r>
      <w:r>
        <w:rPr>
          <w:rFonts w:cs="等线" w:eastAsia="楷体" w:cstheme="minorHAnsi"/>
          <w:kern w:val="2"/>
          <w:sz w:val="22"/>
          <w:szCs w:val="22"/>
        </w:rPr>
        <w:t>万台；预计</w:t>
      </w:r>
      <w:r>
        <w:rPr>
          <w:rFonts w:eastAsia="楷体" w:cs="等线" w:cstheme="minorHAnsi"/>
          <w:kern w:val="2"/>
          <w:sz w:val="22"/>
          <w:szCs w:val="22"/>
        </w:rPr>
        <w:t>2028</w:t>
      </w:r>
      <w:r>
        <w:rPr>
          <w:rFonts w:cs="等线" w:eastAsia="楷体" w:cstheme="minorHAnsi"/>
          <w:kern w:val="2"/>
          <w:sz w:val="22"/>
          <w:szCs w:val="22"/>
        </w:rPr>
        <w:t>年出货量将增至</w:t>
      </w:r>
      <w:r>
        <w:rPr>
          <w:rFonts w:eastAsia="楷体" w:cs="等线" w:cstheme="minorHAnsi"/>
          <w:kern w:val="2"/>
          <w:sz w:val="22"/>
          <w:szCs w:val="22"/>
        </w:rPr>
        <w:t>610</w:t>
      </w:r>
      <w:r>
        <w:rPr>
          <w:rFonts w:cs="等线" w:eastAsia="楷体" w:cstheme="minorHAnsi"/>
          <w:kern w:val="2"/>
          <w:sz w:val="22"/>
          <w:szCs w:val="22"/>
        </w:rPr>
        <w:t>万台，</w:t>
      </w:r>
      <w:r>
        <w:rPr>
          <w:rFonts w:eastAsia="楷体" w:cs="等线" w:cstheme="minorHAnsi"/>
          <w:kern w:val="2"/>
          <w:sz w:val="22"/>
          <w:szCs w:val="22"/>
        </w:rPr>
        <w:t>2023–2029</w:t>
      </w:r>
      <w:r>
        <w:rPr>
          <w:rFonts w:cs="等线" w:eastAsia="楷体" w:cstheme="minorHAnsi"/>
          <w:kern w:val="2"/>
          <w:sz w:val="22"/>
          <w:szCs w:val="22"/>
        </w:rPr>
        <w:t>年市场规模</w:t>
      </w:r>
      <w:r>
        <w:rPr>
          <w:rFonts w:eastAsia="楷体" w:cs="等线" w:cstheme="minorHAnsi"/>
          <w:kern w:val="2"/>
          <w:sz w:val="22"/>
          <w:szCs w:val="22"/>
        </w:rPr>
        <w:t>CAGR</w:t>
      </w:r>
      <w:r>
        <w:rPr>
          <w:rFonts w:cs="等线" w:eastAsia="楷体" w:cstheme="minorHAnsi"/>
          <w:kern w:val="2"/>
          <w:sz w:val="22"/>
          <w:szCs w:val="22"/>
        </w:rPr>
        <w:t>高达</w:t>
      </w:r>
      <w:r>
        <w:rPr>
          <w:rFonts w:eastAsia="楷体" w:cs="等线" w:cstheme="minorHAnsi"/>
          <w:kern w:val="2"/>
          <w:sz w:val="22"/>
          <w:szCs w:val="22"/>
        </w:rPr>
        <w:t>20.5%</w:t>
      </w:r>
      <w:r>
        <w:rPr>
          <w:rFonts w:cs="等线" w:eastAsia="楷体" w:cstheme="minorHAnsi"/>
          <w:kern w:val="2"/>
          <w:sz w:val="22"/>
          <w:szCs w:val="22"/>
        </w:rPr>
        <w:t>，远超全球平均水平，成为中国电表企业出海的核心增长极。</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全球智能电表市场竞争格局呈现“中西分化、模式错位”的显著特征，欧美供应商仍占据收入份额主导，但中国制造商已凭借极致成本优势在亚太市场形成绝对领导力。</w:t>
      </w:r>
      <w:r>
        <w:rPr>
          <w:rFonts w:cs="等线" w:eastAsia="楷体" w:cstheme="minorHAnsi"/>
          <w:kern w:val="2"/>
          <w:sz w:val="22"/>
          <w:szCs w:val="22"/>
        </w:rPr>
        <w:t xml:space="preserve"> 目前行业整体仍处中等分散状态，预计</w:t>
      </w:r>
      <w:r>
        <w:rPr>
          <w:rFonts w:eastAsia="楷体" w:cs="等线" w:cstheme="minorHAnsi"/>
          <w:kern w:val="2"/>
          <w:sz w:val="22"/>
          <w:szCs w:val="22"/>
        </w:rPr>
        <w:t>2025</w:t>
      </w:r>
      <w:r>
        <w:rPr>
          <w:rFonts w:cs="等线" w:eastAsia="楷体" w:cstheme="minorHAnsi"/>
          <w:kern w:val="2"/>
          <w:sz w:val="22"/>
          <w:szCs w:val="22"/>
        </w:rPr>
        <w:t>年兰吉尔、艾创、森斯、霍尼韦尔、卡姆斯特鲁普前五强合计收入份额约</w:t>
      </w:r>
      <w:r>
        <w:rPr>
          <w:rFonts w:eastAsia="楷体" w:cs="等线" w:cstheme="minorHAnsi"/>
          <w:kern w:val="2"/>
          <w:sz w:val="22"/>
          <w:szCs w:val="22"/>
        </w:rPr>
        <w:t>40%</w:t>
      </w:r>
      <w:r>
        <w:rPr>
          <w:rFonts w:cs="等线" w:eastAsia="楷体" w:cstheme="minorHAnsi"/>
          <w:kern w:val="2"/>
          <w:sz w:val="22"/>
          <w:szCs w:val="22"/>
        </w:rPr>
        <w:t>。中国第一梯队企业——海兴电力、威胜控股、华立科技——通过垂直整合产业链，将单位生产成本压低</w:t>
      </w:r>
      <w:r>
        <w:rPr>
          <w:rFonts w:eastAsia="楷体" w:cs="等线" w:cstheme="minorHAnsi"/>
          <w:kern w:val="2"/>
          <w:sz w:val="22"/>
          <w:szCs w:val="22"/>
        </w:rPr>
        <w:t>30%-40%</w:t>
      </w:r>
      <w:r>
        <w:rPr>
          <w:rFonts w:cs="等线" w:eastAsia="楷体" w:cstheme="minorHAnsi"/>
          <w:kern w:val="2"/>
          <w:sz w:val="22"/>
          <w:szCs w:val="22"/>
        </w:rPr>
        <w:t>，在亚太地区电网招标中份额持续攀升，已由参与者升级为区域规则主导者。</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面对中国厂商的成本挤压，西方传统供应商正加速从“硬件销售”向“软件即服务”转型：</w:t>
      </w:r>
      <w:r>
        <w:rPr>
          <w:rFonts w:cs="等线" w:eastAsia="楷体" w:cstheme="minorHAnsi"/>
          <w:kern w:val="2"/>
          <w:sz w:val="22"/>
          <w:szCs w:val="22"/>
        </w:rPr>
        <w:t>艾创于</w:t>
      </w:r>
      <w:r>
        <w:rPr>
          <w:rFonts w:eastAsia="楷体" w:cs="等线" w:cstheme="minorHAnsi"/>
          <w:kern w:val="2"/>
          <w:sz w:val="22"/>
          <w:szCs w:val="22"/>
        </w:rPr>
        <w:t>2024</w:t>
      </w:r>
      <w:r>
        <w:rPr>
          <w:rFonts w:cs="等线" w:eastAsia="楷体" w:cstheme="minorHAnsi"/>
          <w:kern w:val="2"/>
          <w:sz w:val="22"/>
          <w:szCs w:val="22"/>
        </w:rPr>
        <w:t>年收购</w:t>
      </w:r>
      <w:r>
        <w:rPr>
          <w:rFonts w:eastAsia="楷体" w:cs="等线" w:cstheme="minorHAnsi"/>
          <w:kern w:val="2"/>
          <w:sz w:val="22"/>
          <w:szCs w:val="22"/>
        </w:rPr>
        <w:t>Comverge</w:t>
      </w:r>
      <w:r>
        <w:rPr>
          <w:rFonts w:cs="等线" w:eastAsia="楷体" w:cstheme="minorHAnsi"/>
          <w:kern w:val="2"/>
          <w:sz w:val="22"/>
          <w:szCs w:val="22"/>
        </w:rPr>
        <w:t>，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bookmarkEnd w:id="7"/>
    </w:p>
    <w:p>
      <w:pPr>
        <w:pStyle w:val="77"/>
        <w:jc w:val="both"/>
        <w:rPr>
          <w:rFonts w:ascii="Calibri" w:hAnsi="Calibri" w:eastAsia="楷体" w:cs="楷体"/>
          <w:color w:val="23558C"/>
          <w:sz w:val="24"/>
        </w:rPr>
      </w:pPr>
      <w:bookmarkStart w:id="8" w:name="_Toc225872242"/>
      <w:r>
        <w:rPr>
          <w:rFonts w:eastAsia="楷体" w:cs="楷体" w:ascii="Calibri" w:hAnsi="Calibri"/>
          <w:color w:val="23558C"/>
          <w:sz w:val="24"/>
        </w:rPr>
        <w:t>2.2</w:t>
      </w:r>
      <w:r>
        <w:rPr>
          <w:rFonts w:ascii="Calibri" w:hAnsi="Calibri" w:cs="楷体" w:eastAsia="楷体"/>
          <w:color w:val="23558C"/>
          <w:sz w:val="24"/>
        </w:rPr>
        <w:t>数智能效管理解决方案：载波通信芯片需求扩张，双模升级与场景拓展双轮驱动</w:t>
      </w:r>
      <w:bookmarkEnd w:id="8"/>
    </w:p>
    <w:p>
      <w:pPr>
        <w:pStyle w:val="1"/>
        <w:rPr>
          <w:rFonts w:eastAsia="楷体" w:cs="等线" w:cstheme="minorHAnsi"/>
          <w:b/>
          <w:b/>
          <w:bCs/>
          <w:kern w:val="2"/>
          <w:sz w:val="22"/>
          <w:szCs w:val="22"/>
        </w:rPr>
      </w:pPr>
      <w:r>
        <w:rPr>
          <w:rFonts w:cs="等线" w:eastAsia="楷体" w:cstheme="minorHAnsi"/>
          <w:b/>
          <w:bCs/>
          <w:kern w:val="2"/>
          <w:sz w:val="22"/>
          <w:szCs w:val="22"/>
        </w:rPr>
        <w:t>公司业务以物联网为基础，配合芯片及人工智能技术，提供数字电网及智能城市两大类解决方案。</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数字电网解决方案</w:t>
      </w:r>
      <w:r>
        <w:rPr>
          <w:rFonts w:cs="等线" w:eastAsia="楷体" w:cstheme="minorHAnsi"/>
          <w:kern w:val="2"/>
          <w:sz w:val="22"/>
          <w:szCs w:val="22"/>
        </w:rPr>
        <w:t>例子包括</w:t>
      </w:r>
      <w:r>
        <w:rPr>
          <w:rFonts w:eastAsia="楷体" w:cs="等线" w:cstheme="minorHAnsi"/>
          <w:kern w:val="2"/>
          <w:sz w:val="22"/>
          <w:szCs w:val="22"/>
        </w:rPr>
        <w:t>(</w:t>
      </w:r>
      <w:r>
        <w:rPr>
          <w:rFonts w:cs="等线" w:eastAsia="楷体" w:cstheme="minorHAnsi"/>
          <w:kern w:val="2"/>
          <w:sz w:val="22"/>
          <w:szCs w:val="22"/>
        </w:rPr>
        <w:t>一</w:t>
      </w:r>
      <w:r>
        <w:rPr>
          <w:rFonts w:eastAsia="楷体" w:cs="等线" w:cstheme="minorHAnsi"/>
          <w:kern w:val="2"/>
          <w:sz w:val="22"/>
          <w:szCs w:val="22"/>
        </w:rPr>
        <w:t>)</w:t>
      </w:r>
      <w:r>
        <w:rPr>
          <w:rFonts w:cs="等线" w:eastAsia="楷体" w:cstheme="minorHAnsi"/>
          <w:kern w:val="2"/>
          <w:sz w:val="22"/>
          <w:szCs w:val="22"/>
        </w:rPr>
        <w:t>智能配网自动化，涉及配电线路的故障定位与故障隔离；</w:t>
      </w:r>
      <w:r>
        <w:rPr>
          <w:rFonts w:eastAsia="楷体" w:cs="等线" w:cstheme="minorHAnsi"/>
          <w:kern w:val="2"/>
          <w:sz w:val="22"/>
          <w:szCs w:val="22"/>
        </w:rPr>
        <w:t>(</w:t>
      </w:r>
      <w:r>
        <w:rPr>
          <w:rFonts w:cs="等线" w:eastAsia="楷体" w:cstheme="minorHAnsi"/>
          <w:kern w:val="2"/>
          <w:sz w:val="22"/>
          <w:szCs w:val="22"/>
        </w:rPr>
        <w:t>二</w:t>
      </w:r>
      <w:r>
        <w:rPr>
          <w:rFonts w:eastAsia="楷体" w:cs="等线" w:cstheme="minorHAnsi"/>
          <w:kern w:val="2"/>
          <w:sz w:val="22"/>
          <w:szCs w:val="22"/>
        </w:rPr>
        <w:t>)</w:t>
      </w:r>
      <w:r>
        <w:rPr>
          <w:rFonts w:cs="等线" w:eastAsia="楷体" w:cstheme="minorHAnsi"/>
          <w:kern w:val="2"/>
          <w:sz w:val="22"/>
          <w:szCs w:val="22"/>
        </w:rPr>
        <w:t>用电信息采集系统，作为向供电企业的计量自动化系统，实现自动抄表、远程控制等；</w:t>
      </w:r>
      <w:r>
        <w:rPr>
          <w:rFonts w:eastAsia="楷体" w:cs="等线" w:cstheme="minorHAnsi"/>
          <w:kern w:val="2"/>
          <w:sz w:val="22"/>
          <w:szCs w:val="22"/>
        </w:rPr>
        <w:t>(</w:t>
      </w:r>
      <w:r>
        <w:rPr>
          <w:rFonts w:cs="等线" w:eastAsia="楷体" w:cstheme="minorHAnsi"/>
          <w:kern w:val="2"/>
          <w:sz w:val="22"/>
          <w:szCs w:val="22"/>
        </w:rPr>
        <w:t>三</w:t>
      </w:r>
      <w:r>
        <w:rPr>
          <w:rFonts w:eastAsia="楷体" w:cs="等线" w:cstheme="minorHAnsi"/>
          <w:kern w:val="2"/>
          <w:sz w:val="22"/>
          <w:szCs w:val="22"/>
        </w:rPr>
        <w:t>)</w:t>
      </w:r>
      <w:r>
        <w:rPr>
          <w:rFonts w:cs="等线" w:eastAsia="楷体" w:cstheme="minorHAnsi"/>
          <w:kern w:val="2"/>
          <w:sz w:val="22"/>
          <w:szCs w:val="22"/>
        </w:rPr>
        <w:t>基站能效监测；</w:t>
      </w:r>
      <w:r>
        <w:rPr>
          <w:rFonts w:eastAsia="楷体" w:cs="等线" w:cstheme="minorHAnsi"/>
          <w:kern w:val="2"/>
          <w:sz w:val="22"/>
          <w:szCs w:val="22"/>
        </w:rPr>
        <w:t>(</w:t>
      </w:r>
      <w:r>
        <w:rPr>
          <w:rFonts w:cs="等线" w:eastAsia="楷体" w:cstheme="minorHAnsi"/>
          <w:kern w:val="2"/>
          <w:sz w:val="22"/>
          <w:szCs w:val="22"/>
        </w:rPr>
        <w:t>四</w:t>
      </w:r>
      <w:r>
        <w:rPr>
          <w:rFonts w:eastAsia="楷体" w:cs="等线" w:cstheme="minorHAnsi"/>
          <w:kern w:val="2"/>
          <w:sz w:val="22"/>
          <w:szCs w:val="22"/>
        </w:rPr>
        <w:t>)</w:t>
      </w:r>
      <w:r>
        <w:rPr>
          <w:rFonts w:cs="等线" w:eastAsia="楷体" w:cstheme="minorHAnsi"/>
          <w:kern w:val="2"/>
          <w:sz w:val="22"/>
          <w:szCs w:val="22"/>
        </w:rPr>
        <w:t>信号盲区解决方案；</w:t>
      </w:r>
      <w:r>
        <w:rPr>
          <w:rFonts w:eastAsia="楷体" w:cs="等线" w:cstheme="minorHAnsi"/>
          <w:kern w:val="2"/>
          <w:sz w:val="22"/>
          <w:szCs w:val="22"/>
        </w:rPr>
        <w:t>(</w:t>
      </w:r>
      <w:r>
        <w:rPr>
          <w:rFonts w:cs="等线" w:eastAsia="楷体" w:cstheme="minorHAnsi"/>
          <w:kern w:val="2"/>
          <w:sz w:val="22"/>
          <w:szCs w:val="22"/>
        </w:rPr>
        <w:t>五</w:t>
      </w:r>
      <w:r>
        <w:rPr>
          <w:rFonts w:eastAsia="楷体" w:cs="等线" w:cstheme="minorHAnsi"/>
          <w:kern w:val="2"/>
          <w:sz w:val="22"/>
          <w:szCs w:val="22"/>
        </w:rPr>
        <w:t>)</w:t>
      </w:r>
      <w:r>
        <w:rPr>
          <w:rFonts w:cs="等线" w:eastAsia="楷体" w:cstheme="minorHAnsi"/>
          <w:kern w:val="2"/>
          <w:sz w:val="22"/>
          <w:szCs w:val="22"/>
        </w:rPr>
        <w:t>智能配变台区解决方案，提供相关监测和评估预警；</w:t>
      </w:r>
      <w:r>
        <w:rPr>
          <w:rFonts w:eastAsia="楷体" w:cs="等线" w:cstheme="minorHAnsi"/>
          <w:kern w:val="2"/>
          <w:sz w:val="22"/>
          <w:szCs w:val="22"/>
        </w:rPr>
        <w:t>(</w:t>
      </w:r>
      <w:r>
        <w:rPr>
          <w:rFonts w:cs="等线" w:eastAsia="楷体" w:cstheme="minorHAnsi"/>
          <w:kern w:val="2"/>
          <w:sz w:val="22"/>
          <w:szCs w:val="22"/>
        </w:rPr>
        <w:t>六</w:t>
      </w:r>
      <w:r>
        <w:rPr>
          <w:rFonts w:eastAsia="楷体" w:cs="等线" w:cstheme="minorHAnsi"/>
          <w:kern w:val="2"/>
          <w:sz w:val="22"/>
          <w:szCs w:val="22"/>
        </w:rPr>
        <w:t>)</w:t>
      </w:r>
      <w:r>
        <w:rPr>
          <w:rFonts w:cs="等线" w:eastAsia="楷体" w:cstheme="minorHAnsi"/>
          <w:kern w:val="2"/>
          <w:sz w:val="22"/>
          <w:szCs w:val="22"/>
        </w:rPr>
        <w:t>现场作业终端应用方案，实现智能电表和用电信息采集故障诊断、现场巡视、电价调整、停复电功能。</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智慧城市解决方案</w:t>
      </w:r>
      <w:r>
        <w:rPr>
          <w:rFonts w:cs="等线" w:eastAsia="楷体" w:cstheme="minorHAnsi"/>
          <w:kern w:val="2"/>
          <w:sz w:val="22"/>
          <w:szCs w:val="22"/>
        </w:rPr>
        <w:t>涉及电力、水务、燃气、热力等不同行业，例子包括</w:t>
      </w:r>
      <w:r>
        <w:rPr>
          <w:rFonts w:eastAsia="楷体" w:cs="等线" w:cstheme="minorHAnsi"/>
          <w:kern w:val="2"/>
          <w:sz w:val="22"/>
          <w:szCs w:val="22"/>
        </w:rPr>
        <w:t>(</w:t>
      </w:r>
      <w:r>
        <w:rPr>
          <w:rFonts w:cs="等线" w:eastAsia="楷体" w:cstheme="minorHAnsi"/>
          <w:kern w:val="2"/>
          <w:sz w:val="22"/>
          <w:szCs w:val="22"/>
        </w:rPr>
        <w:t>一</w:t>
      </w:r>
      <w:r>
        <w:rPr>
          <w:rFonts w:eastAsia="楷体" w:cs="等线" w:cstheme="minorHAnsi"/>
          <w:kern w:val="2"/>
          <w:sz w:val="22"/>
          <w:szCs w:val="22"/>
        </w:rPr>
        <w:t>)</w:t>
      </w:r>
      <w:r>
        <w:rPr>
          <w:rFonts w:cs="等线" w:eastAsia="楷体" w:cstheme="minorHAnsi"/>
          <w:kern w:val="2"/>
          <w:sz w:val="22"/>
          <w:szCs w:val="22"/>
        </w:rPr>
        <w:t>供水生产调度系统；</w:t>
      </w:r>
      <w:r>
        <w:rPr>
          <w:rFonts w:eastAsia="楷体" w:cs="等线" w:cstheme="minorHAnsi"/>
          <w:kern w:val="2"/>
          <w:sz w:val="22"/>
          <w:szCs w:val="22"/>
        </w:rPr>
        <w:t>(</w:t>
      </w:r>
      <w:r>
        <w:rPr>
          <w:rFonts w:cs="等线" w:eastAsia="楷体" w:cstheme="minorHAnsi"/>
          <w:kern w:val="2"/>
          <w:sz w:val="22"/>
          <w:szCs w:val="22"/>
        </w:rPr>
        <w:t>二</w:t>
      </w:r>
      <w:r>
        <w:rPr>
          <w:rFonts w:eastAsia="楷体" w:cs="等线" w:cstheme="minorHAnsi"/>
          <w:kern w:val="2"/>
          <w:sz w:val="22"/>
          <w:szCs w:val="22"/>
        </w:rPr>
        <w:t>)</w:t>
      </w:r>
      <w:r>
        <w:rPr>
          <w:rFonts w:cs="等线" w:eastAsia="楷体" w:cstheme="minorHAnsi"/>
          <w:kern w:val="2"/>
          <w:sz w:val="22"/>
          <w:szCs w:val="22"/>
        </w:rPr>
        <w:t>雨情水文监测系统；</w:t>
      </w:r>
      <w:r>
        <w:rPr>
          <w:rFonts w:eastAsia="楷体" w:cs="等线" w:cstheme="minorHAnsi"/>
          <w:kern w:val="2"/>
          <w:sz w:val="22"/>
          <w:szCs w:val="22"/>
        </w:rPr>
        <w:t>(</w:t>
      </w:r>
      <w:r>
        <w:rPr>
          <w:rFonts w:cs="等线" w:eastAsia="楷体" w:cstheme="minorHAnsi"/>
          <w:kern w:val="2"/>
          <w:sz w:val="22"/>
          <w:szCs w:val="22"/>
        </w:rPr>
        <w:t>三</w:t>
      </w:r>
      <w:r>
        <w:rPr>
          <w:rFonts w:eastAsia="楷体" w:cs="等线" w:cstheme="minorHAnsi"/>
          <w:kern w:val="2"/>
          <w:sz w:val="22"/>
          <w:szCs w:val="22"/>
        </w:rPr>
        <w:t>)</w:t>
      </w:r>
      <w:r>
        <w:rPr>
          <w:rFonts w:cs="等线" w:eastAsia="楷体" w:cstheme="minorHAnsi"/>
          <w:kern w:val="2"/>
          <w:sz w:val="22"/>
          <w:szCs w:val="22"/>
        </w:rPr>
        <w:t>智能消防栓系统；</w:t>
      </w:r>
      <w:r>
        <w:rPr>
          <w:rFonts w:eastAsia="楷体" w:cs="等线" w:cstheme="minorHAnsi"/>
          <w:kern w:val="2"/>
          <w:sz w:val="22"/>
          <w:szCs w:val="22"/>
        </w:rPr>
        <w:t>(</w:t>
      </w:r>
      <w:r>
        <w:rPr>
          <w:rFonts w:cs="等线" w:eastAsia="楷体" w:cstheme="minorHAnsi"/>
          <w:kern w:val="2"/>
          <w:sz w:val="22"/>
          <w:szCs w:val="22"/>
        </w:rPr>
        <w:t>四</w:t>
      </w:r>
      <w:r>
        <w:rPr>
          <w:rFonts w:eastAsia="楷体" w:cs="等线" w:cstheme="minorHAnsi"/>
          <w:kern w:val="2"/>
          <w:sz w:val="22"/>
          <w:szCs w:val="22"/>
        </w:rPr>
        <w:t>)</w:t>
      </w:r>
      <w:r>
        <w:rPr>
          <w:rFonts w:cs="等线" w:eastAsia="楷体" w:cstheme="minorHAnsi"/>
          <w:kern w:val="2"/>
          <w:sz w:val="22"/>
          <w:szCs w:val="22"/>
        </w:rPr>
        <w:t>供水管网地理信息系统；</w:t>
      </w:r>
      <w:r>
        <w:rPr>
          <w:rFonts w:eastAsia="楷体" w:cs="等线" w:cstheme="minorHAnsi"/>
          <w:kern w:val="2"/>
          <w:sz w:val="22"/>
          <w:szCs w:val="22"/>
        </w:rPr>
        <w:t>(</w:t>
      </w:r>
      <w:r>
        <w:rPr>
          <w:rFonts w:cs="等线" w:eastAsia="楷体" w:cstheme="minorHAnsi"/>
          <w:kern w:val="2"/>
          <w:sz w:val="22"/>
          <w:szCs w:val="22"/>
        </w:rPr>
        <w:t>五</w:t>
      </w:r>
      <w:r>
        <w:rPr>
          <w:rFonts w:eastAsia="楷体" w:cs="等线" w:cstheme="minorHAnsi"/>
          <w:kern w:val="2"/>
          <w:sz w:val="22"/>
          <w:szCs w:val="22"/>
        </w:rPr>
        <w:t>)</w:t>
      </w:r>
      <w:r>
        <w:rPr>
          <w:rFonts w:cs="等线" w:eastAsia="楷体" w:cstheme="minorHAnsi"/>
          <w:kern w:val="2"/>
          <w:sz w:val="22"/>
          <w:szCs w:val="22"/>
        </w:rPr>
        <w:t>智能水计量与管理系统方案。</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传统计量表与智能计量表的本质差异在于通信能力，其核心载体是电力线载波通信芯片。</w:t>
      </w:r>
      <w:r>
        <w:rPr>
          <w:rFonts w:cs="等线" w:eastAsia="楷体" w:cstheme="minorHAnsi"/>
          <w:kern w:val="2"/>
          <w:sz w:val="22"/>
          <w:szCs w:val="22"/>
        </w:rPr>
        <w:t xml:space="preserve"> 该芯片主要嵌入于具备载波通信功能的电能表、采集器、集中器等信息采集终端，承担能量数据的自动抄读与远程传输任务，是数字电网、智慧城市实现“可读、可测、可控”的信息神经末梢。</w:t>
      </w:r>
    </w:p>
    <w:p>
      <w:pPr>
        <w:pStyle w:val="1"/>
        <w:rPr>
          <w:rFonts w:eastAsia="楷体" w:cs="Calibri"/>
          <w:kern w:val="2"/>
          <w:sz w:val="22"/>
          <w:szCs w:val="22"/>
        </w:rPr>
      </w:pPr>
      <w:r>
        <w:rPr>
          <w:rFonts w:eastAsia="楷体" w:cs="Calibri"/>
          <w:kern w:val="2"/>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w:t>
            </w:r>
            <w:r>
              <w:rPr>
                <w:rFonts w:cs="等线" w:eastAsia="楷体" w:cstheme="minorHAnsi"/>
                <w:b/>
                <w:kern w:val="2"/>
                <w:sz w:val="22"/>
                <w:szCs w:val="22"/>
              </w:rPr>
              <w:t>智能电表结构拆解</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bCs/>
                <w:sz w:val="15"/>
                <w:szCs w:val="15"/>
              </w:rPr>
            </w:pPr>
            <w:r>
              <w:rPr>
                <w:kern w:val="0"/>
              </w:rPr>
              <w:drawing>
                <wp:inline distT="0" distB="0" distL="0" distR="0">
                  <wp:extent cx="4603750" cy="317309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38"/>
                          <a:stretch>
                            <a:fillRect/>
                          </a:stretch>
                        </pic:blipFill>
                        <pic:spPr bwMode="auto">
                          <a:xfrm>
                            <a:off x="0" y="0"/>
                            <a:ext cx="4603750" cy="317309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钜泉科技招股说明书，</w:t>
            </w:r>
            <w:r>
              <w:rPr>
                <w:rFonts w:eastAsia="楷体" w:cs="Calibri"/>
                <w:kern w:val="0"/>
                <w:sz w:val="20"/>
                <w:szCs w:val="20"/>
              </w:rPr>
              <w:t>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 xml:space="preserve">电力线载波通信技术历经从窄带到宽带、从单模到双模的迭代跃迁，双模方案已成为国网标配并驱动用电信息采集能力质的提升。 </w:t>
      </w:r>
      <w:r>
        <w:rPr>
          <w:rFonts w:cs="等线" w:eastAsia="楷体" w:cstheme="minorHAnsi"/>
          <w:kern w:val="2"/>
          <w:sz w:val="22"/>
          <w:szCs w:val="22"/>
        </w:rPr>
        <w:t>早期载波技术以窄带单载波调制（</w:t>
      </w:r>
      <w:r>
        <w:rPr>
          <w:rFonts w:eastAsia="楷体" w:cs="等线" w:cstheme="minorHAnsi"/>
          <w:kern w:val="2"/>
          <w:sz w:val="22"/>
          <w:szCs w:val="22"/>
        </w:rPr>
        <w:t>BFSK</w:t>
      </w:r>
      <w:r>
        <w:rPr>
          <w:rFonts w:cs="等线" w:eastAsia="楷体" w:cstheme="minorHAnsi"/>
          <w:kern w:val="2"/>
          <w:sz w:val="22"/>
          <w:szCs w:val="22"/>
        </w:rPr>
        <w:t>、</w:t>
      </w:r>
      <w:r>
        <w:rPr>
          <w:rFonts w:eastAsia="楷体" w:cs="等线" w:cstheme="minorHAnsi"/>
          <w:kern w:val="2"/>
          <w:sz w:val="22"/>
          <w:szCs w:val="22"/>
        </w:rPr>
        <w:t>BPSK</w:t>
      </w:r>
      <w:r>
        <w:rPr>
          <w:rFonts w:cs="等线" w:eastAsia="楷体" w:cstheme="minorHAnsi"/>
          <w:kern w:val="2"/>
          <w:sz w:val="22"/>
          <w:szCs w:val="22"/>
        </w:rPr>
        <w:t>）为主，逐步演进至窄带</w:t>
      </w:r>
      <w:r>
        <w:rPr>
          <w:rFonts w:eastAsia="楷体" w:cs="等线" w:cstheme="minorHAnsi"/>
          <w:kern w:val="2"/>
          <w:sz w:val="22"/>
          <w:szCs w:val="22"/>
        </w:rPr>
        <w:t>OFDM</w:t>
      </w:r>
      <w:r>
        <w:rPr>
          <w:rFonts w:cs="等线" w:eastAsia="楷体" w:cstheme="minorHAnsi"/>
          <w:kern w:val="2"/>
          <w:sz w:val="22"/>
          <w:szCs w:val="22"/>
        </w:rPr>
        <w:t>多载波、高速</w:t>
      </w:r>
      <w:r>
        <w:rPr>
          <w:rFonts w:eastAsia="楷体" w:cs="等线" w:cstheme="minorHAnsi"/>
          <w:kern w:val="2"/>
          <w:sz w:val="22"/>
          <w:szCs w:val="22"/>
        </w:rPr>
        <w:t>OFDM</w:t>
      </w:r>
      <w:r>
        <w:rPr>
          <w:rFonts w:cs="等线" w:eastAsia="楷体" w:cstheme="minorHAnsi"/>
          <w:kern w:val="2"/>
          <w:sz w:val="22"/>
          <w:szCs w:val="22"/>
        </w:rPr>
        <w:t>多载波；</w:t>
      </w:r>
      <w:r>
        <w:rPr>
          <w:rFonts w:eastAsia="楷体" w:cs="等线" w:cstheme="minorHAnsi"/>
          <w:kern w:val="2"/>
          <w:sz w:val="22"/>
          <w:szCs w:val="22"/>
        </w:rPr>
        <w:t>2018</w:t>
      </w:r>
      <w:r>
        <w:rPr>
          <w:rFonts w:cs="等线" w:eastAsia="楷体" w:cstheme="minorHAnsi"/>
          <w:kern w:val="2"/>
          <w:sz w:val="22"/>
          <w:szCs w:val="22"/>
        </w:rPr>
        <w:t>年电科院牵头启动高速</w:t>
      </w:r>
      <w:r>
        <w:rPr>
          <w:rFonts w:eastAsia="楷体" w:cs="等线" w:cstheme="minorHAnsi"/>
          <w:kern w:val="2"/>
          <w:sz w:val="22"/>
          <w:szCs w:val="22"/>
        </w:rPr>
        <w:t>OFDM</w:t>
      </w:r>
      <w:r>
        <w:rPr>
          <w:rFonts w:cs="等线" w:eastAsia="楷体" w:cstheme="minorHAnsi"/>
          <w:kern w:val="2"/>
          <w:sz w:val="22"/>
          <w:szCs w:val="22"/>
        </w:rPr>
        <w:t>双模（</w:t>
      </w:r>
      <w:r>
        <w:rPr>
          <w:rFonts w:eastAsia="楷体" w:cs="等线" w:cstheme="minorHAnsi"/>
          <w:kern w:val="2"/>
          <w:sz w:val="22"/>
          <w:szCs w:val="22"/>
        </w:rPr>
        <w:t>HPLC+HRF</w:t>
      </w:r>
      <w:r>
        <w:rPr>
          <w:rFonts w:cs="等线" w:eastAsia="楷体" w:cstheme="minorHAnsi"/>
          <w:kern w:val="2"/>
          <w:sz w:val="22"/>
          <w:szCs w:val="22"/>
        </w:rPr>
        <w:t>）企标立项，</w:t>
      </w:r>
      <w:r>
        <w:rPr>
          <w:rFonts w:eastAsia="楷体" w:cs="等线" w:cstheme="minorHAnsi"/>
          <w:kern w:val="2"/>
          <w:sz w:val="22"/>
          <w:szCs w:val="22"/>
        </w:rPr>
        <w:t>2020</w:t>
      </w:r>
      <w:r>
        <w:rPr>
          <w:rFonts w:cs="等线" w:eastAsia="楷体" w:cstheme="minorHAnsi"/>
          <w:kern w:val="2"/>
          <w:sz w:val="22"/>
          <w:szCs w:val="22"/>
        </w:rPr>
        <w:t>年标准发布，</w:t>
      </w:r>
      <w:r>
        <w:rPr>
          <w:rFonts w:eastAsia="楷体" w:cs="等线" w:cstheme="minorHAnsi"/>
          <w:kern w:val="2"/>
          <w:sz w:val="22"/>
          <w:szCs w:val="22"/>
        </w:rPr>
        <w:t>2022</w:t>
      </w:r>
      <w:r>
        <w:rPr>
          <w:rFonts w:cs="等线" w:eastAsia="楷体" w:cstheme="minorHAnsi"/>
          <w:kern w:val="2"/>
          <w:sz w:val="22"/>
          <w:szCs w:val="22"/>
        </w:rPr>
        <w:t>年启动招标并于当年四季度实现国网全面切换。双模通信深度融合高速电力线载波（</w:t>
      </w:r>
      <w:r>
        <w:rPr>
          <w:rFonts w:eastAsia="楷体" w:cs="等线" w:cstheme="minorHAnsi"/>
          <w:kern w:val="2"/>
          <w:sz w:val="22"/>
          <w:szCs w:val="22"/>
        </w:rPr>
        <w:t>HPLC</w:t>
      </w:r>
      <w:r>
        <w:rPr>
          <w:rFonts w:cs="等线" w:eastAsia="楷体" w:cstheme="minorHAnsi"/>
          <w:kern w:val="2"/>
          <w:sz w:val="22"/>
          <w:szCs w:val="22"/>
        </w:rPr>
        <w:t>）与高速无线（</w:t>
      </w:r>
      <w:r>
        <w:rPr>
          <w:rFonts w:eastAsia="楷体" w:cs="等线" w:cstheme="minorHAnsi"/>
          <w:kern w:val="2"/>
          <w:sz w:val="22"/>
          <w:szCs w:val="22"/>
        </w:rPr>
        <w:t>HRF</w:t>
      </w:r>
      <w:r>
        <w:rPr>
          <w:rFonts w:cs="等线" w:eastAsia="楷体" w:cstheme="minorHAnsi"/>
          <w:kern w:val="2"/>
          <w:sz w:val="22"/>
          <w:szCs w:val="22"/>
        </w:rPr>
        <w:t>），实现有线覆盖广度与无线灵活性的优势互补。相较前代技术，其带宽、速率及抗干扰能力显著提升，支撑分钟级实时采集上报，电表停电事件实现零误报，漏报率压降至</w:t>
      </w:r>
      <w:r>
        <w:rPr>
          <w:rFonts w:eastAsia="楷体" w:cs="等线" w:cstheme="minorHAnsi"/>
          <w:kern w:val="2"/>
          <w:sz w:val="22"/>
          <w:szCs w:val="22"/>
        </w:rPr>
        <w:t>1%</w:t>
      </w:r>
      <w:r>
        <w:rPr>
          <w:rFonts w:cs="等线" w:eastAsia="楷体" w:cstheme="minorHAnsi"/>
          <w:kern w:val="2"/>
          <w:sz w:val="22"/>
          <w:szCs w:val="22"/>
        </w:rPr>
        <w:t>以下，充分满足新型电力系统对高频、高精度用电信息采集的刚性需求。</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近年来中国电力线载波通信芯片市场规模呈现稳步增长态势。</w:t>
      </w:r>
      <w:r>
        <w:rPr>
          <w:rFonts w:cs="等线" w:eastAsia="楷体" w:cstheme="minorHAnsi"/>
          <w:kern w:val="2"/>
          <w:sz w:val="22"/>
          <w:szCs w:val="22"/>
        </w:rPr>
        <w:t>随着电力系统对通信技术的需求不断上升，以及智能电网建设的加速推进，电力线载波通信芯片的市场需求持续扩大。根据智研咨询研究报告数据，</w:t>
      </w:r>
      <w:r>
        <w:rPr>
          <w:rFonts w:eastAsia="楷体" w:cs="等线" w:cstheme="minorHAnsi"/>
          <w:kern w:val="2"/>
          <w:sz w:val="22"/>
          <w:szCs w:val="22"/>
        </w:rPr>
        <w:t>2015-2023</w:t>
      </w:r>
      <w:r>
        <w:rPr>
          <w:rFonts w:cs="等线" w:eastAsia="楷体" w:cstheme="minorHAnsi"/>
          <w:kern w:val="2"/>
          <w:sz w:val="22"/>
          <w:szCs w:val="22"/>
        </w:rPr>
        <w:t>年中国电力线载波通信芯片行业市场规模（下游应用包括电网、智慧城市、智慧园区、家电家居、新能源等）从</w:t>
      </w:r>
      <w:r>
        <w:rPr>
          <w:rFonts w:eastAsia="楷体" w:cs="等线" w:cstheme="minorHAnsi"/>
          <w:kern w:val="2"/>
          <w:sz w:val="22"/>
          <w:szCs w:val="22"/>
        </w:rPr>
        <w:t>14.25</w:t>
      </w:r>
      <w:r>
        <w:rPr>
          <w:rFonts w:cs="等线" w:eastAsia="楷体" w:cstheme="minorHAnsi"/>
          <w:kern w:val="2"/>
          <w:sz w:val="22"/>
          <w:szCs w:val="22"/>
        </w:rPr>
        <w:t>亿元增长至</w:t>
      </w:r>
      <w:r>
        <w:rPr>
          <w:rFonts w:eastAsia="楷体" w:cs="等线" w:cstheme="minorHAnsi"/>
          <w:kern w:val="2"/>
          <w:sz w:val="22"/>
          <w:szCs w:val="22"/>
        </w:rPr>
        <w:t>40.7</w:t>
      </w:r>
      <w:r>
        <w:rPr>
          <w:rFonts w:cs="等线" w:eastAsia="楷体" w:cstheme="minorHAnsi"/>
          <w:kern w:val="2"/>
          <w:sz w:val="22"/>
          <w:szCs w:val="22"/>
        </w:rPr>
        <w:t>亿元，</w:t>
      </w:r>
      <w:r>
        <w:rPr>
          <w:rFonts w:eastAsia="楷体" w:cs="等线" w:cstheme="minorHAnsi"/>
          <w:kern w:val="2"/>
          <w:sz w:val="22"/>
          <w:szCs w:val="22"/>
        </w:rPr>
        <w:t>2024</w:t>
      </w:r>
      <w:r>
        <w:rPr>
          <w:rFonts w:cs="等线" w:eastAsia="楷体" w:cstheme="minorHAnsi"/>
          <w:kern w:val="2"/>
          <w:sz w:val="22"/>
          <w:szCs w:val="22"/>
        </w:rPr>
        <w:t>年行业市场规模约达</w:t>
      </w:r>
      <w:r>
        <w:rPr>
          <w:rFonts w:eastAsia="楷体" w:cs="等线" w:cstheme="minorHAnsi"/>
          <w:kern w:val="2"/>
          <w:sz w:val="22"/>
          <w:szCs w:val="22"/>
        </w:rPr>
        <w:t>45.5</w:t>
      </w:r>
      <w:r>
        <w:rPr>
          <w:rFonts w:cs="等线" w:eastAsia="楷体" w:cstheme="minorHAnsi"/>
          <w:kern w:val="2"/>
          <w:sz w:val="22"/>
          <w:szCs w:val="22"/>
        </w:rPr>
        <w:t>亿元，同比上涨</w:t>
      </w:r>
      <w:r>
        <w:rPr>
          <w:rFonts w:eastAsia="楷体" w:cs="等线" w:cstheme="minorHAnsi"/>
          <w:kern w:val="2"/>
          <w:sz w:val="22"/>
          <w:szCs w:val="22"/>
        </w:rPr>
        <w:t>11.79%</w:t>
      </w:r>
      <w:r>
        <w:rPr>
          <w:rFonts w:cs="等线" w:eastAsia="楷体" w:cstheme="minorHAnsi"/>
          <w:kern w:val="2"/>
          <w:sz w:val="22"/>
          <w:szCs w:val="22"/>
        </w:rPr>
        <w:t>。</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电力线载波通信行业集中度相对较高，头部效应明显，智芯微和海思半导体的市场份额比较领先。</w:t>
      </w:r>
      <w:r>
        <w:rPr>
          <w:rFonts w:cs="等线" w:eastAsia="楷体" w:cstheme="minorHAns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Pr>
          <w:rFonts w:eastAsia="楷体" w:cs="等线" w:cstheme="minorHAnsi"/>
          <w:kern w:val="2"/>
          <w:sz w:val="22"/>
          <w:szCs w:val="22"/>
        </w:rPr>
        <w:t>6</w:t>
      </w:r>
      <w:r>
        <w:rPr>
          <w:rFonts w:cs="等线" w:eastAsia="楷体" w:cstheme="minorHAnsi"/>
          <w:kern w:val="2"/>
          <w:sz w:val="22"/>
          <w:szCs w:val="22"/>
        </w:rPr>
        <w:t>家企业</w:t>
      </w:r>
      <w:r>
        <w:rPr>
          <w:rFonts w:eastAsia="楷体" w:cs="等线" w:cstheme="minorHAnsi"/>
          <w:kern w:val="2"/>
          <w:sz w:val="22"/>
          <w:szCs w:val="22"/>
        </w:rPr>
        <w:t>2023-2024</w:t>
      </w:r>
      <w:r>
        <w:rPr>
          <w:rFonts w:cs="等线" w:eastAsia="楷体" w:cstheme="minorHAnsi"/>
          <w:kern w:val="2"/>
          <w:sz w:val="22"/>
          <w:szCs w:val="22"/>
        </w:rPr>
        <w:t>年中标量分别为：</w:t>
      </w:r>
      <w:r>
        <w:rPr>
          <w:rFonts w:eastAsia="楷体" w:cs="等线" w:cstheme="minorHAnsi"/>
          <w:kern w:val="2"/>
          <w:sz w:val="22"/>
          <w:szCs w:val="22"/>
        </w:rPr>
        <w:t>7000</w:t>
      </w:r>
      <w:r>
        <w:rPr>
          <w:rFonts w:cs="等线" w:eastAsia="楷体" w:cstheme="minorHAnsi"/>
          <w:kern w:val="2"/>
          <w:sz w:val="22"/>
          <w:szCs w:val="22"/>
        </w:rPr>
        <w:t>万只、</w:t>
      </w:r>
      <w:r>
        <w:rPr>
          <w:rFonts w:eastAsia="楷体" w:cs="等线" w:cstheme="minorHAnsi"/>
          <w:kern w:val="2"/>
          <w:sz w:val="22"/>
          <w:szCs w:val="22"/>
        </w:rPr>
        <w:t>1800</w:t>
      </w:r>
      <w:r>
        <w:rPr>
          <w:rFonts w:cs="等线" w:eastAsia="楷体" w:cstheme="minorHAnsi"/>
          <w:kern w:val="2"/>
          <w:sz w:val="22"/>
          <w:szCs w:val="22"/>
        </w:rPr>
        <w:t>万只、</w:t>
      </w:r>
      <w:r>
        <w:rPr>
          <w:rFonts w:eastAsia="楷体" w:cs="等线" w:cstheme="minorHAnsi"/>
          <w:kern w:val="2"/>
          <w:sz w:val="22"/>
          <w:szCs w:val="22"/>
        </w:rPr>
        <w:t>1500</w:t>
      </w:r>
      <w:r>
        <w:rPr>
          <w:rFonts w:cs="等线" w:eastAsia="楷体" w:cstheme="minorHAnsi"/>
          <w:kern w:val="2"/>
          <w:sz w:val="22"/>
          <w:szCs w:val="22"/>
        </w:rPr>
        <w:t>万只、</w:t>
      </w:r>
      <w:r>
        <w:rPr>
          <w:rFonts w:eastAsia="楷体" w:cs="等线" w:cstheme="minorHAnsi"/>
          <w:kern w:val="2"/>
          <w:sz w:val="22"/>
          <w:szCs w:val="22"/>
        </w:rPr>
        <w:t>1100</w:t>
      </w:r>
      <w:r>
        <w:rPr>
          <w:rFonts w:cs="等线" w:eastAsia="楷体" w:cstheme="minorHAnsi"/>
          <w:kern w:val="2"/>
          <w:sz w:val="22"/>
          <w:szCs w:val="22"/>
        </w:rPr>
        <w:t>万只、</w:t>
      </w:r>
      <w:r>
        <w:rPr>
          <w:rFonts w:eastAsia="楷体" w:cs="等线" w:cstheme="minorHAnsi"/>
          <w:kern w:val="2"/>
          <w:sz w:val="22"/>
          <w:szCs w:val="22"/>
        </w:rPr>
        <w:t>110</w:t>
      </w:r>
      <w:r>
        <w:rPr>
          <w:rFonts w:cs="等线" w:eastAsia="楷体" w:cstheme="minorHAnsi"/>
          <w:kern w:val="2"/>
          <w:sz w:val="22"/>
          <w:szCs w:val="22"/>
        </w:rPr>
        <w:t>万只、</w:t>
      </w:r>
      <w:r>
        <w:rPr>
          <w:rFonts w:eastAsia="楷体" w:cs="等线" w:cstheme="minorHAnsi"/>
          <w:kern w:val="2"/>
          <w:sz w:val="22"/>
          <w:szCs w:val="22"/>
        </w:rPr>
        <w:t>100</w:t>
      </w:r>
      <w:r>
        <w:rPr>
          <w:rFonts w:cs="等线" w:eastAsia="楷体" w:cstheme="minorHAnsi"/>
          <w:kern w:val="2"/>
          <w:sz w:val="22"/>
          <w:szCs w:val="22"/>
        </w:rPr>
        <w:t>万只，总招标量约为</w:t>
      </w:r>
      <w:r>
        <w:rPr>
          <w:rFonts w:eastAsia="楷体" w:cs="等线" w:cstheme="minorHAnsi"/>
          <w:kern w:val="2"/>
          <w:sz w:val="22"/>
          <w:szCs w:val="22"/>
        </w:rPr>
        <w:t>1.2</w:t>
      </w:r>
      <w:r>
        <w:rPr>
          <w:rFonts w:cs="等线" w:eastAsia="楷体" w:cstheme="minorHAnsi"/>
          <w:kern w:val="2"/>
          <w:sz w:val="22"/>
          <w:szCs w:val="22"/>
        </w:rPr>
        <w:t>亿元只。</w:t>
      </w:r>
    </w:p>
    <w:p>
      <w:pPr>
        <w:pStyle w:val="1"/>
        <w:rPr>
          <w:rFonts w:eastAsia="楷体" w:cs="等线" w:cstheme="minorHAnsi"/>
          <w:kern w:val="2"/>
          <w:sz w:val="22"/>
          <w:szCs w:val="22"/>
        </w:rPr>
      </w:pPr>
      <w:r>
        <w:rPr>
          <w:rFonts w:eastAsia="楷体" w:cs="等线" w:cstheme="minorHAnsi"/>
          <w:kern w:val="2"/>
          <w:sz w:val="22"/>
          <w:szCs w:val="22"/>
        </w:rPr>
      </w:r>
    </w:p>
    <w:tbl>
      <w:tblPr>
        <w:tblStyle w:val="20"/>
        <w:tblW w:w="7959" w:type="dxa"/>
        <w:jc w:val="left"/>
        <w:tblInd w:w="0" w:type="dxa"/>
        <w:tblLayout w:type="fixed"/>
        <w:tblCellMar>
          <w:top w:w="0" w:type="dxa"/>
          <w:left w:w="108" w:type="dxa"/>
          <w:bottom w:w="0" w:type="dxa"/>
          <w:right w:w="108" w:type="dxa"/>
        </w:tblCellMar>
      </w:tblPr>
      <w:tblGrid>
        <w:gridCol w:w="7959"/>
      </w:tblGrid>
      <w:tr>
        <w:trPr/>
        <w:tc>
          <w:tcPr>
            <w:tcW w:w="7959"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图：</w:t>
            </w:r>
            <w:r>
              <w:rPr>
                <w:rFonts w:cs="等线" w:eastAsia="楷体" w:cstheme="minorHAnsi"/>
                <w:b/>
                <w:bCs/>
                <w:kern w:val="2"/>
                <w:sz w:val="22"/>
                <w:szCs w:val="22"/>
              </w:rPr>
              <w:t>载波通信芯片竞争格局</w:t>
            </w:r>
          </w:p>
        </w:tc>
      </w:tr>
      <w:tr>
        <w:trPr/>
        <w:tc>
          <w:tcPr>
            <w:tcW w:w="7959" w:type="dxa"/>
            <w:tcBorders>
              <w:left w:val="nil"/>
              <w:right w:val="nil"/>
            </w:tcBorders>
          </w:tcPr>
          <w:p>
            <w:pPr>
              <w:pStyle w:val="1"/>
              <w:widowControl/>
              <w:spacing w:before="0" w:after="0"/>
              <w:jc w:val="center"/>
              <w:rPr>
                <w:rFonts w:eastAsia="楷体" w:cs="等线" w:cstheme="minorHAnsi"/>
                <w:kern w:val="2"/>
                <w:sz w:val="22"/>
                <w:szCs w:val="22"/>
              </w:rPr>
            </w:pPr>
            <w:r>
              <w:rPr>
                <w:kern w:val="0"/>
              </w:rPr>
              <w:drawing>
                <wp:inline distT="0" distB="0" distL="0" distR="0">
                  <wp:extent cx="4916805" cy="2907030"/>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39"/>
                          <a:stretch>
                            <a:fillRect/>
                          </a:stretch>
                        </pic:blipFill>
                        <pic:spPr bwMode="auto">
                          <a:xfrm>
                            <a:off x="0" y="0"/>
                            <a:ext cx="4916805" cy="2907030"/>
                          </a:xfrm>
                          <a:prstGeom prst="rect">
                            <a:avLst/>
                          </a:prstGeom>
                        </pic:spPr>
                      </pic:pic>
                    </a:graphicData>
                  </a:graphic>
                </wp:inline>
              </w:drawing>
            </w:r>
          </w:p>
        </w:tc>
      </w:tr>
      <w:tr>
        <w:trPr/>
        <w:tc>
          <w:tcPr>
            <w:tcW w:w="7959"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资料来源：</w:t>
            </w:r>
            <w:r>
              <w:rPr>
                <w:rFonts w:cs="等线" w:eastAsia="楷体" w:cstheme="minorHAnsi"/>
                <w:kern w:val="2"/>
                <w:sz w:val="22"/>
                <w:szCs w:val="22"/>
              </w:rPr>
              <w:t>公司公告，</w:t>
            </w:r>
            <w:r>
              <w:rPr>
                <w:rFonts w:eastAsia="楷体" w:cs="Calibri"/>
                <w:kern w:val="0"/>
                <w:sz w:val="20"/>
                <w:szCs w:val="20"/>
              </w:rPr>
              <w:t>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 xml:space="preserve">电力线载波通信芯片市场需求持续扩张，智能电网与物联网构成核心双引擎。 </w:t>
      </w:r>
      <w:r>
        <w:rPr>
          <w:rFonts w:cs="等线" w:eastAsia="楷体" w:cstheme="minorHAns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 xml:space="preserve">应用场景正从传统电网基建向全场景智能化加速突破。 </w:t>
      </w:r>
      <w:r>
        <w:rPr>
          <w:rFonts w:cs="等线" w:eastAsia="楷体" w:cstheme="minorHAns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 xml:space="preserve">国内政策持续赋能，叠加企业出海战略提速，全球化布局进入快车道。 </w:t>
      </w:r>
      <w:r>
        <w:rPr>
          <w:rFonts w:cs="等线" w:eastAsia="楷体" w:cstheme="minorHAns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Pr>
          <w:rFonts w:eastAsia="楷体" w:cs="等线" w:cstheme="minorHAnsi"/>
          <w:kern w:val="2"/>
          <w:sz w:val="22"/>
          <w:szCs w:val="22"/>
        </w:rPr>
        <w:t>/</w:t>
      </w:r>
      <w:r>
        <w:rPr>
          <w:rFonts w:cs="等线" w:eastAsia="楷体" w:cstheme="minorHAnsi"/>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pPr>
        <w:pStyle w:val="77"/>
        <w:jc w:val="both"/>
        <w:rPr>
          <w:rFonts w:ascii="Calibri" w:hAnsi="Calibri" w:eastAsia="楷体" w:cs="楷体"/>
          <w:color w:val="23558C"/>
          <w:sz w:val="24"/>
        </w:rPr>
      </w:pPr>
      <w:bookmarkStart w:id="9" w:name="_Toc225872243"/>
      <w:r>
        <w:rPr>
          <w:rFonts w:eastAsia="楷体" w:cs="楷体" w:ascii="Calibri" w:hAnsi="Calibri"/>
          <w:color w:val="23558C"/>
          <w:sz w:val="24"/>
        </w:rPr>
        <w:t>2.3</w:t>
      </w:r>
      <w:r>
        <w:rPr>
          <w:rFonts w:ascii="Calibri" w:hAnsi="Calibri" w:cs="楷体" w:eastAsia="楷体"/>
          <w:color w:val="23558C"/>
          <w:sz w:val="24"/>
        </w:rPr>
        <w:t>数字能源服务商：配网投资与</w:t>
      </w:r>
      <w:r>
        <w:rPr>
          <w:rFonts w:eastAsia="楷体" w:cs="楷体" w:ascii="Calibri" w:hAnsi="Calibri"/>
          <w:color w:val="23558C"/>
          <w:sz w:val="24"/>
        </w:rPr>
        <w:t>AIDC</w:t>
      </w:r>
      <w:r>
        <w:rPr>
          <w:rFonts w:ascii="Calibri" w:hAnsi="Calibri" w:cs="楷体" w:eastAsia="楷体"/>
          <w:color w:val="23558C"/>
          <w:sz w:val="24"/>
        </w:rPr>
        <w:t>算力爆发双翼齐飞，中国与东南亚市场共筑增量</w:t>
      </w:r>
      <w:bookmarkEnd w:id="9"/>
    </w:p>
    <w:p>
      <w:pPr>
        <w:pStyle w:val="1"/>
        <w:rPr>
          <w:rFonts w:eastAsia="楷体" w:cs="Calibri"/>
          <w:b/>
          <w:b/>
          <w:bCs/>
          <w:kern w:val="2"/>
          <w:sz w:val="22"/>
          <w:szCs w:val="22"/>
        </w:rPr>
      </w:pPr>
      <w:r>
        <w:rPr>
          <w:rFonts w:cs="楷体" w:eastAsia="楷体"/>
          <w:b/>
          <w:bCs/>
          <w:kern w:val="2"/>
          <w:sz w:val="22"/>
          <w:szCs w:val="22"/>
        </w:rPr>
        <w:t>电力系统是一个生产和提供电力能源、满足社会电力需求的复杂系统，由发电、变电、输电、配电和用电环节组成。</w:t>
      </w:r>
      <w:r>
        <w:rPr>
          <w:rFonts w:cs="楷体" w:eastAsia="楷体"/>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pPr>
        <w:pStyle w:val="1"/>
        <w:rPr>
          <w:rFonts w:eastAsia="楷体" w:cs="等线" w:cstheme="minorHAnsi"/>
          <w:kern w:val="2"/>
          <w:sz w:val="22"/>
          <w:szCs w:val="22"/>
        </w:rPr>
      </w:pPr>
      <w:r>
        <w:rPr>
          <w:rFonts w:eastAsia="楷体" w:cs="等线" w:cstheme="minorHAnsi"/>
          <w:kern w:val="2"/>
          <w:sz w:val="22"/>
          <w:szCs w:val="22"/>
        </w:rPr>
      </w:r>
    </w:p>
    <w:tbl>
      <w:tblPr>
        <w:tblStyle w:val="20"/>
        <w:tblW w:w="7959" w:type="dxa"/>
        <w:jc w:val="left"/>
        <w:tblInd w:w="0" w:type="dxa"/>
        <w:tblLayout w:type="fixed"/>
        <w:tblCellMar>
          <w:top w:w="0" w:type="dxa"/>
          <w:left w:w="108" w:type="dxa"/>
          <w:bottom w:w="0" w:type="dxa"/>
          <w:right w:w="108" w:type="dxa"/>
        </w:tblCellMar>
      </w:tblPr>
      <w:tblGrid>
        <w:gridCol w:w="7959"/>
      </w:tblGrid>
      <w:tr>
        <w:trPr/>
        <w:tc>
          <w:tcPr>
            <w:tcW w:w="7959"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w:t>
            </w:r>
            <w:r>
              <w:rPr>
                <w:rFonts w:cs="Calibri" w:eastAsia="楷体"/>
                <w:b/>
                <w:bCs/>
                <w:kern w:val="2"/>
                <w:sz w:val="22"/>
                <w:szCs w:val="22"/>
              </w:rPr>
              <w:t>：</w:t>
            </w:r>
            <w:r>
              <w:rPr>
                <w:rFonts w:cs="等线" w:eastAsia="楷体" w:cstheme="minorHAnsi"/>
                <w:b/>
                <w:bCs/>
                <w:kern w:val="2"/>
                <w:sz w:val="22"/>
                <w:szCs w:val="22"/>
              </w:rPr>
              <w:t>电力系统环节</w:t>
            </w:r>
          </w:p>
        </w:tc>
      </w:tr>
      <w:tr>
        <w:trPr/>
        <w:tc>
          <w:tcPr>
            <w:tcW w:w="7959" w:type="dxa"/>
            <w:tcBorders>
              <w:left w:val="nil"/>
              <w:right w:val="nil"/>
            </w:tcBorders>
          </w:tcPr>
          <w:p>
            <w:pPr>
              <w:pStyle w:val="1"/>
              <w:widowControl/>
              <w:spacing w:before="0" w:after="0"/>
              <w:jc w:val="left"/>
              <w:rPr>
                <w:rFonts w:eastAsia="楷体" w:cs="等线" w:cstheme="minorHAnsi"/>
                <w:kern w:val="2"/>
                <w:sz w:val="22"/>
                <w:szCs w:val="22"/>
              </w:rPr>
            </w:pPr>
            <w:r>
              <w:rPr>
                <w:kern w:val="0"/>
              </w:rPr>
              <w:drawing>
                <wp:inline distT="0" distB="0" distL="0" distR="0">
                  <wp:extent cx="4916805" cy="2150745"/>
                  <wp:effectExtent l="0" t="0" r="0" b="0"/>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40"/>
                          <a:stretch>
                            <a:fillRect/>
                          </a:stretch>
                        </pic:blipFill>
                        <pic:spPr bwMode="auto">
                          <a:xfrm>
                            <a:off x="0" y="0"/>
                            <a:ext cx="4916805" cy="2150745"/>
                          </a:xfrm>
                          <a:prstGeom prst="rect">
                            <a:avLst/>
                          </a:prstGeom>
                        </pic:spPr>
                      </pic:pic>
                    </a:graphicData>
                  </a:graphic>
                </wp:inline>
              </w:drawing>
            </w:r>
          </w:p>
        </w:tc>
      </w:tr>
      <w:tr>
        <w:trPr/>
        <w:tc>
          <w:tcPr>
            <w:tcW w:w="7959"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eastAsia="楷体" w:cs="Calibri"/>
                <w:kern w:val="0"/>
                <w:sz w:val="20"/>
                <w:szCs w:val="20"/>
              </w:rPr>
              <w:t>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b/>
          <w:b/>
          <w:bCs/>
          <w:kern w:val="2"/>
          <w:sz w:val="22"/>
          <w:szCs w:val="22"/>
        </w:rPr>
      </w:pPr>
      <w:r>
        <w:rPr>
          <w:rFonts w:cs="等线" w:eastAsia="楷体" w:cstheme="minorHAnsi"/>
          <w:b/>
          <w:bCs/>
          <w:kern w:val="2"/>
          <w:sz w:val="22"/>
          <w:szCs w:val="22"/>
        </w:rPr>
        <w:t>根据电压等级来划分，配电网可分为高压配电网、中压配电网和低压配电网。</w:t>
      </w:r>
      <w:r>
        <w:rPr>
          <w:rFonts w:cs="等线" w:eastAsia="楷体" w:cstheme="minorHAnsi"/>
          <w:kern w:val="2"/>
          <w:sz w:val="22"/>
          <w:szCs w:val="22"/>
        </w:rPr>
        <w:t>配电网由架空线路、电缆、杆塔、配电变压器、隔离开关、开关柜、环网柜、故障指示无功补偿器及一些附属设施等组成。</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十五五电网投资迈入</w:t>
      </w:r>
      <w:r>
        <w:rPr>
          <w:rFonts w:eastAsia="楷体" w:cs="等线" w:cstheme="minorHAnsi"/>
          <w:b/>
          <w:bCs/>
          <w:kern w:val="2"/>
          <w:sz w:val="22"/>
          <w:szCs w:val="22"/>
        </w:rPr>
        <w:t>4</w:t>
      </w:r>
      <w:r>
        <w:rPr>
          <w:rFonts w:cs="等线" w:eastAsia="楷体" w:cstheme="minorHAnsi"/>
          <w:b/>
          <w:bCs/>
          <w:kern w:val="2"/>
          <w:sz w:val="22"/>
          <w:szCs w:val="22"/>
        </w:rPr>
        <w:t>万亿时代，配网智能化成核心落点。</w:t>
      </w:r>
      <w:r>
        <w:rPr>
          <w:rFonts w:cs="等线" w:eastAsia="楷体" w:cstheme="minorHAnsi"/>
          <w:kern w:val="2"/>
          <w:sz w:val="22"/>
          <w:szCs w:val="22"/>
        </w:rPr>
        <w:t>国家电网已明确，“十五五”期间（</w:t>
      </w:r>
      <w:r>
        <w:rPr>
          <w:rFonts w:eastAsia="楷体" w:cs="等线" w:cstheme="minorHAnsi"/>
          <w:kern w:val="2"/>
          <w:sz w:val="22"/>
          <w:szCs w:val="22"/>
        </w:rPr>
        <w:t>2026—2030</w:t>
      </w:r>
      <w:r>
        <w:rPr>
          <w:rFonts w:cs="等线" w:eastAsia="楷体" w:cstheme="minorHAnsi"/>
          <w:kern w:val="2"/>
          <w:sz w:val="22"/>
          <w:szCs w:val="22"/>
        </w:rPr>
        <w:t>年）固定资产投资预计达</w:t>
      </w:r>
      <w:r>
        <w:rPr>
          <w:rFonts w:eastAsia="楷体" w:cs="等线" w:cstheme="minorHAnsi"/>
          <w:kern w:val="2"/>
          <w:sz w:val="22"/>
          <w:szCs w:val="22"/>
        </w:rPr>
        <w:t>4</w:t>
      </w:r>
      <w:r>
        <w:rPr>
          <w:rFonts w:cs="等线" w:eastAsia="楷体" w:cstheme="minorHAnsi"/>
          <w:kern w:val="2"/>
          <w:sz w:val="22"/>
          <w:szCs w:val="22"/>
        </w:rPr>
        <w:t>万亿元，较“十四五”增长</w:t>
      </w:r>
      <w:r>
        <w:rPr>
          <w:rFonts w:eastAsia="楷体" w:cs="等线" w:cstheme="minorHAnsi"/>
          <w:kern w:val="2"/>
          <w:sz w:val="22"/>
          <w:szCs w:val="22"/>
        </w:rPr>
        <w:t>40%</w:t>
      </w:r>
      <w:r>
        <w:rPr>
          <w:rFonts w:cs="等线" w:eastAsia="楷体" w:cstheme="minorHAnsi"/>
          <w:kern w:val="2"/>
          <w:sz w:val="22"/>
          <w:szCs w:val="22"/>
        </w:rPr>
        <w:t>。投资重心明确指向三大方向：服务年均新增约</w:t>
      </w:r>
      <w:r>
        <w:rPr>
          <w:rFonts w:eastAsia="楷体" w:cs="等线" w:cstheme="minorHAnsi"/>
          <w:kern w:val="2"/>
          <w:sz w:val="22"/>
          <w:szCs w:val="22"/>
        </w:rPr>
        <w:t>2</w:t>
      </w:r>
      <w:r>
        <w:rPr>
          <w:rFonts w:cs="等线" w:eastAsia="楷体" w:cstheme="minorHAnsi"/>
          <w:kern w:val="2"/>
          <w:sz w:val="22"/>
          <w:szCs w:val="22"/>
        </w:rPr>
        <w:t>亿千瓦风光新能源的接入与消纳、提升跨区跨省输电能力、满足超</w:t>
      </w:r>
      <w:r>
        <w:rPr>
          <w:rFonts w:eastAsia="楷体" w:cs="等线" w:cstheme="minorHAnsi"/>
          <w:kern w:val="2"/>
          <w:sz w:val="22"/>
          <w:szCs w:val="22"/>
        </w:rPr>
        <w:t>3500</w:t>
      </w:r>
      <w:r>
        <w:rPr>
          <w:rFonts w:cs="等线" w:eastAsia="楷体" w:cstheme="minorHAnsi"/>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《关于促进电网高质量发展的指导意见》将配网智能化改造从配套选项上升为</w:t>
      </w:r>
      <w:r>
        <w:rPr>
          <w:rFonts w:eastAsia="楷体" w:cs="等线" w:cstheme="minorHAnsi"/>
          <w:b/>
          <w:bCs/>
          <w:kern w:val="2"/>
          <w:sz w:val="22"/>
          <w:szCs w:val="22"/>
        </w:rPr>
        <w:t>2030</w:t>
      </w:r>
      <w:r>
        <w:rPr>
          <w:rFonts w:cs="等线" w:eastAsia="楷体" w:cstheme="minorHAnsi"/>
          <w:b/>
          <w:bCs/>
          <w:kern w:val="2"/>
          <w:sz w:val="22"/>
          <w:szCs w:val="22"/>
        </w:rPr>
        <w:t>年前电网投资的主战场。</w:t>
      </w:r>
      <w:r>
        <w:rPr>
          <w:rFonts w:cs="等线" w:eastAsia="楷体" w:cstheme="minorHAnsi"/>
          <w:kern w:val="2"/>
          <w:sz w:val="22"/>
          <w:szCs w:val="22"/>
        </w:rPr>
        <w:t>国家发改委与能源局联合印发的《关于促进电网高质量发展的指导意见》，进一步从顶层设计上框定</w:t>
      </w:r>
      <w:r>
        <w:rPr>
          <w:rFonts w:eastAsia="楷体" w:cs="等线" w:cstheme="minorHAnsi"/>
          <w:kern w:val="2"/>
          <w:sz w:val="22"/>
          <w:szCs w:val="22"/>
        </w:rPr>
        <w:t>2030</w:t>
      </w:r>
      <w:r>
        <w:rPr>
          <w:rFonts w:cs="等线" w:eastAsia="楷体" w:cstheme="minorHAnsi"/>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pPr>
        <w:pStyle w:val="1"/>
        <w:rPr>
          <w:rFonts w:eastAsia="楷体" w:cs="等线" w:cstheme="minorHAnsi"/>
          <w:b/>
          <w:b/>
          <w:bCs/>
          <w:kern w:val="2"/>
          <w:sz w:val="22"/>
          <w:szCs w:val="22"/>
        </w:rPr>
      </w:pPr>
      <w:r>
        <w:rPr>
          <w:rFonts w:eastAsia="楷体" w:cs="等线" w:cstheme="minorHAnsi"/>
          <w:b/>
          <w:bCs/>
          <w:kern w:val="2"/>
          <w:sz w:val="22"/>
          <w:szCs w:val="22"/>
        </w:rPr>
      </w:r>
    </w:p>
    <w:p>
      <w:pPr>
        <w:pStyle w:val="1"/>
        <w:rPr>
          <w:rFonts w:eastAsia="楷体" w:cs="等线" w:cstheme="minorHAnsi"/>
          <w:b/>
          <w:b/>
          <w:bCs/>
          <w:kern w:val="2"/>
          <w:sz w:val="22"/>
          <w:szCs w:val="22"/>
        </w:rPr>
      </w:pPr>
      <w:r>
        <w:rPr>
          <w:rFonts w:cs="等线" w:eastAsia="楷体" w:cstheme="minorHAnsi"/>
          <w:b/>
          <w:bCs/>
          <w:kern w:val="2"/>
          <w:sz w:val="22"/>
          <w:szCs w:val="22"/>
        </w:rPr>
        <w:t>在电网运营商之外，配电设备的网外业务正加速向高价值场景渗透，轨道交通、工业园区、大型公共设施等领域需求稳健，而数据中心已成为最具爆发力的核心增长极。</w:t>
      </w:r>
      <w:r>
        <w:rPr>
          <w:rFonts w:cs="等线" w:eastAsia="楷体" w:cstheme="minorHAnsi"/>
          <w:kern w:val="2"/>
          <w:sz w:val="22"/>
          <w:szCs w:val="22"/>
        </w:rPr>
        <w:t>数据中心物理环境规划是保障算力基础设施高可靠运行的核心底座，其空间布局、电力、制冷及网络布线四大系统需围绕“可用性、可扩展性、可运维性”三大原则协同设计。</w:t>
      </w:r>
    </w:p>
    <w:p>
      <w:pPr>
        <w:pStyle w:val="1"/>
        <w:rPr>
          <w:rFonts w:eastAsia="楷体" w:cs="等线" w:cstheme="minorHAnsi"/>
          <w:kern w:val="2"/>
          <w:sz w:val="22"/>
          <w:szCs w:val="22"/>
        </w:rPr>
      </w:pPr>
      <w:r>
        <w:rPr>
          <w:rFonts w:eastAsia="楷体" w:cs="等线" w:cstheme="minorHAnsi"/>
          <w:kern w:val="2"/>
          <w:sz w:val="22"/>
          <w:szCs w:val="22"/>
        </w:rPr>
      </w:r>
    </w:p>
    <w:p>
      <w:pPr>
        <w:pStyle w:val="37"/>
        <w:numPr>
          <w:ilvl w:val="0"/>
          <w:numId w:val="5"/>
        </w:numPr>
        <w:rPr>
          <w:rFonts w:eastAsia="楷体" w:cs="等线" w:cstheme="minorHAnsi"/>
          <w:kern w:val="2"/>
          <w:sz w:val="22"/>
          <w:szCs w:val="22"/>
        </w:rPr>
      </w:pPr>
      <w:r>
        <w:rPr>
          <w:rFonts w:cs="等线" w:eastAsia="楷体" w:cstheme="minorHAnsi"/>
          <w:b/>
          <w:bCs/>
          <w:kern w:val="2"/>
          <w:sz w:val="22"/>
          <w:szCs w:val="22"/>
        </w:rPr>
        <w:t>空间布局：</w:t>
      </w:r>
      <w:r>
        <w:rPr>
          <w:rFonts w:cs="等线" w:eastAsia="楷体" w:cstheme="minorHAnsi"/>
          <w:kern w:val="2"/>
          <w:sz w:val="22"/>
          <w:szCs w:val="22"/>
        </w:rPr>
        <w:t>功能分区与预留冗余并重，支撑全生命周期柔性扩容。 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pPr>
        <w:pStyle w:val="37"/>
        <w:numPr>
          <w:ilvl w:val="0"/>
          <w:numId w:val="5"/>
        </w:numPr>
        <w:rPr>
          <w:rFonts w:eastAsia="楷体" w:cs="等线" w:cstheme="minorHAnsi"/>
          <w:kern w:val="2"/>
          <w:sz w:val="22"/>
          <w:szCs w:val="22"/>
        </w:rPr>
      </w:pPr>
      <w:r>
        <w:rPr>
          <w:rFonts w:cs="等线" w:eastAsia="楷体" w:cstheme="minorHAnsi"/>
          <w:b/>
          <w:bCs/>
          <w:kern w:val="2"/>
          <w:sz w:val="22"/>
          <w:szCs w:val="22"/>
        </w:rPr>
        <w:t>电力系统：</w:t>
      </w:r>
      <w:r>
        <w:rPr>
          <w:rFonts w:cs="等线" w:eastAsia="楷体" w:cstheme="minorHAnsi"/>
          <w:kern w:val="2"/>
          <w:sz w:val="22"/>
          <w:szCs w:val="22"/>
        </w:rPr>
        <w:t>数据中心生命线，冗余架构与智能监控缺一不可。 须根据功率密度与可用性等级（如</w:t>
      </w:r>
      <w:r>
        <w:rPr>
          <w:rFonts w:eastAsia="楷体" w:cs="等线" w:cstheme="minorHAnsi"/>
          <w:kern w:val="2"/>
          <w:sz w:val="22"/>
          <w:szCs w:val="22"/>
        </w:rPr>
        <w:t>Tier III/IV</w:t>
      </w:r>
      <w:r>
        <w:rPr>
          <w:rFonts w:cs="等线" w:eastAsia="楷体" w:cstheme="minorHAnsi"/>
          <w:kern w:val="2"/>
          <w:sz w:val="22"/>
          <w:szCs w:val="22"/>
        </w:rPr>
        <w:t>），科学配置</w:t>
      </w:r>
      <w:r>
        <w:rPr>
          <w:rFonts w:eastAsia="楷体" w:cs="等线" w:cstheme="minorHAnsi"/>
          <w:kern w:val="2"/>
          <w:sz w:val="22"/>
          <w:szCs w:val="22"/>
        </w:rPr>
        <w:t>UPS</w:t>
      </w:r>
      <w:r>
        <w:rPr>
          <w:rFonts w:cs="等线" w:eastAsia="楷体" w:cstheme="minorHAnsi"/>
          <w:kern w:val="2"/>
          <w:sz w:val="22"/>
          <w:szCs w:val="22"/>
        </w:rPr>
        <w:t>、柴油发电机、高低压配电设备容量及数量，并采用双路供电、</w:t>
      </w:r>
      <w:r>
        <w:rPr>
          <w:rFonts w:eastAsia="楷体" w:cs="等线" w:cstheme="minorHAnsi"/>
          <w:kern w:val="2"/>
          <w:sz w:val="22"/>
          <w:szCs w:val="22"/>
        </w:rPr>
        <w:t>2N</w:t>
      </w:r>
      <w:r>
        <w:rPr>
          <w:rFonts w:cs="等线" w:eastAsia="楷体" w:cstheme="minorHAnsi"/>
          <w:kern w:val="2"/>
          <w:sz w:val="22"/>
          <w:szCs w:val="22"/>
        </w:rPr>
        <w:t>冗余等拓扑结构。配套的电力监控系统需实现设备状态实时监测、故障预警与远程调度，为连续运行构筑最后一道防线。</w:t>
      </w:r>
    </w:p>
    <w:p>
      <w:pPr>
        <w:pStyle w:val="37"/>
        <w:numPr>
          <w:ilvl w:val="0"/>
          <w:numId w:val="5"/>
        </w:numPr>
        <w:rPr>
          <w:rFonts w:eastAsia="楷体" w:cs="等线" w:cstheme="minorHAnsi"/>
          <w:kern w:val="2"/>
          <w:sz w:val="22"/>
          <w:szCs w:val="22"/>
        </w:rPr>
      </w:pPr>
      <w:r>
        <w:rPr>
          <w:rFonts w:cs="等线" w:eastAsia="楷体" w:cstheme="minorHAnsi"/>
          <w:b/>
          <w:bCs/>
          <w:kern w:val="2"/>
          <w:sz w:val="22"/>
          <w:szCs w:val="22"/>
        </w:rPr>
        <w:t>制冷系统：</w:t>
      </w:r>
      <w:r>
        <w:rPr>
          <w:rFonts w:cs="等线" w:eastAsia="楷体" w:cstheme="minorHAnsi"/>
          <w:kern w:val="2"/>
          <w:sz w:val="22"/>
          <w:szCs w:val="22"/>
        </w:rPr>
        <w:t>热密度攀升倒逼精准制冷与系统联动。 需依据</w:t>
      </w:r>
      <w:r>
        <w:rPr>
          <w:rFonts w:eastAsia="楷体" w:cs="等线" w:cstheme="minorHAnsi"/>
          <w:kern w:val="2"/>
          <w:sz w:val="22"/>
          <w:szCs w:val="22"/>
        </w:rPr>
        <w:t>IT</w:t>
      </w:r>
      <w:r>
        <w:rPr>
          <w:rFonts w:cs="等线" w:eastAsia="楷体" w:cstheme="minorHAnsi"/>
          <w:kern w:val="2"/>
          <w:sz w:val="22"/>
          <w:szCs w:val="22"/>
        </w:rPr>
        <w:t>热负荷动态选型冷冻水机组、冷却塔及末端空调，并推广架空地板送风、冷通道封闭等高效气流组织方式。同时，制冷系统须与电力、动环监控系统深度耦合，通过</w:t>
      </w:r>
      <w:r>
        <w:rPr>
          <w:rFonts w:eastAsia="楷体" w:cs="等线" w:cstheme="minorHAnsi"/>
          <w:kern w:val="2"/>
          <w:sz w:val="22"/>
          <w:szCs w:val="22"/>
        </w:rPr>
        <w:t>AI</w:t>
      </w:r>
      <w:r>
        <w:rPr>
          <w:rFonts w:cs="等线" w:eastAsia="楷体" w:cstheme="minorHAnsi"/>
          <w:kern w:val="2"/>
          <w:sz w:val="22"/>
          <w:szCs w:val="22"/>
        </w:rPr>
        <w:t>调优实现“按需供冷”，在保障环境恒温恒湿的前提下最大化节能效率。</w:t>
      </w:r>
    </w:p>
    <w:p>
      <w:pPr>
        <w:pStyle w:val="37"/>
        <w:numPr>
          <w:ilvl w:val="0"/>
          <w:numId w:val="5"/>
        </w:numPr>
        <w:rPr>
          <w:rFonts w:eastAsia="楷体" w:cs="等线" w:cstheme="minorHAnsi"/>
          <w:kern w:val="2"/>
          <w:sz w:val="22"/>
          <w:szCs w:val="22"/>
        </w:rPr>
      </w:pPr>
      <w:r>
        <w:rPr>
          <w:rFonts w:cs="等线" w:eastAsia="楷体" w:cstheme="minorHAnsi"/>
          <w:b/>
          <w:bCs/>
          <w:kern w:val="2"/>
          <w:sz w:val="22"/>
          <w:szCs w:val="22"/>
        </w:rPr>
        <w:t>网络布线：</w:t>
      </w:r>
      <w:r>
        <w:rPr>
          <w:rFonts w:cs="等线" w:eastAsia="楷体" w:cstheme="minorHAnsi"/>
          <w:kern w:val="2"/>
          <w:sz w:val="22"/>
          <w:szCs w:val="22"/>
        </w:rPr>
        <w:t>结构化、模块化部署，为高速互联奠定物理基础。 应基于网络架构与带宽需求，合理选择铜缆</w:t>
      </w:r>
      <w:r>
        <w:rPr>
          <w:rFonts w:eastAsia="楷体" w:cs="等线" w:cstheme="minorHAnsi"/>
          <w:kern w:val="2"/>
          <w:sz w:val="22"/>
          <w:szCs w:val="22"/>
        </w:rPr>
        <w:t>/</w:t>
      </w:r>
      <w:r>
        <w:rPr>
          <w:rFonts w:cs="等线" w:eastAsia="楷体" w:cstheme="minorHAnsi"/>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pPr>
        <w:pStyle w:val="1"/>
        <w:rPr>
          <w:rFonts w:eastAsia="楷体" w:cs="等线" w:cstheme="minorHAnsi"/>
          <w:kern w:val="2"/>
          <w:sz w:val="22"/>
          <w:szCs w:val="22"/>
        </w:rPr>
      </w:pPr>
      <w:r>
        <w:rPr>
          <w:rFonts w:eastAsia="楷体" w:cs="等线" w:cstheme="minorHAnsi"/>
          <w:kern w:val="2"/>
          <w:sz w:val="22"/>
          <w:szCs w:val="22"/>
        </w:rPr>
      </w:r>
    </w:p>
    <w:tbl>
      <w:tblPr>
        <w:tblStyle w:val="20"/>
        <w:tblW w:w="7896" w:type="dxa"/>
        <w:jc w:val="left"/>
        <w:tblInd w:w="0" w:type="dxa"/>
        <w:tblLayout w:type="fixed"/>
        <w:tblCellMar>
          <w:top w:w="0" w:type="dxa"/>
          <w:left w:w="108" w:type="dxa"/>
          <w:bottom w:w="0" w:type="dxa"/>
          <w:right w:w="108" w:type="dxa"/>
        </w:tblCellMar>
      </w:tblPr>
      <w:tblGrid>
        <w:gridCol w:w="7896"/>
      </w:tblGrid>
      <w:tr>
        <w:trPr/>
        <w:tc>
          <w:tcPr>
            <w:tcW w:w="7896"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w:t>
            </w:r>
            <w:r>
              <w:rPr>
                <w:rFonts w:cs="Calibri" w:eastAsia="楷体"/>
                <w:b/>
                <w:bCs/>
                <w:kern w:val="2"/>
                <w:sz w:val="22"/>
                <w:szCs w:val="22"/>
              </w:rPr>
              <w:t>：</w:t>
            </w:r>
            <w:r>
              <w:rPr>
                <w:rFonts w:cs="等线" w:eastAsia="楷体" w:cstheme="minorHAnsi"/>
                <w:b/>
                <w:bCs/>
                <w:kern w:val="2"/>
                <w:sz w:val="22"/>
                <w:szCs w:val="22"/>
              </w:rPr>
              <w:t>数据中心架构</w:t>
            </w:r>
          </w:p>
        </w:tc>
      </w:tr>
      <w:tr>
        <w:trPr/>
        <w:tc>
          <w:tcPr>
            <w:tcW w:w="7896" w:type="dxa"/>
            <w:tcBorders>
              <w:left w:val="nil"/>
              <w:right w:val="nil"/>
            </w:tcBorders>
          </w:tcPr>
          <w:p>
            <w:pPr>
              <w:pStyle w:val="1"/>
              <w:widowControl/>
              <w:spacing w:before="0" w:after="0"/>
              <w:jc w:val="left"/>
              <w:rPr>
                <w:rFonts w:eastAsia="楷体" w:cs="等线" w:cstheme="minorHAnsi"/>
                <w:kern w:val="2"/>
                <w:sz w:val="22"/>
                <w:szCs w:val="22"/>
              </w:rPr>
            </w:pPr>
            <w:r>
              <w:rPr>
                <w:kern w:val="0"/>
              </w:rPr>
              <w:drawing>
                <wp:inline distT="0" distB="0" distL="0" distR="0">
                  <wp:extent cx="4871720" cy="2896870"/>
                  <wp:effectExtent l="0" t="0" r="0" b="0"/>
                  <wp:docPr id="19"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图示&#10;&#10;AI 生成的内容可能不正确。"/>
                          <pic:cNvPicPr>
                            <a:picLocks noChangeAspect="1" noChangeArrowheads="1"/>
                          </pic:cNvPicPr>
                        </pic:nvPicPr>
                        <pic:blipFill>
                          <a:blip r:embed="rId41"/>
                          <a:stretch>
                            <a:fillRect/>
                          </a:stretch>
                        </pic:blipFill>
                        <pic:spPr bwMode="auto">
                          <a:xfrm>
                            <a:off x="0" y="0"/>
                            <a:ext cx="4871720" cy="2896870"/>
                          </a:xfrm>
                          <a:prstGeom prst="rect">
                            <a:avLst/>
                          </a:prstGeom>
                        </pic:spPr>
                      </pic:pic>
                    </a:graphicData>
                  </a:graphic>
                </wp:inline>
              </w:drawing>
            </w:r>
          </w:p>
        </w:tc>
      </w:tr>
      <w:tr>
        <w:trPr/>
        <w:tc>
          <w:tcPr>
            <w:tcW w:w="7896"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等线" w:eastAsia="楷体" w:cstheme="minorHAnsi"/>
                <w:kern w:val="2"/>
                <w:sz w:val="22"/>
                <w:szCs w:val="22"/>
              </w:rPr>
              <w:t>西门子绿色低碳与可靠性白皮书，</w:t>
            </w:r>
            <w:r>
              <w:rPr>
                <w:rFonts w:eastAsia="楷体" w:cs="Calibri"/>
                <w:kern w:val="0"/>
                <w:sz w:val="20"/>
                <w:szCs w:val="20"/>
              </w:rPr>
              <w:t>HFI</w:t>
            </w:r>
          </w:p>
        </w:tc>
      </w:tr>
    </w:tbl>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全球正处在人工智能驱动的算力基础设施投资浪潮之中，数据中心已跃升为数字经济时代的“新型关键基础设施”。</w:t>
      </w:r>
      <w:r>
        <w:rPr>
          <w:rFonts w:cs="等线" w:eastAsia="楷体" w:cstheme="minorHAnsi"/>
          <w:kern w:val="2"/>
          <w:sz w:val="22"/>
          <w:szCs w:val="22"/>
        </w:rPr>
        <w:t>自</w:t>
      </w:r>
      <w:r>
        <w:rPr>
          <w:rFonts w:eastAsia="楷体" w:cs="等线" w:cstheme="minorHAnsi"/>
          <w:kern w:val="2"/>
          <w:sz w:val="22"/>
          <w:szCs w:val="22"/>
        </w:rPr>
        <w:t>2023</w:t>
      </w:r>
      <w:r>
        <w:rPr>
          <w:rFonts w:cs="等线" w:eastAsia="楷体" w:cstheme="minorHAnsi"/>
          <w:kern w:val="2"/>
          <w:sz w:val="22"/>
          <w:szCs w:val="22"/>
        </w:rPr>
        <w:t>年生成式</w:t>
      </w:r>
      <w:r>
        <w:rPr>
          <w:rFonts w:eastAsia="楷体" w:cs="等线" w:cstheme="minorHAnsi"/>
          <w:kern w:val="2"/>
          <w:sz w:val="22"/>
          <w:szCs w:val="22"/>
        </w:rPr>
        <w:t>AI</w:t>
      </w:r>
      <w:r>
        <w:rPr>
          <w:rFonts w:cs="等线" w:eastAsia="楷体" w:cstheme="minorHAnsi"/>
          <w:kern w:val="2"/>
          <w:sz w:val="22"/>
          <w:szCs w:val="22"/>
        </w:rPr>
        <w:t>爆发以来，全球算力需求呈指数级扩张，各国与企业争相加码投入。根据</w:t>
      </w:r>
      <w:r>
        <w:rPr>
          <w:rFonts w:eastAsia="楷体" w:cs="等线" w:cstheme="minorHAnsi"/>
          <w:kern w:val="2"/>
          <w:sz w:val="22"/>
          <w:szCs w:val="22"/>
        </w:rPr>
        <w:t>Dell’Oro</w:t>
      </w:r>
      <w:r>
        <w:rPr>
          <w:rFonts w:cs="等线" w:eastAsia="楷体" w:cstheme="minorHAnsi"/>
          <w:kern w:val="2"/>
          <w:sz w:val="22"/>
          <w:szCs w:val="22"/>
        </w:rPr>
        <w:t>最新预测，</w:t>
      </w:r>
      <w:r>
        <w:rPr>
          <w:rFonts w:eastAsia="楷体" w:cs="等线" w:cstheme="minorHAnsi"/>
          <w:kern w:val="2"/>
          <w:sz w:val="22"/>
          <w:szCs w:val="22"/>
        </w:rPr>
        <w:t>2029</w:t>
      </w:r>
      <w:r>
        <w:rPr>
          <w:rFonts w:cs="等线" w:eastAsia="楷体" w:cstheme="minorHAnsi"/>
          <w:kern w:val="2"/>
          <w:sz w:val="22"/>
          <w:szCs w:val="22"/>
        </w:rPr>
        <w:t>年全球数据中心资本支出将达</w:t>
      </w:r>
      <w:r>
        <w:rPr>
          <w:rFonts w:eastAsia="楷体" w:cs="等线" w:cstheme="minorHAnsi"/>
          <w:kern w:val="2"/>
          <w:sz w:val="22"/>
          <w:szCs w:val="22"/>
        </w:rPr>
        <w:t>1.2</w:t>
      </w:r>
      <w:r>
        <w:rPr>
          <w:rFonts w:cs="等线" w:eastAsia="楷体" w:cstheme="minorHAnsi"/>
          <w:kern w:val="2"/>
          <w:sz w:val="22"/>
          <w:szCs w:val="22"/>
        </w:rPr>
        <w:t>万亿美元，</w:t>
      </w:r>
      <w:r>
        <w:rPr>
          <w:rFonts w:eastAsia="楷体" w:cs="等线" w:cstheme="minorHAnsi"/>
          <w:kern w:val="2"/>
          <w:sz w:val="22"/>
          <w:szCs w:val="22"/>
        </w:rPr>
        <w:t>2024–2029</w:t>
      </w:r>
      <w:r>
        <w:rPr>
          <w:rFonts w:cs="等线" w:eastAsia="楷体" w:cstheme="minorHAnsi"/>
          <w:kern w:val="2"/>
          <w:sz w:val="22"/>
          <w:szCs w:val="22"/>
        </w:rPr>
        <w:t>年复合增长率高达</w:t>
      </w:r>
      <w:r>
        <w:rPr>
          <w:rFonts w:eastAsia="楷体" w:cs="等线" w:cstheme="minorHAnsi"/>
          <w:kern w:val="2"/>
          <w:sz w:val="22"/>
          <w:szCs w:val="22"/>
        </w:rPr>
        <w:t>21%</w:t>
      </w:r>
      <w:r>
        <w:rPr>
          <w:rFonts w:cs="等线" w:eastAsia="楷体" w:cstheme="minorHAnsi"/>
          <w:kern w:val="2"/>
          <w:sz w:val="22"/>
          <w:szCs w:val="22"/>
        </w:rPr>
        <w:t>，标志着未来五年数据中心建设将进入空前繁荣周期。</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cs="等线" w:eastAsia="楷体" w:cstheme="minorHAnsi"/>
          <w:b/>
          <w:bCs/>
          <w:kern w:val="2"/>
          <w:sz w:val="22"/>
          <w:szCs w:val="22"/>
        </w:rPr>
        <w:t>算力扩张与能耗压力相伴而生，数据中心电力消耗正成为全球能源版图中不可忽视的增量项。</w:t>
      </w:r>
      <w:r>
        <w:rPr>
          <w:rFonts w:cs="等线" w:eastAsia="楷体" w:cstheme="minorHAnsi"/>
          <w:kern w:val="2"/>
          <w:sz w:val="22"/>
          <w:szCs w:val="22"/>
        </w:rPr>
        <w:t>国际能源署数据显示，全球数据中心装机容量已从</w:t>
      </w:r>
      <w:r>
        <w:rPr>
          <w:rFonts w:eastAsia="楷体" w:cs="等线" w:cstheme="minorHAnsi"/>
          <w:kern w:val="2"/>
          <w:sz w:val="22"/>
          <w:szCs w:val="22"/>
        </w:rPr>
        <w:t>2005</w:t>
      </w:r>
      <w:r>
        <w:rPr>
          <w:rFonts w:cs="等线" w:eastAsia="楷体" w:cstheme="minorHAnsi"/>
          <w:kern w:val="2"/>
          <w:sz w:val="22"/>
          <w:szCs w:val="22"/>
        </w:rPr>
        <w:t>年的</w:t>
      </w:r>
      <w:r>
        <w:rPr>
          <w:rFonts w:eastAsia="楷体" w:cs="等线" w:cstheme="minorHAnsi"/>
          <w:kern w:val="2"/>
          <w:sz w:val="22"/>
          <w:szCs w:val="22"/>
        </w:rPr>
        <w:t>21.4</w:t>
      </w:r>
      <w:r>
        <w:rPr>
          <w:rFonts w:cs="等线" w:eastAsia="楷体" w:cstheme="minorHAnsi"/>
          <w:kern w:val="2"/>
          <w:sz w:val="22"/>
          <w:szCs w:val="22"/>
        </w:rPr>
        <w:t>吉瓦增至</w:t>
      </w:r>
      <w:r>
        <w:rPr>
          <w:rFonts w:eastAsia="楷体" w:cs="等线" w:cstheme="minorHAnsi"/>
          <w:kern w:val="2"/>
          <w:sz w:val="22"/>
          <w:szCs w:val="22"/>
        </w:rPr>
        <w:t>2021</w:t>
      </w:r>
      <w:r>
        <w:rPr>
          <w:rFonts w:cs="等线" w:eastAsia="楷体" w:cstheme="minorHAnsi"/>
          <w:kern w:val="2"/>
          <w:sz w:val="22"/>
          <w:szCs w:val="22"/>
        </w:rPr>
        <w:t>年的</w:t>
      </w:r>
      <w:r>
        <w:rPr>
          <w:rFonts w:eastAsia="楷体" w:cs="等线" w:cstheme="minorHAnsi"/>
          <w:kern w:val="2"/>
          <w:sz w:val="22"/>
          <w:szCs w:val="22"/>
        </w:rPr>
        <w:t>66.9</w:t>
      </w:r>
      <w:r>
        <w:rPr>
          <w:rFonts w:cs="等线" w:eastAsia="楷体" w:cstheme="minorHAnsi"/>
          <w:kern w:val="2"/>
          <w:sz w:val="22"/>
          <w:szCs w:val="22"/>
        </w:rPr>
        <w:t>吉瓦，预计</w:t>
      </w:r>
      <w:r>
        <w:rPr>
          <w:rFonts w:eastAsia="楷体" w:cs="等线" w:cstheme="minorHAnsi"/>
          <w:kern w:val="2"/>
          <w:sz w:val="22"/>
          <w:szCs w:val="22"/>
        </w:rPr>
        <w:t>2025</w:t>
      </w:r>
      <w:r>
        <w:rPr>
          <w:rFonts w:cs="等线" w:eastAsia="楷体" w:cstheme="minorHAnsi"/>
          <w:kern w:val="2"/>
          <w:sz w:val="22"/>
          <w:szCs w:val="22"/>
        </w:rPr>
        <w:t>年将进一步攀升至</w:t>
      </w:r>
      <w:r>
        <w:rPr>
          <w:rFonts w:eastAsia="楷体" w:cs="等线" w:cstheme="minorHAnsi"/>
          <w:kern w:val="2"/>
          <w:sz w:val="22"/>
          <w:szCs w:val="22"/>
        </w:rPr>
        <w:t>114.3</w:t>
      </w:r>
      <w:r>
        <w:rPr>
          <w:rFonts w:cs="等线" w:eastAsia="楷体" w:cstheme="minorHAnsi"/>
          <w:kern w:val="2"/>
          <w:sz w:val="22"/>
          <w:szCs w:val="22"/>
        </w:rPr>
        <w:t>吉瓦，二十年增长逾</w:t>
      </w:r>
      <w:r>
        <w:rPr>
          <w:rFonts w:eastAsia="楷体" w:cs="等线" w:cstheme="minorHAnsi"/>
          <w:kern w:val="2"/>
          <w:sz w:val="22"/>
          <w:szCs w:val="22"/>
        </w:rPr>
        <w:t>5</w:t>
      </w:r>
      <w:r>
        <w:rPr>
          <w:rFonts w:cs="等线" w:eastAsia="楷体" w:cstheme="minorHAnsi"/>
          <w:kern w:val="2"/>
          <w:sz w:val="22"/>
          <w:szCs w:val="22"/>
        </w:rPr>
        <w:t>倍。与此同时，数据中心耗电量预计</w:t>
      </w:r>
      <w:r>
        <w:rPr>
          <w:rFonts w:eastAsia="楷体" w:cs="等线" w:cstheme="minorHAnsi"/>
          <w:kern w:val="2"/>
          <w:sz w:val="22"/>
          <w:szCs w:val="22"/>
        </w:rPr>
        <w:t>2025</w:t>
      </w:r>
      <w:r>
        <w:rPr>
          <w:rFonts w:cs="等线" w:eastAsia="楷体" w:cstheme="minorHAnsi"/>
          <w:kern w:val="2"/>
          <w:sz w:val="22"/>
          <w:szCs w:val="22"/>
        </w:rPr>
        <w:t>年将达</w:t>
      </w:r>
      <w:r>
        <w:rPr>
          <w:rFonts w:eastAsia="楷体" w:cs="等线" w:cstheme="minorHAnsi"/>
          <w:kern w:val="2"/>
          <w:sz w:val="22"/>
          <w:szCs w:val="22"/>
        </w:rPr>
        <w:t>485.4</w:t>
      </w:r>
      <w:r>
        <w:rPr>
          <w:rFonts w:cs="等线" w:eastAsia="楷体" w:cstheme="minorHAnsi"/>
          <w:kern w:val="2"/>
          <w:sz w:val="22"/>
          <w:szCs w:val="22"/>
        </w:rPr>
        <w:t>太瓦时，占全球用电量的</w:t>
      </w:r>
      <w:r>
        <w:rPr>
          <w:rFonts w:eastAsia="楷体" w:cs="等线" w:cstheme="minorHAnsi"/>
          <w:kern w:val="2"/>
          <w:sz w:val="22"/>
          <w:szCs w:val="22"/>
        </w:rPr>
        <w:t>1.7%</w:t>
      </w:r>
      <w:r>
        <w:rPr>
          <w:rFonts w:cs="等线" w:eastAsia="楷体" w:cstheme="minorHAnsi"/>
          <w:kern w:val="2"/>
          <w:sz w:val="22"/>
          <w:szCs w:val="22"/>
        </w:rPr>
        <w:t>，能源密度与运行负荷的持续抬升，对供电可靠性、能效水平及碳减排目标构成系统性考验。</w:t>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kern w:val="2"/>
          <w:sz w:val="22"/>
          <w:szCs w:val="22"/>
        </w:rPr>
      </w:r>
    </w:p>
    <w:p>
      <w:pPr>
        <w:pStyle w:val="1"/>
        <w:rPr>
          <w:rFonts w:eastAsia="楷体" w:cs="等线" w:cstheme="minorHAnsi"/>
          <w:kern w:val="2"/>
          <w:sz w:val="22"/>
          <w:szCs w:val="22"/>
        </w:rPr>
      </w:pPr>
      <w:r>
        <w:rPr>
          <w:rFonts w:eastAsia="楷体" w:cs="等线" w:cstheme="minorHAns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图：全球数据中心容量</w:t>
            </w:r>
          </w:p>
        </w:tc>
      </w:tr>
      <w:tr>
        <w:trPr/>
        <w:tc>
          <w:tcPr>
            <w:tcW w:w="7733" w:type="dxa"/>
            <w:tcBorders>
              <w:left w:val="nil"/>
              <w:right w:val="nil"/>
            </w:tcBorders>
          </w:tcPr>
          <w:p>
            <w:pPr>
              <w:pStyle w:val="1"/>
              <w:widowControl/>
              <w:spacing w:before="0" w:after="0"/>
              <w:jc w:val="center"/>
              <w:rPr>
                <w:rFonts w:eastAsia="楷体" w:cs="等线" w:cstheme="minorHAnsi"/>
                <w:kern w:val="2"/>
                <w:sz w:val="22"/>
                <w:szCs w:val="22"/>
              </w:rPr>
            </w:pPr>
            <w:r>
              <w:rPr>
                <w:kern w:val="0"/>
              </w:rPr>
              <w:drawing>
                <wp:inline distT="0" distB="0" distL="0" distR="0">
                  <wp:extent cx="3716020" cy="4549140"/>
                  <wp:effectExtent l="0" t="0" r="0" b="0"/>
                  <wp:docPr id="20" name="Image16"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图片包含 图形用户界面&#10;&#10;AI 生成的内容可能不正确。"/>
                          <pic:cNvPicPr>
                            <a:picLocks noChangeAspect="1" noChangeArrowheads="1"/>
                          </pic:cNvPicPr>
                        </pic:nvPicPr>
                        <pic:blipFill>
                          <a:blip r:embed="rId42"/>
                          <a:stretch>
                            <a:fillRect/>
                          </a:stretch>
                        </pic:blipFill>
                        <pic:spPr bwMode="auto">
                          <a:xfrm>
                            <a:off x="0" y="0"/>
                            <a:ext cx="3716020" cy="4549140"/>
                          </a:xfrm>
                          <a:prstGeom prst="rect">
                            <a:avLst/>
                          </a:prstGeom>
                        </pic:spPr>
                      </pic:pic>
                    </a:graphicData>
                  </a:graphic>
                </wp:inline>
              </w:drawing>
            </w:r>
          </w:p>
        </w:tc>
      </w:tr>
      <w:tr>
        <w:trPr/>
        <w:tc>
          <w:tcPr>
            <w:tcW w:w="7733"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w:t>
            </w:r>
            <w:r>
              <w:rPr>
                <w:rFonts w:eastAsia="楷体" w:cs="Calibri"/>
                <w:kern w:val="2"/>
                <w:sz w:val="22"/>
                <w:szCs w:val="22"/>
              </w:rPr>
              <w:t>Dell’Oro</w:t>
            </w:r>
            <w:r>
              <w:rPr>
                <w:rFonts w:cs="Calibri" w:eastAsia="楷体"/>
                <w:kern w:val="2"/>
                <w:sz w:val="22"/>
                <w:szCs w:val="22"/>
              </w:rPr>
              <w:t>，</w:t>
            </w:r>
            <w:r>
              <w:rPr>
                <w:rFonts w:eastAsia="楷体" w:cs="Calibri"/>
                <w:kern w:val="0"/>
                <w:sz w:val="20"/>
                <w:szCs w:val="20"/>
              </w:rPr>
              <w:t>HFI</w:t>
            </w:r>
          </w:p>
        </w:tc>
      </w:tr>
    </w:tbl>
    <w:p>
      <w:pPr>
        <w:pStyle w:val="1"/>
        <w:rPr>
          <w:rFonts w:eastAsia="楷体"/>
        </w:rPr>
      </w:pPr>
      <w:r>
        <w:rPr>
          <w:rFonts w:eastAsia="楷体"/>
        </w:rPr>
      </w:r>
    </w:p>
    <w:p>
      <w:pPr>
        <w:pStyle w:val="1"/>
        <w:rPr>
          <w:rFonts w:ascii="楷体" w:hAnsi="楷体" w:eastAsia="楷体"/>
          <w:sz w:val="22"/>
          <w:szCs w:val="22"/>
        </w:rPr>
      </w:pPr>
      <w:r>
        <w:rPr>
          <w:rFonts w:ascii="楷体" w:hAnsi="楷体" w:eastAsia="楷体"/>
          <w:b/>
          <w:bCs/>
          <w:sz w:val="22"/>
          <w:szCs w:val="22"/>
        </w:rPr>
        <w:t>全球算力基础设施布局呈现显著的美中双极主导格局，两国合计占据近七成装机份额，区域算力梯度清晰。</w:t>
      </w:r>
      <w:r>
        <w:rPr>
          <w:rFonts w:ascii="楷体" w:hAnsi="楷体" w:eastAsia="楷体"/>
          <w:sz w:val="22"/>
          <w:szCs w:val="22"/>
        </w:rPr>
        <w:t xml:space="preserve"> 截至</w:t>
      </w:r>
      <w:r>
        <w:rPr>
          <w:rFonts w:eastAsia="楷体" w:ascii="楷体" w:hAnsi="楷体"/>
          <w:sz w:val="22"/>
          <w:szCs w:val="22"/>
        </w:rPr>
        <w:t>2024</w:t>
      </w:r>
      <w:r>
        <w:rPr>
          <w:rFonts w:ascii="楷体" w:hAnsi="楷体" w:eastAsia="楷体"/>
          <w:sz w:val="22"/>
          <w:szCs w:val="22"/>
        </w:rPr>
        <w:t>年，全球数据中心总装机容量约</w:t>
      </w:r>
      <w:r>
        <w:rPr>
          <w:rFonts w:eastAsia="楷体" w:ascii="楷体" w:hAnsi="楷体"/>
          <w:sz w:val="22"/>
          <w:szCs w:val="22"/>
        </w:rPr>
        <w:t>122.2</w:t>
      </w:r>
      <w:r>
        <w:rPr>
          <w:rFonts w:ascii="楷体" w:hAnsi="楷体" w:eastAsia="楷体"/>
          <w:sz w:val="22"/>
          <w:szCs w:val="22"/>
        </w:rPr>
        <w:t>吉瓦，美国与中国为第一梯队，分别达</w:t>
      </w:r>
      <w:r>
        <w:rPr>
          <w:rFonts w:eastAsia="楷体" w:ascii="楷体" w:hAnsi="楷体"/>
          <w:sz w:val="22"/>
          <w:szCs w:val="22"/>
        </w:rPr>
        <w:t>53.7</w:t>
      </w:r>
      <w:r>
        <w:rPr>
          <w:rFonts w:ascii="楷体" w:hAnsi="楷体" w:eastAsia="楷体"/>
          <w:sz w:val="22"/>
          <w:szCs w:val="22"/>
        </w:rPr>
        <w:t>吉瓦与</w:t>
      </w:r>
      <w:r>
        <w:rPr>
          <w:rFonts w:eastAsia="楷体" w:ascii="楷体" w:hAnsi="楷体"/>
          <w:sz w:val="22"/>
          <w:szCs w:val="22"/>
        </w:rPr>
        <w:t>31.9</w:t>
      </w:r>
      <w:r>
        <w:rPr>
          <w:rFonts w:ascii="楷体" w:hAnsi="楷体" w:eastAsia="楷体"/>
          <w:sz w:val="22"/>
          <w:szCs w:val="22"/>
        </w:rPr>
        <w:t>吉瓦，合计占比约</w:t>
      </w:r>
      <w:r>
        <w:rPr>
          <w:rFonts w:eastAsia="楷体" w:ascii="楷体" w:hAnsi="楷体"/>
          <w:sz w:val="22"/>
          <w:szCs w:val="22"/>
        </w:rPr>
        <w:t>70%</w:t>
      </w:r>
      <w:r>
        <w:rPr>
          <w:rFonts w:ascii="楷体" w:hAnsi="楷体" w:eastAsia="楷体"/>
          <w:sz w:val="22"/>
          <w:szCs w:val="22"/>
        </w:rPr>
        <w:t>，远超其他国家和地区。欧洲位列第二梯队，欧盟及英国合计装机约</w:t>
      </w:r>
      <w:r>
        <w:rPr>
          <w:rFonts w:eastAsia="楷体" w:ascii="楷体" w:hAnsi="楷体"/>
          <w:sz w:val="22"/>
          <w:szCs w:val="22"/>
        </w:rPr>
        <w:t>14.5</w:t>
      </w:r>
      <w:r>
        <w:rPr>
          <w:rFonts w:ascii="楷体" w:hAnsi="楷体" w:eastAsia="楷体"/>
          <w:sz w:val="22"/>
          <w:szCs w:val="22"/>
        </w:rPr>
        <w:t>吉瓦；亚太其他地区中，日本与韩国共约</w:t>
      </w:r>
      <w:r>
        <w:rPr>
          <w:rFonts w:eastAsia="楷体" w:ascii="楷体" w:hAnsi="楷体"/>
          <w:sz w:val="22"/>
          <w:szCs w:val="22"/>
        </w:rPr>
        <w:t>6.6</w:t>
      </w:r>
      <w:r>
        <w:rPr>
          <w:rFonts w:ascii="楷体" w:hAnsi="楷体" w:eastAsia="楷体"/>
          <w:sz w:val="22"/>
          <w:szCs w:val="22"/>
        </w:rPr>
        <w:t>吉瓦，印度约</w:t>
      </w:r>
      <w:r>
        <w:rPr>
          <w:rFonts w:eastAsia="楷体" w:ascii="楷体" w:hAnsi="楷体"/>
          <w:sz w:val="22"/>
          <w:szCs w:val="22"/>
        </w:rPr>
        <w:t>3.6</w:t>
      </w:r>
      <w:r>
        <w:rPr>
          <w:rFonts w:ascii="楷体" w:hAnsi="楷体" w:eastAsia="楷体"/>
          <w:sz w:val="22"/>
          <w:szCs w:val="22"/>
        </w:rPr>
        <w:t>吉瓦，正在成为增量算力布局的重要支点。中东、非洲及拉美地区仍处起步阶段，装机容量分别为</w:t>
      </w:r>
      <w:r>
        <w:rPr>
          <w:rFonts w:eastAsia="楷体" w:ascii="楷体" w:hAnsi="楷体"/>
          <w:sz w:val="22"/>
          <w:szCs w:val="22"/>
        </w:rPr>
        <w:t>1.1</w:t>
      </w:r>
      <w:r>
        <w:rPr>
          <w:rFonts w:ascii="楷体" w:hAnsi="楷体" w:eastAsia="楷体"/>
          <w:sz w:val="22"/>
          <w:szCs w:val="22"/>
        </w:rPr>
        <w:t>吉瓦、</w:t>
      </w:r>
      <w:r>
        <w:rPr>
          <w:rFonts w:eastAsia="楷体" w:ascii="楷体" w:hAnsi="楷体"/>
          <w:sz w:val="22"/>
          <w:szCs w:val="22"/>
        </w:rPr>
        <w:t>1.5</w:t>
      </w:r>
      <w:r>
        <w:rPr>
          <w:rFonts w:ascii="楷体" w:hAnsi="楷体" w:eastAsia="楷体"/>
          <w:sz w:val="22"/>
          <w:szCs w:val="22"/>
        </w:rPr>
        <w:t>吉瓦及</w:t>
      </w:r>
      <w:r>
        <w:rPr>
          <w:rFonts w:eastAsia="楷体" w:ascii="楷体" w:hAnsi="楷体"/>
          <w:sz w:val="22"/>
          <w:szCs w:val="22"/>
        </w:rPr>
        <w:t>1.2</w:t>
      </w:r>
      <w:r>
        <w:rPr>
          <w:rFonts w:ascii="楷体" w:hAnsi="楷体" w:eastAsia="楷体"/>
          <w:sz w:val="22"/>
          <w:szCs w:val="22"/>
        </w:rPr>
        <w:t>吉瓦（以巴西为主），但受益于数字化追赶与能源转型，已呈现加速追赶态势。整体来看，全球算力版图正从“美中欧三极”向“美中主导、亚太多极、新兴跟进”的区域格局演化。</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中国算力基础设施已进入规模扩张与结构升级并行的新阶段，智能算力正成为增长主引擎。</w:t>
      </w:r>
      <w:r>
        <w:rPr>
          <w:rFonts w:ascii="楷体" w:hAnsi="楷体" w:eastAsia="楷体"/>
          <w:sz w:val="22"/>
          <w:szCs w:val="22"/>
        </w:rPr>
        <w:t>截至</w:t>
      </w:r>
      <w:r>
        <w:rPr>
          <w:rFonts w:eastAsia="楷体" w:ascii="楷体" w:hAnsi="楷体"/>
          <w:sz w:val="22"/>
          <w:szCs w:val="22"/>
        </w:rPr>
        <w:t>2024</w:t>
      </w:r>
      <w:r>
        <w:rPr>
          <w:rFonts w:ascii="楷体" w:hAnsi="楷体" w:eastAsia="楷体"/>
          <w:sz w:val="22"/>
          <w:szCs w:val="22"/>
        </w:rPr>
        <w:t>年底，全国在用算力中心机架总数突破</w:t>
      </w:r>
      <w:r>
        <w:rPr>
          <w:rFonts w:eastAsia="楷体" w:ascii="楷体" w:hAnsi="楷体"/>
          <w:sz w:val="22"/>
          <w:szCs w:val="22"/>
        </w:rPr>
        <w:t>880</w:t>
      </w:r>
      <w:r>
        <w:rPr>
          <w:rFonts w:ascii="楷体" w:hAnsi="楷体" w:eastAsia="楷体"/>
          <w:sz w:val="22"/>
          <w:szCs w:val="22"/>
        </w:rPr>
        <w:t>万标准机架，算力总规模达</w:t>
      </w:r>
      <w:r>
        <w:rPr>
          <w:rFonts w:eastAsia="楷体" w:ascii="楷体" w:hAnsi="楷体"/>
          <w:sz w:val="22"/>
          <w:szCs w:val="22"/>
        </w:rPr>
        <w:t>280EFLOPS</w:t>
      </w:r>
      <w:r>
        <w:rPr>
          <w:rFonts w:ascii="楷体" w:hAnsi="楷体" w:eastAsia="楷体"/>
          <w:sz w:val="22"/>
          <w:szCs w:val="22"/>
        </w:rPr>
        <w:t>，其中智能算力占比已提升至</w:t>
      </w:r>
      <w:r>
        <w:rPr>
          <w:rFonts w:eastAsia="楷体" w:ascii="楷体" w:hAnsi="楷体"/>
          <w:sz w:val="22"/>
          <w:szCs w:val="22"/>
        </w:rPr>
        <w:t>32%</w:t>
      </w:r>
      <w:r>
        <w:rPr>
          <w:rFonts w:ascii="楷体" w:hAnsi="楷体" w:eastAsia="楷体"/>
          <w:sz w:val="22"/>
          <w:szCs w:val="22"/>
        </w:rPr>
        <w:t>，反映以大模型训练、</w:t>
      </w:r>
      <w:r>
        <w:rPr>
          <w:rFonts w:eastAsia="楷体" w:ascii="楷体" w:hAnsi="楷体"/>
          <w:sz w:val="22"/>
          <w:szCs w:val="22"/>
        </w:rPr>
        <w:t>AI</w:t>
      </w:r>
      <w:r>
        <w:rPr>
          <w:rFonts w:ascii="楷体" w:hAnsi="楷体" w:eastAsia="楷体"/>
          <w:sz w:val="22"/>
          <w:szCs w:val="22"/>
        </w:rPr>
        <w:t>推理为代表的新一代算力需求正加速放量。</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人工智能技术革命正在从底层重构数据中心的基础设施标准。</w:t>
      </w:r>
      <w:r>
        <w:rPr>
          <w:rFonts w:ascii="楷体" w:hAnsi="楷体" w:eastAsia="楷体"/>
          <w:sz w:val="22"/>
          <w:szCs w:val="22"/>
        </w:rPr>
        <w:t>相较于传统互联网服务，</w:t>
      </w:r>
      <w:r>
        <w:rPr>
          <w:rFonts w:eastAsia="楷体" w:ascii="楷体" w:hAnsi="楷体"/>
          <w:sz w:val="22"/>
          <w:szCs w:val="22"/>
        </w:rPr>
        <w:t>AI</w:t>
      </w:r>
      <w:r>
        <w:rPr>
          <w:rFonts w:ascii="楷体" w:hAnsi="楷体" w:eastAsia="楷体"/>
          <w:sz w:val="22"/>
          <w:szCs w:val="22"/>
        </w:rPr>
        <w:t>算力任务在计算密度、持续负载时长相较于传统业务呈数量级跃升，对供电系统的可靠性、冗余等级，制冷方案的散热效率，以及整体</w:t>
      </w:r>
      <w:r>
        <w:rPr>
          <w:rFonts w:eastAsia="楷体" w:ascii="楷体" w:hAnsi="楷体"/>
          <w:sz w:val="22"/>
          <w:szCs w:val="22"/>
        </w:rPr>
        <w:t>PUE</w:t>
      </w:r>
      <w:r>
        <w:rPr>
          <w:rFonts w:ascii="楷体" w:hAnsi="楷体" w:eastAsia="楷体"/>
          <w:sz w:val="22"/>
          <w:szCs w:val="22"/>
        </w:rPr>
        <w:t>能效指标提出远高于过往的刚性约束。数据中心正由“通用算力仓库”向“智算专用工厂”加速演进。</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b/>
          <w:bCs/>
          <w:sz w:val="22"/>
          <w:szCs w:val="22"/>
        </w:rPr>
        <w:t>“</w:t>
      </w:r>
      <w:r>
        <w:rPr>
          <w:rFonts w:ascii="楷体" w:hAnsi="楷体" w:eastAsia="楷体"/>
          <w:b/>
          <w:bCs/>
          <w:sz w:val="22"/>
          <w:szCs w:val="22"/>
        </w:rPr>
        <w:t>东数西算”国家战略牵引全国算力资源优化重配</w:t>
      </w:r>
      <w:r>
        <w:rPr>
          <w:rFonts w:ascii="楷体" w:hAnsi="楷体" w:eastAsia="楷体"/>
          <w:sz w:val="22"/>
          <w:szCs w:val="22"/>
        </w:rPr>
        <w:t>。围绕京津冀、长三角、粤港澳大湾区、成渝及贵州、内蒙古、甘肃、宁夏八大枢纽节点，国家正系统构建“东部实时算力</w:t>
      </w:r>
      <w:r>
        <w:rPr>
          <w:rFonts w:eastAsia="楷体" w:ascii="楷体" w:hAnsi="楷体"/>
          <w:sz w:val="22"/>
          <w:szCs w:val="22"/>
        </w:rPr>
        <w:t>+</w:t>
      </w:r>
      <w:r>
        <w:rPr>
          <w:rFonts w:ascii="楷体" w:hAnsi="楷体" w:eastAsia="楷体"/>
          <w:sz w:val="22"/>
          <w:szCs w:val="22"/>
        </w:rPr>
        <w:t>西部非实时算力</w:t>
      </w:r>
      <w:r>
        <w:rPr>
          <w:rFonts w:eastAsia="楷体" w:ascii="楷体" w:hAnsi="楷体"/>
          <w:sz w:val="22"/>
          <w:szCs w:val="22"/>
        </w:rPr>
        <w:t>+</w:t>
      </w:r>
      <w:r>
        <w:rPr>
          <w:rFonts w:ascii="楷体" w:hAnsi="楷体" w:eastAsia="楷体"/>
          <w:sz w:val="22"/>
          <w:szCs w:val="22"/>
        </w:rPr>
        <w:t>西部绿电消纳”的协同格局。这一布局既疏解了东部能源与土地承载压力，也为西部可再生能源本地转化与算力产业落地提供战略支点。</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市场侧，</w:t>
      </w:r>
      <w:r>
        <w:rPr>
          <w:rFonts w:eastAsia="楷体" w:ascii="楷体" w:hAnsi="楷体"/>
          <w:b/>
          <w:bCs/>
          <w:sz w:val="22"/>
          <w:szCs w:val="22"/>
        </w:rPr>
        <w:t>IDC</w:t>
      </w:r>
      <w:r>
        <w:rPr>
          <w:rFonts w:ascii="楷体" w:hAnsi="楷体" w:eastAsia="楷体"/>
          <w:b/>
          <w:bCs/>
          <w:sz w:val="22"/>
          <w:szCs w:val="22"/>
        </w:rPr>
        <w:t>基础设施投资仍处长期上行通道。</w:t>
      </w:r>
      <w:r>
        <w:rPr>
          <w:rFonts w:ascii="楷体" w:hAnsi="楷体" w:eastAsia="楷体"/>
          <w:sz w:val="22"/>
          <w:szCs w:val="22"/>
        </w:rPr>
        <w:t>据市场研究预测，到</w:t>
      </w:r>
      <w:r>
        <w:rPr>
          <w:rFonts w:eastAsia="楷体" w:ascii="楷体" w:hAnsi="楷体"/>
          <w:sz w:val="22"/>
          <w:szCs w:val="22"/>
        </w:rPr>
        <w:t>2030</w:t>
      </w:r>
      <w:r>
        <w:rPr>
          <w:rFonts w:ascii="楷体" w:hAnsi="楷体" w:eastAsia="楷体"/>
          <w:sz w:val="22"/>
          <w:szCs w:val="22"/>
        </w:rPr>
        <w:t>年中国互联网数据中心基础设施年投资规模将达</w:t>
      </w:r>
      <w:r>
        <w:rPr>
          <w:rFonts w:eastAsia="楷体" w:ascii="楷体" w:hAnsi="楷体"/>
          <w:sz w:val="22"/>
          <w:szCs w:val="22"/>
        </w:rPr>
        <w:t>2800</w:t>
      </w:r>
      <w:r>
        <w:rPr>
          <w:rFonts w:ascii="楷体" w:hAnsi="楷体" w:eastAsia="楷体"/>
          <w:sz w:val="22"/>
          <w:szCs w:val="22"/>
        </w:rPr>
        <w:t>亿元人民币，</w:t>
      </w:r>
      <w:r>
        <w:rPr>
          <w:rFonts w:eastAsia="楷体" w:ascii="楷体" w:hAnsi="楷体"/>
          <w:sz w:val="22"/>
          <w:szCs w:val="22"/>
        </w:rPr>
        <w:t>2024–2030</w:t>
      </w:r>
      <w:r>
        <w:rPr>
          <w:rFonts w:ascii="楷体" w:hAnsi="楷体" w:eastAsia="楷体"/>
          <w:sz w:val="22"/>
          <w:szCs w:val="22"/>
        </w:rPr>
        <w:t>年复合增长率约</w:t>
      </w:r>
      <w:r>
        <w:rPr>
          <w:rFonts w:eastAsia="楷体" w:ascii="楷体" w:hAnsi="楷体"/>
          <w:sz w:val="22"/>
          <w:szCs w:val="22"/>
        </w:rPr>
        <w:t>7%</w:t>
      </w:r>
      <w:r>
        <w:rPr>
          <w:rFonts w:ascii="楷体" w:hAnsi="楷体" w:eastAsia="楷体"/>
          <w:sz w:val="22"/>
          <w:szCs w:val="22"/>
        </w:rPr>
        <w:t>，增速稳健、空间可观。伴随算力需求从“通用计算”向“智能计算”切换，存量改造与新建投资有望形成双轮驱动。</w:t>
      </w:r>
    </w:p>
    <w:p>
      <w:pPr>
        <w:pStyle w:val="1"/>
        <w:rPr>
          <w:rFonts w:ascii="楷体" w:hAnsi="楷体" w:eastAsia="楷体"/>
          <w:sz w:val="22"/>
          <w:szCs w:val="22"/>
        </w:rPr>
      </w:pPr>
      <w:r>
        <w:rPr>
          <w:rFonts w:eastAsia="楷体" w:ascii="楷体" w:hAnsi="楷体"/>
          <w:sz w:val="22"/>
          <w:szCs w:val="22"/>
        </w:rPr>
      </w:r>
    </w:p>
    <w:tbl>
      <w:tblPr>
        <w:tblStyle w:val="19"/>
        <w:tblW w:w="10490" w:type="dxa"/>
        <w:jc w:val="left"/>
        <w:tblInd w:w="-2885" w:type="dxa"/>
        <w:tblLayout w:type="fixed"/>
        <w:tblCellMar>
          <w:top w:w="0" w:type="dxa"/>
          <w:left w:w="0" w:type="dxa"/>
          <w:bottom w:w="0" w:type="dxa"/>
          <w:right w:w="28" w:type="dxa"/>
        </w:tblCellMar>
      </w:tblPr>
      <w:tblGrid>
        <w:gridCol w:w="5100"/>
        <w:gridCol w:w="241"/>
        <w:gridCol w:w="5149"/>
      </w:tblGrid>
      <w:tr>
        <w:trPr>
          <w:trHeight w:val="227" w:hRule="atLeast"/>
        </w:trPr>
        <w:tc>
          <w:tcPr>
            <w:tcW w:w="5100" w:type="dxa"/>
            <w:tcBorders>
              <w:bottom w:val="single" w:sz="4" w:space="0" w:color="000000"/>
            </w:tcBorders>
          </w:tcPr>
          <w:p>
            <w:pPr>
              <w:pStyle w:val="1"/>
              <w:widowControl/>
              <w:spacing w:before="48" w:after="48"/>
              <w:jc w:val="both"/>
              <w:textAlignment w:val="center"/>
              <w:rPr>
                <w:rFonts w:eastAsia="楷体" w:cs="Calibri"/>
                <w:b/>
                <w:b/>
                <w:sz w:val="20"/>
                <w:szCs w:val="20"/>
              </w:rPr>
            </w:pPr>
            <w:r>
              <w:rPr>
                <w:rFonts w:cs="Calibri" w:eastAsia="楷体"/>
                <w:b/>
                <w:kern w:val="0"/>
                <w:sz w:val="20"/>
                <w:szCs w:val="20"/>
              </w:rPr>
              <w:t>图：中国数据中心基础设施行业规模（单位：亿元人民币）</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bottom w:val="single" w:sz="4" w:space="0" w:color="000000"/>
            </w:tcBorders>
          </w:tcPr>
          <w:p>
            <w:pPr>
              <w:pStyle w:val="1"/>
              <w:widowControl/>
              <w:spacing w:before="48" w:after="48"/>
              <w:jc w:val="both"/>
              <w:rPr>
                <w:rFonts w:eastAsia="楷体" w:cs="Calibri"/>
                <w:b/>
                <w:b/>
                <w:sz w:val="20"/>
                <w:szCs w:val="20"/>
                <w:highlight w:val="yellow"/>
              </w:rPr>
            </w:pPr>
            <w:r>
              <w:rPr>
                <w:rFonts w:cs="Calibri" w:eastAsia="楷体"/>
                <w:b/>
                <w:kern w:val="0"/>
                <w:sz w:val="20"/>
                <w:szCs w:val="20"/>
              </w:rPr>
              <w:t>图：</w:t>
            </w:r>
            <w:r>
              <w:rPr>
                <w:rFonts w:cs="Calibri" w:eastAsia="楷体"/>
                <w:b/>
                <w:bCs/>
                <w:kern w:val="2"/>
                <w:sz w:val="22"/>
                <w:szCs w:val="22"/>
              </w:rPr>
              <w:t>中国数据中心基础设施算力总规模和机架数量</w:t>
            </w:r>
            <w:r>
              <w:rPr>
                <w:rFonts w:cs="Calibri" w:eastAsia="楷体"/>
                <w:b/>
                <w:kern w:val="0"/>
                <w:sz w:val="20"/>
                <w:szCs w:val="20"/>
              </w:rPr>
              <w:t xml:space="preserve"> </w:t>
            </w:r>
          </w:p>
        </w:tc>
      </w:tr>
      <w:tr>
        <w:trPr>
          <w:trHeight w:val="2300" w:hRule="atLeast"/>
        </w:trPr>
        <w:tc>
          <w:tcPr>
            <w:tcW w:w="5100"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楷体" w:cs="Calibri"/>
                <w:b/>
                <w:b/>
                <w:color w:val="000000"/>
                <w:sz w:val="20"/>
                <w:szCs w:val="20"/>
                <w:lang w:bidi="ar-SA"/>
              </w:rPr>
            </w:pPr>
            <w:r>
              <w:rPr>
                <w:kern w:val="0"/>
              </w:rPr>
              <w:drawing>
                <wp:inline distT="0" distB="0" distL="0" distR="0">
                  <wp:extent cx="3101340" cy="1844040"/>
                  <wp:effectExtent l="0" t="0" r="0" b="0"/>
                  <wp:docPr id="2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descr=""/>
                          <pic:cNvPicPr>
                            <a:picLocks noChangeAspect="1" noChangeArrowheads="1"/>
                          </pic:cNvPicPr>
                        </pic:nvPicPr>
                        <pic:blipFill>
                          <a:blip r:embed="rId43"/>
                          <a:stretch>
                            <a:fillRect/>
                          </a:stretch>
                        </pic:blipFill>
                        <pic:spPr bwMode="auto">
                          <a:xfrm>
                            <a:off x="0" y="0"/>
                            <a:ext cx="3101340" cy="1844040"/>
                          </a:xfrm>
                          <a:prstGeom prst="rect">
                            <a:avLst/>
                          </a:prstGeom>
                        </pic:spPr>
                      </pic:pic>
                    </a:graphicData>
                  </a:graphic>
                </wp:inline>
              </w:drawing>
            </w:r>
          </w:p>
        </w:tc>
        <w:tc>
          <w:tcPr>
            <w:tcW w:w="241" w:type="dxa"/>
            <w:tcBorders/>
            <w:tcMar>
              <w:left w:w="108" w:type="dxa"/>
              <w:right w:w="108" w:type="dxa"/>
            </w:tcMar>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bottom w:val="single" w:sz="4" w:space="0" w:color="000000"/>
            </w:tcBorders>
            <w:tcMar>
              <w:left w:w="108" w:type="dxa"/>
              <w:right w:w="108" w:type="dxa"/>
            </w:tcMar>
          </w:tcPr>
          <w:p>
            <w:pPr>
              <w:pStyle w:val="1"/>
              <w:widowControl/>
              <w:spacing w:before="48" w:after="48"/>
              <w:jc w:val="center"/>
              <w:rPr>
                <w:rFonts w:eastAsia="楷体" w:cs="Calibri"/>
                <w:b/>
                <w:b/>
                <w:sz w:val="20"/>
                <w:szCs w:val="20"/>
              </w:rPr>
            </w:pPr>
            <w:r>
              <w:rPr>
                <w:kern w:val="0"/>
              </w:rPr>
              <w:drawing>
                <wp:inline distT="0" distB="0" distL="0" distR="0">
                  <wp:extent cx="3132455" cy="1872615"/>
                  <wp:effectExtent l="0" t="0" r="0" b="0"/>
                  <wp:docPr id="2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pic:cNvPicPr>
                            <a:picLocks noChangeAspect="1" noChangeArrowheads="1"/>
                          </pic:cNvPicPr>
                        </pic:nvPicPr>
                        <pic:blipFill>
                          <a:blip r:embed="rId44"/>
                          <a:stretch>
                            <a:fillRect/>
                          </a:stretch>
                        </pic:blipFill>
                        <pic:spPr bwMode="auto">
                          <a:xfrm>
                            <a:off x="0" y="0"/>
                            <a:ext cx="3132455" cy="1872615"/>
                          </a:xfrm>
                          <a:prstGeom prst="rect">
                            <a:avLst/>
                          </a:prstGeom>
                        </pic:spPr>
                      </pic:pic>
                    </a:graphicData>
                  </a:graphic>
                </wp:inline>
              </w:drawing>
            </w:r>
          </w:p>
        </w:tc>
      </w:tr>
      <w:tr>
        <w:trPr>
          <w:trHeight w:val="227" w:hRule="atLeast"/>
        </w:trPr>
        <w:tc>
          <w:tcPr>
            <w:tcW w:w="5100" w:type="dxa"/>
            <w:tcBorders>
              <w:top w:val="single" w:sz="4" w:space="0" w:color="000000"/>
            </w:tcBorders>
            <w:vAlign w:val="center"/>
          </w:tcPr>
          <w:p>
            <w:pPr>
              <w:pStyle w:val="1"/>
              <w:widowControl/>
              <w:spacing w:before="48" w:after="48"/>
              <w:jc w:val="both"/>
              <w:textAlignment w:val="center"/>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 xml:space="preserve">: </w:t>
            </w:r>
            <w:r>
              <w:rPr>
                <w:rFonts w:cs="Calibri" w:eastAsia="楷体"/>
                <w:kern w:val="0"/>
                <w:sz w:val="20"/>
                <w:szCs w:val="20"/>
              </w:rPr>
              <w:t>智研瞻</w:t>
            </w:r>
            <w:r>
              <w:rPr>
                <w:rFonts w:eastAsia="楷体" w:cs="Calibri"/>
                <w:kern w:val="0"/>
                <w:sz w:val="20"/>
                <w:szCs w:val="20"/>
              </w:rPr>
              <w:t>, HFI</w:t>
            </w:r>
          </w:p>
        </w:tc>
        <w:tc>
          <w:tcPr>
            <w:tcW w:w="241" w:type="dxa"/>
            <w:tcBorders/>
          </w:tcPr>
          <w:p>
            <w:pPr>
              <w:pStyle w:val="1"/>
              <w:widowControl/>
              <w:spacing w:before="48" w:after="48"/>
              <w:jc w:val="both"/>
              <w:rPr>
                <w:rFonts w:eastAsia="楷体" w:cs="Calibri"/>
                <w:sz w:val="20"/>
                <w:szCs w:val="20"/>
              </w:rPr>
            </w:pPr>
            <w:r>
              <w:rPr>
                <w:rFonts w:eastAsia="楷体" w:cs="Calibri"/>
                <w:kern w:val="0"/>
                <w:sz w:val="20"/>
                <w:szCs w:val="20"/>
              </w:rPr>
            </w:r>
          </w:p>
        </w:tc>
        <w:tc>
          <w:tcPr>
            <w:tcW w:w="5149" w:type="dxa"/>
            <w:tcBorders>
              <w:top w:val="single" w:sz="4" w:space="0" w:color="000000"/>
            </w:tcBorders>
          </w:tcPr>
          <w:p>
            <w:pPr>
              <w:pStyle w:val="1"/>
              <w:widowControl/>
              <w:spacing w:before="48" w:after="48"/>
              <w:jc w:val="both"/>
              <w:rPr>
                <w:rFonts w:eastAsia="楷体" w:cs="Calibri"/>
                <w:sz w:val="20"/>
                <w:szCs w:val="20"/>
              </w:rPr>
            </w:pPr>
            <w:r>
              <w:rPr>
                <w:rFonts w:cs="Calibri" w:eastAsia="楷体"/>
                <w:b/>
                <w:bCs/>
                <w:kern w:val="0"/>
                <w:sz w:val="20"/>
                <w:szCs w:val="20"/>
              </w:rPr>
              <w:t>资料来源</w:t>
            </w:r>
            <w:r>
              <w:rPr>
                <w:rFonts w:eastAsia="楷体" w:cs="Calibri"/>
                <w:b/>
                <w:bCs/>
                <w:kern w:val="0"/>
                <w:sz w:val="20"/>
                <w:szCs w:val="20"/>
              </w:rPr>
              <w:t>:</w:t>
            </w:r>
            <w:r>
              <w:rPr>
                <w:rFonts w:eastAsia="楷体" w:cs="Calibri"/>
                <w:kern w:val="0"/>
                <w:sz w:val="20"/>
                <w:szCs w:val="20"/>
              </w:rPr>
              <w:t xml:space="preserve"> </w:t>
            </w:r>
            <w:r>
              <w:rPr>
                <w:rFonts w:cs="Calibri" w:eastAsia="楷体"/>
                <w:kern w:val="0"/>
                <w:sz w:val="20"/>
                <w:szCs w:val="20"/>
              </w:rPr>
              <w:t>国家数据局</w:t>
            </w:r>
            <w:r>
              <w:rPr>
                <w:rFonts w:eastAsia="楷体" w:cs="Calibri"/>
                <w:kern w:val="0"/>
                <w:sz w:val="20"/>
                <w:szCs w:val="20"/>
              </w:rPr>
              <w:t>, HFI</w:t>
            </w:r>
          </w:p>
        </w:tc>
      </w:tr>
    </w:tbl>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东南亚正迅速崛起为全球数字基础设施版图的新增长极，区域数据中心市场已进入爆发式扩张通道。</w:t>
      </w:r>
      <w:r>
        <w:rPr>
          <w:rFonts w:ascii="楷体" w:hAnsi="楷体" w:eastAsia="楷体"/>
          <w:sz w:val="22"/>
          <w:szCs w:val="22"/>
        </w:rPr>
        <w:t>受互联网用户激增、数字经济蓬勃发展及各国产业数字化转型三重驱动，东南亚数据中心需求呈指数级攀升。据估算，到</w:t>
      </w:r>
      <w:r>
        <w:rPr>
          <w:rFonts w:eastAsia="楷体" w:ascii="楷体" w:hAnsi="楷体"/>
          <w:sz w:val="22"/>
          <w:szCs w:val="22"/>
        </w:rPr>
        <w:t>2030</w:t>
      </w:r>
      <w:r>
        <w:rPr>
          <w:rFonts w:ascii="楷体" w:hAnsi="楷体" w:eastAsia="楷体"/>
          <w:sz w:val="22"/>
          <w:szCs w:val="22"/>
        </w:rPr>
        <w:t>年区域市场规模将扩张至约</w:t>
      </w:r>
      <w:r>
        <w:rPr>
          <w:rFonts w:eastAsia="楷体" w:ascii="楷体" w:hAnsi="楷体"/>
          <w:sz w:val="22"/>
          <w:szCs w:val="22"/>
        </w:rPr>
        <w:t>300</w:t>
      </w:r>
      <w:r>
        <w:rPr>
          <w:rFonts w:ascii="楷体" w:hAnsi="楷体" w:eastAsia="楷体"/>
          <w:sz w:val="22"/>
          <w:szCs w:val="22"/>
        </w:rPr>
        <w:t>亿美元，年均增速超过</w:t>
      </w:r>
      <w:r>
        <w:rPr>
          <w:rFonts w:eastAsia="楷体" w:ascii="楷体" w:hAnsi="楷体"/>
          <w:sz w:val="22"/>
          <w:szCs w:val="22"/>
        </w:rPr>
        <w:t>15%</w:t>
      </w:r>
      <w:r>
        <w:rPr>
          <w:rFonts w:ascii="楷体" w:hAnsi="楷体" w:eastAsia="楷体"/>
          <w:sz w:val="22"/>
          <w:szCs w:val="22"/>
        </w:rPr>
        <w:t>，成为全球算力布局中最具活力的增量市场之一。</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新加坡作为亚太数据中心重镇，正因土地与能源硬约束转向供给管制，产能外溢效应加速释放。</w:t>
      </w:r>
      <w:r>
        <w:rPr>
          <w:rFonts w:ascii="楷体" w:hAnsi="楷体" w:eastAsia="楷体"/>
          <w:sz w:val="22"/>
          <w:szCs w:val="22"/>
        </w:rPr>
        <w:t>该国对超大型数据中心项目实行配额管理，新建供给持续趋紧，客观上推动资本向周边国家分流，开启“新加坡</w:t>
      </w:r>
      <w:r>
        <w:rPr>
          <w:rFonts w:eastAsia="楷体" w:ascii="楷体" w:hAnsi="楷体"/>
          <w:sz w:val="22"/>
          <w:szCs w:val="22"/>
        </w:rPr>
        <w:t>+</w:t>
      </w:r>
      <w:r>
        <w:rPr>
          <w:rFonts w:ascii="楷体" w:hAnsi="楷体" w:eastAsia="楷体"/>
          <w:sz w:val="22"/>
          <w:szCs w:val="22"/>
        </w:rPr>
        <w:t>周边”的多极算力协同格局。</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b/>
          <w:b/>
          <w:bCs/>
          <w:sz w:val="22"/>
          <w:szCs w:val="22"/>
        </w:rPr>
      </w:pPr>
      <w:r>
        <w:rPr>
          <w:rFonts w:ascii="楷体" w:hAnsi="楷体" w:eastAsia="楷体"/>
          <w:b/>
          <w:bCs/>
          <w:sz w:val="22"/>
          <w:szCs w:val="22"/>
        </w:rPr>
        <w:t>马来西亚、印度尼西亚、泰国承接溢出红利，成为跨国资本竞逐的新兴热土。</w:t>
      </w:r>
    </w:p>
    <w:p>
      <w:pPr>
        <w:pStyle w:val="37"/>
        <w:numPr>
          <w:ilvl w:val="0"/>
          <w:numId w:val="6"/>
        </w:numPr>
        <w:rPr>
          <w:rFonts w:ascii="楷体" w:hAnsi="楷体" w:eastAsia="楷体"/>
          <w:sz w:val="22"/>
          <w:szCs w:val="22"/>
        </w:rPr>
      </w:pPr>
      <w:r>
        <w:rPr>
          <w:rFonts w:ascii="楷体" w:hAnsi="楷体" w:eastAsia="楷体"/>
          <w:sz w:val="22"/>
          <w:szCs w:val="22"/>
        </w:rPr>
        <w:t>马来西亚计划五年内将数据中心总容量提升</w:t>
      </w:r>
      <w:r>
        <w:rPr>
          <w:rFonts w:eastAsia="楷体" w:ascii="楷体" w:hAnsi="楷体"/>
          <w:sz w:val="22"/>
          <w:szCs w:val="22"/>
        </w:rPr>
        <w:t>80%</w:t>
      </w:r>
      <w:r>
        <w:rPr>
          <w:rFonts w:ascii="楷体" w:hAnsi="楷体" w:eastAsia="楷体"/>
          <w:sz w:val="22"/>
          <w:szCs w:val="22"/>
        </w:rPr>
        <w:t>，</w:t>
      </w:r>
      <w:r>
        <w:rPr>
          <w:rFonts w:eastAsia="楷体" w:ascii="楷体" w:hAnsi="楷体"/>
          <w:sz w:val="22"/>
          <w:szCs w:val="22"/>
        </w:rPr>
        <w:t>2030</w:t>
      </w:r>
      <w:r>
        <w:rPr>
          <w:rFonts w:ascii="楷体" w:hAnsi="楷体" w:eastAsia="楷体"/>
          <w:sz w:val="22"/>
          <w:szCs w:val="22"/>
        </w:rPr>
        <w:t>年全国装机目标达</w:t>
      </w:r>
      <w:r>
        <w:rPr>
          <w:rFonts w:eastAsia="楷体" w:ascii="楷体" w:hAnsi="楷体"/>
          <w:sz w:val="22"/>
          <w:szCs w:val="22"/>
        </w:rPr>
        <w:t>2.53</w:t>
      </w:r>
      <w:r>
        <w:rPr>
          <w:rFonts w:ascii="楷体" w:hAnsi="楷体" w:eastAsia="楷体"/>
          <w:sz w:val="22"/>
          <w:szCs w:val="22"/>
        </w:rPr>
        <w:t>吉瓦，政策牵引力度显著；</w:t>
      </w:r>
    </w:p>
    <w:p>
      <w:pPr>
        <w:pStyle w:val="37"/>
        <w:numPr>
          <w:ilvl w:val="0"/>
          <w:numId w:val="6"/>
        </w:numPr>
        <w:rPr>
          <w:rFonts w:ascii="楷体" w:hAnsi="楷体" w:eastAsia="楷体"/>
          <w:sz w:val="22"/>
          <w:szCs w:val="22"/>
        </w:rPr>
      </w:pPr>
      <w:r>
        <w:rPr>
          <w:rFonts w:ascii="楷体" w:hAnsi="楷体" w:eastAsia="楷体"/>
          <w:sz w:val="22"/>
          <w:szCs w:val="22"/>
        </w:rPr>
        <w:t>印尼以雅加达为核心圈，多个大型园区密集落地，本土龙头</w:t>
      </w:r>
      <w:r>
        <w:rPr>
          <w:rFonts w:eastAsia="楷体" w:ascii="楷体" w:hAnsi="楷体"/>
          <w:sz w:val="22"/>
          <w:szCs w:val="22"/>
        </w:rPr>
        <w:t>DCI</w:t>
      </w:r>
      <w:r>
        <w:rPr>
          <w:rFonts w:ascii="楷体" w:hAnsi="楷体" w:eastAsia="楷体"/>
          <w:sz w:val="22"/>
          <w:szCs w:val="22"/>
        </w:rPr>
        <w:t>公司近期启用第八座数据中心，创该国规模之最；</w:t>
      </w:r>
    </w:p>
    <w:p>
      <w:pPr>
        <w:pStyle w:val="37"/>
        <w:numPr>
          <w:ilvl w:val="0"/>
          <w:numId w:val="6"/>
        </w:numPr>
        <w:rPr>
          <w:rFonts w:ascii="楷体" w:hAnsi="楷体" w:eastAsia="楷体"/>
          <w:sz w:val="22"/>
          <w:szCs w:val="22"/>
        </w:rPr>
      </w:pPr>
      <w:r>
        <w:rPr>
          <w:rFonts w:ascii="楷体" w:hAnsi="楷体" w:eastAsia="楷体"/>
          <w:sz w:val="22"/>
          <w:szCs w:val="22"/>
        </w:rPr>
        <w:t>泰国则通过放宽投资激励快速卡位，投资委员会（</w:t>
      </w:r>
      <w:r>
        <w:rPr>
          <w:rFonts w:eastAsia="楷体" w:ascii="楷体" w:hAnsi="楷体"/>
          <w:sz w:val="22"/>
          <w:szCs w:val="22"/>
        </w:rPr>
        <w:t>BOI</w:t>
      </w:r>
      <w:r>
        <w:rPr>
          <w:rFonts w:ascii="楷体" w:hAnsi="楷体" w:eastAsia="楷体"/>
          <w:sz w:val="22"/>
          <w:szCs w:val="22"/>
        </w:rPr>
        <w:t>）已批准总额</w:t>
      </w:r>
      <w:r>
        <w:rPr>
          <w:rFonts w:eastAsia="楷体" w:ascii="楷体" w:hAnsi="楷体"/>
          <w:sz w:val="22"/>
          <w:szCs w:val="22"/>
        </w:rPr>
        <w:t>7.27</w:t>
      </w:r>
      <w:r>
        <w:rPr>
          <w:rFonts w:ascii="楷体" w:hAnsi="楷体" w:eastAsia="楷体"/>
          <w:sz w:val="22"/>
          <w:szCs w:val="22"/>
        </w:rPr>
        <w:t>亿美元的数据中心项目，力图打造“千兆数据中心时代”的区域枢纽。</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越南、菲律宾等后发国家同样展现强劲潜力，多元梯队格局正在成型。</w:t>
      </w:r>
      <w:r>
        <w:rPr>
          <w:rFonts w:ascii="楷体" w:hAnsi="楷体" w:eastAsia="楷体"/>
          <w:sz w:val="22"/>
          <w:szCs w:val="22"/>
        </w:rPr>
        <w:t>越南绿色数据中心市场预计</w:t>
      </w:r>
      <w:r>
        <w:rPr>
          <w:rFonts w:eastAsia="楷体" w:ascii="楷体" w:hAnsi="楷体"/>
          <w:sz w:val="22"/>
          <w:szCs w:val="22"/>
        </w:rPr>
        <w:t>2025–2033</w:t>
      </w:r>
      <w:r>
        <w:rPr>
          <w:rFonts w:ascii="楷体" w:hAnsi="楷体" w:eastAsia="楷体"/>
          <w:sz w:val="22"/>
          <w:szCs w:val="22"/>
        </w:rPr>
        <w:t>年复合增长率达</w:t>
      </w:r>
      <w:r>
        <w:rPr>
          <w:rFonts w:eastAsia="楷体" w:ascii="楷体" w:hAnsi="楷体"/>
          <w:sz w:val="22"/>
          <w:szCs w:val="22"/>
        </w:rPr>
        <w:t>15.3%</w:t>
      </w:r>
      <w:r>
        <w:rPr>
          <w:rFonts w:ascii="楷体" w:hAnsi="楷体" w:eastAsia="楷体"/>
          <w:sz w:val="22"/>
          <w:szCs w:val="22"/>
        </w:rPr>
        <w:t>；菲律宾则凭借</w:t>
      </w:r>
      <w:r>
        <w:rPr>
          <w:rFonts w:eastAsia="楷体" w:ascii="楷体" w:hAnsi="楷体"/>
          <w:sz w:val="22"/>
          <w:szCs w:val="22"/>
        </w:rPr>
        <w:t>Equinix</w:t>
      </w:r>
      <w:r>
        <w:rPr>
          <w:rFonts w:ascii="楷体" w:hAnsi="楷体" w:eastAsia="楷体"/>
          <w:sz w:val="22"/>
          <w:szCs w:val="22"/>
        </w:rPr>
        <w:t>等国际巨头的本地化布局，加速融入全球算力网络。</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图：</w:t>
            </w:r>
            <w:r>
              <w:rPr>
                <w:rFonts w:cs="等线" w:eastAsia="楷体" w:cstheme="minorHAnsi"/>
                <w:b/>
                <w:bCs/>
                <w:kern w:val="2"/>
                <w:sz w:val="22"/>
                <w:szCs w:val="22"/>
              </w:rPr>
              <w:t>东南亚数据中心建设情况</w:t>
            </w:r>
          </w:p>
        </w:tc>
      </w:tr>
      <w:tr>
        <w:trPr/>
        <w:tc>
          <w:tcPr>
            <w:tcW w:w="7733" w:type="dxa"/>
            <w:tcBorders>
              <w:left w:val="nil"/>
              <w:right w:val="nil"/>
            </w:tcBorders>
          </w:tcPr>
          <w:p>
            <w:pPr>
              <w:pStyle w:val="1"/>
              <w:widowControl/>
              <w:spacing w:before="0" w:after="0"/>
              <w:jc w:val="center"/>
              <w:rPr>
                <w:rFonts w:eastAsia="楷体" w:cs="等线" w:cstheme="minorHAnsi"/>
                <w:kern w:val="2"/>
                <w:sz w:val="22"/>
                <w:szCs w:val="22"/>
              </w:rPr>
            </w:pPr>
            <w:r>
              <w:rPr>
                <w:kern w:val="0"/>
              </w:rPr>
              <w:drawing>
                <wp:inline distT="0" distB="0" distL="0" distR="0">
                  <wp:extent cx="4697730" cy="3060065"/>
                  <wp:effectExtent l="0" t="0" r="0" b="0"/>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45"/>
                          <a:stretch>
                            <a:fillRect/>
                          </a:stretch>
                        </pic:blipFill>
                        <pic:spPr bwMode="auto">
                          <a:xfrm>
                            <a:off x="0" y="0"/>
                            <a:ext cx="4697730" cy="3060065"/>
                          </a:xfrm>
                          <a:prstGeom prst="rect">
                            <a:avLst/>
                          </a:prstGeom>
                        </pic:spPr>
                      </pic:pic>
                    </a:graphicData>
                  </a:graphic>
                </wp:inline>
              </w:drawing>
            </w:r>
          </w:p>
        </w:tc>
      </w:tr>
      <w:tr>
        <w:trPr/>
        <w:tc>
          <w:tcPr>
            <w:tcW w:w="7733"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0"/>
                <w:szCs w:val="20"/>
              </w:rPr>
              <w:t>资料来源：</w:t>
            </w:r>
            <w:r>
              <w:rPr>
                <w:rFonts w:cs="等线" w:eastAsia="楷体" w:cstheme="minorHAnsi"/>
                <w:kern w:val="2"/>
                <w:sz w:val="22"/>
                <w:szCs w:val="22"/>
              </w:rPr>
              <w:t>公司公告，</w:t>
            </w:r>
            <w:r>
              <w:rPr>
                <w:rFonts w:eastAsia="楷体" w:cs="Calibri"/>
                <w:kern w:val="0"/>
                <w:sz w:val="20"/>
                <w:szCs w:val="20"/>
              </w:rPr>
              <w:t>HFI</w:t>
            </w:r>
          </w:p>
        </w:tc>
      </w:tr>
    </w:tbl>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ascii="楷体" w:hAnsi="楷体" w:eastAsia="楷体"/>
          <w:b/>
          <w:bCs/>
          <w:sz w:val="22"/>
          <w:szCs w:val="22"/>
        </w:rPr>
        <w:t>总体来看，东南亚已从单一节点依赖迈向多国协同发力、区域共同崛起的新阶段。</w:t>
      </w:r>
      <w:r>
        <w:rPr>
          <w:rFonts w:ascii="楷体" w:hAnsi="楷体" w:eastAsia="楷体"/>
          <w:sz w:val="22"/>
          <w:szCs w:val="22"/>
        </w:rPr>
        <w:t xml:space="preserve"> 这一轮数据中心建设热潮不仅重塑本地数字基础设施版图，也为上游配电设备、制冷系统及电力载波通信方案提供商开辟了广阔出海空间</w:t>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1"/>
        <w:rPr>
          <w:rFonts w:ascii="楷体" w:hAnsi="楷体" w:eastAsia="楷体"/>
          <w:sz w:val="22"/>
          <w:szCs w:val="22"/>
        </w:rPr>
      </w:pPr>
      <w:r>
        <w:rPr>
          <w:rFonts w:eastAsia="楷体" w:ascii="楷体" w:hAnsi="楷体"/>
          <w:sz w:val="22"/>
          <w:szCs w:val="22"/>
        </w:rPr>
      </w:r>
    </w:p>
    <w:p>
      <w:pPr>
        <w:pStyle w:val="2"/>
        <w:spacing w:before="240" w:after="240"/>
        <w:jc w:val="both"/>
        <w:rPr>
          <w:rFonts w:ascii="Calibri" w:hAnsi="Calibri" w:eastAsia="楷体" w:cs="楷体"/>
          <w:b/>
          <w:b/>
          <w:bCs/>
          <w:color w:val="23558C"/>
          <w:sz w:val="28"/>
          <w:szCs w:val="28"/>
        </w:rPr>
      </w:pPr>
      <w:bookmarkStart w:id="10" w:name="_Toc225872244"/>
      <w:r>
        <w:rPr>
          <w:rFonts w:eastAsia="楷体" w:cs="楷体" w:ascii="Calibri" w:hAnsi="Calibri"/>
          <w:b/>
          <w:bCs/>
          <w:color w:val="23558C"/>
          <w:sz w:val="28"/>
          <w:szCs w:val="28"/>
        </w:rPr>
        <w:t>3</w:t>
      </w:r>
      <w:r>
        <w:rPr>
          <w:rFonts w:ascii="Calibri" w:hAnsi="Calibri" w:cs="楷体" w:eastAsia="楷体"/>
          <w:b/>
          <w:bCs/>
          <w:color w:val="23558C"/>
          <w:sz w:val="28"/>
          <w:szCs w:val="28"/>
        </w:rPr>
        <w:t>护城河深厚叠加强劲增长动力，公司发展正处价值释放快车道</w:t>
      </w:r>
      <w:bookmarkEnd w:id="10"/>
    </w:p>
    <w:p>
      <w:pPr>
        <w:pStyle w:val="77"/>
        <w:jc w:val="both"/>
        <w:rPr>
          <w:rFonts w:ascii="Calibri" w:hAnsi="Calibri" w:eastAsia="楷体" w:cs="楷体"/>
          <w:color w:val="23558C"/>
          <w:sz w:val="24"/>
          <w:szCs w:val="24"/>
        </w:rPr>
      </w:pPr>
      <w:bookmarkStart w:id="11" w:name="_Toc225872245"/>
      <w:r>
        <w:rPr>
          <w:rFonts w:eastAsia="楷体" w:cs="楷体" w:ascii="Calibri" w:hAnsi="Calibri"/>
          <w:color w:val="23558C"/>
          <w:sz w:val="24"/>
          <w:szCs w:val="24"/>
        </w:rPr>
        <w:t>3.1</w:t>
      </w:r>
      <w:r>
        <w:rPr>
          <w:rFonts w:ascii="Calibri" w:hAnsi="Calibri" w:cs="楷体" w:eastAsia="楷体"/>
          <w:color w:val="23558C"/>
          <w:sz w:val="24"/>
          <w:szCs w:val="24"/>
        </w:rPr>
        <w:t>三大业务协同构建全链条服务能力</w:t>
      </w:r>
      <w:bookmarkEnd w:id="11"/>
    </w:p>
    <w:p>
      <w:pPr>
        <w:pStyle w:val="1"/>
        <w:jc w:val="both"/>
        <w:rPr>
          <w:rFonts w:eastAsia="楷体" w:cs="楷体"/>
          <w:kern w:val="2"/>
          <w:sz w:val="22"/>
          <w:szCs w:val="22"/>
        </w:rPr>
      </w:pPr>
      <w:r>
        <w:rPr>
          <w:rFonts w:cs="楷体" w:eastAsia="楷体"/>
          <w:b/>
          <w:bCs/>
          <w:kern w:val="2"/>
          <w:sz w:val="22"/>
          <w:szCs w:val="22"/>
        </w:rPr>
        <w:t>威胜控股通过电</w:t>
      </w:r>
      <w:r>
        <w:rPr>
          <w:rFonts w:eastAsia="楷体" w:cs="楷体"/>
          <w:b/>
          <w:bCs/>
          <w:kern w:val="2"/>
          <w:sz w:val="22"/>
          <w:szCs w:val="22"/>
        </w:rPr>
        <w:t>AMI</w:t>
      </w:r>
      <w:r>
        <w:rPr>
          <w:rFonts w:cs="楷体" w:eastAsia="楷体"/>
          <w:b/>
          <w:bCs/>
          <w:kern w:val="2"/>
          <w:sz w:val="22"/>
          <w:szCs w:val="22"/>
        </w:rPr>
        <w:t>、通信及流体</w:t>
      </w:r>
      <w:r>
        <w:rPr>
          <w:rFonts w:eastAsia="楷体" w:cs="楷体"/>
          <w:b/>
          <w:bCs/>
          <w:kern w:val="2"/>
          <w:sz w:val="22"/>
          <w:szCs w:val="22"/>
        </w:rPr>
        <w:t>AMI</w:t>
      </w:r>
      <w:r>
        <w:rPr>
          <w:rFonts w:cs="楷体" w:eastAsia="楷体"/>
          <w:b/>
          <w:bCs/>
          <w:kern w:val="2"/>
          <w:sz w:val="22"/>
          <w:szCs w:val="22"/>
        </w:rPr>
        <w:t>、</w:t>
      </w:r>
      <w:r>
        <w:rPr>
          <w:rFonts w:eastAsia="楷体" w:cs="楷体"/>
          <w:b/>
          <w:bCs/>
          <w:kern w:val="2"/>
          <w:sz w:val="22"/>
          <w:szCs w:val="22"/>
        </w:rPr>
        <w:t>ADO</w:t>
      </w:r>
      <w:r>
        <w:rPr>
          <w:rFonts w:cs="楷体" w:eastAsia="楷体"/>
          <w:b/>
          <w:bCs/>
          <w:kern w:val="2"/>
          <w:sz w:val="22"/>
          <w:szCs w:val="22"/>
        </w:rPr>
        <w:t>三大业务板块的有机协同，构建了覆盖“计量—通信—配用电”全链条的产品矩阵。</w:t>
      </w:r>
      <w:r>
        <w:rPr>
          <w:rFonts w:cs="楷体" w:eastAsia="楷体"/>
          <w:kern w:val="2"/>
          <w:sz w:val="22"/>
          <w:szCs w:val="22"/>
        </w:rPr>
        <w:t xml:space="preserve"> 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w:t>
      </w:r>
      <w:r>
        <w:rPr>
          <w:rFonts w:eastAsia="楷体" w:cs="楷体"/>
          <w:kern w:val="2"/>
          <w:sz w:val="22"/>
          <w:szCs w:val="22"/>
        </w:rPr>
        <w:t>AI</w:t>
      </w:r>
      <w:r>
        <w:rPr>
          <w:rFonts w:cs="楷体" w:eastAsia="楷体"/>
          <w:kern w:val="2"/>
          <w:sz w:val="22"/>
          <w:szCs w:val="22"/>
        </w:rPr>
        <w:t>数据中心等场景对高效供电与极致散热的刚性需求，为未来增长注入新动能。</w:t>
      </w:r>
    </w:p>
    <w:p>
      <w:pPr>
        <w:pStyle w:val="1"/>
        <w:jc w:val="both"/>
        <w:rPr>
          <w:rFonts w:eastAsia="楷体" w:cs="楷体"/>
          <w:kern w:val="2"/>
          <w:sz w:val="22"/>
          <w:szCs w:val="22"/>
        </w:rPr>
      </w:pPr>
      <w:r>
        <w:rPr>
          <w:rFonts w:eastAsia="楷体" w:cs="楷体"/>
          <w:kern w:val="2"/>
          <w:sz w:val="22"/>
          <w:szCs w:val="22"/>
        </w:rPr>
      </w:r>
    </w:p>
    <w:tbl>
      <w:tblPr>
        <w:tblStyle w:val="20"/>
        <w:tblW w:w="10710" w:type="dxa"/>
        <w:jc w:val="left"/>
        <w:tblInd w:w="-2977" w:type="dxa"/>
        <w:tblLayout w:type="fixed"/>
        <w:tblCellMar>
          <w:top w:w="0" w:type="dxa"/>
          <w:left w:w="108" w:type="dxa"/>
          <w:bottom w:w="0" w:type="dxa"/>
          <w:right w:w="108" w:type="dxa"/>
        </w:tblCellMar>
      </w:tblPr>
      <w:tblGrid>
        <w:gridCol w:w="10710"/>
      </w:tblGrid>
      <w:tr>
        <w:trPr/>
        <w:tc>
          <w:tcPr>
            <w:tcW w:w="10710"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图：公司</w:t>
            </w:r>
            <w:r>
              <w:rPr>
                <w:rFonts w:cs="Calibri" w:eastAsia="楷体"/>
                <w:b/>
                <w:kern w:val="0"/>
                <w:sz w:val="20"/>
                <w:szCs w:val="20"/>
              </w:rPr>
              <w:t>产品矩阵</w:t>
            </w:r>
          </w:p>
        </w:tc>
      </w:tr>
      <w:tr>
        <w:trPr/>
        <w:tc>
          <w:tcPr>
            <w:tcW w:w="10710" w:type="dxa"/>
            <w:tcBorders>
              <w:left w:val="nil"/>
              <w:right w:val="nil"/>
            </w:tcBorders>
          </w:tcPr>
          <w:p>
            <w:pPr>
              <w:pStyle w:val="1"/>
              <w:widowControl/>
              <w:spacing w:before="0" w:after="0"/>
              <w:jc w:val="left"/>
              <w:rPr>
                <w:rFonts w:eastAsia="楷体" w:cs="等线" w:cstheme="minorHAnsi"/>
                <w:kern w:val="2"/>
                <w:sz w:val="22"/>
                <w:szCs w:val="22"/>
              </w:rPr>
            </w:pPr>
            <w:r>
              <w:rPr>
                <w:kern w:val="0"/>
              </w:rPr>
              <w:drawing>
                <wp:inline distT="0" distB="0" distL="0" distR="0">
                  <wp:extent cx="6571615" cy="1275715"/>
                  <wp:effectExtent l="0" t="0" r="0" b="0"/>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46"/>
                          <a:stretch>
                            <a:fillRect/>
                          </a:stretch>
                        </pic:blipFill>
                        <pic:spPr bwMode="auto">
                          <a:xfrm>
                            <a:off x="0" y="0"/>
                            <a:ext cx="6571615" cy="1275715"/>
                          </a:xfrm>
                          <a:prstGeom prst="rect">
                            <a:avLst/>
                          </a:prstGeom>
                        </pic:spPr>
                      </pic:pic>
                    </a:graphicData>
                  </a:graphic>
                </wp:inline>
              </w:drawing>
            </w:r>
          </w:p>
        </w:tc>
      </w:tr>
      <w:tr>
        <w:trPr/>
        <w:tc>
          <w:tcPr>
            <w:tcW w:w="10710"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：公司官网，</w:t>
            </w:r>
            <w:r>
              <w:rPr>
                <w:rFonts w:eastAsia="楷体" w:cs="Calibri"/>
                <w:b/>
                <w:bCs/>
                <w:kern w:val="0"/>
                <w:sz w:val="20"/>
                <w:szCs w:val="20"/>
              </w:rPr>
              <w:t>HFI</w:t>
            </w:r>
          </w:p>
        </w:tc>
      </w:tr>
    </w:tbl>
    <w:p>
      <w:pPr>
        <w:pStyle w:val="1"/>
        <w:jc w:val="both"/>
        <w:rPr>
          <w:rFonts w:eastAsia="楷体" w:cs="Calibri"/>
          <w:kern w:val="2"/>
          <w:sz w:val="22"/>
          <w:szCs w:val="22"/>
        </w:rPr>
      </w:pPr>
      <w:r>
        <w:rPr>
          <w:rFonts w:eastAsia="楷体" w:cs="Calibri"/>
          <w:kern w:val="2"/>
          <w:sz w:val="22"/>
          <w:szCs w:val="22"/>
        </w:rPr>
      </w:r>
    </w:p>
    <w:p>
      <w:pPr>
        <w:pStyle w:val="77"/>
        <w:jc w:val="both"/>
        <w:rPr>
          <w:rFonts w:ascii="Calibri" w:hAnsi="Calibri" w:eastAsia="楷体" w:cs="楷体"/>
          <w:color w:val="23558C"/>
          <w:sz w:val="24"/>
          <w:szCs w:val="24"/>
        </w:rPr>
      </w:pPr>
      <w:bookmarkStart w:id="12" w:name="_Toc225872246"/>
      <w:r>
        <w:rPr>
          <w:rFonts w:eastAsia="楷体" w:cs="楷体" w:ascii="Calibri" w:hAnsi="Calibri"/>
          <w:color w:val="23558C"/>
          <w:sz w:val="24"/>
          <w:szCs w:val="24"/>
        </w:rPr>
        <w:t>3.2</w:t>
      </w:r>
      <w:r>
        <w:rPr>
          <w:rFonts w:ascii="Calibri" w:hAnsi="Calibri" w:cs="楷体" w:eastAsia="楷体"/>
          <w:color w:val="23558C"/>
          <w:sz w:val="24"/>
          <w:szCs w:val="24"/>
        </w:rPr>
        <w:t>三十载深耕筑牢高壁垒客户关系</w:t>
      </w:r>
      <w:bookmarkEnd w:id="12"/>
    </w:p>
    <w:p>
      <w:pPr>
        <w:pStyle w:val="1"/>
        <w:jc w:val="both"/>
        <w:rPr>
          <w:rFonts w:eastAsia="楷体" w:cs="Calibri"/>
          <w:kern w:val="2"/>
          <w:sz w:val="22"/>
          <w:szCs w:val="22"/>
        </w:rPr>
      </w:pPr>
      <w:r>
        <w:rPr>
          <w:rFonts w:cs="Calibri" w:eastAsia="楷体"/>
          <w:b/>
          <w:bCs/>
          <w:kern w:val="2"/>
          <w:sz w:val="22"/>
          <w:szCs w:val="22"/>
        </w:rPr>
        <w:t xml:space="preserve">三十余年行业深耕，为威胜控股积淀了广泛而稳定的全球客户网络，客户关系已成为公司最核心的竞争壁垒之一。 </w:t>
      </w:r>
      <w:r>
        <w:rPr>
          <w:rFonts w:cs="Calibri" w:eastAsia="楷体"/>
          <w:kern w:val="2"/>
          <w:sz w:val="22"/>
          <w:szCs w:val="22"/>
        </w:rPr>
        <w:t>公司客户网络覆盖</w:t>
      </w:r>
      <w:r>
        <w:rPr>
          <w:rFonts w:eastAsia="楷体" w:cs="Calibri"/>
          <w:kern w:val="2"/>
          <w:sz w:val="22"/>
          <w:szCs w:val="22"/>
        </w:rPr>
        <w:t>70</w:t>
      </w:r>
      <w:r>
        <w:rPr>
          <w:rFonts w:cs="Calibri" w:eastAsia="楷体"/>
          <w:kern w:val="2"/>
          <w:sz w:val="22"/>
          <w:szCs w:val="22"/>
        </w:rPr>
        <w:t>多个国家和地区，累计服务客户超</w:t>
      </w:r>
      <w:r>
        <w:rPr>
          <w:rFonts w:eastAsia="楷体" w:cs="Calibri"/>
          <w:kern w:val="2"/>
          <w:sz w:val="22"/>
          <w:szCs w:val="22"/>
        </w:rPr>
        <w:t>4000</w:t>
      </w:r>
      <w:r>
        <w:rPr>
          <w:rFonts w:cs="Calibri" w:eastAsia="楷体"/>
          <w:kern w:val="2"/>
          <w:sz w:val="22"/>
          <w:szCs w:val="22"/>
        </w:rPr>
        <w:t>名，与众多核心客户保持十年以上战略合作关系。以两大电网公司为例：威胜从电</w:t>
      </w:r>
      <w:r>
        <w:rPr>
          <w:rFonts w:eastAsia="楷体" w:cs="Calibri"/>
          <w:kern w:val="2"/>
          <w:sz w:val="22"/>
          <w:szCs w:val="22"/>
        </w:rPr>
        <w:t>AMI</w:t>
      </w:r>
      <w:r>
        <w:rPr>
          <w:rFonts w:cs="Calibri" w:eastAsia="楷体"/>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pPr>
        <w:pStyle w:val="1"/>
        <w:jc w:val="both"/>
        <w:rPr>
          <w:rFonts w:eastAsia="楷体" w:cs="Calibri"/>
          <w:kern w:val="2"/>
          <w:sz w:val="22"/>
          <w:szCs w:val="22"/>
        </w:rPr>
      </w:pPr>
      <w:r>
        <w:rPr>
          <w:rFonts w:eastAsia="楷体" w:cs="Calibr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 xml:space="preserve">图：客户覆盖 </w:t>
            </w:r>
          </w:p>
        </w:tc>
      </w:tr>
      <w:tr>
        <w:trPr/>
        <w:tc>
          <w:tcPr>
            <w:tcW w:w="7733" w:type="dxa"/>
            <w:tcBorders>
              <w:left w:val="nil"/>
              <w:right w:val="nil"/>
            </w:tcBorders>
          </w:tcPr>
          <w:p>
            <w:pPr>
              <w:pStyle w:val="1"/>
              <w:widowControl/>
              <w:spacing w:before="0" w:after="0"/>
              <w:ind w:firstLine="160"/>
              <w:jc w:val="left"/>
              <w:rPr>
                <w:rFonts w:eastAsia="楷体" w:cs="等线" w:cstheme="minorHAnsi"/>
                <w:kern w:val="2"/>
                <w:sz w:val="22"/>
                <w:szCs w:val="22"/>
              </w:rPr>
            </w:pPr>
            <w:r>
              <w:rPr>
                <w:kern w:val="0"/>
              </w:rPr>
              <w:drawing>
                <wp:inline distT="0" distB="0" distL="0" distR="0">
                  <wp:extent cx="4323715" cy="2410460"/>
                  <wp:effectExtent l="0" t="0" r="0" b="0"/>
                  <wp:docPr id="25" name="Image2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徽标, 公司名称&#10;&#10;AI 生成的内容可能不正确。"/>
                          <pic:cNvPicPr>
                            <a:picLocks noChangeAspect="1" noChangeArrowheads="1"/>
                          </pic:cNvPicPr>
                        </pic:nvPicPr>
                        <pic:blipFill>
                          <a:blip r:embed="rId47"/>
                          <a:stretch>
                            <a:fillRect/>
                          </a:stretch>
                        </pic:blipFill>
                        <pic:spPr bwMode="auto">
                          <a:xfrm>
                            <a:off x="0" y="0"/>
                            <a:ext cx="4323715" cy="2410460"/>
                          </a:xfrm>
                          <a:prstGeom prst="rect">
                            <a:avLst/>
                          </a:prstGeom>
                        </pic:spPr>
                      </pic:pic>
                    </a:graphicData>
                  </a:graphic>
                </wp:inline>
              </w:drawing>
            </w:r>
          </w:p>
        </w:tc>
      </w:tr>
      <w:tr>
        <w:trPr/>
        <w:tc>
          <w:tcPr>
            <w:tcW w:w="7733"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：公司官网，</w:t>
            </w:r>
            <w:r>
              <w:rPr>
                <w:rFonts w:eastAsia="楷体" w:cs="Calibri"/>
                <w:b/>
                <w:bCs/>
                <w:kern w:val="0"/>
                <w:sz w:val="20"/>
                <w:szCs w:val="20"/>
              </w:rPr>
              <w:t>HFI</w:t>
            </w:r>
          </w:p>
        </w:tc>
      </w:tr>
    </w:tbl>
    <w:p>
      <w:pPr>
        <w:pStyle w:val="1"/>
        <w:jc w:val="both"/>
        <w:rPr>
          <w:rFonts w:eastAsia="楷体" w:cs="Calibri"/>
          <w:kern w:val="2"/>
          <w:sz w:val="22"/>
          <w:szCs w:val="22"/>
        </w:rPr>
      </w:pPr>
      <w:r>
        <w:rPr>
          <w:rFonts w:eastAsia="楷体" w:cs="Calibri"/>
          <w:kern w:val="2"/>
          <w:sz w:val="22"/>
          <w:szCs w:val="22"/>
        </w:rPr>
      </w:r>
    </w:p>
    <w:p>
      <w:pPr>
        <w:pStyle w:val="77"/>
        <w:ind w:right="42" w:hanging="0"/>
        <w:jc w:val="both"/>
        <w:rPr>
          <w:rFonts w:ascii="Calibri" w:hAnsi="Calibri" w:eastAsia="楷体" w:cs="楷体"/>
          <w:color w:val="23558C"/>
          <w:sz w:val="24"/>
          <w:szCs w:val="24"/>
        </w:rPr>
      </w:pPr>
      <w:bookmarkStart w:id="13" w:name="_Toc225872247"/>
      <w:r>
        <w:rPr>
          <w:rFonts w:eastAsia="楷体" w:cs="楷体" w:ascii="Calibri" w:hAnsi="Calibri"/>
          <w:color w:val="23558C"/>
          <w:sz w:val="24"/>
          <w:szCs w:val="24"/>
        </w:rPr>
        <w:t>3.3</w:t>
      </w:r>
      <w:r>
        <w:rPr>
          <w:rFonts w:ascii="Calibri" w:hAnsi="Calibri" w:cs="楷体" w:eastAsia="楷体"/>
          <w:color w:val="23558C"/>
          <w:sz w:val="24"/>
          <w:szCs w:val="24"/>
        </w:rPr>
        <w:t>招标持续领先巩固行业头部地位</w:t>
      </w:r>
      <w:bookmarkEnd w:id="13"/>
    </w:p>
    <w:p>
      <w:pPr>
        <w:pStyle w:val="1"/>
        <w:jc w:val="both"/>
        <w:rPr>
          <w:rFonts w:eastAsia="楷体" w:cs="Calibri"/>
          <w:kern w:val="2"/>
          <w:sz w:val="22"/>
          <w:szCs w:val="22"/>
        </w:rPr>
      </w:pPr>
      <w:r>
        <w:rPr>
          <w:rFonts w:cs="Calibri" w:eastAsia="楷体"/>
          <w:b/>
          <w:bCs/>
          <w:kern w:val="2"/>
          <w:sz w:val="22"/>
          <w:szCs w:val="22"/>
        </w:rPr>
        <w:t>威胜控股是中国电智能计量领域的头部企业，在国网、南网计量设备集中招标中保持持续领先。</w:t>
      </w:r>
      <w:r>
        <w:rPr>
          <w:rFonts w:eastAsia="楷体" w:cs="Calibri"/>
          <w:kern w:val="2"/>
          <w:sz w:val="22"/>
          <w:szCs w:val="22"/>
        </w:rPr>
        <w:t>2020</w:t>
      </w:r>
      <w:r>
        <w:rPr>
          <w:rFonts w:cs="Calibri" w:eastAsia="楷体"/>
          <w:kern w:val="2"/>
          <w:sz w:val="22"/>
          <w:szCs w:val="22"/>
        </w:rPr>
        <w:t>年，公司在国网、南网集采招标中合计中标金额为</w:t>
      </w:r>
      <w:r>
        <w:rPr>
          <w:rFonts w:eastAsia="楷体" w:cs="Calibri"/>
          <w:kern w:val="2"/>
          <w:sz w:val="22"/>
          <w:szCs w:val="22"/>
        </w:rPr>
        <w:t>6.2</w:t>
      </w:r>
      <w:r>
        <w:rPr>
          <w:rFonts w:cs="Calibri" w:eastAsia="楷体"/>
          <w:kern w:val="2"/>
          <w:sz w:val="22"/>
          <w:szCs w:val="22"/>
        </w:rPr>
        <w:t>亿元人民币；至</w:t>
      </w:r>
      <w:r>
        <w:rPr>
          <w:rFonts w:eastAsia="楷体" w:cs="Calibri"/>
          <w:kern w:val="2"/>
          <w:sz w:val="22"/>
          <w:szCs w:val="22"/>
        </w:rPr>
        <w:t>2024</w:t>
      </w:r>
      <w:r>
        <w:rPr>
          <w:rFonts w:cs="Calibri" w:eastAsia="楷体"/>
          <w:kern w:val="2"/>
          <w:sz w:val="22"/>
          <w:szCs w:val="22"/>
        </w:rPr>
        <w:t>年，这一数字已攀升至</w:t>
      </w:r>
      <w:r>
        <w:rPr>
          <w:rFonts w:eastAsia="楷体" w:cs="Calibri"/>
          <w:kern w:val="2"/>
          <w:sz w:val="22"/>
          <w:szCs w:val="22"/>
        </w:rPr>
        <w:t>10.4</w:t>
      </w:r>
      <w:r>
        <w:rPr>
          <w:rFonts w:cs="Calibri" w:eastAsia="楷体"/>
          <w:kern w:val="2"/>
          <w:sz w:val="22"/>
          <w:szCs w:val="22"/>
        </w:rPr>
        <w:t>亿元，创下历史新高，</w:t>
      </w:r>
      <w:r>
        <w:rPr>
          <w:rFonts w:eastAsia="楷体" w:cs="Calibri"/>
          <w:kern w:val="2"/>
          <w:sz w:val="22"/>
          <w:szCs w:val="22"/>
        </w:rPr>
        <w:t>2020–2024</w:t>
      </w:r>
      <w:r>
        <w:rPr>
          <w:rFonts w:cs="Calibri" w:eastAsia="楷体"/>
          <w:kern w:val="2"/>
          <w:sz w:val="22"/>
          <w:szCs w:val="22"/>
        </w:rPr>
        <w:t>年中标金额复合增长率（</w:t>
      </w:r>
      <w:r>
        <w:rPr>
          <w:rFonts w:eastAsia="楷体" w:cs="Calibri"/>
          <w:kern w:val="2"/>
          <w:sz w:val="22"/>
          <w:szCs w:val="22"/>
        </w:rPr>
        <w:t>CAGR</w:t>
      </w:r>
      <w:r>
        <w:rPr>
          <w:rFonts w:cs="Calibri" w:eastAsia="楷体"/>
          <w:kern w:val="2"/>
          <w:sz w:val="22"/>
          <w:szCs w:val="22"/>
        </w:rPr>
        <w:t>）达</w:t>
      </w:r>
      <w:r>
        <w:rPr>
          <w:rFonts w:eastAsia="楷体" w:cs="Calibri"/>
          <w:kern w:val="2"/>
          <w:sz w:val="22"/>
          <w:szCs w:val="22"/>
        </w:rPr>
        <w:t>13.8%</w:t>
      </w:r>
      <w:r>
        <w:rPr>
          <w:rFonts w:cs="Calibri" w:eastAsia="楷体"/>
          <w:kern w:val="2"/>
          <w:sz w:val="22"/>
          <w:szCs w:val="22"/>
        </w:rPr>
        <w:t>，显著高于行业平均水平。份额方面，</w:t>
      </w:r>
      <w:r>
        <w:rPr>
          <w:rFonts w:eastAsia="楷体" w:cs="Calibri"/>
          <w:kern w:val="2"/>
          <w:sz w:val="22"/>
          <w:szCs w:val="22"/>
        </w:rPr>
        <w:t>2020–2024</w:t>
      </w:r>
      <w:r>
        <w:rPr>
          <w:rFonts w:cs="Calibri" w:eastAsia="楷体"/>
          <w:kern w:val="2"/>
          <w:sz w:val="22"/>
          <w:szCs w:val="22"/>
        </w:rPr>
        <w:t>年威胜在国网电能表设备招标中的份额稳定在</w:t>
      </w:r>
      <w:r>
        <w:rPr>
          <w:rFonts w:eastAsia="楷体" w:cs="Calibri"/>
          <w:kern w:val="2"/>
          <w:sz w:val="22"/>
          <w:szCs w:val="22"/>
        </w:rPr>
        <w:t>3%</w:t>
      </w:r>
      <w:r>
        <w:rPr>
          <w:rFonts w:cs="Calibri" w:eastAsia="楷体"/>
          <w:kern w:val="2"/>
          <w:sz w:val="22"/>
          <w:szCs w:val="22"/>
        </w:rPr>
        <w:t>左右，在南方电网计量设备招标中的份额始终保持在</w:t>
      </w:r>
      <w:r>
        <w:rPr>
          <w:rFonts w:eastAsia="楷体" w:cs="Calibri"/>
          <w:kern w:val="2"/>
          <w:sz w:val="22"/>
          <w:szCs w:val="22"/>
        </w:rPr>
        <w:t>10.2%–11.1%</w:t>
      </w:r>
      <w:r>
        <w:rPr>
          <w:rFonts w:cs="Calibri" w:eastAsia="楷体"/>
          <w:kern w:val="2"/>
          <w:sz w:val="22"/>
          <w:szCs w:val="22"/>
        </w:rPr>
        <w:t>的行业领先区间，头部地位持续巩固。</w:t>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cs="Calibri" w:eastAsia="楷体"/>
          <w:b/>
          <w:bCs/>
          <w:kern w:val="2"/>
          <w:sz w:val="22"/>
          <w:szCs w:val="22"/>
        </w:rPr>
        <w:t>尤为值得关注的是，公司在高端智能电表领域的竞争优势更为突出。</w:t>
      </w:r>
      <w:r>
        <w:rPr>
          <w:rFonts w:eastAsia="楷体" w:cs="Calibri"/>
          <w:kern w:val="2"/>
          <w:sz w:val="22"/>
          <w:szCs w:val="22"/>
        </w:rPr>
        <w:t>2025</w:t>
      </w:r>
      <w:r>
        <w:rPr>
          <w:rFonts w:cs="Calibri" w:eastAsia="楷体"/>
          <w:kern w:val="2"/>
          <w:sz w:val="22"/>
          <w:szCs w:val="22"/>
        </w:rPr>
        <w:t>年，尽管国网、南网招标启动较晚，但已公布批次中威胜表现依旧抢眼：在国家电网计量设备第一、二批集中招标中，威胜累计中标金额排名行业第一，中标份额超过</w:t>
      </w:r>
      <w:r>
        <w:rPr>
          <w:rFonts w:eastAsia="楷体" w:cs="Calibri"/>
          <w:kern w:val="2"/>
          <w:sz w:val="22"/>
          <w:szCs w:val="22"/>
        </w:rPr>
        <w:t>3%</w:t>
      </w:r>
      <w:r>
        <w:rPr>
          <w:rFonts w:cs="Calibri" w:eastAsia="楷体"/>
          <w:kern w:val="2"/>
          <w:sz w:val="22"/>
          <w:szCs w:val="22"/>
        </w:rPr>
        <w:t>；在南方电网公布的第一批计量设备招标中，威胜同样以</w:t>
      </w:r>
      <w:r>
        <w:rPr>
          <w:rFonts w:eastAsia="楷体" w:cs="Calibri"/>
          <w:kern w:val="2"/>
          <w:sz w:val="22"/>
          <w:szCs w:val="22"/>
        </w:rPr>
        <w:t>10.7%</w:t>
      </w:r>
      <w:r>
        <w:rPr>
          <w:rFonts w:cs="Calibri" w:eastAsia="楷体"/>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pPr>
        <w:pStyle w:val="1"/>
        <w:jc w:val="both"/>
        <w:rPr>
          <w:rFonts w:eastAsia="楷体" w:cs="Calibri"/>
          <w:kern w:val="2"/>
          <w:sz w:val="22"/>
          <w:szCs w:val="22"/>
        </w:rPr>
      </w:pPr>
      <w:r>
        <w:rPr>
          <w:rFonts w:eastAsia="楷体" w:cs="Calibri"/>
          <w:kern w:val="2"/>
          <w:sz w:val="22"/>
          <w:szCs w:val="22"/>
        </w:rPr>
      </w:r>
    </w:p>
    <w:p>
      <w:pPr>
        <w:pStyle w:val="77"/>
        <w:ind w:right="42" w:hanging="0"/>
        <w:jc w:val="both"/>
        <w:rPr>
          <w:rFonts w:ascii="Calibri" w:hAnsi="Calibri" w:eastAsia="楷体" w:cs="楷体"/>
          <w:color w:val="23558C"/>
          <w:sz w:val="24"/>
          <w:szCs w:val="24"/>
        </w:rPr>
      </w:pPr>
      <w:bookmarkStart w:id="14" w:name="_Toc225872248"/>
      <w:r>
        <w:rPr>
          <w:rFonts w:eastAsia="楷体" w:cs="楷体" w:ascii="Calibri" w:hAnsi="Calibri"/>
          <w:color w:val="23558C"/>
          <w:sz w:val="24"/>
          <w:szCs w:val="24"/>
        </w:rPr>
        <w:t>3.4</w:t>
      </w:r>
      <w:r>
        <w:rPr>
          <w:rFonts w:ascii="Calibri" w:hAnsi="Calibri" w:cs="楷体" w:eastAsia="楷体"/>
          <w:color w:val="23558C"/>
          <w:sz w:val="24"/>
          <w:szCs w:val="24"/>
        </w:rPr>
        <w:t>配电网升级投资加码，拉动智能终端设备需求</w:t>
      </w:r>
      <w:bookmarkEnd w:id="14"/>
    </w:p>
    <w:p>
      <w:pPr>
        <w:pStyle w:val="1"/>
        <w:jc w:val="both"/>
        <w:rPr>
          <w:rFonts w:eastAsia="楷体" w:cs="Calibri"/>
          <w:kern w:val="2"/>
          <w:sz w:val="22"/>
          <w:szCs w:val="22"/>
        </w:rPr>
      </w:pPr>
      <w:r>
        <w:rPr>
          <w:rFonts w:cs="Calibri" w:eastAsia="楷体"/>
          <w:b/>
          <w:bCs/>
          <w:kern w:val="2"/>
          <w:sz w:val="22"/>
          <w:szCs w:val="22"/>
        </w:rPr>
        <w:t>十五五”电网投资高景气，配网智能化改造成主战场。</w:t>
      </w:r>
      <w:r>
        <w:rPr>
          <w:rFonts w:cs="Calibri" w:eastAsia="楷体"/>
          <w:kern w:val="2"/>
          <w:sz w:val="22"/>
          <w:szCs w:val="22"/>
        </w:rPr>
        <w:t>国家电网已明确“十五五”期间固定资产投资预计达</w:t>
      </w:r>
      <w:r>
        <w:rPr>
          <w:rFonts w:eastAsia="楷体" w:cs="Calibri"/>
          <w:kern w:val="2"/>
          <w:sz w:val="22"/>
          <w:szCs w:val="22"/>
        </w:rPr>
        <w:t>4</w:t>
      </w:r>
      <w:r>
        <w:rPr>
          <w:rFonts w:cs="Calibri" w:eastAsia="楷体"/>
          <w:kern w:val="2"/>
          <w:sz w:val="22"/>
          <w:szCs w:val="22"/>
        </w:rPr>
        <w:t>万亿元，较“十四五”增长</w:t>
      </w:r>
      <w:r>
        <w:rPr>
          <w:rFonts w:eastAsia="楷体" w:cs="Calibri"/>
          <w:kern w:val="2"/>
          <w:sz w:val="22"/>
          <w:szCs w:val="22"/>
        </w:rPr>
        <w:t>40%</w:t>
      </w:r>
      <w:r>
        <w:rPr>
          <w:rFonts w:cs="Calibri" w:eastAsia="楷体"/>
          <w:kern w:val="2"/>
          <w:sz w:val="22"/>
          <w:szCs w:val="22"/>
        </w:rPr>
        <w:t>，投资方向明确向配网侧倾斜，聚焦服务每年</w:t>
      </w:r>
      <w:r>
        <w:rPr>
          <w:rFonts w:eastAsia="楷体" w:cs="Calibri"/>
          <w:kern w:val="2"/>
          <w:sz w:val="22"/>
          <w:szCs w:val="22"/>
        </w:rPr>
        <w:t>2</w:t>
      </w:r>
      <w:r>
        <w:rPr>
          <w:rFonts w:cs="Calibri" w:eastAsia="楷体"/>
          <w:kern w:val="2"/>
          <w:sz w:val="22"/>
          <w:szCs w:val="22"/>
        </w:rPr>
        <w:t>亿千瓦风光新能源接网、</w:t>
      </w:r>
      <w:r>
        <w:rPr>
          <w:rFonts w:eastAsia="楷体" w:cs="Calibri"/>
          <w:kern w:val="2"/>
          <w:sz w:val="22"/>
          <w:szCs w:val="22"/>
        </w:rPr>
        <w:t>3500</w:t>
      </w:r>
      <w:r>
        <w:rPr>
          <w:rFonts w:cs="Calibri" w:eastAsia="楷体"/>
          <w:kern w:val="2"/>
          <w:sz w:val="22"/>
          <w:szCs w:val="22"/>
        </w:rPr>
        <w:t>万台充电桩互动调控等新要素接入需求。南方电网</w:t>
      </w:r>
      <w:r>
        <w:rPr>
          <w:rFonts w:eastAsia="楷体" w:cs="Calibri"/>
          <w:kern w:val="2"/>
          <w:sz w:val="22"/>
          <w:szCs w:val="22"/>
        </w:rPr>
        <w:t>2026</w:t>
      </w:r>
      <w:r>
        <w:rPr>
          <w:rFonts w:cs="Calibri" w:eastAsia="楷体"/>
          <w:kern w:val="2"/>
          <w:sz w:val="22"/>
          <w:szCs w:val="22"/>
        </w:rPr>
        <w:t>年计划投资</w:t>
      </w:r>
      <w:r>
        <w:rPr>
          <w:rFonts w:eastAsia="楷体" w:cs="Calibri"/>
          <w:kern w:val="2"/>
          <w:sz w:val="22"/>
          <w:szCs w:val="22"/>
        </w:rPr>
        <w:t>1800</w:t>
      </w:r>
      <w:r>
        <w:rPr>
          <w:rFonts w:cs="Calibri" w:eastAsia="楷体"/>
          <w:kern w:val="2"/>
          <w:sz w:val="22"/>
          <w:szCs w:val="22"/>
        </w:rPr>
        <w:t>亿元，重点投向配网升级与智能化转型。配电网功能定位正从“输电网络”向“有源互动平台”转变，对智能化终端设备的刚性需求随之提升。</w:t>
      </w:r>
    </w:p>
    <w:p>
      <w:pPr>
        <w:pStyle w:val="1"/>
        <w:jc w:val="both"/>
        <w:rPr>
          <w:rFonts w:eastAsia="楷体" w:cs="Calibri"/>
          <w:kern w:val="2"/>
          <w:sz w:val="22"/>
          <w:szCs w:val="22"/>
        </w:rPr>
      </w:pPr>
      <w:r>
        <w:rPr>
          <w:rFonts w:eastAsia="楷体" w:cs="Calibri"/>
          <w:kern w:val="2"/>
          <w:sz w:val="22"/>
          <w:szCs w:val="22"/>
        </w:rPr>
      </w:r>
    </w:p>
    <w:p>
      <w:pPr>
        <w:pStyle w:val="77"/>
        <w:ind w:right="42" w:hanging="0"/>
        <w:jc w:val="both"/>
        <w:rPr>
          <w:rFonts w:ascii="Calibri" w:hAnsi="Calibri" w:eastAsia="楷体" w:cs="楷体"/>
          <w:color w:val="23558C"/>
          <w:sz w:val="24"/>
          <w:szCs w:val="24"/>
        </w:rPr>
      </w:pPr>
      <w:bookmarkStart w:id="15" w:name="_Toc225872249"/>
      <w:r>
        <w:rPr>
          <w:rFonts w:eastAsia="楷体" w:cs="楷体" w:ascii="Calibri" w:hAnsi="Calibri"/>
          <w:color w:val="23558C"/>
          <w:sz w:val="24"/>
          <w:szCs w:val="24"/>
        </w:rPr>
        <w:t>3.5</w:t>
      </w:r>
      <w:r>
        <w:rPr>
          <w:rFonts w:ascii="Calibri" w:hAnsi="Calibri" w:cs="楷体" w:eastAsia="楷体"/>
          <w:color w:val="23558C"/>
          <w:sz w:val="24"/>
          <w:szCs w:val="24"/>
        </w:rPr>
        <w:t>海外扩张纵深推进，全球化产能与市场布局持续突破</w:t>
      </w:r>
      <w:bookmarkEnd w:id="15"/>
    </w:p>
    <w:p>
      <w:pPr>
        <w:pStyle w:val="1"/>
        <w:jc w:val="both"/>
        <w:rPr>
          <w:rFonts w:eastAsia="楷体" w:cs="Calibri"/>
          <w:kern w:val="2"/>
          <w:sz w:val="22"/>
          <w:szCs w:val="22"/>
        </w:rPr>
      </w:pPr>
      <w:r>
        <w:rPr>
          <w:rFonts w:eastAsia="楷体" w:cs="Calibri"/>
          <w:b/>
          <w:bCs/>
          <w:kern w:val="2"/>
          <w:sz w:val="22"/>
          <w:szCs w:val="22"/>
        </w:rPr>
        <w:t>“</w:t>
      </w:r>
      <w:r>
        <w:rPr>
          <w:rFonts w:cs="Calibri" w:eastAsia="楷体"/>
          <w:b/>
          <w:bCs/>
          <w:kern w:val="2"/>
          <w:sz w:val="22"/>
          <w:szCs w:val="22"/>
        </w:rPr>
        <w:t>产能出海</w:t>
      </w:r>
      <w:r>
        <w:rPr>
          <w:rFonts w:eastAsia="楷体" w:cs="Calibri"/>
          <w:b/>
          <w:bCs/>
          <w:kern w:val="2"/>
          <w:sz w:val="22"/>
          <w:szCs w:val="22"/>
        </w:rPr>
        <w:t>+</w:t>
      </w:r>
      <w:r>
        <w:rPr>
          <w:rFonts w:cs="Calibri" w:eastAsia="楷体"/>
          <w:b/>
          <w:bCs/>
          <w:kern w:val="2"/>
          <w:sz w:val="22"/>
          <w:szCs w:val="22"/>
        </w:rPr>
        <w:t>本地化运营”升级，全球六大基地相继落成。</w:t>
      </w:r>
      <w:r>
        <w:rPr>
          <w:rFonts w:cs="Calibri" w:eastAsia="楷体"/>
          <w:kern w:val="2"/>
          <w:sz w:val="22"/>
          <w:szCs w:val="22"/>
        </w:rPr>
        <w:t xml:space="preserve"> 威胜控股正加速搭建覆盖全球的产能与市场网络，海外业务已从“产品出海”升级为“产能出海</w:t>
      </w:r>
      <w:r>
        <w:rPr>
          <w:rFonts w:eastAsia="楷体" w:cs="Calibri"/>
          <w:kern w:val="2"/>
          <w:sz w:val="22"/>
          <w:szCs w:val="22"/>
        </w:rPr>
        <w:t>+</w:t>
      </w:r>
      <w:r>
        <w:rPr>
          <w:rFonts w:cs="Calibri" w:eastAsia="楷体"/>
          <w:kern w:val="2"/>
          <w:sz w:val="22"/>
          <w:szCs w:val="22"/>
        </w:rPr>
        <w:t>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Pr>
          <w:rFonts w:eastAsia="楷体" w:cs="Calibri"/>
          <w:kern w:val="2"/>
          <w:sz w:val="22"/>
          <w:szCs w:val="22"/>
        </w:rPr>
        <w:t>Weyoung Technology</w:t>
      </w:r>
      <w:r>
        <w:rPr>
          <w:rFonts w:cs="Calibri" w:eastAsia="楷体"/>
          <w:kern w:val="2"/>
          <w:sz w:val="22"/>
          <w:szCs w:val="22"/>
        </w:rPr>
        <w:t>已与万国数据国际业务分支</w:t>
      </w:r>
      <w:r>
        <w:rPr>
          <w:rFonts w:eastAsia="楷体" w:cs="Calibri"/>
          <w:kern w:val="2"/>
          <w:sz w:val="22"/>
          <w:szCs w:val="22"/>
        </w:rPr>
        <w:t>DayOne</w:t>
      </w:r>
      <w:r>
        <w:rPr>
          <w:rFonts w:cs="Calibri" w:eastAsia="楷体"/>
          <w:kern w:val="2"/>
          <w:sz w:val="22"/>
          <w:szCs w:val="22"/>
        </w:rPr>
        <w:t>签署战略合作协议，围绕数据中心领域展开深度协同，共同建设长期、绿色数字生态系统。沙特技术服务中心亦顺利落成，进一步完善中东布局。</w:t>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cs="Calibri" w:eastAsia="楷体"/>
          <w:b/>
          <w:bCs/>
          <w:kern w:val="2"/>
          <w:sz w:val="22"/>
          <w:szCs w:val="22"/>
        </w:rPr>
        <w:t>海外订单持续放量，</w:t>
      </w:r>
      <w:r>
        <w:rPr>
          <w:rFonts w:eastAsia="楷体" w:cs="Calibri"/>
          <w:b/>
          <w:bCs/>
          <w:kern w:val="2"/>
          <w:sz w:val="22"/>
          <w:szCs w:val="22"/>
        </w:rPr>
        <w:t>AIDC</w:t>
      </w:r>
      <w:r>
        <w:rPr>
          <w:rFonts w:cs="Calibri" w:eastAsia="楷体"/>
          <w:b/>
          <w:bCs/>
          <w:kern w:val="2"/>
          <w:sz w:val="22"/>
          <w:szCs w:val="22"/>
        </w:rPr>
        <w:t>需求成新增长极。 海外本地化产能的持续完善，显著提升了公司在海外市场的竞标能力与交付效率。</w:t>
      </w:r>
      <w:r>
        <w:rPr>
          <w:rFonts w:eastAsia="楷体" w:cs="Calibri"/>
          <w:kern w:val="2"/>
          <w:sz w:val="22"/>
          <w:szCs w:val="22"/>
        </w:rPr>
        <w:t>2025</w:t>
      </w:r>
      <w:r>
        <w:rPr>
          <w:rFonts w:cs="Calibri" w:eastAsia="楷体"/>
          <w:kern w:val="2"/>
          <w:sz w:val="22"/>
          <w:szCs w:val="22"/>
        </w:rPr>
        <w:t>年威胜信息境外营业收入达</w:t>
      </w:r>
      <w:r>
        <w:rPr>
          <w:rFonts w:eastAsia="楷体" w:cs="Calibri"/>
          <w:kern w:val="2"/>
          <w:sz w:val="22"/>
          <w:szCs w:val="22"/>
        </w:rPr>
        <w:t>5.64</w:t>
      </w:r>
      <w:r>
        <w:rPr>
          <w:rFonts w:cs="Calibri" w:eastAsia="楷体"/>
          <w:kern w:val="2"/>
          <w:sz w:val="22"/>
          <w:szCs w:val="22"/>
        </w:rPr>
        <w:t>亿元，同比增长</w:t>
      </w:r>
      <w:r>
        <w:rPr>
          <w:rFonts w:eastAsia="楷体" w:cs="Calibri"/>
          <w:kern w:val="2"/>
          <w:sz w:val="22"/>
          <w:szCs w:val="22"/>
        </w:rPr>
        <w:t>33.98%</w:t>
      </w:r>
      <w:r>
        <w:rPr>
          <w:rFonts w:cs="Calibri" w:eastAsia="楷体"/>
          <w:kern w:val="2"/>
          <w:sz w:val="22"/>
          <w:szCs w:val="22"/>
        </w:rPr>
        <w:t>，占主营业务收入</w:t>
      </w:r>
      <w:r>
        <w:rPr>
          <w:rFonts w:eastAsia="楷体" w:cs="Calibri"/>
          <w:kern w:val="2"/>
          <w:sz w:val="22"/>
          <w:szCs w:val="22"/>
        </w:rPr>
        <w:t>19.06%</w:t>
      </w:r>
      <w:r>
        <w:rPr>
          <w:rFonts w:cs="Calibri" w:eastAsia="楷体"/>
          <w:kern w:val="2"/>
          <w:sz w:val="22"/>
          <w:szCs w:val="22"/>
        </w:rPr>
        <w:t>，较上市前增长</w:t>
      </w:r>
      <w:r>
        <w:rPr>
          <w:rFonts w:eastAsia="楷体" w:cs="Calibri"/>
          <w:kern w:val="2"/>
          <w:sz w:val="22"/>
          <w:szCs w:val="22"/>
        </w:rPr>
        <w:t>4.36</w:t>
      </w:r>
      <w:r>
        <w:rPr>
          <w:rFonts w:cs="Calibri" w:eastAsia="楷体"/>
          <w:kern w:val="2"/>
          <w:sz w:val="22"/>
          <w:szCs w:val="22"/>
        </w:rPr>
        <w:t>倍。目前业务版图已覆盖埃及、南非、中东、东南亚等地。受强劲的人工智能数据中心</w:t>
      </w:r>
      <w:r>
        <w:rPr>
          <w:rFonts w:eastAsia="楷体" w:cs="Calibri"/>
          <w:kern w:val="2"/>
          <w:sz w:val="22"/>
          <w:szCs w:val="22"/>
        </w:rPr>
        <w:t>(AIDC)</w:t>
      </w:r>
      <w:r>
        <w:rPr>
          <w:rFonts w:cs="Calibri" w:eastAsia="楷体"/>
          <w:kern w:val="2"/>
          <w:sz w:val="22"/>
          <w:szCs w:val="22"/>
        </w:rPr>
        <w:t>需求推动，公司海外客户</w:t>
      </w:r>
      <w:r>
        <w:rPr>
          <w:rFonts w:eastAsia="楷体" w:cs="Calibri"/>
          <w:kern w:val="2"/>
          <w:sz w:val="22"/>
          <w:szCs w:val="22"/>
        </w:rPr>
        <w:t>2026</w:t>
      </w:r>
      <w:r>
        <w:rPr>
          <w:rFonts w:cs="Calibri" w:eastAsia="楷体"/>
          <w:kern w:val="2"/>
          <w:sz w:val="22"/>
          <w:szCs w:val="22"/>
        </w:rPr>
        <w:t>年新订单金额预计将增长</w:t>
      </w:r>
      <w:r>
        <w:rPr>
          <w:rFonts w:eastAsia="楷体" w:cs="Calibri"/>
          <w:kern w:val="2"/>
          <w:sz w:val="22"/>
          <w:szCs w:val="22"/>
        </w:rPr>
        <w:t>54%</w:t>
      </w:r>
      <w:r>
        <w:rPr>
          <w:rFonts w:cs="Calibri" w:eastAsia="楷体"/>
          <w:kern w:val="2"/>
          <w:sz w:val="22"/>
          <w:szCs w:val="22"/>
        </w:rPr>
        <w:t>至</w:t>
      </w:r>
      <w:r>
        <w:rPr>
          <w:rFonts w:eastAsia="楷体" w:cs="Calibri"/>
          <w:kern w:val="2"/>
          <w:sz w:val="22"/>
          <w:szCs w:val="22"/>
        </w:rPr>
        <w:t>20</w:t>
      </w:r>
      <w:r>
        <w:rPr>
          <w:rFonts w:cs="Calibri" w:eastAsia="楷体"/>
          <w:kern w:val="2"/>
          <w:sz w:val="22"/>
          <w:szCs w:val="22"/>
        </w:rPr>
        <w:t>亿元人民币。伴随全球电网智能化升级与数据中心建设浪潮，公司海外订单有望持续放量，向</w:t>
      </w:r>
      <w:r>
        <w:rPr>
          <w:rFonts w:eastAsia="楷体" w:cs="Calibri"/>
          <w:kern w:val="2"/>
          <w:sz w:val="22"/>
          <w:szCs w:val="22"/>
        </w:rPr>
        <w:t>2025</w:t>
      </w:r>
      <w:r>
        <w:rPr>
          <w:rFonts w:cs="Calibri" w:eastAsia="楷体"/>
          <w:kern w:val="2"/>
          <w:sz w:val="22"/>
          <w:szCs w:val="22"/>
        </w:rPr>
        <w:t>年海外业务占比进一步提升的目标稳步迈进。</w:t>
      </w:r>
    </w:p>
    <w:p>
      <w:pPr>
        <w:pStyle w:val="77"/>
        <w:ind w:right="42" w:hanging="0"/>
        <w:jc w:val="both"/>
        <w:rPr>
          <w:rFonts w:ascii="Calibri" w:hAnsi="Calibri" w:eastAsia="楷体" w:cs="楷体"/>
          <w:color w:val="23558C"/>
          <w:sz w:val="24"/>
          <w:szCs w:val="24"/>
        </w:rPr>
      </w:pPr>
      <w:bookmarkStart w:id="16" w:name="_Toc225872250"/>
      <w:r>
        <w:rPr>
          <w:rFonts w:eastAsia="楷体" w:cs="楷体" w:ascii="Calibri" w:hAnsi="Calibri"/>
          <w:color w:val="23558C"/>
          <w:sz w:val="24"/>
          <w:szCs w:val="24"/>
        </w:rPr>
        <w:t>3.6 AIDC</w:t>
      </w:r>
      <w:r>
        <w:rPr>
          <w:rFonts w:ascii="Calibri" w:hAnsi="Calibri" w:cs="楷体" w:eastAsia="楷体"/>
          <w:color w:val="23558C"/>
          <w:sz w:val="24"/>
          <w:szCs w:val="24"/>
        </w:rPr>
        <w:t>机架密度提升</w:t>
      </w:r>
      <w:r>
        <w:rPr>
          <w:rFonts w:eastAsia="楷体" w:cs="楷体" w:ascii="Calibri" w:hAnsi="Calibri"/>
          <w:color w:val="23558C"/>
          <w:sz w:val="24"/>
          <w:szCs w:val="24"/>
        </w:rPr>
        <w:t>+</w:t>
      </w:r>
      <w:r>
        <w:rPr>
          <w:rFonts w:ascii="Calibri" w:hAnsi="Calibri" w:cs="楷体" w:eastAsia="楷体"/>
          <w:color w:val="23558C"/>
          <w:sz w:val="24"/>
          <w:szCs w:val="24"/>
        </w:rPr>
        <w:t>冗余要求升级，配电架构优化驱动增量投资</w:t>
      </w:r>
      <w:bookmarkEnd w:id="16"/>
    </w:p>
    <w:p>
      <w:pPr>
        <w:pStyle w:val="1"/>
        <w:jc w:val="both"/>
        <w:rPr>
          <w:rFonts w:eastAsia="楷体" w:cs="Calibri"/>
          <w:kern w:val="2"/>
          <w:sz w:val="22"/>
          <w:szCs w:val="22"/>
        </w:rPr>
      </w:pPr>
      <w:r>
        <w:rPr>
          <w:rFonts w:cs="Calibri" w:eastAsia="楷体"/>
          <w:b/>
          <w:bCs/>
          <w:kern w:val="2"/>
          <w:sz w:val="22"/>
          <w:szCs w:val="22"/>
        </w:rPr>
        <w:t>功率密度飙升倒逼供电架构革新。</w:t>
      </w:r>
      <w:r>
        <w:rPr>
          <w:rFonts w:cs="Calibri" w:eastAsia="楷体"/>
          <w:kern w:val="2"/>
          <w:sz w:val="22"/>
          <w:szCs w:val="22"/>
        </w:rPr>
        <w:t>随着人工智能算力需求呈指数级增长，数据中心单机柜功率密度正从传统的</w:t>
      </w:r>
      <w:r>
        <w:rPr>
          <w:rFonts w:eastAsia="楷体" w:cs="Calibri"/>
          <w:kern w:val="2"/>
          <w:sz w:val="22"/>
          <w:szCs w:val="22"/>
        </w:rPr>
        <w:t>4-6kW</w:t>
      </w:r>
      <w:r>
        <w:rPr>
          <w:rFonts w:cs="Calibri" w:eastAsia="楷体"/>
          <w:kern w:val="2"/>
          <w:sz w:val="22"/>
          <w:szCs w:val="22"/>
        </w:rPr>
        <w:t>快速跃升至</w:t>
      </w:r>
      <w:r>
        <w:rPr>
          <w:rFonts w:eastAsia="楷体" w:cs="Calibri"/>
          <w:kern w:val="2"/>
          <w:sz w:val="22"/>
          <w:szCs w:val="22"/>
        </w:rPr>
        <w:t>20-40kW</w:t>
      </w:r>
      <w:r>
        <w:rPr>
          <w:rFonts w:cs="Calibri" w:eastAsia="楷体"/>
          <w:kern w:val="2"/>
          <w:sz w:val="22"/>
          <w:szCs w:val="22"/>
        </w:rPr>
        <w:t>，并进一步向百千瓦乃至兆瓦级迈进。这一量级跃迁对供电架构提出了前所未有的挑战：传统</w:t>
      </w:r>
      <w:r>
        <w:rPr>
          <w:rFonts w:eastAsia="楷体" w:cs="Calibri"/>
          <w:kern w:val="2"/>
          <w:sz w:val="22"/>
          <w:szCs w:val="22"/>
        </w:rPr>
        <w:t>UPS</w:t>
      </w:r>
      <w:r>
        <w:rPr>
          <w:rFonts w:cs="Calibri" w:eastAsia="楷体"/>
          <w:kern w:val="2"/>
          <w:sz w:val="22"/>
          <w:szCs w:val="22"/>
        </w:rPr>
        <w:t>交流供电方案在效率和空间占用上面临瓶颈，</w:t>
      </w:r>
      <w:r>
        <w:rPr>
          <w:rFonts w:eastAsia="楷体" w:cs="Calibri"/>
          <w:kern w:val="2"/>
          <w:sz w:val="22"/>
          <w:szCs w:val="22"/>
        </w:rPr>
        <w:t>240V</w:t>
      </w:r>
      <w:r>
        <w:rPr>
          <w:rFonts w:cs="Calibri" w:eastAsia="楷体"/>
          <w:kern w:val="2"/>
          <w:sz w:val="22"/>
          <w:szCs w:val="22"/>
        </w:rPr>
        <w:t>直流及</w:t>
      </w:r>
      <w:r>
        <w:rPr>
          <w:rFonts w:eastAsia="楷体" w:cs="Calibri"/>
          <w:kern w:val="2"/>
          <w:sz w:val="22"/>
          <w:szCs w:val="22"/>
        </w:rPr>
        <w:t>OCP</w:t>
      </w:r>
      <w:r>
        <w:rPr>
          <w:rFonts w:cs="Calibri" w:eastAsia="楷体"/>
          <w:kern w:val="2"/>
          <w:sz w:val="22"/>
          <w:szCs w:val="22"/>
        </w:rPr>
        <w:t>整机柜</w:t>
      </w:r>
      <w:r>
        <w:rPr>
          <w:rFonts w:eastAsia="楷体" w:cs="Calibri"/>
          <w:kern w:val="2"/>
          <w:sz w:val="22"/>
          <w:szCs w:val="22"/>
        </w:rPr>
        <w:t>48V</w:t>
      </w:r>
      <w:r>
        <w:rPr>
          <w:rFonts w:cs="Calibri" w:eastAsia="楷体"/>
          <w:kern w:val="2"/>
          <w:sz w:val="22"/>
          <w:szCs w:val="22"/>
        </w:rPr>
        <w:t>直流架构在高功率传输下损耗过大、线缆成本激增，且难以满足下一代</w:t>
      </w:r>
      <w:r>
        <w:rPr>
          <w:rFonts w:eastAsia="楷体" w:cs="Calibri"/>
          <w:kern w:val="2"/>
          <w:sz w:val="22"/>
          <w:szCs w:val="22"/>
        </w:rPr>
        <w:t>AI</w:t>
      </w:r>
      <w:r>
        <w:rPr>
          <w:rFonts w:cs="Calibri" w:eastAsia="楷体"/>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pPr>
        <w:pStyle w:val="1"/>
        <w:jc w:val="both"/>
        <w:rPr>
          <w:rFonts w:eastAsia="楷体" w:cs="Calibri"/>
          <w:kern w:val="2"/>
          <w:sz w:val="22"/>
          <w:szCs w:val="22"/>
        </w:rPr>
      </w:pPr>
      <w:r>
        <w:rPr>
          <w:rFonts w:eastAsia="楷体" w:cs="Calibri"/>
          <w:kern w:val="2"/>
          <w:sz w:val="22"/>
          <w:szCs w:val="22"/>
        </w:rPr>
      </w:r>
    </w:p>
    <w:tbl>
      <w:tblPr>
        <w:tblStyle w:val="20"/>
        <w:tblW w:w="7733" w:type="dxa"/>
        <w:jc w:val="left"/>
        <w:tblInd w:w="0" w:type="dxa"/>
        <w:tblLayout w:type="fixed"/>
        <w:tblCellMar>
          <w:top w:w="0" w:type="dxa"/>
          <w:left w:w="108" w:type="dxa"/>
          <w:bottom w:w="0" w:type="dxa"/>
          <w:right w:w="108" w:type="dxa"/>
        </w:tblCellMar>
      </w:tblPr>
      <w:tblGrid>
        <w:gridCol w:w="7733"/>
      </w:tblGrid>
      <w:tr>
        <w:trPr/>
        <w:tc>
          <w:tcPr>
            <w:tcW w:w="7733" w:type="dxa"/>
            <w:tcBorders>
              <w:top w:val="nil"/>
              <w:left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图：数据中心供电方案对比</w:t>
            </w:r>
          </w:p>
        </w:tc>
      </w:tr>
      <w:tr>
        <w:trPr/>
        <w:tc>
          <w:tcPr>
            <w:tcW w:w="7733" w:type="dxa"/>
            <w:tcBorders>
              <w:left w:val="nil"/>
              <w:right w:val="nil"/>
            </w:tcBorders>
          </w:tcPr>
          <w:p>
            <w:pPr>
              <w:pStyle w:val="1"/>
              <w:widowControl/>
              <w:spacing w:before="0" w:after="0"/>
              <w:jc w:val="left"/>
              <w:rPr>
                <w:rFonts w:eastAsia="楷体" w:cs="等线" w:cstheme="minorHAnsi"/>
                <w:kern w:val="2"/>
                <w:sz w:val="22"/>
                <w:szCs w:val="22"/>
              </w:rPr>
            </w:pPr>
            <w:r>
              <w:rPr>
                <w:kern w:val="0"/>
              </w:rPr>
              <w:drawing>
                <wp:inline distT="0" distB="0" distL="0" distR="0">
                  <wp:extent cx="4377690" cy="3082290"/>
                  <wp:effectExtent l="0" t="0" r="0" b="0"/>
                  <wp:docPr id="2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
                          <pic:cNvPicPr>
                            <a:picLocks noChangeAspect="1" noChangeArrowheads="1"/>
                          </pic:cNvPicPr>
                        </pic:nvPicPr>
                        <pic:blipFill>
                          <a:blip r:embed="rId48"/>
                          <a:stretch>
                            <a:fillRect/>
                          </a:stretch>
                        </pic:blipFill>
                        <pic:spPr bwMode="auto">
                          <a:xfrm>
                            <a:off x="0" y="0"/>
                            <a:ext cx="4377690" cy="3082290"/>
                          </a:xfrm>
                          <a:prstGeom prst="rect">
                            <a:avLst/>
                          </a:prstGeom>
                        </pic:spPr>
                      </pic:pic>
                    </a:graphicData>
                  </a:graphic>
                </wp:inline>
              </w:drawing>
            </w:r>
          </w:p>
        </w:tc>
      </w:tr>
      <w:tr>
        <w:trPr/>
        <w:tc>
          <w:tcPr>
            <w:tcW w:w="7733" w:type="dxa"/>
            <w:tcBorders>
              <w:left w:val="nil"/>
              <w:bottom w:val="nil"/>
              <w:right w:val="nil"/>
            </w:tcBorders>
          </w:tcPr>
          <w:p>
            <w:pPr>
              <w:pStyle w:val="1"/>
              <w:widowControl/>
              <w:spacing w:before="0" w:after="0"/>
              <w:jc w:val="left"/>
              <w:rPr>
                <w:rFonts w:eastAsia="楷体" w:cs="等线" w:cstheme="minorHAnsi"/>
                <w:b/>
                <w:b/>
                <w:bCs/>
                <w:kern w:val="2"/>
                <w:sz w:val="22"/>
                <w:szCs w:val="22"/>
              </w:rPr>
            </w:pPr>
            <w:r>
              <w:rPr>
                <w:rFonts w:cs="等线" w:eastAsia="楷体" w:cstheme="minorHAnsi"/>
                <w:b/>
                <w:bCs/>
                <w:kern w:val="2"/>
                <w:sz w:val="22"/>
                <w:szCs w:val="22"/>
              </w:rPr>
              <w:t>资料来源</w:t>
            </w:r>
            <w:r>
              <w:rPr>
                <w:rFonts w:cs="Calibri" w:eastAsia="楷体"/>
                <w:b/>
                <w:bCs/>
                <w:kern w:val="2"/>
                <w:sz w:val="22"/>
                <w:szCs w:val="22"/>
              </w:rPr>
              <w:t>：英伟达白皮书，</w:t>
            </w:r>
            <w:r>
              <w:rPr>
                <w:rFonts w:eastAsia="楷体" w:cs="Calibri"/>
                <w:b/>
                <w:bCs/>
                <w:kern w:val="0"/>
                <w:sz w:val="20"/>
                <w:szCs w:val="20"/>
              </w:rPr>
              <w:t>HFI</w:t>
            </w:r>
          </w:p>
        </w:tc>
      </w:tr>
    </w:tbl>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b/>
          <w:bCs/>
          <w:kern w:val="2"/>
          <w:sz w:val="22"/>
          <w:szCs w:val="22"/>
        </w:rPr>
        <w:t>800V HVDC</w:t>
      </w:r>
      <w:r>
        <w:rPr>
          <w:rFonts w:cs="Calibri" w:eastAsia="楷体"/>
          <w:b/>
          <w:bCs/>
          <w:kern w:val="2"/>
          <w:sz w:val="22"/>
          <w:szCs w:val="22"/>
        </w:rPr>
        <w:t>成智算中心标配方向。</w:t>
      </w:r>
      <w:r>
        <w:rPr>
          <w:rFonts w:cs="Calibri" w:eastAsia="楷体"/>
          <w:kern w:val="2"/>
          <w:sz w:val="22"/>
          <w:szCs w:val="22"/>
        </w:rPr>
        <w:t xml:space="preserve"> 在此背景下，</w:t>
      </w:r>
      <w:r>
        <w:rPr>
          <w:rFonts w:eastAsia="楷体" w:cs="Calibri"/>
          <w:kern w:val="2"/>
          <w:sz w:val="22"/>
          <w:szCs w:val="22"/>
        </w:rPr>
        <w:t>800V</w:t>
      </w:r>
      <w:r>
        <w:rPr>
          <w:rFonts w:cs="Calibri" w:eastAsia="楷体"/>
          <w:kern w:val="2"/>
          <w:sz w:val="22"/>
          <w:szCs w:val="22"/>
        </w:rPr>
        <w:t>高压直流（</w:t>
      </w:r>
      <w:r>
        <w:rPr>
          <w:rFonts w:eastAsia="楷体" w:cs="Calibri"/>
          <w:kern w:val="2"/>
          <w:sz w:val="22"/>
          <w:szCs w:val="22"/>
        </w:rPr>
        <w:t>HVDC</w:t>
      </w:r>
      <w:r>
        <w:rPr>
          <w:rFonts w:cs="Calibri" w:eastAsia="楷体"/>
          <w:kern w:val="2"/>
          <w:sz w:val="22"/>
          <w:szCs w:val="22"/>
        </w:rPr>
        <w:t>）凭借稳定、高效、节材和高带载能力的显著优势，正成为智算中心供配电架构的演进共识。目前行业主要探索两条技术路径：一是</w:t>
      </w:r>
      <w:r>
        <w:rPr>
          <w:rFonts w:eastAsia="楷体" w:cs="Calibri"/>
          <w:kern w:val="2"/>
          <w:sz w:val="22"/>
          <w:szCs w:val="22"/>
        </w:rPr>
        <w:t>±400V HVDC</w:t>
      </w:r>
      <w:r>
        <w:rPr>
          <w:rFonts w:cs="Calibri" w:eastAsia="楷体"/>
          <w:kern w:val="2"/>
          <w:sz w:val="22"/>
          <w:szCs w:val="22"/>
        </w:rPr>
        <w:t>方案，产业链相对成熟、安全性较高，但需三线传输且对负载平衡要求严格；二是</w:t>
      </w:r>
      <w:r>
        <w:rPr>
          <w:rFonts w:eastAsia="楷体" w:cs="Calibri"/>
          <w:kern w:val="2"/>
          <w:sz w:val="22"/>
          <w:szCs w:val="22"/>
        </w:rPr>
        <w:t>800V</w:t>
      </w:r>
      <w:r>
        <w:rPr>
          <w:rFonts w:cs="Calibri" w:eastAsia="楷体"/>
          <w:kern w:val="2"/>
          <w:sz w:val="22"/>
          <w:szCs w:val="22"/>
        </w:rPr>
        <w:t>（含</w:t>
      </w:r>
      <w:r>
        <w:rPr>
          <w:rFonts w:eastAsia="楷体" w:cs="Calibri"/>
          <w:kern w:val="2"/>
          <w:sz w:val="22"/>
          <w:szCs w:val="22"/>
        </w:rPr>
        <w:t>750V</w:t>
      </w:r>
      <w:r>
        <w:rPr>
          <w:rFonts w:cs="Calibri" w:eastAsia="楷体"/>
          <w:kern w:val="2"/>
          <w:sz w:val="22"/>
          <w:szCs w:val="22"/>
        </w:rPr>
        <w:t>）方案，可实现全链路供电损耗最低、铜材用量最省，能效优势最为突出，且完美适配英伟达下一代</w:t>
      </w:r>
      <w:r>
        <w:rPr>
          <w:rFonts w:eastAsia="楷体" w:cs="Calibri"/>
          <w:kern w:val="2"/>
          <w:sz w:val="22"/>
          <w:szCs w:val="22"/>
        </w:rPr>
        <w:t>AI</w:t>
      </w:r>
      <w:r>
        <w:rPr>
          <w:rFonts w:cs="Calibri" w:eastAsia="楷体"/>
          <w:kern w:val="2"/>
          <w:sz w:val="22"/>
          <w:szCs w:val="22"/>
        </w:rPr>
        <w:t>服务器的电源接口需求，但供应链配套、绝缘安全及成本控制仍是规模化应用需要攻克的关键挑战。</w:t>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cs="Calibri" w:eastAsia="楷体"/>
          <w:b/>
          <w:bCs/>
          <w:kern w:val="2"/>
          <w:sz w:val="22"/>
          <w:szCs w:val="22"/>
        </w:rPr>
        <w:t xml:space="preserve">巨头布局驱动配电设备增量投资。 </w:t>
      </w:r>
      <w:r>
        <w:rPr>
          <w:rFonts w:cs="Calibri" w:eastAsia="楷体"/>
          <w:kern w:val="2"/>
          <w:sz w:val="22"/>
          <w:szCs w:val="22"/>
        </w:rPr>
        <w:t>供电架构的全面升级正催生配电设备全链条的增量投资机会。国际科技巨头已率先布局：谷歌、微软、</w:t>
      </w:r>
      <w:r>
        <w:rPr>
          <w:rFonts w:eastAsia="楷体" w:cs="Calibri"/>
          <w:kern w:val="2"/>
          <w:sz w:val="22"/>
          <w:szCs w:val="22"/>
        </w:rPr>
        <w:t>Meta</w:t>
      </w:r>
      <w:r>
        <w:rPr>
          <w:rFonts w:cs="Calibri" w:eastAsia="楷体"/>
          <w:kern w:val="2"/>
          <w:sz w:val="22"/>
          <w:szCs w:val="22"/>
        </w:rPr>
        <w:t>等聚焦分离式独立电源架构，将电源组件从</w:t>
      </w:r>
      <w:r>
        <w:rPr>
          <w:rFonts w:eastAsia="楷体" w:cs="Calibri"/>
          <w:kern w:val="2"/>
          <w:sz w:val="22"/>
          <w:szCs w:val="22"/>
        </w:rPr>
        <w:t>IT</w:t>
      </w:r>
      <w:r>
        <w:rPr>
          <w:rFonts w:cs="Calibri" w:eastAsia="楷体"/>
          <w:kern w:val="2"/>
          <w:sz w:val="22"/>
          <w:szCs w:val="22"/>
        </w:rPr>
        <w:t>机柜独立至侧边机柜，并联合发布</w:t>
      </w:r>
      <w:r>
        <w:rPr>
          <w:rFonts w:eastAsia="楷体" w:cs="Calibri"/>
          <w:kern w:val="2"/>
          <w:sz w:val="22"/>
          <w:szCs w:val="22"/>
        </w:rPr>
        <w:t>OCP Diablo 400</w:t>
      </w:r>
      <w:r>
        <w:rPr>
          <w:rFonts w:cs="Calibri" w:eastAsia="楷体"/>
          <w:kern w:val="2"/>
          <w:sz w:val="22"/>
          <w:szCs w:val="22"/>
        </w:rPr>
        <w:t>项目规范，推动</w:t>
      </w:r>
      <w:r>
        <w:rPr>
          <w:rFonts w:eastAsia="楷体" w:cs="Calibri"/>
          <w:kern w:val="2"/>
          <w:sz w:val="22"/>
          <w:szCs w:val="22"/>
        </w:rPr>
        <w:t>±400V HVDC</w:t>
      </w:r>
      <w:r>
        <w:rPr>
          <w:rFonts w:cs="Calibri" w:eastAsia="楷体"/>
          <w:kern w:val="2"/>
          <w:sz w:val="22"/>
          <w:szCs w:val="22"/>
        </w:rPr>
        <w:t>方案标准化；英伟达则联合英飞凌等前瞻布局</w:t>
      </w:r>
      <w:r>
        <w:rPr>
          <w:rFonts w:eastAsia="楷体" w:cs="Calibri"/>
          <w:kern w:val="2"/>
          <w:sz w:val="22"/>
          <w:szCs w:val="22"/>
        </w:rPr>
        <w:t>800V HVDC</w:t>
      </w:r>
      <w:r>
        <w:rPr>
          <w:rFonts w:cs="Calibri" w:eastAsia="楷体"/>
          <w:kern w:val="2"/>
          <w:sz w:val="22"/>
          <w:szCs w:val="22"/>
        </w:rPr>
        <w:t>全栈架构，实现</w:t>
      </w:r>
      <w:r>
        <w:rPr>
          <w:rFonts w:eastAsia="楷体" w:cs="Calibri"/>
          <w:kern w:val="2"/>
          <w:sz w:val="22"/>
          <w:szCs w:val="22"/>
        </w:rPr>
        <w:t>800V</w:t>
      </w:r>
      <w:r>
        <w:rPr>
          <w:rFonts w:cs="Calibri" w:eastAsia="楷体"/>
          <w:kern w:val="2"/>
          <w:sz w:val="22"/>
          <w:szCs w:val="22"/>
        </w:rPr>
        <w:t>直流全程传输，计划</w:t>
      </w:r>
      <w:r>
        <w:rPr>
          <w:rFonts w:eastAsia="楷体" w:cs="Calibri"/>
          <w:kern w:val="2"/>
          <w:sz w:val="22"/>
          <w:szCs w:val="22"/>
        </w:rPr>
        <w:t>2027</w:t>
      </w:r>
      <w:r>
        <w:rPr>
          <w:rFonts w:cs="Calibri" w:eastAsia="楷体"/>
          <w:kern w:val="2"/>
          <w:sz w:val="22"/>
          <w:szCs w:val="22"/>
        </w:rPr>
        <w:t>年量产，适配兆瓦级机架与下一代</w:t>
      </w:r>
      <w:r>
        <w:rPr>
          <w:rFonts w:eastAsia="楷体" w:cs="Calibri"/>
          <w:kern w:val="2"/>
          <w:sz w:val="22"/>
          <w:szCs w:val="22"/>
        </w:rPr>
        <w:t>AI</w:t>
      </w:r>
      <w:r>
        <w:rPr>
          <w:rFonts w:cs="Calibri" w:eastAsia="楷体"/>
          <w:kern w:val="2"/>
          <w:sz w:val="22"/>
          <w:szCs w:val="22"/>
        </w:rPr>
        <w:t>芯片。这一趋势将直接拉动高压直流配电柜、智能母线、</w:t>
      </w:r>
      <w:r>
        <w:rPr>
          <w:rFonts w:eastAsia="楷体" w:cs="Calibri"/>
          <w:kern w:val="2"/>
          <w:sz w:val="22"/>
          <w:szCs w:val="22"/>
        </w:rPr>
        <w:t>DC/DC</w:t>
      </w:r>
      <w:r>
        <w:rPr>
          <w:rFonts w:cs="Calibri" w:eastAsia="楷体"/>
          <w:kern w:val="2"/>
          <w:sz w:val="22"/>
          <w:szCs w:val="22"/>
        </w:rPr>
        <w:t>变换器、保护开关等核心设备的迭代需求，并为具备电力电子与配电系统融合设计能力的供应商打开全新成长空间。威胜信息</w:t>
      </w:r>
      <w:r>
        <w:rPr>
          <w:rFonts w:eastAsia="楷体" w:cs="Calibri"/>
          <w:kern w:val="2"/>
          <w:sz w:val="22"/>
          <w:szCs w:val="22"/>
        </w:rPr>
        <w:t>2025</w:t>
      </w:r>
      <w:r>
        <w:rPr>
          <w:rFonts w:cs="Calibri" w:eastAsia="楷体"/>
          <w:kern w:val="2"/>
          <w:sz w:val="22"/>
          <w:szCs w:val="22"/>
        </w:rPr>
        <w:t>年</w:t>
      </w:r>
      <w:r>
        <w:rPr>
          <w:rFonts w:eastAsia="楷体" w:cs="Calibri"/>
          <w:kern w:val="2"/>
          <w:sz w:val="22"/>
          <w:szCs w:val="22"/>
        </w:rPr>
        <w:t>AI+</w:t>
      </w:r>
      <w:r>
        <w:rPr>
          <w:rFonts w:cs="Calibri" w:eastAsia="楷体"/>
          <w:kern w:val="2"/>
          <w:sz w:val="22"/>
          <w:szCs w:val="22"/>
        </w:rPr>
        <w:t>收入同比增长</w:t>
      </w:r>
      <w:r>
        <w:rPr>
          <w:rFonts w:eastAsia="楷体" w:cs="Calibri"/>
          <w:kern w:val="2"/>
          <w:sz w:val="22"/>
          <w:szCs w:val="22"/>
        </w:rPr>
        <w:t>89.7%</w:t>
      </w:r>
      <w:r>
        <w:rPr>
          <w:rFonts w:cs="Calibri" w:eastAsia="楷体"/>
          <w:kern w:val="2"/>
          <w:sz w:val="22"/>
          <w:szCs w:val="22"/>
        </w:rPr>
        <w:t>，收入占比同比提升</w:t>
      </w:r>
      <w:r>
        <w:rPr>
          <w:rFonts w:eastAsia="楷体" w:cs="Calibri"/>
          <w:kern w:val="2"/>
          <w:sz w:val="22"/>
          <w:szCs w:val="22"/>
        </w:rPr>
        <w:t>9</w:t>
      </w:r>
      <w:r>
        <w:rPr>
          <w:rFonts w:cs="Calibri" w:eastAsia="楷体"/>
          <w:kern w:val="2"/>
          <w:sz w:val="22"/>
          <w:szCs w:val="22"/>
        </w:rPr>
        <w:t>个百分点至</w:t>
      </w:r>
      <w:r>
        <w:rPr>
          <w:rFonts w:eastAsia="楷体" w:cs="Calibri"/>
          <w:kern w:val="2"/>
          <w:sz w:val="22"/>
          <w:szCs w:val="22"/>
        </w:rPr>
        <w:t>24%</w:t>
      </w:r>
      <w:r>
        <w:rPr>
          <w:rFonts w:cs="Calibri" w:eastAsia="楷体"/>
          <w:kern w:val="2"/>
          <w:sz w:val="22"/>
          <w:szCs w:val="22"/>
        </w:rPr>
        <w:t>，在低中压配电侧积累的供电架构与控制逻辑理解，使其具备向数据中心房间侧电源及相关控制系统拓展的能力，有望在“电力</w:t>
      </w:r>
      <w:r>
        <w:rPr>
          <w:rFonts w:eastAsia="楷体" w:cs="Calibri"/>
          <w:kern w:val="2"/>
          <w:sz w:val="22"/>
          <w:szCs w:val="22"/>
        </w:rPr>
        <w:t>-</w:t>
      </w:r>
      <w:r>
        <w:rPr>
          <w:rFonts w:cs="Calibri" w:eastAsia="楷体"/>
          <w:kern w:val="2"/>
          <w:sz w:val="22"/>
          <w:szCs w:val="22"/>
        </w:rPr>
        <w:t>算力”协同重构中占据关键卡位。</w:t>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p>
    <w:p>
      <w:pPr>
        <w:pStyle w:val="1"/>
        <w:jc w:val="both"/>
        <w:rPr>
          <w:rFonts w:eastAsia="楷体" w:cs="Calibri"/>
          <w:kern w:val="2"/>
          <w:sz w:val="22"/>
          <w:szCs w:val="22"/>
        </w:rPr>
      </w:pPr>
      <w:r>
        <w:rPr>
          <w:rFonts w:eastAsia="楷体" w:cs="Calibri"/>
          <w:kern w:val="2"/>
          <w:sz w:val="22"/>
          <w:szCs w:val="22"/>
        </w:rPr>
      </w:r>
      <w:bookmarkStart w:id="17" w:name="_Toc186105500"/>
      <w:bookmarkStart w:id="18" w:name="_Toc186105500"/>
      <w:bookmarkEnd w:id="17"/>
    </w:p>
    <w:p>
      <w:pPr>
        <w:pStyle w:val="2"/>
        <w:spacing w:before="240" w:after="240"/>
        <w:jc w:val="both"/>
        <w:rPr>
          <w:rFonts w:ascii="Calibri" w:hAnsi="Calibri" w:eastAsia="楷体" w:cs="楷体"/>
          <w:b/>
          <w:b/>
          <w:bCs/>
          <w:color w:val="23558C"/>
          <w:sz w:val="28"/>
          <w:szCs w:val="28"/>
        </w:rPr>
      </w:pPr>
      <w:bookmarkStart w:id="19" w:name="_Toc225872251"/>
      <w:r>
        <w:rPr>
          <w:rFonts w:eastAsia="楷体" w:cs="楷体" w:ascii="Calibri" w:hAnsi="Calibri"/>
          <w:b/>
          <w:bCs/>
          <w:color w:val="23558C"/>
          <w:sz w:val="28"/>
          <w:szCs w:val="28"/>
        </w:rPr>
        <w:t>4.</w:t>
      </w:r>
      <w:r>
        <w:rPr>
          <w:rFonts w:ascii="Calibri" w:hAnsi="Calibri" w:cs="楷体" w:eastAsia="楷体"/>
          <w:b/>
          <w:bCs/>
          <w:color w:val="23558C"/>
          <w:sz w:val="28"/>
          <w:szCs w:val="28"/>
        </w:rPr>
        <w:t>估值与投资建议</w:t>
      </w:r>
      <w:bookmarkEnd w:id="18"/>
    </w:p>
    <w:p>
      <w:pPr>
        <w:pStyle w:val="77"/>
        <w:jc w:val="both"/>
        <w:rPr>
          <w:rFonts w:ascii="Calibri" w:hAnsi="Calibri" w:eastAsia="楷体" w:cs="楷体"/>
          <w:color w:val="23558C"/>
          <w:sz w:val="24"/>
        </w:rPr>
      </w:pPr>
      <w:bookmarkStart w:id="20" w:name="_Toc225872252"/>
      <w:r>
        <w:rPr>
          <w:rFonts w:eastAsia="楷体" w:cs="楷体" w:ascii="Calibri" w:hAnsi="Calibri"/>
          <w:color w:val="23558C"/>
          <w:sz w:val="24"/>
        </w:rPr>
        <w:t xml:space="preserve">4.1 </w:t>
      </w:r>
      <w:r>
        <w:rPr>
          <w:rFonts w:ascii="Calibri" w:hAnsi="Calibri" w:cs="楷体" w:eastAsia="楷体"/>
          <w:color w:val="23558C"/>
          <w:sz w:val="24"/>
        </w:rPr>
        <w:t>盈利预测</w:t>
      </w:r>
      <w:bookmarkEnd w:id="19"/>
    </w:p>
    <w:p>
      <w:pPr>
        <w:pStyle w:val="37"/>
        <w:numPr>
          <w:ilvl w:val="0"/>
          <w:numId w:val="7"/>
        </w:numPr>
        <w:jc w:val="both"/>
        <w:rPr>
          <w:rFonts w:eastAsia="楷体" w:cs="楷体"/>
          <w:sz w:val="22"/>
          <w:szCs w:val="22"/>
        </w:rPr>
      </w:pPr>
      <w:r>
        <w:rPr>
          <w:rFonts w:cs="楷体" w:eastAsia="楷体"/>
          <w:b/>
          <w:bCs/>
          <w:sz w:val="22"/>
          <w:szCs w:val="22"/>
        </w:rPr>
        <w:t>总营收</w:t>
      </w:r>
    </w:p>
    <w:p>
      <w:pPr>
        <w:pStyle w:val="1"/>
        <w:jc w:val="both"/>
        <w:rPr>
          <w:rFonts w:ascii="楷体" w:hAnsi="楷体" w:eastAsia="楷体" w:cs="楷体"/>
          <w:b/>
          <w:b/>
          <w:bCs/>
          <w:sz w:val="22"/>
          <w:szCs w:val="22"/>
        </w:rPr>
      </w:pPr>
      <w:r>
        <w:rPr>
          <w:rFonts w:eastAsia="楷体" w:cs="楷体" w:ascii="楷体" w:hAnsi="楷体"/>
          <w:b/>
          <w:bCs/>
          <w:sz w:val="22"/>
          <w:szCs w:val="22"/>
        </w:rPr>
      </w:r>
      <w:bookmarkStart w:id="21" w:name="_Toc186105501"/>
      <w:bookmarkStart w:id="22" w:name="_Toc186105501"/>
    </w:p>
    <w:p>
      <w:pPr>
        <w:pStyle w:val="1"/>
        <w:jc w:val="both"/>
        <w:rPr>
          <w:rFonts w:ascii="楷体" w:hAnsi="楷体" w:eastAsia="楷体" w:cs="楷体"/>
          <w:sz w:val="22"/>
          <w:szCs w:val="22"/>
        </w:rPr>
      </w:pPr>
      <w:r>
        <w:rPr>
          <w:rFonts w:ascii="楷体" w:hAnsi="楷体" w:cs="楷体" w:eastAsia="楷体"/>
          <w:sz w:val="22"/>
          <w:szCs w:val="22"/>
        </w:rPr>
        <w:t>我们预计公司在</w:t>
      </w:r>
      <w:r>
        <w:rPr>
          <w:rFonts w:eastAsia="楷体" w:cs="楷体" w:ascii="楷体" w:hAnsi="楷体"/>
          <w:sz w:val="22"/>
          <w:szCs w:val="22"/>
        </w:rPr>
        <w:t>2026</w:t>
      </w:r>
      <w:r>
        <w:rPr>
          <w:rFonts w:ascii="楷体" w:hAnsi="楷体" w:cs="楷体" w:eastAsia="楷体"/>
          <w:sz w:val="22"/>
          <w:szCs w:val="22"/>
        </w:rPr>
        <w:t>年至</w:t>
      </w:r>
      <w:r>
        <w:rPr>
          <w:rFonts w:eastAsia="楷体" w:cs="楷体" w:ascii="楷体" w:hAnsi="楷体"/>
          <w:sz w:val="22"/>
          <w:szCs w:val="22"/>
        </w:rPr>
        <w:t>2028</w:t>
      </w:r>
      <w:r>
        <w:rPr>
          <w:rFonts w:ascii="楷体" w:hAnsi="楷体" w:cs="楷体" w:eastAsia="楷体"/>
          <w:sz w:val="22"/>
          <w:szCs w:val="22"/>
        </w:rPr>
        <w:t>年期间的收入将分别达到</w:t>
      </w:r>
      <w:r>
        <w:rPr>
          <w:rFonts w:eastAsia="楷体" w:cs="楷体" w:ascii="楷体" w:hAnsi="楷体"/>
          <w:sz w:val="22"/>
          <w:szCs w:val="22"/>
        </w:rPr>
        <w:t>123.41/147.07/172.28</w:t>
      </w:r>
      <w:r>
        <w:rPr>
          <w:rFonts w:ascii="楷体" w:hAnsi="楷体" w:cs="楷体" w:eastAsia="楷体"/>
          <w:sz w:val="22"/>
          <w:szCs w:val="22"/>
        </w:rPr>
        <w:t>亿人民币，净利润分别为</w:t>
      </w:r>
      <w:r>
        <w:rPr>
          <w:rFonts w:eastAsia="楷体" w:cs="楷体" w:ascii="楷体" w:hAnsi="楷体"/>
          <w:sz w:val="22"/>
          <w:szCs w:val="22"/>
        </w:rPr>
        <w:t>18.73/22.27/26.22</w:t>
      </w:r>
      <w:r>
        <w:rPr>
          <w:rFonts w:ascii="楷体" w:hAnsi="楷体" w:cs="楷体" w:eastAsia="楷体"/>
          <w:sz w:val="22"/>
          <w:szCs w:val="22"/>
        </w:rPr>
        <w:t>亿人民币。</w:t>
      </w:r>
    </w:p>
    <w:p>
      <w:pPr>
        <w:pStyle w:val="1"/>
        <w:jc w:val="both"/>
        <w:rPr>
          <w:rFonts w:ascii="楷体" w:hAnsi="楷体" w:eastAsia="楷体" w:cs="楷体"/>
          <w:sz w:val="22"/>
          <w:szCs w:val="22"/>
        </w:rPr>
      </w:pPr>
      <w:r>
        <w:rPr>
          <w:rFonts w:eastAsia="楷体" w:cs="楷体" w:ascii="楷体" w:hAnsi="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ascii="楷体" w:hAnsi="楷体" w:eastAsia="楷体" w:cs="Calibri"/>
                <w:b/>
                <w:b/>
                <w:sz w:val="20"/>
                <w:szCs w:val="20"/>
              </w:rPr>
            </w:pPr>
            <w:bookmarkStart w:id="23" w:name="_Hlk219374613"/>
            <w:r>
              <w:rPr>
                <w:rFonts w:ascii="楷体" w:hAnsi="楷体" w:cs="Calibri" w:eastAsia="楷体"/>
                <w:b/>
                <w:kern w:val="0"/>
                <w:sz w:val="20"/>
                <w:szCs w:val="20"/>
              </w:rPr>
              <w:t>图：</w:t>
            </w:r>
            <w:r>
              <w:rPr>
                <w:rFonts w:eastAsia="楷体" w:cs="Calibri" w:ascii="楷体" w:hAnsi="楷体"/>
                <w:b/>
                <w:kern w:val="0"/>
                <w:sz w:val="20"/>
                <w:szCs w:val="20"/>
              </w:rPr>
              <w:t>2026-2028</w:t>
            </w:r>
            <w:r>
              <w:rPr>
                <w:rFonts w:ascii="楷体" w:hAnsi="楷体" w:cs="Calibri" w:eastAsia="楷体"/>
                <w:b/>
                <w:kern w:val="0"/>
                <w:sz w:val="20"/>
                <w:szCs w:val="20"/>
              </w:rPr>
              <w:t>年收入分业务板块拆分（百万元）</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宋体" w:cs="Calibri"/>
                <w:b/>
                <w:b/>
                <w:bCs/>
                <w:sz w:val="20"/>
                <w:szCs w:val="20"/>
              </w:rPr>
            </w:pPr>
            <w:r>
              <w:rPr>
                <w:kern w:val="0"/>
              </w:rPr>
              <w:drawing>
                <wp:inline distT="0" distB="0" distL="0" distR="0">
                  <wp:extent cx="4653280" cy="1002665"/>
                  <wp:effectExtent l="0" t="0" r="0" b="0"/>
                  <wp:docPr id="2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descr=""/>
                          <pic:cNvPicPr>
                            <a:picLocks noChangeAspect="1" noChangeArrowheads="1"/>
                          </pic:cNvPicPr>
                        </pic:nvPicPr>
                        <pic:blipFill>
                          <a:blip r:embed="rId49"/>
                          <a:stretch>
                            <a:fillRect/>
                          </a:stretch>
                        </pic:blipFill>
                        <pic:spPr bwMode="auto">
                          <a:xfrm>
                            <a:off x="0" y="0"/>
                            <a:ext cx="4653280" cy="1002665"/>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bookmarkEnd w:id="20"/>
          </w:p>
        </w:tc>
      </w:tr>
    </w:tbl>
    <w:p>
      <w:pPr>
        <w:pStyle w:val="77"/>
        <w:jc w:val="both"/>
        <w:rPr>
          <w:rFonts w:ascii="楷体" w:hAnsi="楷体" w:eastAsia="楷体" w:cs="楷体"/>
          <w:color w:val="23558C"/>
          <w:sz w:val="24"/>
        </w:rPr>
      </w:pPr>
      <w:bookmarkStart w:id="24" w:name="_Toc225872253"/>
      <w:r>
        <w:rPr>
          <w:rFonts w:eastAsia="楷体" w:cs="楷体" w:ascii="楷体" w:hAnsi="楷体"/>
          <w:color w:val="23558C"/>
          <w:sz w:val="24"/>
        </w:rPr>
        <w:t xml:space="preserve">4.2 </w:t>
      </w:r>
      <w:r>
        <w:rPr>
          <w:rFonts w:ascii="楷体" w:hAnsi="楷体" w:cs="楷体" w:eastAsia="楷体"/>
          <w:color w:val="23558C"/>
          <w:sz w:val="24"/>
        </w:rPr>
        <w:t>估值分析</w:t>
      </w:r>
      <w:bookmarkEnd w:id="21"/>
    </w:p>
    <w:p>
      <w:pPr>
        <w:pStyle w:val="1"/>
        <w:jc w:val="both"/>
        <w:rPr>
          <w:rFonts w:ascii="楷体" w:hAnsi="楷体" w:eastAsia="楷体" w:cs="楷体"/>
          <w:sz w:val="22"/>
          <w:szCs w:val="22"/>
        </w:rPr>
      </w:pPr>
      <w:r>
        <w:rPr>
          <w:rFonts w:ascii="楷体" w:hAnsi="楷体" w:cs="楷体" w:eastAsia="楷体"/>
          <w:sz w:val="22"/>
          <w:szCs w:val="22"/>
        </w:rPr>
        <w:t>基于贴现现金流（</w:t>
      </w:r>
      <w:r>
        <w:rPr>
          <w:rFonts w:eastAsia="楷体" w:cs="楷体" w:ascii="楷体" w:hAnsi="楷体"/>
          <w:sz w:val="22"/>
          <w:szCs w:val="22"/>
        </w:rPr>
        <w:t>DCF</w:t>
      </w:r>
      <w:r>
        <w:rPr>
          <w:rFonts w:ascii="楷体" w:hAnsi="楷体" w:cs="楷体" w:eastAsia="楷体"/>
          <w:sz w:val="22"/>
          <w:szCs w:val="22"/>
        </w:rPr>
        <w:t>）估值模型，我们对公司未来经营现金流进行测算，并综合考虑行业增长前景、公司竞争地位及盈利能力，给予公司目标价</w:t>
      </w:r>
      <w:r>
        <w:rPr>
          <w:rFonts w:eastAsia="楷体" w:cs="楷体" w:ascii="楷体" w:hAnsi="楷体"/>
          <w:sz w:val="22"/>
          <w:szCs w:val="22"/>
        </w:rPr>
        <w:t>40.94</w:t>
      </w:r>
      <w:r>
        <w:rPr>
          <w:rFonts w:ascii="楷体" w:hAnsi="楷体" w:cs="楷体" w:eastAsia="楷体"/>
          <w:sz w:val="22"/>
          <w:szCs w:val="22"/>
        </w:rPr>
        <w:t>元。首次覆盖，给予“跑赢大市” 的投资评级。</w:t>
      </w:r>
    </w:p>
    <w:p>
      <w:pPr>
        <w:pStyle w:val="1"/>
        <w:jc w:val="both"/>
        <w:rPr>
          <w:rFonts w:ascii="楷体" w:hAnsi="楷体" w:eastAsia="楷体" w:cs="楷体"/>
          <w:sz w:val="22"/>
          <w:szCs w:val="22"/>
        </w:rPr>
      </w:pPr>
      <w:r>
        <w:rPr>
          <w:rFonts w:eastAsia="楷体" w:cs="楷体" w:ascii="楷体" w:hAnsi="楷体"/>
          <w:sz w:val="22"/>
          <w:szCs w:val="22"/>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ascii="楷体" w:hAnsi="楷体" w:eastAsia="楷体" w:cs="Calibri"/>
                <w:b/>
                <w:b/>
                <w:sz w:val="20"/>
                <w:szCs w:val="20"/>
              </w:rPr>
            </w:pPr>
            <w:r>
              <w:rPr>
                <w:rFonts w:ascii="楷体" w:hAnsi="楷体" w:cs="Calibri" w:eastAsia="楷体"/>
                <w:b/>
                <w:kern w:val="0"/>
                <w:sz w:val="20"/>
                <w:szCs w:val="20"/>
              </w:rPr>
              <w:t>图：</w:t>
            </w:r>
            <w:r>
              <w:rPr>
                <w:rFonts w:eastAsia="楷体" w:cs="Calibri" w:ascii="楷体" w:hAnsi="楷体"/>
                <w:b/>
                <w:kern w:val="0"/>
                <w:sz w:val="20"/>
                <w:szCs w:val="20"/>
              </w:rPr>
              <w:t>DCF</w:t>
            </w:r>
            <w:r>
              <w:rPr>
                <w:rFonts w:ascii="楷体" w:hAnsi="楷体" w:cs="Calibri" w:eastAsia="楷体"/>
                <w:b/>
                <w:kern w:val="0"/>
                <w:sz w:val="20"/>
                <w:szCs w:val="20"/>
              </w:rPr>
              <w:t>模型</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宋体" w:cs="Calibri"/>
                <w:b/>
                <w:b/>
                <w:bCs/>
                <w:sz w:val="20"/>
                <w:szCs w:val="20"/>
              </w:rPr>
            </w:pPr>
            <w:r>
              <w:rPr>
                <w:kern w:val="0"/>
              </w:rPr>
              <w:drawing>
                <wp:inline distT="0" distB="0" distL="0" distR="0">
                  <wp:extent cx="4603750" cy="1973580"/>
                  <wp:effectExtent l="0" t="0" r="0" b="0"/>
                  <wp:docPr id="2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descr=""/>
                          <pic:cNvPicPr>
                            <a:picLocks noChangeAspect="1" noChangeArrowheads="1"/>
                          </pic:cNvPicPr>
                        </pic:nvPicPr>
                        <pic:blipFill>
                          <a:blip r:embed="rId50"/>
                          <a:stretch>
                            <a:fillRect/>
                          </a:stretch>
                        </pic:blipFill>
                        <pic:spPr bwMode="auto">
                          <a:xfrm>
                            <a:off x="0" y="0"/>
                            <a:ext cx="4603750" cy="197358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p>
        </w:tc>
      </w:tr>
    </w:tbl>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p>
      <w:pPr>
        <w:pStyle w:val="1"/>
        <w:jc w:val="both"/>
        <w:rPr>
          <w:rFonts w:ascii="楷体" w:hAnsi="楷体" w:eastAsia="楷体" w:cs="楷体"/>
          <w:sz w:val="22"/>
          <w:szCs w:val="22"/>
          <w:highlight w:val="yellow"/>
        </w:rPr>
      </w:pPr>
      <w:r>
        <w:rPr>
          <w:rFonts w:eastAsia="楷体" w:cs="楷体" w:ascii="楷体" w:hAnsi="楷体"/>
          <w:sz w:val="22"/>
          <w:szCs w:val="22"/>
          <w:highlight w:val="yellow"/>
        </w:rPr>
      </w:r>
    </w:p>
    <w:tbl>
      <w:tblPr>
        <w:tblStyle w:val="19"/>
        <w:tblW w:w="7466" w:type="dxa"/>
        <w:jc w:val="left"/>
        <w:tblInd w:w="0" w:type="dxa"/>
        <w:tblLayout w:type="fixed"/>
        <w:tblCellMar>
          <w:top w:w="0" w:type="dxa"/>
          <w:left w:w="0" w:type="dxa"/>
          <w:bottom w:w="0" w:type="dxa"/>
          <w:right w:w="28" w:type="dxa"/>
        </w:tblCellMar>
      </w:tblPr>
      <w:tblGrid>
        <w:gridCol w:w="7466"/>
      </w:tblGrid>
      <w:tr>
        <w:trPr>
          <w:trHeight w:val="302" w:hRule="atLeast"/>
        </w:trPr>
        <w:tc>
          <w:tcPr>
            <w:tcW w:w="7466" w:type="dxa"/>
            <w:tcBorders>
              <w:bottom w:val="single" w:sz="4" w:space="0" w:color="000000"/>
            </w:tcBorders>
          </w:tcPr>
          <w:p>
            <w:pPr>
              <w:pStyle w:val="1"/>
              <w:widowControl/>
              <w:spacing w:before="48" w:after="48"/>
              <w:jc w:val="both"/>
              <w:textAlignment w:val="center"/>
              <w:rPr>
                <w:rFonts w:ascii="楷体" w:hAnsi="楷体" w:eastAsia="楷体" w:cs="Calibri"/>
                <w:b/>
                <w:b/>
                <w:sz w:val="20"/>
                <w:szCs w:val="20"/>
              </w:rPr>
            </w:pPr>
            <w:r>
              <w:rPr>
                <w:rFonts w:ascii="楷体" w:hAnsi="楷体" w:cs="Calibri" w:eastAsia="楷体"/>
                <w:b/>
                <w:kern w:val="0"/>
                <w:sz w:val="20"/>
                <w:szCs w:val="20"/>
              </w:rPr>
              <w:t>图：财务汇总</w:t>
            </w:r>
          </w:p>
        </w:tc>
      </w:tr>
      <w:tr>
        <w:trPr>
          <w:trHeight w:val="856" w:hRule="atLeast"/>
        </w:trPr>
        <w:tc>
          <w:tcPr>
            <w:tcW w:w="7466" w:type="dxa"/>
            <w:tcBorders>
              <w:top w:val="single" w:sz="4" w:space="0" w:color="000000"/>
              <w:bottom w:val="single" w:sz="4" w:space="0" w:color="000000"/>
            </w:tcBorders>
            <w:tcMar>
              <w:left w:w="108" w:type="dxa"/>
              <w:right w:w="108" w:type="dxa"/>
            </w:tcMar>
            <w:vAlign w:val="center"/>
          </w:tcPr>
          <w:p>
            <w:pPr>
              <w:pStyle w:val="1"/>
              <w:widowControl/>
              <w:spacing w:before="48" w:after="48"/>
              <w:jc w:val="center"/>
              <w:textAlignment w:val="center"/>
              <w:rPr>
                <w:rFonts w:eastAsia="宋体" w:cs="Calibri"/>
                <w:b/>
                <w:b/>
                <w:bCs/>
                <w:sz w:val="20"/>
                <w:szCs w:val="20"/>
              </w:rPr>
            </w:pPr>
            <w:r>
              <w:rPr>
                <w:kern w:val="0"/>
              </w:rPr>
              <w:drawing>
                <wp:inline distT="0" distB="0" distL="0" distR="0">
                  <wp:extent cx="4603750" cy="2656840"/>
                  <wp:effectExtent l="0" t="0" r="0" b="0"/>
                  <wp:docPr id="2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descr=""/>
                          <pic:cNvPicPr>
                            <a:picLocks noChangeAspect="1" noChangeArrowheads="1"/>
                          </pic:cNvPicPr>
                        </pic:nvPicPr>
                        <pic:blipFill>
                          <a:blip r:embed="rId51"/>
                          <a:stretch>
                            <a:fillRect/>
                          </a:stretch>
                        </pic:blipFill>
                        <pic:spPr bwMode="auto">
                          <a:xfrm>
                            <a:off x="0" y="0"/>
                            <a:ext cx="4603750" cy="2656840"/>
                          </a:xfrm>
                          <a:prstGeom prst="rect">
                            <a:avLst/>
                          </a:prstGeom>
                        </pic:spPr>
                      </pic:pic>
                    </a:graphicData>
                  </a:graphic>
                </wp:inline>
              </w:drawing>
            </w:r>
          </w:p>
        </w:tc>
      </w:tr>
      <w:tr>
        <w:trPr>
          <w:trHeight w:val="64" w:hRule="atLeast"/>
        </w:trPr>
        <w:tc>
          <w:tcPr>
            <w:tcW w:w="7466" w:type="dxa"/>
            <w:tcBorders>
              <w:top w:val="single" w:sz="4" w:space="0" w:color="000000"/>
            </w:tcBorders>
            <w:vAlign w:val="center"/>
          </w:tcPr>
          <w:p>
            <w:pPr>
              <w:pStyle w:val="1"/>
              <w:widowControl/>
              <w:spacing w:lineRule="atLeast" w:line="240" w:before="0" w:after="0"/>
              <w:jc w:val="both"/>
              <w:textAlignment w:val="center"/>
              <w:rPr>
                <w:rFonts w:ascii="楷体" w:hAnsi="楷体" w:eastAsia="楷体" w:cs="Calibri"/>
                <w:sz w:val="20"/>
                <w:szCs w:val="20"/>
              </w:rPr>
            </w:pPr>
            <w:r>
              <w:rPr>
                <w:rFonts w:ascii="楷体" w:hAnsi="楷体" w:cs="Calibri" w:eastAsia="楷体"/>
                <w:b/>
                <w:bCs/>
                <w:kern w:val="0"/>
                <w:sz w:val="20"/>
                <w:szCs w:val="20"/>
              </w:rPr>
              <w:t>资料来源</w:t>
            </w:r>
            <w:r>
              <w:rPr>
                <w:rFonts w:eastAsia="楷体" w:cs="Calibri" w:ascii="楷体" w:hAnsi="楷体"/>
                <w:b/>
                <w:bCs/>
                <w:kern w:val="0"/>
                <w:sz w:val="20"/>
                <w:szCs w:val="20"/>
              </w:rPr>
              <w:t xml:space="preserve">: </w:t>
            </w:r>
            <w:r>
              <w:rPr>
                <w:rFonts w:eastAsia="楷体" w:cs="Calibri" w:ascii="楷体" w:hAnsi="楷体"/>
                <w:kern w:val="0"/>
                <w:sz w:val="20"/>
                <w:szCs w:val="20"/>
              </w:rPr>
              <w:t>Wind, HFI</w:t>
            </w:r>
          </w:p>
        </w:tc>
      </w:tr>
    </w:tbl>
    <w:p>
      <w:pPr>
        <w:pStyle w:val="2"/>
        <w:spacing w:before="240" w:after="240"/>
        <w:jc w:val="both"/>
        <w:rPr>
          <w:rFonts w:ascii="Calibri" w:hAnsi="Calibri" w:eastAsia="楷体" w:cs="楷体"/>
          <w:b/>
          <w:b/>
          <w:bCs/>
          <w:color w:val="23558C"/>
          <w:sz w:val="28"/>
          <w:szCs w:val="28"/>
        </w:rPr>
      </w:pPr>
      <w:bookmarkStart w:id="25" w:name="_Toc186105501"/>
      <w:bookmarkStart w:id="26" w:name="_Toc225872254"/>
      <w:r>
        <w:rPr>
          <w:rFonts w:eastAsia="楷体" w:cs="楷体" w:ascii="Calibri" w:hAnsi="Calibri"/>
          <w:b/>
          <w:bCs/>
          <w:color w:val="23558C"/>
          <w:sz w:val="28"/>
          <w:szCs w:val="28"/>
        </w:rPr>
        <w:t xml:space="preserve">5. </w:t>
      </w:r>
      <w:bookmarkEnd w:id="22"/>
      <w:r>
        <w:rPr>
          <w:rFonts w:ascii="Calibri" w:hAnsi="Calibri" w:cs="楷体" w:eastAsia="楷体"/>
          <w:b/>
          <w:bCs/>
          <w:color w:val="23558C"/>
          <w:sz w:val="28"/>
          <w:szCs w:val="28"/>
        </w:rPr>
        <w:t>风险</w:t>
      </w:r>
      <w:bookmarkEnd w:id="23"/>
    </w:p>
    <w:p>
      <w:pPr>
        <w:sectPr>
          <w:pgSz w:w="11910" w:h="16840"/>
          <w:pgMar w:top="567" w:right="567" w:bottom="1021" w:left="3600" w:header="567" w:footer="919" w:gutter="0"/>
          <w:cols w:space="425" w:num="1"/>
          <w:titlePg/>
          <w:docGrid w:linePitch="299" w:charSpace="0"/>
          <w:type w:val="nextPage"/>
          <w:headerReference w:type="default" r:id="rId12"/>
          <w:footerReference w:type="default" r:id="rId8"/>
        </w:sectPr>
      </w:pPr>
    </w:p>
    <w:p>
      <w:pPr>
        <w:pStyle w:val="11"/>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APPENDIX 1</w:t>
      </w:r>
    </w:p>
    <w:p>
      <w:pPr>
        <w:pStyle w:val="11"/>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 xml:space="preserve">Summary</w:t>
      </w:r>
    </w:p>
    <w:p w14:paraId="2D333D2D">
      <w:pPr>
        <w:pStyle w:val="44"/>
        <w:overflowPunct w:val="0"/>
        <w:jc w:val="both"/>
        <w:rPr>
          <w:rFonts w:eastAsia="楷体_GB2312" w:cs="Calibri"/>
          <w:b/>
          <w:bCs/>
          <w:lang w:eastAsia="zh-CN"/>
        </w:rPr>
      </w:pPr>
      <w:r>
        <w:rPr>
          <w:rFonts w:eastAsia="楷体_GB2312" w:cs="Calibri"/>
          <w:b/>
          <w:bCs/>
          <w:lang w:eastAsia="zh-CN"/>
        </w:rPr>
        <w:t>Initial Coverage on Wasion Holdings (3393.HK): Dual-Driven by Distribution Network Investment and AI Computing Power, the Energy Metering Leader Sets Sail Again</w:t>
      </w:r>
    </w:p>
    <w:p w14:paraId="360B1DCB">
      <w:pPr>
        <w:pStyle w:val="44"/>
        <w:overflowPunct w:val="0"/>
        <w:jc w:val="both"/>
        <w:rPr>
          <w:rFonts w:eastAsia="楷体_GB2312" w:cs="Calibri"/>
          <w:lang w:eastAsia="zh-CN"/>
        </w:rPr>
      </w:pPr>
      <w:r>
        <w:rPr>
          <w:rFonts w:eastAsia="楷体_GB2312" w:cs="Calibri"/>
          <w:b/>
          <w:bCs/>
          <w:lang w:eastAsia="zh-CN"/>
        </w:rPr>
        <w:t xml:space="preserve">Wasion Holdings: Expert in Energy Metering and Energy Efficiency Management. </w:t>
      </w:r>
      <w:r>
        <w:rPr>
          <w:rFonts w:eastAsia="楷体_GB2312" w:cs="Calibri"/>
          <w:lang w:eastAsia="zh-CN"/>
        </w:rPr>
        <w:t>As China's leading provider of overall solutions for energy metering and smart power distribution and utilization, the company has built a matrix of three major businesses: Smart Grid Solutions, Smart Energy Efficiency Management Solutions, and Digital Energy Service Provider. By covering the entire product chain of "metering - communication - power distribution and utilization," the company has formed a deep client moat in fields such as power, water, gas, and large-scale public buildings.</w:t>
      </w:r>
    </w:p>
    <w:p w14:paraId="29426470">
      <w:pPr>
        <w:pStyle w:val="44"/>
        <w:overflowPunct w:val="0"/>
        <w:jc w:val="both"/>
        <w:rPr>
          <w:rFonts w:eastAsia="楷体_GB2312" w:cs="Calibri"/>
          <w:lang w:eastAsia="zh-CN"/>
        </w:rPr>
      </w:pPr>
      <w:r>
        <w:rPr>
          <w:rFonts w:eastAsia="楷体_GB2312" w:cs="Calibri"/>
          <w:b/>
          <w:bCs/>
          <w:lang w:eastAsia="zh-CN"/>
        </w:rPr>
        <w:t xml:space="preserve">Power Grid Investment in the "15th Five-Year Plan" Enters the 4-Trillion Era; Smart Distribution Networks Usher in a Cycle of Rising Volume and Prices. </w:t>
      </w:r>
      <w:r>
        <w:rPr>
          <w:rFonts w:eastAsia="楷体_GB2312" w:cs="Calibri"/>
          <w:lang w:eastAsia="zh-CN"/>
        </w:rPr>
        <w:t>With the large-scale grid connection of new energy under the "Dual Carbon" strategy, the intelligent transformation of the distribution network has become a rigid demand. The State Grid's fixed asset investment during the "15th Five-Year Plan" is expected to reach 4 trillion yuan, an increase of 40% compared to the "14th Five-Year Plan," with the investment focus clearly shifting towards the distribution network side. Starting from 2026, the new standard electricity meters will enter a major year of comprehensive supplementary bidding, and the price limits are generally over 20% higher than the previous average winning bid prices. As a top-tier enterprise in the industry, the company is expected to deeply benefit from the new cycle of "rising volume and prices".</w:t>
      </w:r>
    </w:p>
    <w:p w14:paraId="5CC36ECC">
      <w:pPr>
        <w:pStyle w:val="44"/>
        <w:overflowPunct w:val="0"/>
        <w:jc w:val="both"/>
        <w:rPr>
          <w:rFonts w:eastAsia="楷体_GB2312" w:cs="Calibri"/>
          <w:lang w:eastAsia="zh-CN"/>
        </w:rPr>
      </w:pPr>
      <w:r>
        <w:rPr>
          <w:rFonts w:eastAsia="楷体_GB2312" w:cs="Calibri"/>
          <w:b/>
          <w:bCs/>
          <w:lang w:eastAsia="zh-CN"/>
        </w:rPr>
        <w:t xml:space="preserve">AIDC Computing Power Explosion Drives Power Distribution Architecture Innovation; Digital Energy Business Opens a New Growth Pole. </w:t>
      </w:r>
      <w:r>
        <w:rPr>
          <w:rFonts w:eastAsia="楷体_GB2312" w:cs="Calibri"/>
          <w:lang w:eastAsia="zh-CN"/>
        </w:rPr>
        <w:t>The exponential growth of AI computing power has driven the rack density of data centers (AIDC) to jump from 4-6kW to 20-40kW and above, forcing the power supply architecture to evolve towards 800V high-voltage direct current (HVDC). The company has deep technical reserves on the low and medium voltage power distribution side, and its digital energy business is accelerating its penetration into high-value scenarios such as data centers and energy storage. In 2025, the company's AI-related revenue grew by nearly 90% year-on-year, which has become one of the strongest drivers for its performance growth.</w:t>
      </w:r>
    </w:p>
    <w:p w14:paraId="1B46FB8A">
      <w:pPr>
        <w:pStyle w:val="44"/>
        <w:overflowPunct w:val="0"/>
        <w:jc w:val="both"/>
        <w:rPr>
          <w:rFonts w:eastAsia="楷体_GB2312" w:cs="Calibri"/>
          <w:lang w:eastAsia="zh-CN"/>
        </w:rPr>
      </w:pPr>
      <w:r>
        <w:rPr>
          <w:rFonts w:eastAsia="楷体_GB2312" w:cs="Calibri"/>
          <w:b/>
          <w:bCs/>
          <w:lang w:eastAsia="zh-CN"/>
        </w:rPr>
        <w:t>Deepening Global Layout; "Capacity Going Global" Enters the Fast Lane of Value Release.</w:t>
      </w:r>
      <w:r>
        <w:rPr>
          <w:rFonts w:eastAsia="楷体_GB2312" w:cs="Calibri"/>
          <w:lang w:eastAsia="zh-CN"/>
        </w:rPr>
        <w:t xml:space="preserve"> The company has established six major production and R&amp;D bases globally, including in Mexico, Brazil, and Hungary, achieving a strategic upgrade from "products going global" to "localized operations". Benefiting from overseas power grid upgrades and AIDC demand, new overseas orders are expected to grow by 54% to 2 billion RMB in 2026. The continuous increase in the proportion of overseas business will further optimize the company's gross profit structure.</w:t>
      </w:r>
    </w:p>
    <w:p w14:paraId="027DB94C">
      <w:pPr>
        <w:pStyle w:val="44"/>
        <w:overflowPunct w:val="0"/>
        <w:jc w:val="both"/>
        <w:rPr>
          <w:rFonts w:eastAsia="楷体_GB2312" w:cs="Calibri"/>
          <w:b/>
          <w:bCs/>
          <w:lang w:eastAsia="zh-CN"/>
        </w:rPr>
      </w:pPr>
      <w:r>
        <w:rPr>
          <w:rFonts w:eastAsia="楷体_GB2312" w:cs="Calibri"/>
          <w:b/>
          <w:bCs/>
          <w:lang w:eastAsia="zh-CN"/>
        </w:rPr>
        <w:t>Valuation and Recommendations</w:t>
      </w:r>
    </w:p>
    <w:p w14:paraId="2C3A37B5">
      <w:pPr>
        <w:pStyle w:val="44"/>
        <w:overflowPunct w:val="0"/>
        <w:jc w:val="both"/>
        <w:rPr>
          <w:rFonts w:eastAsia="楷体_GB2312" w:cs="Calibri"/>
          <w:lang w:eastAsia="zh-CN"/>
        </w:rPr>
      </w:pPr>
      <w:r>
        <w:rPr>
          <w:rFonts w:eastAsia="楷体_GB2312" w:cs="Calibri"/>
          <w:lang w:eastAsia="zh-CN"/>
        </w:rPr>
        <w:t>We expect the company's revenue to reach 12.341 billion / 14.707 billion / 17.228 billion RMB during the period from 2026 to 2028, with net profits of 1.873 billion / 2.227 billion / 2.622 billion RMB, respectively. Based on the Discounted Cash Flow (DCF) valuation model, we initiate coverage with an "Outperform" rating and a target price of 40.94 RMB.</w:t>
      </w:r>
    </w:p>
    <w:p w14:paraId="21601CE4">
      <w:pPr>
        <w:pStyle w:val="44"/>
        <w:overflowPunct w:val="0"/>
        <w:jc w:val="both"/>
        <w:rPr>
          <w:rFonts w:eastAsia="楷体_GB2312" w:cs="Calibri"/>
          <w:b/>
          <w:bCs/>
          <w:lang w:eastAsia="zh-CN"/>
        </w:rPr>
      </w:pPr>
      <w:r>
        <w:rPr>
          <w:rFonts w:eastAsia="楷体_GB2312" w:cs="Calibri"/>
          <w:b/>
          <w:bCs/>
          <w:lang w:eastAsia="zh-CN"/>
        </w:rPr>
        <w:t>Risk Warnings</w:t>
      </w:r>
    </w:p>
    <w:p w14:paraId="4540ABA9">
      <w:pPr>
        <w:pStyle w:val="44"/>
        <w:overflowPunct w:val="0"/>
        <w:jc w:val="both"/>
        <w:rPr>
          <w:rFonts w:eastAsia="楷体_GB2312" w:cs="Calibri"/>
          <w:lang w:eastAsia="zh-CN"/>
        </w:rPr>
      </w:pPr>
      <w:r>
        <w:rPr>
          <w:rFonts w:eastAsia="楷体_GB2312" w:cs="Calibri"/>
          <w:lang w:eastAsia="zh-CN"/>
        </w:rPr>
        <w:t>Centralized procurement bidding volume and prices of the State Grid and China Southern Power Grid failing to meet expectations; slower-than-expected business growth in overseas markets; rising overseas production costs.</w:t>
      </w:r>
    </w:p>
    <w:p>
      <w:pPr>
        <w:sectPr>
          <w:type w:val="nextPage"/>
          <w:headerReference w:type="first" r:id="rId14"/>
          <w:footerReference w:type="first" r:id="rId16"/>
          <w:footerReference w:type="default" r:id="rId15"/>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 xml:space="preserv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 xml:space="preserve">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hint="eastAsia" w:eastAsia="楷体_GB2312" w:cs="Calibri"/>
                      <w:w w:val="70"/>
                      <w:sz w:val="20"/>
                      <w:szCs w:val="20"/>
                      <w:lang w:val="en-US" w:eastAsia="zh-CN"/>
                    </w:rPr>
                    <w:t/>
                  </w:r>
                  <w:r>
                    <w:rPr>
                      <w:rFonts w:hint="default" w:eastAsia="楷体_GB2312" w:cs="Calibri"/>
                      <w:w w:val="70"/>
                      <w:sz w:val="20"/>
                      <w:szCs w:val="20"/>
                      <w:lang w:val="en-IE" w:eastAsia="zh-CN"/>
                    </w:rPr>
                    <w:t/>
                  </w:r>
                  <w:r>
                    <w:rPr>
                      <w:rFonts w:hint="eastAsia" w:eastAsia="楷体_GB2312" w:cs="Calibri"/>
                      <w:w w:val="70"/>
                      <w:sz w:val="20"/>
                      <w:szCs w:val="20"/>
                    </w:rPr>
                    <w:t xml:space="preserve"/>
                  </w:r>
                  <w:r>
                    <w:rPr>
                      <w:rFonts w:hint="default" w:eastAsia="楷体_GB2312" w:cs="Calibri"/>
                      <w:w w:val="70"/>
                      <w:sz w:val="20"/>
                      <w:szCs w:val="20"/>
                      <w:lang w:val="en-IE"/>
                    </w:rPr>
                    <w:t/>
                  </w:r>
                  <w:r>
                    <w:rPr>
                      <w:rFonts w:hint="eastAsia" w:eastAsia="楷体_GB2312" w:cs="Calibri"/>
                      <w:w w:val="70"/>
                      <w:sz w:val="20"/>
                      <w:szCs w:val="20"/>
                    </w:rPr>
                    <w:t xml:space="preserve"/>
                  </w:r>
                </w:p>
                <w:p>
                  <w:pPr>
                    <w:rPr>
                      <w:rFonts w:eastAsia="楷体_GB2312" w:cs="Calibri"/>
                      <w:w w:val="70"/>
                      <w:sz w:val="20"/>
                      <w:szCs w:val="20"/>
                    </w:rPr>
                  </w:pPr>
                  <w:r>
                    <w:rPr>
                      <w:rFonts w:hint="eastAsia" w:eastAsia="楷体_GB2312" w:cs="Calibri"/>
                      <w:w w:val="70"/>
                      <w:sz w:val="20"/>
                      <w:szCs w:val="20"/>
                    </w:rPr>
                    <w:t xml:space="preserve">我， 邓轶达，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hint="eastAsia" w:eastAsia="楷体_GB2312" w:cs="Calibri"/>
                      <w:w w:val="70"/>
                      <w:sz w:val="20"/>
                      <w:szCs w:val="20"/>
                      <w:lang w:val="en-US" w:eastAsia="zh-CN"/>
                    </w:rPr>
                    <w:t/>
                  </w:r>
                  <w:r>
                    <w:rPr>
                      <w:rFonts w:hint="default" w:eastAsia="楷体_GB2312" w:cs="Calibri"/>
                      <w:w w:val="70"/>
                      <w:sz w:val="20"/>
                      <w:szCs w:val="20"/>
                      <w:lang w:val="en-IE" w:eastAsia="zh-CN"/>
                    </w:rPr>
                    <w:t/>
                  </w:r>
                  <w:r>
                    <w:rPr>
                      <w:rFonts w:hint="eastAsia" w:eastAsia="楷体_GB2312" w:cs="Calibri"/>
                      <w:w w:val="70"/>
                      <w:sz w:val="20"/>
                      <w:szCs w:val="20"/>
                    </w:rPr>
                    <w:t xml:space="preserve"/>
                  </w:r>
                  <w:r>
                    <w:rPr>
                      <w:rFonts w:hint="default" w:eastAsia="楷体_GB2312" w:cs="Calibri"/>
                      <w:w w:val="70"/>
                      <w:sz w:val="20"/>
                      <w:szCs w:val="20"/>
                      <w:lang w:val="en-IE"/>
                    </w:rPr>
                    <w:t/>
                  </w:r>
                  <w:r>
                    <w:rPr>
                      <w:rFonts w:hint="eastAsia" w:eastAsia="楷体_GB2312" w:cs="Calibri"/>
                      <w:w w:val="70"/>
                      <w:sz w:val="20"/>
                      <w:szCs w:val="20"/>
                    </w:rPr>
                    <w:t xml:space="preserve"/>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133"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hint="default" w:eastAsia="楷体_GB2312" w:cs="等线"/>
                      <w:b/>
                      <w:w w:val="70"/>
                      <w:sz w:val="20"/>
                      <w:szCs w:val="20"/>
                      <w:lang w:val="en-US" w:eastAsia="zh-CN"/>
                    </w:rPr>
                  </w:pPr>
                  <w:bookmarkStart w:id="27" w:name="_GoBack"/>
                  <w:bookmarkEnd w:id="24"/>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30"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31"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r>
      <w:rPr>
        <w:snapToGrid/>
      </w:rPr>
      <w:drawing>
        <wp:anchor distT="0" distB="0" distL="114300" distR="114300" simplePos="0" relativeHeight="251661312" behindDoc="0" locked="0" layoutInCell="1" allowOverlap="1">
          <wp:simplePos x="0" y="0"/>
          <wp:positionH relativeFrom="margin">
            <wp:posOffset>4735830</wp:posOffset>
          </wp:positionH>
          <wp:positionV relativeFrom="paragraph">
            <wp:posOffset>-8890</wp:posOffset>
          </wp:positionV>
          <wp:extent cx="1925955" cy="651510"/>
          <wp:effectExtent l="0" t="0" r="4445" b="8890"/>
          <wp:wrapNone/>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2">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3">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4">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5">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6">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num w:numId="2">
    <w:abstractNumId w:val="1"/>
  </w:num>
  <w:num w:numId="3">
    <w:abstractNumId w:val="2"/>
  </w:num>
  <w:num w:numId="4">
    <w:abstractNumId w:val="3"/>
  </w:num>
  <w:num w:numId="5">
    <w:abstractNumId w:val="4"/>
  </w:num>
  <w:num w:numId="6">
    <w:abstractNumId w:val="5"/>
  </w:num>
  <w:num w:numId="7">
    <w:abstractNumId w:val="6"/>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16100A"/>
    <w:rsid w:val="01803809"/>
    <w:rsid w:val="033A0998"/>
    <w:rsid w:val="03502CFD"/>
    <w:rsid w:val="04656EB0"/>
    <w:rsid w:val="049802FF"/>
    <w:rsid w:val="04BF763E"/>
    <w:rsid w:val="05164544"/>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8B26A5A"/>
    <w:rsid w:val="1A060856"/>
    <w:rsid w:val="1B4B7BDE"/>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3A2F23"/>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AB0809"/>
    <w:rsid w:val="49D01C80"/>
    <w:rsid w:val="4A7F2511"/>
    <w:rsid w:val="4AEF6A83"/>
    <w:rsid w:val="4F210225"/>
    <w:rsid w:val="4FAE7AF5"/>
    <w:rsid w:val="50A23EEF"/>
    <w:rsid w:val="50D45F65"/>
    <w:rsid w:val="514F7346"/>
    <w:rsid w:val="531A6B64"/>
    <w:rsid w:val="535F1857"/>
    <w:rsid w:val="53766F53"/>
    <w:rsid w:val="547B1ECB"/>
    <w:rsid w:val="54B96610"/>
    <w:rsid w:val="5573148D"/>
    <w:rsid w:val="56442422"/>
    <w:rsid w:val="56556BF5"/>
    <w:rsid w:val="56A67E9E"/>
    <w:rsid w:val="57CF589D"/>
    <w:rsid w:val="57F55199"/>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011582"/>
    <w:rsid w:val="6A402244"/>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 w:type="paragraph" w:styleId="Contents1">
    <w:name w:val="TOC 1"/>
    <w:basedOn w:val="Normal"/>
    <w:next w:val="Normal"/>
    <w:uiPriority w:val="39"/>
    <w:unhideWhenUsed/>
    <w:qFormat/>
    <w:pPr>
      <w:spacing w:lineRule="auto" w:line="259" w:before="0" w:after="100"/>
    </w:pPr>
    <w:rPr>
      <w:rFonts w:ascii="等线" w:hAnsi="等线" w:eastAsia="等线" w:asciiTheme="minorHAnsi" w:eastAsiaTheme="minorEastAsia" w:hAnsiTheme="minorHAnsi"/>
      <w:sz w:val="22"/>
      <w:szCs w:val="22"/>
    </w:rPr>
  </w:style>
  <w:style w:type="character" w:styleId="IndexLink">
    <w:name w:val="Index Link"/>
    <w:qFormat/>
    <w:rPr/>
  </w:style>
  <w:style w:type="paragraph" w:styleId="Contents2">
    <w:name w:val="TOC 2"/>
    <w:basedOn w:val="Normal"/>
    <w:next w:val="Normal"/>
    <w:uiPriority w:val="39"/>
    <w:unhideWhenUsed/>
    <w:qFormat/>
    <w:pPr>
      <w:spacing w:lineRule="auto" w:line="259" w:before="0" w:after="100"/>
      <w:ind w:left="220" w:hanging="0"/>
    </w:pPr>
    <w:rPr>
      <w:rFonts w:ascii="等线" w:hAnsi="等线" w:eastAsia="等线" w:asciiTheme="minorHAnsi" w:eastAsiaTheme="minorEastAsia" w:hAnsiTheme="minorHAnsi"/>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glossaryDocument" Target="glossary/document.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 Id="rId23" Type="http://schemas.openxmlformats.org/officeDocument/2006/relationships/image" Target="media/image2.png"/><Relationship Id="rId24" Type="http://schemas.openxmlformats.org/officeDocument/2006/relationships/image" Target="media/image3.jpe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customStyle="1" w:styleId="4">
    <w:name w:val="0A7DF2113BC84988AC653F937B869E52"/>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0</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2026-04-03T06:18:21Z</dcterms:modified>
  <cp:revision>15</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