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3F51C88">
      <w:pPr>
        <w:pStyle w:val="56"/>
        <w:jc w:val="both"/>
        <w:rPr>
          <w:rFonts w:eastAsia="楷体" w:cs="Calibri"/>
        </w:rPr>
      </w:pPr>
      <w:r>
        <w:rPr>
          <w:rFonts w:hint="eastAsia" w:eastAsia="楷体" w:cstheme="minorHAnsi"/>
          <w:b/>
          <w:snapToGrid w:val="0"/>
          <w:color w:val="23558C"/>
          <w:lang w:eastAsia="zh-CN"/>
        </w:rPr>
        <w:t>威胜控股</w:t>
      </w:r>
      <w:r>
        <w:rPr>
          <w:rFonts w:eastAsia="楷体" w:cstheme="minorHAnsi"/>
          <w:b/>
          <w:snapToGrid w:val="0"/>
          <w:color w:val="23558C"/>
          <w:lang w:eastAsia="zh-CN"/>
        </w:rPr>
        <w:t>：拥有</w:t>
      </w:r>
      <w:r>
        <w:rPr>
          <w:rFonts w:hint="eastAsia" w:eastAsia="楷体" w:cstheme="minorHAnsi"/>
          <w:b/>
          <w:snapToGrid w:val="0"/>
          <w:color w:val="23558C"/>
          <w:lang w:eastAsia="zh-CN"/>
        </w:rPr>
        <w:t>逾百</w:t>
      </w:r>
      <w:r>
        <w:rPr>
          <w:rFonts w:eastAsia="楷体" w:cstheme="minorHAnsi"/>
          <w:b/>
          <w:snapToGrid w:val="0"/>
          <w:color w:val="23558C"/>
          <w:lang w:eastAsia="zh-CN"/>
        </w:rPr>
        <w:t>年历史的多元化工业巨头</w:t>
      </w:r>
      <w:r>
        <w:rPr>
          <w:rFonts w:hint="eastAsia" w:eastAsia="楷体" w:cstheme="minorHAnsi"/>
          <w:b/>
          <w:snapToGrid w:val="0"/>
          <w:color w:val="23558C"/>
          <w:lang w:eastAsia="zh-CN"/>
        </w:rPr>
        <w:t>。</w:t>
      </w:r>
      <w:r>
        <w:rPr>
          <w:rFonts w:hint="eastAsia" w:eastAsia="楷体" w:cs="Calibri"/>
        </w:rPr>
        <w:t>公司作为中国领先的能源计量及配用电整体解决方案供应商，已构建起智能电网解决方案、数智能效管理解决方案及数字能源服务商三大业务矩阵</w:t>
      </w:r>
      <w:r>
        <w:rPr>
          <w:rFonts w:eastAsia="楷体" w:cs="Calibri"/>
        </w:rPr>
        <w:t xml:space="preserve"> </w:t>
      </w:r>
      <w:r>
        <w:rPr>
          <w:rFonts w:hint="eastAsia" w:eastAsia="楷体" w:cs="Calibri"/>
        </w:rPr>
        <w:t>。通过覆盖“计量—通信—配用电”全链条的产品布局，公司在电力、水务、燃气及大型公建等领域形成了深厚的客户护城河。</w:t>
      </w:r>
    </w:p>
    <w:p w14:paraId="63F51C89">
      <w:pPr>
        <w:pStyle w:val="56"/>
        <w:jc w:val="both"/>
        <w:rPr>
          <w:rFonts w:eastAsia="楷体" w:cs="Calibri"/>
          <w:lang w:eastAsia="zh-CN"/>
        </w:rPr>
      </w:pPr>
      <w:r>
        <w:rPr>
          <w:rFonts w:hint="eastAsia" w:eastAsia="楷体" w:cs="Calibri"/>
          <w:b/>
          <w:bCs/>
          <w:color w:val="23558C"/>
          <w:lang w:eastAsia="zh-CN"/>
        </w:rPr>
        <w:t>“十五五”电网投资迈入</w:t>
      </w:r>
      <w:r>
        <w:rPr>
          <w:rFonts w:eastAsia="楷体" w:cs="Calibri"/>
          <w:b/>
          <w:bCs/>
          <w:color w:val="23558C"/>
          <w:lang w:eastAsia="zh-CN"/>
        </w:rPr>
        <w:t>4</w:t>
      </w:r>
      <w:r>
        <w:rPr>
          <w:rFonts w:hint="eastAsia" w:eastAsia="楷体" w:cs="Calibri"/>
          <w:b/>
          <w:bCs/>
          <w:color w:val="23558C"/>
          <w:lang w:eastAsia="zh-CN"/>
        </w:rPr>
        <w:t>万亿时代，配网智能化迎来量价齐升周期。</w:t>
      </w:r>
      <w:r>
        <w:rPr>
          <w:rFonts w:hint="eastAsia" w:eastAsia="楷体" w:cs="Calibri"/>
          <w:lang w:eastAsia="zh-CN"/>
        </w:rPr>
        <w:t>随着“双碳”战略下新能源大规模并网，配电网智能化改造已成为刚性需求。国家电网“十五五”固定资产投资预计达</w:t>
      </w:r>
      <w:r>
        <w:rPr>
          <w:rFonts w:eastAsia="楷体" w:cs="Calibri"/>
          <w:lang w:eastAsia="zh-CN"/>
        </w:rPr>
        <w:t>4</w:t>
      </w:r>
      <w:r>
        <w:rPr>
          <w:rFonts w:hint="eastAsia" w:eastAsia="楷体" w:cs="Calibri"/>
          <w:lang w:eastAsia="zh-CN"/>
        </w:rPr>
        <w:t>万亿元，较“十四五”增长</w:t>
      </w:r>
      <w:r>
        <w:rPr>
          <w:rFonts w:eastAsia="楷体" w:cs="Calibri"/>
          <w:lang w:eastAsia="zh-CN"/>
        </w:rPr>
        <w:t>40%</w:t>
      </w:r>
      <w:r>
        <w:rPr>
          <w:rFonts w:hint="eastAsia" w:eastAsia="楷体" w:cs="Calibri"/>
          <w:lang w:eastAsia="zh-CN"/>
        </w:rPr>
        <w:t>，投资重心明确向配网侧倾斜。</w:t>
      </w:r>
      <w:r>
        <w:rPr>
          <w:rFonts w:eastAsia="楷体" w:cs="Calibri"/>
          <w:lang w:eastAsia="zh-CN"/>
        </w:rPr>
        <w:t>2026</w:t>
      </w:r>
      <w:r>
        <w:rPr>
          <w:rFonts w:hint="eastAsia" w:eastAsia="楷体" w:cs="Calibri"/>
          <w:lang w:eastAsia="zh-CN"/>
        </w:rPr>
        <w:t>年起，新标电表将进入全面补招大年，限价较此前中标均价普遍上涨</w:t>
      </w:r>
      <w:r>
        <w:rPr>
          <w:rFonts w:eastAsia="楷体" w:cs="Calibri"/>
          <w:lang w:eastAsia="zh-CN"/>
        </w:rPr>
        <w:t>20%</w:t>
      </w:r>
      <w:r>
        <w:rPr>
          <w:rFonts w:hint="eastAsia" w:eastAsia="楷体" w:cs="Calibri"/>
          <w:lang w:eastAsia="zh-CN"/>
        </w:rPr>
        <w:t>以上，公司作为行业第一梯队，有望深度受益于新一轮“量价齐升”周期。</w:t>
      </w:r>
    </w:p>
    <w:p w14:paraId="3759619C">
      <w:pPr>
        <w:pStyle w:val="56"/>
        <w:jc w:val="both"/>
        <w:rPr>
          <w:rFonts w:eastAsia="楷体" w:cs="Calibri"/>
          <w:lang w:eastAsia="zh-CN"/>
        </w:rPr>
      </w:pPr>
      <w:r>
        <w:rPr>
          <w:rFonts w:eastAsia="楷体" w:cs="Calibri"/>
          <w:b/>
          <w:bCs/>
          <w:color w:val="23558C"/>
          <w:lang w:eastAsia="zh-CN"/>
        </w:rPr>
        <w:t>AIDC</w:t>
      </w:r>
      <w:r>
        <w:rPr>
          <w:rFonts w:hint="eastAsia" w:eastAsia="楷体" w:cs="Calibri"/>
          <w:b/>
          <w:bCs/>
          <w:color w:val="23558C"/>
          <w:lang w:eastAsia="zh-CN"/>
        </w:rPr>
        <w:t>算力爆发驱动配电架构革新，</w:t>
      </w:r>
      <w:r>
        <w:rPr>
          <w:rFonts w:eastAsia="楷体" w:cs="Calibri"/>
          <w:b/>
          <w:bCs/>
          <w:color w:val="23558C"/>
          <w:lang w:eastAsia="zh-CN"/>
        </w:rPr>
        <w:t>ADO</w:t>
      </w:r>
      <w:r>
        <w:rPr>
          <w:rFonts w:hint="eastAsia" w:eastAsia="楷体" w:cs="Calibri"/>
          <w:b/>
          <w:bCs/>
          <w:color w:val="23558C"/>
          <w:lang w:eastAsia="zh-CN"/>
        </w:rPr>
        <w:t>业务开启新增长极。</w:t>
      </w:r>
      <w:r>
        <w:rPr>
          <w:rFonts w:eastAsia="楷体" w:cs="Calibri"/>
        </w:rPr>
        <w:t>AI</w:t>
      </w:r>
      <w:r>
        <w:rPr>
          <w:rFonts w:hint="eastAsia" w:eastAsia="楷体" w:cs="Calibri"/>
        </w:rPr>
        <w:t>算力的指数级增长带动数据中心（</w:t>
      </w:r>
      <w:r>
        <w:rPr>
          <w:rFonts w:eastAsia="楷体" w:cs="Calibri"/>
        </w:rPr>
        <w:t>AIDC</w:t>
      </w:r>
      <w:r>
        <w:rPr>
          <w:rFonts w:hint="eastAsia" w:eastAsia="楷体" w:cs="Calibri"/>
        </w:rPr>
        <w:t>）机架密度从</w:t>
      </w:r>
      <w:r>
        <w:rPr>
          <w:rFonts w:eastAsia="楷体" w:cs="Calibri"/>
        </w:rPr>
        <w:t>4-6kW</w:t>
      </w:r>
      <w:r>
        <w:rPr>
          <w:rFonts w:hint="eastAsia" w:eastAsia="楷体" w:cs="Calibri"/>
        </w:rPr>
        <w:t>向</w:t>
      </w:r>
      <w:r>
        <w:rPr>
          <w:rFonts w:eastAsia="楷体" w:cs="Calibri"/>
        </w:rPr>
        <w:t>20-40kW</w:t>
      </w:r>
      <w:r>
        <w:rPr>
          <w:rFonts w:hint="eastAsia" w:eastAsia="楷体" w:cs="Calibri"/>
        </w:rPr>
        <w:t>及以上跃升，倒逼供电架构向</w:t>
      </w:r>
      <w:r>
        <w:rPr>
          <w:rFonts w:eastAsia="楷体" w:cs="Calibri"/>
        </w:rPr>
        <w:t>800V</w:t>
      </w:r>
      <w:r>
        <w:rPr>
          <w:rFonts w:hint="eastAsia" w:eastAsia="楷体" w:cs="Calibri"/>
        </w:rPr>
        <w:t>高压直流（</w:t>
      </w:r>
      <w:r>
        <w:rPr>
          <w:rFonts w:eastAsia="楷体" w:cs="Calibri"/>
        </w:rPr>
        <w:t>HVDC</w:t>
      </w:r>
      <w:r>
        <w:rPr>
          <w:rFonts w:hint="eastAsia" w:eastAsia="楷体" w:cs="Calibri"/>
        </w:rPr>
        <w:t>）演进。公司在低中压配电侧具备深厚的技术储备，其</w:t>
      </w:r>
      <w:r>
        <w:rPr>
          <w:rFonts w:eastAsia="楷体" w:cs="Calibri"/>
        </w:rPr>
        <w:t>ADO</w:t>
      </w:r>
      <w:r>
        <w:rPr>
          <w:rFonts w:hint="eastAsia" w:eastAsia="楷体" w:cs="Calibri"/>
        </w:rPr>
        <w:t>业务正加速向数据中心、储能等高价值场景渗透。</w:t>
      </w:r>
      <w:r>
        <w:rPr>
          <w:rFonts w:eastAsia="楷体" w:cs="Calibri"/>
        </w:rPr>
        <w:t>2025</w:t>
      </w:r>
      <w:r>
        <w:rPr>
          <w:rFonts w:hint="eastAsia" w:eastAsia="楷体" w:cs="Calibri"/>
        </w:rPr>
        <w:t>年公司</w:t>
      </w:r>
      <w:r>
        <w:rPr>
          <w:rFonts w:eastAsia="楷体" w:cs="Calibri"/>
        </w:rPr>
        <w:t>AI</w:t>
      </w:r>
      <w:r>
        <w:rPr>
          <w:rFonts w:hint="eastAsia" w:eastAsia="楷体" w:cs="Calibri"/>
        </w:rPr>
        <w:t>相关收入同比增长近</w:t>
      </w:r>
      <w:r>
        <w:rPr>
          <w:rFonts w:eastAsia="楷体" w:cs="Calibri"/>
        </w:rPr>
        <w:t>90%</w:t>
      </w:r>
      <w:r>
        <w:rPr>
          <w:rFonts w:hint="eastAsia" w:eastAsia="楷体" w:cs="Calibri"/>
        </w:rPr>
        <w:t>，已成为业绩增长的最强动力之一。</w:t>
      </w:r>
    </w:p>
    <w:p w14:paraId="4408BAEB">
      <w:pPr>
        <w:adjustRightInd w:val="0"/>
        <w:snapToGrid w:val="0"/>
        <w:spacing w:after="120"/>
        <w:jc w:val="both"/>
        <w:rPr>
          <w:rFonts w:eastAsia="楷体" w:cs="Calibri"/>
          <w:snapToGrid/>
          <w:sz w:val="20"/>
          <w:szCs w:val="20"/>
        </w:rPr>
      </w:pPr>
      <w:r>
        <w:rPr>
          <w:rFonts w:hint="eastAsia" w:eastAsia="楷体" w:cs="Calibri"/>
          <w:b/>
          <w:bCs/>
          <w:snapToGrid/>
          <w:color w:val="23558C"/>
          <w:sz w:val="20"/>
          <w:szCs w:val="20"/>
        </w:rPr>
        <w:t>全球化布局纵深推进，“产能出海”进入价值释放快车道。</w:t>
      </w:r>
      <w:r>
        <w:rPr>
          <w:rFonts w:hint="eastAsia" w:eastAsia="楷体" w:cs="Calibri"/>
          <w:snapToGrid/>
          <w:sz w:val="20"/>
          <w:szCs w:val="20"/>
          <w:lang w:eastAsia="ja-JP"/>
        </w:rPr>
        <w:t>公司已在全球设立墨西哥、巴西、匈牙利等六大生产与研发基地，实现了从“产品出海”向“本地化运营”的战略升级。受益于海外电网升级与</w:t>
      </w:r>
      <w:r>
        <w:rPr>
          <w:rFonts w:eastAsia="楷体" w:cs="Calibri"/>
          <w:snapToGrid/>
          <w:sz w:val="20"/>
          <w:szCs w:val="20"/>
          <w:lang w:eastAsia="ja-JP"/>
        </w:rPr>
        <w:t>AIDC</w:t>
      </w:r>
      <w:r>
        <w:rPr>
          <w:rFonts w:hint="eastAsia" w:eastAsia="楷体" w:cs="Calibri"/>
          <w:snapToGrid/>
          <w:sz w:val="20"/>
          <w:szCs w:val="20"/>
          <w:lang w:eastAsia="ja-JP"/>
        </w:rPr>
        <w:t>需求，</w:t>
      </w:r>
      <w:r>
        <w:rPr>
          <w:rFonts w:eastAsia="楷体" w:cs="Calibri"/>
          <w:snapToGrid/>
          <w:sz w:val="20"/>
          <w:szCs w:val="20"/>
          <w:lang w:eastAsia="ja-JP"/>
        </w:rPr>
        <w:t>2026</w:t>
      </w:r>
      <w:r>
        <w:rPr>
          <w:rFonts w:hint="eastAsia" w:eastAsia="楷体" w:cs="Calibri"/>
          <w:snapToGrid/>
          <w:sz w:val="20"/>
          <w:szCs w:val="20"/>
          <w:lang w:eastAsia="ja-JP"/>
        </w:rPr>
        <w:t>年海外新订单预计将增长</w:t>
      </w:r>
      <w:r>
        <w:rPr>
          <w:rFonts w:eastAsia="楷体" w:cs="Calibri"/>
          <w:snapToGrid/>
          <w:sz w:val="20"/>
          <w:szCs w:val="20"/>
          <w:lang w:eastAsia="ja-JP"/>
        </w:rPr>
        <w:t>54%</w:t>
      </w:r>
      <w:r>
        <w:rPr>
          <w:rFonts w:hint="eastAsia" w:eastAsia="楷体" w:cs="Calibri"/>
          <w:snapToGrid/>
          <w:sz w:val="20"/>
          <w:szCs w:val="20"/>
          <w:lang w:eastAsia="ja-JP"/>
        </w:rPr>
        <w:t>至</w:t>
      </w:r>
      <w:r>
        <w:rPr>
          <w:rFonts w:eastAsia="楷体" w:cs="Calibri"/>
          <w:snapToGrid/>
          <w:sz w:val="20"/>
          <w:szCs w:val="20"/>
          <w:lang w:eastAsia="ja-JP"/>
        </w:rPr>
        <w:t>20</w:t>
      </w:r>
      <w:r>
        <w:rPr>
          <w:rFonts w:hint="eastAsia" w:eastAsia="楷体" w:cs="Calibri"/>
          <w:snapToGrid/>
          <w:sz w:val="20"/>
          <w:szCs w:val="20"/>
          <w:lang w:eastAsia="ja-JP"/>
        </w:rPr>
        <w:t>亿元人民币，海外业务占比的持续提升将进一步优化公司毛利结构</w:t>
      </w:r>
      <w:r>
        <w:rPr>
          <w:rFonts w:hint="eastAsia" w:eastAsia="楷体" w:cs="Calibri"/>
          <w:snapToGrid/>
          <w:sz w:val="20"/>
          <w:szCs w:val="20"/>
        </w:rPr>
        <w:t>。</w:t>
      </w:r>
    </w:p>
    <w:p w14:paraId="63F51C8B">
      <w:pPr>
        <w:pStyle w:val="56"/>
        <w:jc w:val="both"/>
        <w:rPr>
          <w:rFonts w:eastAsia="楷体" w:cs="Calibri"/>
          <w:b/>
          <w:bCs/>
          <w:color w:val="23558C"/>
          <w:lang w:eastAsia="zh-CN"/>
        </w:rPr>
      </w:pPr>
      <w:r>
        <w:rPr>
          <w:rFonts w:hint="eastAsia" w:eastAsia="楷体" w:cs="Calibri"/>
          <w:b/>
          <w:bCs/>
          <w:color w:val="23558C"/>
          <w:lang w:eastAsia="zh-CN"/>
        </w:rPr>
        <w:t>估值与建议</w:t>
      </w:r>
    </w:p>
    <w:p w14:paraId="40462296">
      <w:pPr>
        <w:pStyle w:val="44"/>
        <w:jc w:val="both"/>
        <w:rPr>
          <w:rFonts w:eastAsia="楷体" w:cs="Calibri"/>
          <w:snapToGrid/>
          <w:szCs w:val="20"/>
          <w:lang w:eastAsia="zh-CN"/>
        </w:rPr>
      </w:pPr>
      <w:r>
        <w:rPr>
          <w:rFonts w:eastAsia="楷体" w:cs="Calibri"/>
          <w:snapToGrid/>
          <w:szCs w:val="20"/>
          <w:lang w:eastAsia="zh-CN"/>
        </w:rPr>
        <w:t>我们预计</w:t>
      </w:r>
      <w:r>
        <w:rPr>
          <w:rFonts w:hint="eastAsia" w:eastAsia="楷体" w:cs="Calibri"/>
          <w:snapToGrid/>
          <w:szCs w:val="20"/>
          <w:lang w:eastAsia="zh-CN"/>
        </w:rPr>
        <w:t>公司</w:t>
      </w:r>
      <w:r>
        <w:rPr>
          <w:rFonts w:eastAsia="楷体" w:cs="Calibri"/>
          <w:snapToGrid/>
          <w:szCs w:val="20"/>
          <w:lang w:eastAsia="zh-CN"/>
        </w:rPr>
        <w:t>在202</w:t>
      </w:r>
      <w:r>
        <w:rPr>
          <w:rFonts w:hint="eastAsia" w:eastAsia="楷体" w:cs="Calibri"/>
          <w:snapToGrid/>
          <w:szCs w:val="20"/>
          <w:lang w:eastAsia="zh-CN"/>
        </w:rPr>
        <w:t>6</w:t>
      </w:r>
      <w:r>
        <w:rPr>
          <w:rFonts w:eastAsia="楷体" w:cs="Calibri"/>
          <w:snapToGrid/>
          <w:szCs w:val="20"/>
          <w:lang w:eastAsia="zh-CN"/>
        </w:rPr>
        <w:t>年至202</w:t>
      </w:r>
      <w:r>
        <w:rPr>
          <w:rFonts w:hint="eastAsia" w:eastAsia="楷体" w:cs="Calibri"/>
          <w:snapToGrid/>
          <w:szCs w:val="20"/>
          <w:lang w:eastAsia="zh-CN"/>
        </w:rPr>
        <w:t>8</w:t>
      </w:r>
      <w:r>
        <w:rPr>
          <w:rFonts w:eastAsia="楷体" w:cs="Calibri"/>
          <w:snapToGrid/>
          <w:szCs w:val="20"/>
          <w:lang w:eastAsia="zh-CN"/>
        </w:rPr>
        <w:t>年期间的收入将分别达到1</w:t>
      </w:r>
      <w:r>
        <w:rPr>
          <w:rFonts w:hint="eastAsia" w:eastAsia="楷体" w:cs="Calibri"/>
          <w:snapToGrid/>
          <w:szCs w:val="20"/>
          <w:lang w:eastAsia="zh-CN"/>
        </w:rPr>
        <w:t>23.41</w:t>
      </w:r>
      <w:r>
        <w:rPr>
          <w:rFonts w:eastAsia="楷体" w:cs="Calibri"/>
          <w:snapToGrid/>
          <w:szCs w:val="20"/>
          <w:lang w:eastAsia="zh-CN"/>
        </w:rPr>
        <w:t>/1</w:t>
      </w:r>
      <w:r>
        <w:rPr>
          <w:rFonts w:hint="eastAsia" w:eastAsia="楷体" w:cs="Calibri"/>
          <w:snapToGrid/>
          <w:szCs w:val="20"/>
          <w:lang w:eastAsia="zh-CN"/>
        </w:rPr>
        <w:t>47.07</w:t>
      </w:r>
      <w:r>
        <w:rPr>
          <w:rFonts w:eastAsia="楷体" w:cs="Calibri"/>
          <w:snapToGrid/>
          <w:szCs w:val="20"/>
          <w:lang w:eastAsia="zh-CN"/>
        </w:rPr>
        <w:t>/1</w:t>
      </w:r>
      <w:r>
        <w:rPr>
          <w:rFonts w:hint="eastAsia" w:eastAsia="楷体" w:cs="Calibri"/>
          <w:snapToGrid/>
          <w:szCs w:val="20"/>
          <w:lang w:eastAsia="zh-CN"/>
        </w:rPr>
        <w:t>72.28</w:t>
      </w:r>
      <w:r>
        <w:rPr>
          <w:rFonts w:eastAsia="楷体" w:cs="Calibri"/>
          <w:snapToGrid/>
          <w:szCs w:val="20"/>
          <w:lang w:eastAsia="zh-CN"/>
        </w:rPr>
        <w:t>亿</w:t>
      </w:r>
      <w:r>
        <w:rPr>
          <w:rFonts w:hint="eastAsia" w:eastAsia="楷体" w:cs="Calibri"/>
          <w:snapToGrid/>
          <w:szCs w:val="20"/>
          <w:lang w:eastAsia="zh-CN"/>
        </w:rPr>
        <w:t>人民币</w:t>
      </w:r>
      <w:r>
        <w:rPr>
          <w:rFonts w:eastAsia="楷体" w:cs="Calibri"/>
          <w:snapToGrid/>
          <w:szCs w:val="20"/>
          <w:lang w:eastAsia="zh-CN"/>
        </w:rPr>
        <w:t>，净利润分别为1</w:t>
      </w:r>
      <w:r>
        <w:rPr>
          <w:rFonts w:hint="eastAsia" w:eastAsia="楷体" w:cs="Calibri"/>
          <w:snapToGrid/>
          <w:szCs w:val="20"/>
          <w:lang w:eastAsia="zh-CN"/>
        </w:rPr>
        <w:t>8.73</w:t>
      </w:r>
      <w:r>
        <w:rPr>
          <w:rFonts w:eastAsia="楷体" w:cs="Calibri"/>
          <w:snapToGrid/>
          <w:szCs w:val="20"/>
          <w:lang w:eastAsia="zh-CN"/>
        </w:rPr>
        <w:t>/</w:t>
      </w:r>
      <w:r>
        <w:rPr>
          <w:rFonts w:hint="eastAsia" w:eastAsia="楷体" w:cs="Calibri"/>
          <w:snapToGrid/>
          <w:szCs w:val="20"/>
          <w:lang w:eastAsia="zh-CN"/>
        </w:rPr>
        <w:t>22.27</w:t>
      </w:r>
      <w:r>
        <w:rPr>
          <w:rFonts w:eastAsia="楷体" w:cs="Calibri"/>
          <w:snapToGrid/>
          <w:szCs w:val="20"/>
          <w:lang w:eastAsia="zh-CN"/>
        </w:rPr>
        <w:t>/</w:t>
      </w:r>
      <w:r>
        <w:rPr>
          <w:rFonts w:hint="eastAsia" w:eastAsia="楷体" w:cs="Calibri"/>
          <w:snapToGrid/>
          <w:szCs w:val="20"/>
          <w:lang w:eastAsia="zh-CN"/>
        </w:rPr>
        <w:t>26.22</w:t>
      </w:r>
      <w:r>
        <w:rPr>
          <w:rFonts w:eastAsia="楷体" w:cs="Calibri"/>
          <w:snapToGrid/>
          <w:szCs w:val="20"/>
          <w:lang w:eastAsia="zh-CN"/>
        </w:rPr>
        <w:t>亿</w:t>
      </w:r>
      <w:r>
        <w:rPr>
          <w:rFonts w:hint="eastAsia" w:eastAsia="楷体" w:cs="Calibri"/>
          <w:snapToGrid/>
          <w:szCs w:val="20"/>
          <w:lang w:eastAsia="zh-CN"/>
        </w:rPr>
        <w:t>人民币</w:t>
      </w:r>
      <w:r>
        <w:rPr>
          <w:rFonts w:eastAsia="楷体" w:cs="Calibri"/>
          <w:snapToGrid/>
          <w:szCs w:val="20"/>
          <w:lang w:eastAsia="zh-CN"/>
        </w:rPr>
        <w:t>。基于贴现现金流（DCF）估值模型，我们首次覆盖并给予“</w:t>
      </w:r>
      <w:r>
        <w:rPr>
          <w:rFonts w:hint="eastAsia" w:eastAsia="楷体" w:cs="Calibri"/>
          <w:snapToGrid/>
          <w:szCs w:val="20"/>
          <w:lang w:eastAsia="zh-CN"/>
        </w:rPr>
        <w:t>跑赢大市</w:t>
      </w:r>
      <w:r>
        <w:rPr>
          <w:rFonts w:eastAsia="楷体" w:cs="Calibri"/>
          <w:snapToGrid/>
          <w:szCs w:val="20"/>
          <w:lang w:eastAsia="zh-CN"/>
        </w:rPr>
        <w:t>”评级，目标价为</w:t>
      </w:r>
      <w:r>
        <w:rPr>
          <w:rFonts w:hint="eastAsia" w:eastAsia="楷体" w:cs="Calibri"/>
          <w:snapToGrid/>
          <w:szCs w:val="20"/>
          <w:lang w:eastAsia="zh-CN"/>
        </w:rPr>
        <w:t>40.94元。</w:t>
      </w:r>
    </w:p>
    <w:p w14:paraId="63F51C8D">
      <w:pPr>
        <w:pStyle w:val="56"/>
        <w:jc w:val="both"/>
        <w:rPr>
          <w:rFonts w:eastAsia="楷体" w:cs="Calibri"/>
          <w:b/>
          <w:bCs/>
          <w:color w:val="23558C"/>
          <w:lang w:eastAsia="zh-CN"/>
        </w:rPr>
      </w:pPr>
      <w:r>
        <w:rPr>
          <w:rFonts w:hint="eastAsia" w:eastAsia="楷体" w:cs="Calibri"/>
          <w:b/>
          <w:bCs/>
          <w:color w:val="23558C"/>
          <w:lang w:eastAsia="zh-CN"/>
        </w:rPr>
        <w:t>风险提示</w:t>
      </w:r>
    </w:p>
    <w:p w14:paraId="63F51C8F">
      <w:pPr>
        <w:pStyle w:val="56"/>
        <w:jc w:val="both"/>
        <w:rPr>
          <w:rFonts w:eastAsia="楷体" w:cs="Calibri"/>
          <w:lang w:eastAsia="zh-CN"/>
        </w:rPr>
      </w:pPr>
      <w:r>
        <w:rPr>
          <w:rFonts w:hint="eastAsia" w:eastAsia="楷体" w:cs="Calibri"/>
          <w:lang w:eastAsia="zh-CN"/>
        </w:rPr>
        <w:t>国家电网及南方电网集采招标量价不及预期；海外市场业务增长速度慢于预期；海外生产成本上升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