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公司名称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股票代码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目标价格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评级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分析师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报告日期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r>
        <w:rPr>
          <w:b/>
          <w:sz w:val="28"/>
        </w:rPr>
        <w:t>报告摘要</w:t>
      </w:r>
    </w:p>
    <w:p>
      <w:r/>
    </w:p>
    <w:p>
      <w:r>
        <w:br w:type="page"/>
      </w:r>
    </w:p>
    <w:p>
      <w:r>
        <w:rPr>
          <w:b/>
          <w:sz w:val="28"/>
        </w:rPr>
        <w:t>投资亮点</w:t>
      </w:r>
    </w:p>
    <w:p>
      <w:r>
        <w:t>1. 市场地位：公司在全球活塞式飞机市场连续 20 年销量第一</w:t>
        <w:br/>
        <w:t>2. 技术优势：拥有先进的航空电子系统和复合材料技术</w:t>
        <w:br/>
        <w:t>3. 成长潜力：新兴市场需求增长，产品线持续扩展</w:t>
      </w:r>
    </w:p>
    <w:p>
      <w:r>
        <w:br w:type="page"/>
      </w:r>
    </w:p>
    <w:p>
      <w:r>
        <w:rPr>
          <w:b/>
          <w:sz w:val="28"/>
        </w:rPr>
        <w:t>信息披露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