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xml" ContentType="application/vnd.openxmlformats-officedocument.drawingml.chart+xml"/>
  <Override PartName="/word/charts/chart40.xml" ContentType="application/vnd.openxmlformats-officedocument.drawingml.chart+xml"/>
  <Override PartName="/word/charts/chart41.xml" ContentType="application/vnd.openxmlformats-officedocument.drawingml.chart+xml"/>
  <Override PartName="/word/charts/chart42.xml" ContentType="application/vnd.openxmlformats-officedocument.drawingml.chart+xml"/>
  <Override PartName="/word/charts/chart43.xml" ContentType="application/vnd.openxmlformats-officedocument.drawingml.chart+xml"/>
  <Override PartName="/word/charts/chart4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23.xml" ContentType="application/vnd.ms-office.chartcolorstyle+xml"/>
  <Override PartName="/word/charts/colors24.xml" ContentType="application/vnd.ms-office.chartcolorstyle+xml"/>
  <Override PartName="/word/charts/colors25.xml" ContentType="application/vnd.ms-office.chartcolorstyle+xml"/>
  <Override PartName="/word/charts/colors26.xml" ContentType="application/vnd.ms-office.chartcolorstyle+xml"/>
  <Override PartName="/word/charts/colors27.xml" ContentType="application/vnd.ms-office.chartcolorstyle+xml"/>
  <Override PartName="/word/charts/colors28.xml" ContentType="application/vnd.ms-office.chartcolorstyle+xml"/>
  <Override PartName="/word/charts/colors29.xml" ContentType="application/vnd.ms-office.chartcolorstyle+xml"/>
  <Override PartName="/word/charts/colors3.xml" ContentType="application/vnd.ms-office.chartcolorstyle+xml"/>
  <Override PartName="/word/charts/colors30.xml" ContentType="application/vnd.ms-office.chartcolorstyle+xml"/>
  <Override PartName="/word/charts/colors31.xml" ContentType="application/vnd.ms-office.chartcolorstyle+xml"/>
  <Override PartName="/word/charts/colors32.xml" ContentType="application/vnd.ms-office.chartcolorstyle+xml"/>
  <Override PartName="/word/charts/colors33.xml" ContentType="application/vnd.ms-office.chartcolorstyle+xml"/>
  <Override PartName="/word/charts/colors34.xml" ContentType="application/vnd.ms-office.chartcolorstyle+xml"/>
  <Override PartName="/word/charts/colors35.xml" ContentType="application/vnd.ms-office.chartcolorstyle+xml"/>
  <Override PartName="/word/charts/colors36.xml" ContentType="application/vnd.ms-office.chartcolorstyle+xml"/>
  <Override PartName="/word/charts/colors37.xml" ContentType="application/vnd.ms-office.chartcolorstyle+xml"/>
  <Override PartName="/word/charts/colors38.xml" ContentType="application/vnd.ms-office.chartcolorstyle+xml"/>
  <Override PartName="/word/charts/colors39.xml" ContentType="application/vnd.ms-office.chartcolorstyle+xml"/>
  <Override PartName="/word/charts/colors4.xml" ContentType="application/vnd.ms-office.chartcolorstyle+xml"/>
  <Override PartName="/word/charts/colors40.xml" ContentType="application/vnd.ms-office.chartcolorstyle+xml"/>
  <Override PartName="/word/charts/colors41.xml" ContentType="application/vnd.ms-office.chartcolorstyle+xml"/>
  <Override PartName="/word/charts/colors42.xml" ContentType="application/vnd.ms-office.chartcolorstyle+xml"/>
  <Override PartName="/word/charts/colors43.xml" ContentType="application/vnd.ms-office.chartcolorstyle+xml"/>
  <Override PartName="/word/charts/colors4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23.xml" ContentType="application/vnd.ms-office.chartstyle+xml"/>
  <Override PartName="/word/charts/style24.xml" ContentType="application/vnd.ms-office.chartstyle+xml"/>
  <Override PartName="/word/charts/style25.xml" ContentType="application/vnd.ms-office.chartstyle+xml"/>
  <Override PartName="/word/charts/style26.xml" ContentType="application/vnd.ms-office.chartstyle+xml"/>
  <Override PartName="/word/charts/style27.xml" ContentType="application/vnd.ms-office.chartstyle+xml"/>
  <Override PartName="/word/charts/style28.xml" ContentType="application/vnd.ms-office.chartstyle+xml"/>
  <Override PartName="/word/charts/style29.xml" ContentType="application/vnd.ms-office.chartstyle+xml"/>
  <Override PartName="/word/charts/style3.xml" ContentType="application/vnd.ms-office.chartstyle+xml"/>
  <Override PartName="/word/charts/style30.xml" ContentType="application/vnd.ms-office.chartstyle+xml"/>
  <Override PartName="/word/charts/style31.xml" ContentType="application/vnd.ms-office.chartstyle+xml"/>
  <Override PartName="/word/charts/style32.xml" ContentType="application/vnd.ms-office.chartstyle+xml"/>
  <Override PartName="/word/charts/style33.xml" ContentType="application/vnd.ms-office.chartstyle+xml"/>
  <Override PartName="/word/charts/style34.xml" ContentType="application/vnd.ms-office.chartstyle+xml"/>
  <Override PartName="/word/charts/style35.xml" ContentType="application/vnd.ms-office.chartstyle+xml"/>
  <Override PartName="/word/charts/style36.xml" ContentType="application/vnd.ms-office.chartstyle+xml"/>
  <Override PartName="/word/charts/style37.xml" ContentType="application/vnd.ms-office.chartstyle+xml"/>
  <Override PartName="/word/charts/style38.xml" ContentType="application/vnd.ms-office.chartstyle+xml"/>
  <Override PartName="/word/charts/style39.xml" ContentType="application/vnd.ms-office.chartstyle+xml"/>
  <Override PartName="/word/charts/style4.xml" ContentType="application/vnd.ms-office.chartstyle+xml"/>
  <Override PartName="/word/charts/style40.xml" ContentType="application/vnd.ms-office.chartstyle+xml"/>
  <Override PartName="/word/charts/style41.xml" ContentType="application/vnd.ms-office.chartstyle+xml"/>
  <Override PartName="/word/charts/style42.xml" ContentType="application/vnd.ms-office.chartstyle+xml"/>
  <Override PartName="/word/charts/style43.xml" ContentType="application/vnd.ms-office.chartstyle+xml"/>
  <Override PartName="/word/charts/style4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17.xml" ContentType="application/vnd.openxmlformats-officedocument.themeOverride+xml"/>
  <Override PartName="/word/theme/themeOverride18.xml" ContentType="application/vnd.openxmlformats-officedocument.themeOverride+xml"/>
  <Override PartName="/word/theme/themeOverride19.xml" ContentType="application/vnd.openxmlformats-officedocument.themeOverride+xml"/>
  <Override PartName="/word/theme/themeOverride2.xml" ContentType="application/vnd.openxmlformats-officedocument.themeOverride+xml"/>
  <Override PartName="/word/theme/themeOverride20.xml" ContentType="application/vnd.openxmlformats-officedocument.themeOverride+xml"/>
  <Override PartName="/word/theme/themeOverride21.xml" ContentType="application/vnd.openxmlformats-officedocument.themeOverride+xml"/>
  <Override PartName="/word/theme/themeOverride22.xml" ContentType="application/vnd.openxmlformats-officedocument.themeOverride+xml"/>
  <Override PartName="/word/theme/themeOverride23.xml" ContentType="application/vnd.openxmlformats-officedocument.themeOverride+xml"/>
  <Override PartName="/word/theme/themeOverride24.xml" ContentType="application/vnd.openxmlformats-officedocument.themeOverride+xml"/>
  <Override PartName="/word/theme/themeOverride25.xml" ContentType="application/vnd.openxmlformats-officedocument.themeOverride+xml"/>
  <Override PartName="/word/theme/themeOverride26.xml" ContentType="application/vnd.openxmlformats-officedocument.themeOverride+xml"/>
  <Override PartName="/word/theme/themeOverride27.xml" ContentType="application/vnd.openxmlformats-officedocument.themeOverride+xml"/>
  <Override PartName="/word/theme/themeOverride28.xml" ContentType="application/vnd.openxmlformats-officedocument.themeOverride+xml"/>
  <Override PartName="/word/theme/themeOverride29.xml" ContentType="application/vnd.openxmlformats-officedocument.themeOverride+xml"/>
  <Override PartName="/word/theme/themeOverride3.xml" ContentType="application/vnd.openxmlformats-officedocument.themeOverride+xml"/>
  <Override PartName="/word/theme/themeOverride30.xml" ContentType="application/vnd.openxmlformats-officedocument.themeOverride+xml"/>
  <Override PartName="/word/theme/themeOverride31.xml" ContentType="application/vnd.openxmlformats-officedocument.themeOverride+xml"/>
  <Override PartName="/word/theme/themeOverride32.xml" ContentType="application/vnd.openxmlformats-officedocument.themeOverride+xml"/>
  <Override PartName="/word/theme/themeOverride33.xml" ContentType="application/vnd.openxmlformats-officedocument.themeOverride+xml"/>
  <Override PartName="/word/theme/themeOverride34.xml" ContentType="application/vnd.openxmlformats-officedocument.themeOverride+xml"/>
  <Override PartName="/word/theme/themeOverride35.xml" ContentType="application/vnd.openxmlformats-officedocument.themeOverride+xml"/>
  <Override PartName="/word/theme/themeOverride36.xml" ContentType="application/vnd.openxmlformats-officedocument.themeOverride+xml"/>
  <Override PartName="/word/theme/themeOverride37.xml" ContentType="application/vnd.openxmlformats-officedocument.themeOverride+xml"/>
  <Override PartName="/word/theme/themeOverride38.xml" ContentType="application/vnd.openxmlformats-officedocument.themeOverride+xml"/>
  <Override PartName="/word/theme/themeOverride39.xml" ContentType="application/vnd.openxmlformats-officedocument.themeOverride+xml"/>
  <Override PartName="/word/theme/themeOverride4.xml" ContentType="application/vnd.openxmlformats-officedocument.themeOverride+xml"/>
  <Override PartName="/word/theme/themeOverride40.xml" ContentType="application/vnd.openxmlformats-officedocument.themeOverride+xml"/>
  <Override PartName="/word/theme/themeOverride41.xml" ContentType="application/vnd.openxmlformats-officedocument.themeOverride+xml"/>
  <Override PartName="/word/theme/themeOverride42.xml" ContentType="application/vnd.openxmlformats-officedocument.themeOverride+xml"/>
  <Override PartName="/word/theme/themeOverride43.xml" ContentType="application/vnd.openxmlformats-officedocument.themeOverride+xml"/>
  <Override PartName="/word/theme/themeOverride4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269"/>
        <w:gridCol w:w="2037"/>
        <w:gridCol w:w="1218"/>
        <w:gridCol w:w="3062"/>
        <w:gridCol w:w="1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pPr>
              <w:pStyle w:val="60"/>
              <w:rPr>
                <w:rFonts w:eastAsia="楷体_GB2312" w:cs="Calibri"/>
                <w:color w:val="FFFFFF" w:themeColor="background1"/>
                <w:sz w:val="21"/>
                <w:szCs w:val="21"/>
                <w:lang w:eastAsia="zh-CN"/>
                <w14:textFill>
                  <w14:solidFill>
                    <w14:schemeClr w14:val="bg1"/>
                  </w14:solidFill>
                </w14:textFill>
              </w:rPr>
            </w:pPr>
            <w:r>
              <w:rPr>
                <w:rFonts w:hint="eastAsia" w:eastAsia="楷体_GB2312" w:cs="Calibri"/>
                <w:color w:val="FFFFFF" w:themeColor="background1"/>
                <w:sz w:val="21"/>
                <w:szCs w:val="21"/>
                <w:lang w:eastAsia="zh-CN"/>
                <w14:textFill>
                  <w14:solidFill>
                    <w14:schemeClr w14:val="bg1"/>
                  </w14:solidFill>
                </w14:textFill>
              </w:rPr>
              <w:t>0；【】跑不过【M</w:t>
            </w: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pPr>
              <w:pStyle w:val="46"/>
              <w:framePr w:wrap="auto" w:vAnchor="margin" w:hAnchor="text" w:xAlign="left" w:yAlign="inline"/>
              <w:rPr>
                <w:rFonts w:eastAsia="楷体_GB2312" w:cs="Calibri"/>
                <w:highlight w:val="yellow"/>
              </w:rPr>
            </w:pPr>
          </w:p>
        </w:tc>
        <w:tc>
          <w:tcPr>
            <w:tcW w:w="3080" w:type="dxa"/>
          </w:tcPr>
          <w:p>
            <w:pPr>
              <w:pStyle w:val="45"/>
              <w:framePr w:wrap="auto" w:vAnchor="margin" w:hAnchor="text" w:xAlign="left" w:yAlign="inline"/>
              <w:rPr>
                <w:rFonts w:eastAsia="楷体_GB2312" w:cs="Calibri"/>
                <w:highlight w:val="yellow"/>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20"/>
                <w:szCs w:val="20"/>
              </w:rPr>
            </w:pPr>
            <w:r>
              <w:rPr>
                <w:rFonts w:eastAsia="楷体_GB2312" w:cs="Calibri"/>
                <w:b w:val="0"/>
                <w:sz w:val="20"/>
                <w:szCs w:val="20"/>
              </w:rPr>
              <w:t>{{ report_date }}</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 company }} ({{ ticker }})</w:t>
            </w:r>
            <w:r>
              <w:rPr>
                <w:rFonts w:eastAsia="楷体_GB2312" w:cs="Calibri"/>
                <w:sz w:val="40"/>
                <w:szCs w:val="40"/>
                <w:lang w:eastAsia="zh-CN"/>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pPr>
              <w:pStyle w:val="60"/>
              <w:rPr>
                <w:rFonts w:eastAsia="楷体_GB2312" w:cs="Calibri"/>
                <w:b w:val="0"/>
                <w:color w:val="23558C"/>
                <w:lang w:eastAsia="zh-CN"/>
              </w:rPr>
            </w:pPr>
            <w:r>
              <w:rPr>
                <w:rFonts w:hint="eastAsia" w:eastAsia="楷体_GB2312" w:cs="Calibri"/>
                <w:b w:val="0"/>
                <w:color w:val="23558C"/>
                <w:lang w:eastAsia="zh-CN"/>
              </w:rPr>
              <w:t>{{ title }}</w:t>
            </w:r>
            <w:r>
              <w:rPr>
                <w:rFonts w:eastAsia="楷体_GB2312" w:cs="Calibri"/>
                <w:b w:val="0"/>
                <w:color w:val="23558C"/>
                <w:lang w:eastAsia="zh-CN"/>
              </w:rPr>
            </w:r>
            <w:r>
              <w:rPr>
                <w:rFonts w:hint="eastAsia" w:eastAsia="楷体_GB2312" w:cs="Calibri"/>
                <w:b w:val="0"/>
                <w:color w:val="23558C"/>
                <w:lang w:eastAsia="zh-CN"/>
              </w:rPr>
            </w:r>
            <w:r>
              <w:rPr>
                <w:rFonts w:hint="eastAsia" w:eastAsia="楷体_GB2312" w:cs="Calibri"/>
                <w:b w:val="0"/>
                <w:color w:val="23558C"/>
              </w:rPr>
            </w:r>
            <w:r>
              <w:rPr>
                <w:rFonts w:hint="eastAsia" w:eastAsia="楷体_GB2312" w:cs="Calibri"/>
                <w:b w:val="0"/>
                <w:color w:val="23558C"/>
                <w:lang w:eastAsia="zh-CN"/>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pPr>
              <w:pStyle w:val="45"/>
              <w:framePr w:wrap="auto" w:vAnchor="margin" w:hAnchor="text" w:xAlign="left" w:yAlign="inline"/>
              <w:rPr>
                <w:rFonts w:eastAsia="楷体_GB2312" w:cs="Calibri"/>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pPr>
              <w:pStyle w:val="45"/>
              <w:framePr w:wrap="auto" w:vAnchor="margin" w:hAnchor="text" w:xAlign="left" w:yAlign="inline"/>
              <w:rPr>
                <w:rFonts w:eastAsia="楷体_GB2312" w:cs="Calibr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pPr>
                    <w:pStyle w:val="50"/>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pPr>
                    <w:pStyle w:val="49"/>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pPr>
                    <w:pStyle w:val="49"/>
                    <w:framePr w:w="0" w:hRule="auto" w:hSpace="0" w:wrap="auto" w:vAnchor="margin" w:hAnchor="text" w:xAlign="left" w:yAlign="inline"/>
                    <w:ind w:right="85" w:firstLine="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评级</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rating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现价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current_price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目标价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target_price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市值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market_cap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发行股票数目</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shares_in_issue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1年股价最高最低值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one_year_high }}-{{ one_year_low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i/>
                      <w:iCs/>
                    </w:rPr>
                  </w:pPr>
                  <w:r>
                    <w:rPr>
                      <w:rFonts w:hint="eastAsia" w:eastAsia="楷体_GB2312" w:cs="Calibri"/>
                      <w:i/>
                      <w:iCs/>
                    </w:rPr>
                    <w:t>注：现价{{ current_price }}为{{ current_price_date }}收盘价</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1016000"/>
                        <wp:effectExtent l="0" t="0" r="0" b="0"/>
                        <wp:docPr id="1"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2" descr="/data/deploy/attachments/htgj/temp/202512/1765635024827_RRjqS.png"/>
                                <pic:cNvPicPr>
                                  <a:picLocks noChangeAspect="1"/>
                                </pic:cNvPicPr>
                              </pic:nvPicPr>
                              <pic:blipFill>
                                <a:blip r:embed="rId18"/>
                                <a:stretch>
                                  <a:fillRect/>
                                </a:stretch>
                              </pic:blipFill>
                              <pic:spPr>
                                <a:xfrm>
                                  <a:off x="0" y="0"/>
                                  <a:ext cx="2286000" cy="101600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624840"/>
                        <wp:effectExtent l="0" t="0" r="0" b="3810"/>
                        <wp:docPr id="2"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3" descr="/data/deploy/attachments/htgj/temp/202512/1765635025256_VSNoQ.png"/>
                                <pic:cNvPicPr>
                                  <a:picLocks noChangeAspect="1"/>
                                </pic:cNvPicPr>
                              </pic:nvPicPr>
                              <pic:blipFill>
                                <a:blip r:embed="rId19"/>
                                <a:stretch>
                                  <a:fillRect/>
                                </a:stretch>
                              </pic:blipFill>
                              <pic:spPr>
                                <a:xfrm>
                                  <a:off x="0" y="0"/>
                                  <a:ext cx="2286000" cy="62484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pPr>
                    <w:pStyle w:val="51"/>
                    <w:framePr w:wrap="auto" w:vAnchor="margin" w:hAnchor="text" w:yAlign="inline"/>
                    <w:ind w:right="85" w:firstLine="85"/>
                    <w:rPr>
                      <w:rFonts w:eastAsia="楷体_GB2312" w:cs="Calibri"/>
                      <w:i/>
                      <w:iCs/>
                    </w:rPr>
                  </w:pPr>
                  <w:r>
                    <w:rPr>
                      <w:rFonts w:eastAsia="楷体_GB2312" w:cs="Calibri"/>
                      <w:i/>
                      <w:iCs/>
                    </w:rPr>
                    <w:t>资料来源： {{ source }}</w:t>
                  </w:r>
                  <w:r>
                    <w:rPr>
                      <w:rFonts w:hint="eastAsia" w:eastAsia="楷体_GB2312" w:cs="Calibri"/>
                      <w:i/>
                      <w:iCs/>
                    </w:rPr>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pPr>
                    <w:pStyle w:val="50"/>
                    <w:framePr w:w="0" w:hRule="auto" w:hSpace="0" w:wrap="auto" w:vAnchor="margin" w:hAnchor="text" w:xAlign="left" w:yAlign="inline"/>
                    <w:ind w:right="85" w:firstLine="85"/>
                    <w:rPr>
                      <w:rFonts w:eastAsia="楷体_GB2312" w:cs="Calibri"/>
                    </w:rPr>
                  </w:pPr>
                </w:p>
              </w:tc>
            </w:tr>
          </w:tbl>
          <w:p>
            <w:pPr>
              <w:tabs>
                <w:tab w:val="left" w:pos="2845"/>
              </w:tabs>
              <w:rPr>
                <w:rFonts w:cs="等线" w:eastAsiaTheme="minorEastAsia"/>
              </w:rPr>
            </w:pPr>
          </w:p>
        </w:tc>
        <w:tc>
          <w:tcPr>
            <w:tcW w:w="6480" w:type="dxa"/>
            <w:gridSpan w:val="4"/>
          </w:tcPr>
          <w:p>
            <w:pPr>
              <w:pStyle w:val="56"/>
              <w:jc w:val="both"/>
              <w:rPr>
                <w:rFonts w:hint="eastAsia" w:ascii="楷体" w:hAnsi="楷体" w:eastAsia="楷体" w:cs="Calibri"/>
                <w:lang w:eastAsia="zh-CN"/>
              </w:rPr>
            </w:pPr>
            <w:r>
              <w:rPr>
                <w:rFonts w:hint="eastAsia" w:eastAsia="楷体" w:asciiTheme="minorHAnsi" w:hAnsiTheme="minorHAnsi" w:cstheme="minorHAnsi"/>
                <w:b/>
                <w:snapToGrid w:val="0"/>
                <w:color w:val="23558C"/>
                <w:lang w:eastAsia="zh-CN"/>
              </w:rPr>
              <w:t>西锐飞机是私人航空业的先驱和全球领导者。</w:t>
            </w:r>
            <w:r>
              <w:rPr>
                <w:rFonts w:hint="eastAsia" w:ascii="楷体" w:hAnsi="楷体" w:eastAsia="楷体" w:cs="Calibri"/>
                <w:lang w:eastAsia="zh-CN"/>
              </w:rPr>
              <w:t>自</w:t>
            </w:r>
            <w:r>
              <w:rPr>
                <w:rFonts w:ascii="楷体" w:hAnsi="楷体" w:eastAsia="楷体" w:cs="Calibri"/>
                <w:lang w:eastAsia="zh-CN"/>
              </w:rPr>
              <w:t>1984</w:t>
            </w:r>
            <w:r>
              <w:rPr>
                <w:rFonts w:hint="eastAsia" w:ascii="楷体" w:hAnsi="楷体" w:eastAsia="楷体" w:cs="Calibri"/>
                <w:lang w:eastAsia="zh-CN"/>
              </w:rPr>
              <w:t>年成立以来，西锐飞机彻底革新了个人航空领域，在全球范围内累计交付了超过</w:t>
            </w:r>
            <w:r>
              <w:rPr>
                <w:rFonts w:ascii="楷体" w:hAnsi="楷体" w:eastAsia="楷体" w:cs="Calibri"/>
                <w:lang w:eastAsia="zh-CN"/>
              </w:rPr>
              <w:t>10,000</w:t>
            </w:r>
            <w:r>
              <w:rPr>
                <w:rFonts w:hint="eastAsia" w:ascii="楷体" w:hAnsi="楷体" w:eastAsia="楷体" w:cs="Calibri"/>
                <w:lang w:eastAsia="zh-CN"/>
              </w:rPr>
              <w:t>架</w:t>
            </w:r>
            <w:r>
              <w:rPr>
                <w:rFonts w:ascii="楷体" w:hAnsi="楷体" w:eastAsia="楷体" w:cs="Calibri"/>
                <w:lang w:eastAsia="zh-CN"/>
              </w:rPr>
              <w:t>SR2X</w:t>
            </w:r>
            <w:r>
              <w:rPr>
                <w:rFonts w:hint="eastAsia" w:ascii="楷体" w:hAnsi="楷体" w:eastAsia="楷体" w:cs="Calibri"/>
                <w:lang w:eastAsia="zh-CN"/>
              </w:rPr>
              <w:t>系列飞机和超过</w:t>
            </w:r>
            <w:r>
              <w:rPr>
                <w:rFonts w:ascii="楷体" w:hAnsi="楷体" w:eastAsia="楷体" w:cs="Calibri"/>
                <w:lang w:eastAsia="zh-CN"/>
              </w:rPr>
              <w:t>600</w:t>
            </w:r>
            <w:r>
              <w:rPr>
                <w:rFonts w:hint="eastAsia" w:ascii="楷体" w:hAnsi="楷体" w:eastAsia="楷体" w:cs="Calibri"/>
                <w:lang w:eastAsia="zh-CN"/>
              </w:rPr>
              <w:t>架</w:t>
            </w:r>
            <w:r>
              <w:rPr>
                <w:rFonts w:ascii="楷体" w:hAnsi="楷体" w:eastAsia="楷体" w:cs="Calibri"/>
                <w:lang w:eastAsia="zh-CN"/>
              </w:rPr>
              <w:t>Vision Jet</w:t>
            </w:r>
            <w:r>
              <w:rPr>
                <w:rFonts w:hint="eastAsia" w:ascii="楷体" w:hAnsi="楷体" w:eastAsia="楷体" w:cs="Calibri"/>
                <w:lang w:eastAsia="zh-CN"/>
              </w:rPr>
              <w:t>。截至</w:t>
            </w:r>
            <w:r>
              <w:rPr>
                <w:rFonts w:ascii="楷体" w:hAnsi="楷体" w:eastAsia="楷体" w:cs="Calibri"/>
                <w:lang w:eastAsia="zh-CN"/>
              </w:rPr>
              <w:t>2024</w:t>
            </w:r>
            <w:r>
              <w:rPr>
                <w:rFonts w:hint="eastAsia" w:ascii="楷体" w:hAnsi="楷体" w:eastAsia="楷体" w:cs="Calibri"/>
                <w:lang w:eastAsia="zh-CN"/>
              </w:rPr>
              <w:t>年底，该公司在私人航空领域占据主导地位，市场份额高达</w:t>
            </w:r>
            <w:r>
              <w:rPr>
                <w:rFonts w:ascii="楷体" w:hAnsi="楷体" w:eastAsia="楷体" w:cs="Calibri"/>
                <w:lang w:eastAsia="zh-CN"/>
              </w:rPr>
              <w:t>23.2%</w:t>
            </w:r>
            <w:r>
              <w:rPr>
                <w:rFonts w:hint="eastAsia" w:ascii="楷体" w:hAnsi="楷体" w:eastAsia="楷体" w:cs="Calibri"/>
                <w:lang w:eastAsia="zh-CN"/>
              </w:rPr>
              <w:t>。在财务表现方面，西锐展现出强劲的营收增长能力，从</w:t>
            </w:r>
            <w:r>
              <w:rPr>
                <w:rFonts w:ascii="楷体" w:hAnsi="楷体" w:eastAsia="楷体" w:cs="Calibri"/>
                <w:lang w:eastAsia="zh-CN"/>
              </w:rPr>
              <w:t>2020</w:t>
            </w:r>
            <w:r>
              <w:rPr>
                <w:rFonts w:hint="eastAsia" w:ascii="楷体" w:hAnsi="楷体" w:eastAsia="楷体" w:cs="Calibri"/>
                <w:lang w:eastAsia="zh-CN"/>
              </w:rPr>
              <w:t>年的</w:t>
            </w:r>
            <w:r>
              <w:rPr>
                <w:rFonts w:ascii="楷体" w:hAnsi="楷体" w:eastAsia="楷体" w:cs="Calibri"/>
                <w:lang w:eastAsia="zh-CN"/>
              </w:rPr>
              <w:t>5.87</w:t>
            </w:r>
            <w:r>
              <w:rPr>
                <w:rFonts w:hint="eastAsia" w:ascii="楷体" w:hAnsi="楷体" w:eastAsia="楷体" w:cs="Calibri"/>
                <w:lang w:eastAsia="zh-CN"/>
              </w:rPr>
              <w:t>亿美元大幅增长至</w:t>
            </w:r>
            <w:r>
              <w:rPr>
                <w:rFonts w:ascii="楷体" w:hAnsi="楷体" w:eastAsia="楷体" w:cs="Calibri"/>
                <w:lang w:eastAsia="zh-CN"/>
              </w:rPr>
              <w:t>2024</w:t>
            </w:r>
            <w:r>
              <w:rPr>
                <w:rFonts w:hint="eastAsia" w:ascii="楷体" w:hAnsi="楷体" w:eastAsia="楷体" w:cs="Calibri"/>
                <w:lang w:eastAsia="zh-CN"/>
              </w:rPr>
              <w:t>年的</w:t>
            </w:r>
            <w:r>
              <w:rPr>
                <w:rFonts w:ascii="楷体" w:hAnsi="楷体" w:eastAsia="楷体" w:cs="Calibri"/>
                <w:lang w:eastAsia="zh-CN"/>
              </w:rPr>
              <w:t>11.97</w:t>
            </w:r>
            <w:r>
              <w:rPr>
                <w:rFonts w:hint="eastAsia" w:ascii="楷体" w:hAnsi="楷体" w:eastAsia="楷体" w:cs="Calibri"/>
                <w:lang w:eastAsia="zh-CN"/>
              </w:rPr>
              <w:t>亿美元；净利润同期从</w:t>
            </w:r>
            <w:r>
              <w:rPr>
                <w:rFonts w:ascii="楷体" w:hAnsi="楷体" w:eastAsia="楷体" w:cs="Calibri"/>
                <w:lang w:eastAsia="zh-CN"/>
              </w:rPr>
              <w:t>2020</w:t>
            </w:r>
            <w:r>
              <w:rPr>
                <w:rFonts w:hint="eastAsia" w:ascii="楷体" w:hAnsi="楷体" w:eastAsia="楷体" w:cs="Calibri"/>
                <w:lang w:eastAsia="zh-CN"/>
              </w:rPr>
              <w:t>年的</w:t>
            </w:r>
            <w:r>
              <w:rPr>
                <w:rFonts w:ascii="楷体" w:hAnsi="楷体" w:eastAsia="楷体" w:cs="Calibri"/>
                <w:lang w:eastAsia="zh-CN"/>
              </w:rPr>
              <w:t>3600</w:t>
            </w:r>
            <w:r>
              <w:rPr>
                <w:rFonts w:hint="eastAsia" w:ascii="楷体" w:hAnsi="楷体" w:eastAsia="楷体" w:cs="Calibri"/>
                <w:lang w:eastAsia="zh-CN"/>
              </w:rPr>
              <w:t>万美元飙升至</w:t>
            </w:r>
            <w:r>
              <w:rPr>
                <w:rFonts w:ascii="楷体" w:hAnsi="楷体" w:eastAsia="楷体" w:cs="Calibri"/>
                <w:lang w:eastAsia="zh-CN"/>
              </w:rPr>
              <w:t>2024</w:t>
            </w:r>
            <w:r>
              <w:rPr>
                <w:rFonts w:hint="eastAsia" w:ascii="楷体" w:hAnsi="楷体" w:eastAsia="楷体" w:cs="Calibri"/>
                <w:lang w:eastAsia="zh-CN"/>
              </w:rPr>
              <w:t>年的</w:t>
            </w:r>
            <w:r>
              <w:rPr>
                <w:rFonts w:ascii="楷体" w:hAnsi="楷体" w:eastAsia="楷体" w:cs="Calibri"/>
                <w:lang w:eastAsia="zh-CN"/>
              </w:rPr>
              <w:t>1.21</w:t>
            </w:r>
            <w:r>
              <w:rPr>
                <w:rFonts w:hint="eastAsia" w:ascii="楷体" w:hAnsi="楷体" w:eastAsia="楷体" w:cs="Calibri"/>
                <w:lang w:eastAsia="zh-CN"/>
              </w:rPr>
              <w:t>亿美元，净利润复合年均增长率（</w:t>
            </w:r>
            <w:r>
              <w:rPr>
                <w:rFonts w:ascii="楷体" w:hAnsi="楷体" w:eastAsia="楷体" w:cs="Calibri"/>
                <w:lang w:eastAsia="zh-CN"/>
              </w:rPr>
              <w:t>CAGR</w:t>
            </w:r>
            <w:r>
              <w:rPr>
                <w:rFonts w:hint="eastAsia" w:ascii="楷体" w:hAnsi="楷体" w:eastAsia="楷体" w:cs="Calibri"/>
                <w:lang w:eastAsia="zh-CN"/>
              </w:rPr>
              <w:t>）高达</w:t>
            </w:r>
            <w:r>
              <w:rPr>
                <w:rFonts w:ascii="楷体" w:hAnsi="楷体" w:eastAsia="楷体" w:cs="Calibri"/>
                <w:lang w:eastAsia="zh-CN"/>
              </w:rPr>
              <w:t>32.3%</w:t>
            </w:r>
            <w:r>
              <w:rPr>
                <w:rFonts w:hint="eastAsia" w:ascii="楷体" w:hAnsi="楷体" w:eastAsia="楷体" w:cs="Calibri"/>
                <w:lang w:eastAsia="zh-CN"/>
              </w:rPr>
              <w:t>。净利率也从</w:t>
            </w:r>
            <w:r>
              <w:rPr>
                <w:rFonts w:ascii="楷体" w:hAnsi="楷体" w:eastAsia="楷体" w:cs="Calibri"/>
                <w:lang w:eastAsia="zh-CN"/>
              </w:rPr>
              <w:t>202</w:t>
            </w:r>
            <w:r>
              <w:rPr>
                <w:rFonts w:hint="eastAsia" w:ascii="楷体" w:hAnsi="楷体" w:eastAsia="楷体" w:cs="Calibri"/>
                <w:lang w:eastAsia="zh-CN"/>
              </w:rPr>
              <w:t>0年的6.2%提高到2024年的10.1%。</w:t>
            </w:r>
          </w:p>
          <w:p>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消费者导向场景下私人飞机需求稳健增长。</w:t>
            </w:r>
            <w:r>
              <w:rPr>
                <w:rFonts w:hint="eastAsia" w:ascii="楷体" w:hAnsi="楷体" w:eastAsia="楷体" w:cs="Calibri"/>
                <w:lang w:eastAsia="zh-CN"/>
              </w:rPr>
              <w:t>通用航空涵盖除军事和定期商业航班之外的所有航空活动，包括私人飞行和专业航空。全球私人飞机市场在交付量和价值方面均实现了稳健增长，平均销售价格也呈现上升趋势。全球私人飞机交付量的持续增长，一方面得益于高净值人群（</w:t>
            </w:r>
            <w:r>
              <w:rPr>
                <w:rFonts w:ascii="楷体" w:hAnsi="楷体" w:eastAsia="楷体" w:cs="Calibri"/>
                <w:lang w:eastAsia="zh-CN"/>
              </w:rPr>
              <w:t>HNWIs</w:t>
            </w:r>
            <w:r>
              <w:rPr>
                <w:rFonts w:hint="eastAsia" w:ascii="楷体" w:hAnsi="楷体" w:eastAsia="楷体" w:cs="Calibri"/>
                <w:lang w:eastAsia="zh-CN"/>
              </w:rPr>
              <w:t>）和飞行学员数量的扩张，另一方面也受到持续基础设施建设的推动。该行业的集中度相当高，西锐尤其在活塞式飞机领域占据领先地位。其两大主要机型系列的市场份额均呈现上升趋势。.</w:t>
            </w:r>
          </w:p>
          <w:p>
            <w:pPr>
              <w:pStyle w:val="56"/>
              <w:jc w:val="both"/>
              <w:rPr>
                <w:rFonts w:hint="eastAsia" w:ascii="楷体" w:hAnsi="楷体" w:eastAsia="楷体" w:cs="Calibri"/>
                <w:lang w:eastAsia="zh-CN"/>
              </w:rPr>
            </w:pPr>
            <w:r>
              <w:rPr>
                <w:rFonts w:hint="eastAsia" w:ascii="楷体" w:hAnsi="楷体" w:eastAsia="楷体" w:cs="Calibri"/>
                <w:b/>
                <w:bCs/>
                <w:color w:val="23558C"/>
                <w:lang w:eastAsia="zh-CN"/>
              </w:rPr>
              <w:t>西锐凭借行业领先的安全性能和全面“产品</w:t>
            </w:r>
            <w:r>
              <w:rPr>
                <w:rFonts w:ascii="楷体" w:hAnsi="楷体" w:eastAsia="楷体" w:cs="Calibri"/>
                <w:b/>
                <w:bCs/>
                <w:color w:val="23558C"/>
                <w:lang w:eastAsia="zh-CN"/>
              </w:rPr>
              <w:t>+</w:t>
            </w:r>
            <w:r>
              <w:rPr>
                <w:rFonts w:hint="eastAsia" w:ascii="楷体" w:hAnsi="楷体" w:eastAsia="楷体" w:cs="Calibri"/>
                <w:b/>
                <w:bCs/>
                <w:color w:val="23558C"/>
                <w:lang w:eastAsia="zh-CN"/>
              </w:rPr>
              <w:t>服务”生态系统实现差异化。</w:t>
            </w:r>
            <w:r>
              <w:rPr>
                <w:rFonts w:hint="eastAsia" w:ascii="楷体" w:hAnsi="楷体" w:eastAsia="楷体" w:cs="Calibri"/>
                <w:lang w:eastAsia="zh-CN"/>
              </w:rPr>
              <w:t xml:space="preserve"> 西锐的产品线，从</w:t>
            </w:r>
            <w:r>
              <w:rPr>
                <w:rFonts w:ascii="楷体" w:hAnsi="楷体" w:eastAsia="楷体" w:cs="Calibri"/>
                <w:lang w:eastAsia="zh-CN"/>
              </w:rPr>
              <w:t>SR2X</w:t>
            </w:r>
            <w:r>
              <w:rPr>
                <w:rFonts w:hint="eastAsia" w:ascii="楷体" w:hAnsi="楷体" w:eastAsia="楷体" w:cs="Calibri"/>
                <w:lang w:eastAsia="zh-CN"/>
              </w:rPr>
              <w:t>系列到</w:t>
            </w:r>
            <w:r>
              <w:rPr>
                <w:rFonts w:ascii="楷体" w:hAnsi="楷体" w:eastAsia="楷体" w:cs="Calibri"/>
                <w:lang w:eastAsia="zh-CN"/>
              </w:rPr>
              <w:t>Vision Jet</w:t>
            </w:r>
            <w:r>
              <w:rPr>
                <w:rFonts w:hint="eastAsia" w:ascii="楷体" w:hAnsi="楷体" w:eastAsia="楷体" w:cs="Calibri"/>
                <w:lang w:eastAsia="zh-CN"/>
              </w:rPr>
              <w:t>，满足了多样化的市场需求，其中</w:t>
            </w:r>
            <w:r>
              <w:rPr>
                <w:rFonts w:ascii="楷体" w:hAnsi="楷体" w:eastAsia="楷体" w:cs="Calibri"/>
                <w:lang w:eastAsia="zh-CN"/>
              </w:rPr>
              <w:t>SR</w:t>
            </w:r>
            <w:r>
              <w:rPr>
                <w:rFonts w:hint="eastAsia" w:ascii="楷体" w:hAnsi="楷体" w:eastAsia="楷体" w:cs="Calibri"/>
                <w:lang w:eastAsia="zh-CN"/>
              </w:rPr>
              <w:t>系列定位于高端活塞式飞机市场，而</w:t>
            </w:r>
            <w:r>
              <w:rPr>
                <w:rFonts w:ascii="楷体" w:hAnsi="楷体" w:eastAsia="楷体" w:cs="Calibri"/>
                <w:lang w:eastAsia="zh-CN"/>
              </w:rPr>
              <w:t>Vision Jet</w:t>
            </w:r>
            <w:r>
              <w:rPr>
                <w:rFonts w:hint="eastAsia" w:ascii="楷体" w:hAnsi="楷体" w:eastAsia="楷体" w:cs="Calibri"/>
                <w:lang w:eastAsia="zh-CN"/>
              </w:rPr>
              <w:t>则作为涡轮式飞机类别中的高性价比选择。公司的竞争优势源于其开创性的安全功能，包括挽救生命的“整机降落伞系统（</w:t>
            </w:r>
            <w:r>
              <w:rPr>
                <w:rFonts w:ascii="楷体" w:hAnsi="楷体" w:eastAsia="楷体" w:cs="Calibri"/>
                <w:lang w:eastAsia="zh-CN"/>
              </w:rPr>
              <w:t>CAPS</w:t>
            </w:r>
            <w:r>
              <w:rPr>
                <w:rFonts w:hint="eastAsia" w:ascii="楷体" w:hAnsi="楷体" w:eastAsia="楷体" w:cs="Calibri"/>
                <w:lang w:eastAsia="zh-CN"/>
              </w:rPr>
              <w:t>）”和革命性的“安全返航紧急自动着陆系统（</w:t>
            </w:r>
            <w:r>
              <w:rPr>
                <w:rFonts w:ascii="楷体" w:hAnsi="楷体" w:eastAsia="楷体" w:cs="Calibri"/>
                <w:lang w:eastAsia="zh-CN"/>
              </w:rPr>
              <w:t>Safe Return Emergency Autoland</w:t>
            </w:r>
            <w:r>
              <w:rPr>
                <w:rFonts w:hint="eastAsia" w:ascii="楷体" w:hAnsi="楷体" w:eastAsia="楷体" w:cs="Calibri"/>
                <w:lang w:eastAsia="zh-CN"/>
              </w:rPr>
              <w:t>）”。关键在于，西锐已超越传统制造业务，发展成为提供全面“产品</w:t>
            </w:r>
            <w:r>
              <w:rPr>
                <w:rFonts w:ascii="楷体" w:hAnsi="楷体" w:eastAsia="楷体" w:cs="Calibri"/>
                <w:lang w:eastAsia="zh-CN"/>
              </w:rPr>
              <w:t>+</w:t>
            </w:r>
            <w:r>
              <w:rPr>
                <w:rFonts w:hint="eastAsia" w:ascii="楷体" w:hAnsi="楷体" w:eastAsia="楷体" w:cs="Calibri"/>
                <w:lang w:eastAsia="zh-CN"/>
              </w:rPr>
              <w:t>服务”生态系统的企业，涵盖飞行培训、飞机管理和融资等服务。这种高客户留存模式创造了经常性收入并增强了品牌忠诚度，同时带来了高复购率和强大的定价权。</w:t>
            </w:r>
            <w:r>
              <w:rPr>
                <w:rFonts w:ascii="楷体" w:hAnsi="楷体" w:eastAsia="楷体" w:cs="Calibri"/>
                <w:lang w:eastAsia="zh-CN"/>
              </w:rPr>
              <w:t xml:space="preserve"> </w:t>
            </w:r>
          </w:p>
          <w:p>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估值与建议</w:t>
            </w:r>
          </w:p>
          <w:p>
            <w:pPr>
              <w:pStyle w:val="44"/>
              <w:jc w:val="both"/>
              <w:rPr>
                <w:rFonts w:hint="eastAsia" w:ascii="楷体" w:hAnsi="楷体" w:eastAsia="楷体" w:cs="Calibri"/>
                <w:snapToGrid/>
                <w:szCs w:val="20"/>
                <w:lang w:eastAsia="zh-CN"/>
              </w:rPr>
            </w:pPr>
            <w:r>
              <w:rPr>
                <w:rFonts w:ascii="楷体" w:hAnsi="楷体" w:eastAsia="楷体" w:cs="Calibri"/>
                <w:snapToGrid/>
                <w:szCs w:val="20"/>
                <w:lang w:eastAsia="zh-CN"/>
              </w:rPr>
              <w:t>我们预计西锐飞机在2025年至2027年期间的收入将分别达到14.</w:t>
            </w:r>
            <w:r>
              <w:rPr>
                <w:rFonts w:hint="eastAsia" w:ascii="楷体" w:hAnsi="楷体" w:eastAsia="楷体" w:cs="Calibri"/>
                <w:snapToGrid/>
                <w:szCs w:val="20"/>
                <w:lang w:eastAsia="zh-CN"/>
              </w:rPr>
              <w:t>26/</w:t>
            </w:r>
            <w:r>
              <w:rPr>
                <w:rFonts w:ascii="楷体" w:hAnsi="楷体" w:eastAsia="楷体" w:cs="Calibri"/>
                <w:snapToGrid/>
                <w:szCs w:val="20"/>
                <w:lang w:eastAsia="zh-CN"/>
              </w:rPr>
              <w:t>16.46</w:t>
            </w:r>
            <w:r>
              <w:rPr>
                <w:rFonts w:hint="eastAsia" w:ascii="楷体" w:hAnsi="楷体" w:eastAsia="楷体" w:cs="Calibri"/>
                <w:snapToGrid/>
                <w:szCs w:val="20"/>
                <w:lang w:eastAsia="zh-CN"/>
              </w:rPr>
              <w:t>/</w:t>
            </w:r>
            <w:r>
              <w:rPr>
                <w:rFonts w:ascii="楷体" w:hAnsi="楷体" w:eastAsia="楷体" w:cs="Calibri"/>
                <w:snapToGrid/>
                <w:szCs w:val="20"/>
                <w:lang w:eastAsia="zh-CN"/>
              </w:rPr>
              <w:t>19.28亿美元，净利润分别为1.</w:t>
            </w:r>
            <w:r>
              <w:rPr>
                <w:rFonts w:hint="eastAsia" w:ascii="楷体" w:hAnsi="楷体" w:eastAsia="楷体" w:cs="Calibri"/>
                <w:snapToGrid/>
                <w:szCs w:val="20"/>
                <w:lang w:eastAsia="zh-CN"/>
              </w:rPr>
              <w:t>62/</w:t>
            </w:r>
            <w:r>
              <w:rPr>
                <w:rFonts w:ascii="楷体" w:hAnsi="楷体" w:eastAsia="楷体" w:cs="Calibri"/>
                <w:snapToGrid/>
                <w:szCs w:val="20"/>
                <w:lang w:eastAsia="zh-CN"/>
              </w:rPr>
              <w:t>1.9</w:t>
            </w:r>
            <w:r>
              <w:rPr>
                <w:rFonts w:hint="eastAsia" w:ascii="楷体" w:hAnsi="楷体" w:eastAsia="楷体" w:cs="Calibri"/>
                <w:snapToGrid/>
                <w:szCs w:val="20"/>
                <w:lang w:eastAsia="zh-CN"/>
              </w:rPr>
              <w:t>9/</w:t>
            </w:r>
            <w:r>
              <w:rPr>
                <w:rFonts w:ascii="楷体" w:hAnsi="楷体" w:eastAsia="楷体" w:cs="Calibri"/>
                <w:snapToGrid/>
                <w:szCs w:val="20"/>
                <w:lang w:eastAsia="zh-CN"/>
              </w:rPr>
              <w:t>2.</w:t>
            </w:r>
            <w:r>
              <w:rPr>
                <w:rFonts w:hint="eastAsia" w:ascii="楷体" w:hAnsi="楷体" w:eastAsia="楷体" w:cs="Calibri"/>
                <w:snapToGrid/>
                <w:szCs w:val="20"/>
                <w:lang w:eastAsia="zh-CN"/>
              </w:rPr>
              <w:t>42</w:t>
            </w:r>
            <w:r>
              <w:rPr>
                <w:rFonts w:ascii="楷体" w:hAnsi="楷体" w:eastAsia="楷体" w:cs="Calibri"/>
                <w:snapToGrid/>
                <w:szCs w:val="20"/>
                <w:lang w:eastAsia="zh-CN"/>
              </w:rPr>
              <w:t>亿美元。基于贴现现金流（DCF）估值模型，我们首次覆盖并给予“优于大市”评级，目标价为</w:t>
            </w:r>
            <w:r>
              <w:rPr>
                <w:rFonts w:hint="eastAsia" w:ascii="楷体" w:hAnsi="楷体" w:eastAsia="楷体" w:cs="Calibri"/>
                <w:snapToGrid/>
                <w:szCs w:val="20"/>
                <w:lang w:eastAsia="zh-CN"/>
              </w:rPr>
              <w:t>11.12美元（对应港币86.72元）。</w:t>
            </w:r>
          </w:p>
          <w:p>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t>风险提示</w:t>
            </w:r>
          </w:p>
          <w:p>
            <w:pPr>
              <w:pStyle w:val="55"/>
              <w:jc w:val="both"/>
              <w:rPr>
                <w:rFonts w:hint="default" w:ascii="楷体" w:hAnsi="楷体" w:eastAsia="楷体" w:cs="Calibri"/>
                <w:snapToGrid/>
                <w:sz w:val="20"/>
                <w:szCs w:val="20"/>
                <w:lang w:val="en-IE" w:eastAsia="zh-CN"/>
              </w:rPr>
            </w:pPr>
            <w:r>
              <w:rPr>
                <w:rFonts w:ascii="楷体" w:hAnsi="楷体" w:eastAsia="楷体" w:cs="Calibri"/>
                <w:snapToGrid/>
                <w:sz w:val="20"/>
                <w:szCs w:val="20"/>
              </w:rPr>
              <w:t>原材料价格波动；供应链中断；市场竞争加剧；客户需求变化；政策变化.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pPr>
              <w:pStyle w:val="56"/>
              <w:spacing w:after="0"/>
              <w:jc w:val="both"/>
              <w:rPr>
                <w:rFonts w:eastAsia="楷体_GB2312" w:cs="Calibri"/>
                <w:bCs/>
                <w:kern w:val="28"/>
                <w:lang w:eastAsia="zh-CN"/>
              </w:rPr>
            </w:pPr>
          </w:p>
          <w:tbl>
            <w:tblPr>
              <w:tblStyle w:val="2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pPr>
                    <w:pStyle w:val="53"/>
                    <w:framePr w:wrap="auto" w:vAnchor="margin" w:hAnchor="text" w:yAlign="inline"/>
                    <w:rPr>
                      <w:rFonts w:eastAsia="宋体" w:cs="等线"/>
                      <w:color w:val="FFFFFF" w:themeColor="background1"/>
                      <w14:textFill>
                        <w14:solidFill>
                          <w14:schemeClr w14:val="bg1"/>
                        </w14:solidFill>
                      </w14:textFill>
                    </w:rPr>
                  </w:pPr>
                  <w:r>
                    <w:rPr>
                      <w:rFonts w:hint="eastAsia" w:eastAsia="宋体" w:cs="等线"/>
                      <w:color w:val="FFFFFF" w:themeColor="background1"/>
                      <w14:textFill>
                        <w14:solidFill>
                          <w14:schemeClr w14:val="bg1"/>
                        </w14:solidFill>
                      </w14:textFill>
                    </w:rPr>
                    <w:t>[</w:t>
                  </w:r>
                  <w:r>
                    <w:rPr>
                      <w:rFonts w:eastAsia="宋体" w:cs="等线"/>
                      <w:color w:val="FFFFFF" w:themeColor="background1"/>
                      <w14:textFill>
                        <w14:solidFill>
                          <w14:schemeClr w14:val="bg1"/>
                        </w14:solidFill>
                      </w14:textFill>
                    </w:rPr>
                    <w:t>Table_Author]</w:t>
                  </w:r>
                </w:p>
              </w:tc>
              <w:tc>
                <w:tcPr>
                  <w:tcW w:w="2551"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3"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4" w:type="dxa"/>
                </w:tcPr>
                <w:p>
                  <w:pPr>
                    <w:pStyle w:val="53"/>
                    <w:framePr w:wrap="auto" w:vAnchor="margin" w:hAnchor="text" w:yAlign="inline"/>
                    <w:rPr>
                      <w:rFonts w:eastAsia="MS Gothic" w:cs="等线"/>
                      <w:color w:val="FFFFFF" w:themeColor="background1"/>
                      <w14:textFill>
                        <w14:solidFill>
                          <w14:schemeClr w14:val="bg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default" w:ascii="Calibri" w:hAnsi="Calibri" w:eastAsia="楷体_GB2312" w:cs="Calibri"/>
                    </w:rPr>
                  </w:pPr>
                  <w:r>
                    <w:rPr>
                      <w:rFonts w:hint="default" w:ascii="Calibri" w:hAnsi="Calibri" w:eastAsia="楷体_GB2312" w:cs="Calibri"/>
                      <w:b/>
                      <w:bCs/>
                      <w:snapToGrid w:val="0"/>
                      <w:color w:val="333333"/>
                      <w:kern w:val="0"/>
                      <w:sz w:val="16"/>
                      <w:szCs w:val="16"/>
                      <w:lang w:val="en-US" w:eastAsia="zh-CN" w:bidi="ar"/>
                    </w:rPr>
                    <w:t>杨斌 Bin Yang], SFC:BSQ313</w:t>
                  </w:r>
                  <w:r>
                    <w:rPr>
                      <w:rFonts w:hint="eastAsia" w:eastAsia="楷体_GB2312" w:cs="Calibri"/>
                      <w:b/>
                      <w:bCs/>
                      <w:snapToGrid w:val="0"/>
                      <w:color w:val="333333"/>
                      <w:kern w:val="0"/>
                      <w:sz w:val="16"/>
                      <w:szCs w:val="16"/>
                      <w:lang w:val="en-US" w:eastAsia="zh-CN" w:bidi="ar"/>
                    </w:rPr>
                  </w:r>
                  <w:r>
                    <w:rPr>
                      <w:rFonts w:hint="default" w:ascii="Calibri" w:hAnsi="Calibri" w:eastAsia="宋体" w:cs="Calibri"/>
                      <w:snapToGrid w:val="0"/>
                      <w:color w:val="FFFFFF"/>
                      <w:kern w:val="0"/>
                      <w:sz w:val="16"/>
                      <w:szCs w:val="16"/>
                      <w:lang w:val="en-US" w:eastAsia="zh-CN" w:bidi="ar"/>
                    </w:rPr>
                  </w:r>
                  <w:r>
                    <w:rPr>
                      <w:rFonts w:hint="default" w:ascii="Calibri" w:hAnsi="Calibri" w:eastAsia="宋体" w:cs="Calibri"/>
                      <w:b/>
                      <w:bCs/>
                      <w:snapToGrid w:val="0"/>
                      <w:color w:val="000000"/>
                      <w:kern w:val="0"/>
                      <w:sz w:val="16"/>
                      <w:szCs w:val="16"/>
                      <w:lang w:val="en-US" w:eastAsia="zh-CN" w:bidi="ar"/>
                    </w:rPr>
                  </w:r>
                </w:p>
              </w:tc>
              <w:tc>
                <w:tcPr>
                  <w:tcW w:w="2551" w:type="dxa"/>
                </w:tcPr>
                <w:p>
                  <w:r/>
                </w:p>
              </w:tc>
              <w:tc>
                <w:tcPr>
                  <w:tcW w:w="2693" w:type="dxa"/>
                </w:tcPr>
                <w:p>
                  <w:r/>
                </w:p>
              </w:tc>
              <w:tc>
                <w:tcPr>
                  <w:tcW w:w="2694" w:type="dxa"/>
                </w:tcPr>
                <w:p>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pPr>
                    <w:pStyle w:val="52"/>
                    <w:framePr w:wrap="auto" w:vAnchor="margin" w:hAnchor="text" w:yAlign="inline"/>
                    <w:rPr>
                      <w:rFonts w:eastAsia="楷体_GB2312" w:cs="等线"/>
                      <w:b w:val="0"/>
                    </w:rPr>
                  </w:pPr>
                  <w:r>
                    <w:rPr>
                      <w:rFonts w:hint="eastAsia" w:eastAsia="楷体_GB2312" w:cs="等线"/>
                      <w:b w:val="0"/>
                    </w:rPr>
                    <w:t>harryyang@hfisec.com.hk</w:t>
                  </w:r>
                  <w:r>
                    <w:rPr>
                      <w:rFonts w:eastAsia="楷体_GB2312" w:cs="等线"/>
                      <w:b w:val="0"/>
                    </w:rPr>
                  </w:r>
                  <w:r>
                    <w:rPr>
                      <w:rFonts w:hint="eastAsia" w:eastAsia="楷体_GB2312" w:cs="等线"/>
                      <w:b w:val="0"/>
                    </w:rPr>
                  </w:r>
                  <w:r>
                    <w:rPr>
                      <w:rFonts w:eastAsia="楷体_GB2312" w:cs="等线"/>
                      <w:b w:val="0"/>
                    </w:rPr>
                  </w:r>
                  <w:r>
                    <w:rPr>
                      <w:rFonts w:hint="eastAsia" w:eastAsia="楷体_GB2312" w:cs="等线"/>
                      <w:b w:val="0"/>
                    </w:rPr>
                  </w:r>
                </w:p>
              </w:tc>
              <w:tc>
                <w:tcPr>
                  <w:tcW w:w="2551" w:type="dxa"/>
                </w:tcPr>
                <w:p>
                  <w:pPr>
                    <w:pStyle w:val="52"/>
                    <w:framePr w:wrap="auto" w:vAnchor="margin" w:hAnchor="text" w:yAlign="inline"/>
                    <w:rPr>
                      <w:rFonts w:eastAsia="楷体_GB2312" w:cs="等线"/>
                      <w:b w:val="0"/>
                    </w:rPr>
                  </w:pPr>
                  <w:r>
                    <w:t/>
                  </w:r>
                </w:p>
              </w:tc>
              <w:tc>
                <w:tcPr>
                  <w:tcW w:w="2693" w:type="dxa"/>
                </w:tcPr>
                <w:p>
                  <w:pPr>
                    <w:pStyle w:val="52"/>
                    <w:framePr w:wrap="auto" w:vAnchor="margin" w:hAnchor="text" w:yAlign="inline"/>
                    <w:rPr>
                      <w:rFonts w:eastAsia="楷体_GB2312" w:cs="等线"/>
                      <w:b w:val="0"/>
                    </w:rPr>
                  </w:pPr>
                  <w:r>
                    <w:t/>
                  </w:r>
                </w:p>
              </w:tc>
              <w:tc>
                <w:tcPr>
                  <w:tcW w:w="2694" w:type="dxa"/>
                </w:tcPr>
                <w:p>
                  <w:pPr>
                    <w:pStyle w:val="52"/>
                    <w:framePr w:wrap="auto" w:vAnchor="margin" w:hAnchor="text" w:yAlign="inline"/>
                    <w:rPr>
                      <w:rFonts w:eastAsia="楷体_GB2312" w:cs="等线"/>
                      <w:b w:val="0"/>
                    </w:rPr>
                  </w:pPr>
                  <w: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r/>
                </w:p>
              </w:tc>
              <w:tc>
                <w:tcPr>
                  <w:tcW w:w="2551" w:type="dxa"/>
                </w:tcPr>
                <w:p>
                  <w:r/>
                </w:p>
              </w:tc>
              <w:tc>
                <w:tcPr>
                  <w:tcW w:w="2693" w:type="dxa"/>
                </w:tcPr>
                <w:p>
                  <w:r/>
                </w:p>
              </w:tc>
              <w:tc>
                <w:tcPr>
                  <w:tcW w:w="2694" w:type="dxa"/>
                </w:tcPr>
                <w:p>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2"/>
                    <w:framePr w:wrap="auto" w:vAnchor="margin" w:hAnchor="text" w:yAlign="inline"/>
                    <w:rPr>
                      <w:rFonts w:eastAsia="楷体_GB2312" w:cs="等线"/>
                      <w:b w:val="0"/>
                    </w:rPr>
                  </w:pPr>
                  <w:r>
                    <w:t/>
                  </w:r>
                </w:p>
              </w:tc>
              <w:tc>
                <w:tcPr>
                  <w:tcW w:w="2551" w:type="dxa"/>
                </w:tcPr>
                <w:p>
                  <w:pPr>
                    <w:pStyle w:val="52"/>
                    <w:framePr w:wrap="auto" w:vAnchor="margin" w:hAnchor="text" w:yAlign="inline"/>
                    <w:rPr>
                      <w:rFonts w:eastAsia="楷体_GB2312" w:cs="等线"/>
                      <w:b w:val="0"/>
                    </w:rPr>
                  </w:pPr>
                  <w:r>
                    <w:t/>
                  </w:r>
                </w:p>
              </w:tc>
              <w:tc>
                <w:tcPr>
                  <w:tcW w:w="2693" w:type="dxa"/>
                </w:tcPr>
                <w:p>
                  <w:pPr>
                    <w:pStyle w:val="52"/>
                    <w:framePr w:wrap="auto" w:vAnchor="margin" w:hAnchor="text" w:yAlign="inline"/>
                    <w:rPr>
                      <w:rFonts w:eastAsia="楷体_GB2312" w:cs="等线"/>
                      <w:b w:val="0"/>
                    </w:rPr>
                  </w:pPr>
                  <w:r>
                    <w:t/>
                  </w:r>
                </w:p>
              </w:tc>
              <w:tc>
                <w:tcPr>
                  <w:tcW w:w="2694" w:type="dxa"/>
                </w:tcPr>
                <w:p>
                  <w:pPr>
                    <w:pStyle w:val="52"/>
                    <w:framePr w:wrap="auto" w:vAnchor="margin" w:hAnchor="text" w:yAlign="inline"/>
                    <w:rPr>
                      <w:rFonts w:eastAsia="楷体_GB2312" w:cs="等线"/>
                      <w:b w:val="0"/>
                    </w:rPr>
                  </w:pPr>
                  <w:r>
                    <w:t/>
                  </w:r>
                </w:p>
              </w:tc>
            </w:tr>
          </w:tbl>
          <w:p>
            <w:pPr>
              <w:pStyle w:val="56"/>
              <w:spacing w:after="0"/>
              <w:jc w:val="both"/>
              <w:rPr>
                <w:rFonts w:eastAsia="楷体_GB2312" w:cs="Calibri"/>
                <w:bCs/>
                <w:kern w:val="28"/>
                <w:lang w:eastAsia="zh-CN"/>
              </w:rPr>
            </w:pPr>
          </w:p>
        </w:tc>
      </w:tr>
    </w:tbl>
    <w:p>
      <w:pPr>
        <w:rPr>
          <w:rFonts w:eastAsiaTheme="minorEastAsia"/>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p>
    <w:sdt>
      <w:sdtPr>
        <w:rPr>
          <w:rFonts w:hint="eastAsia" w:ascii="楷体" w:hAnsi="楷体" w:eastAsia="楷体" w:cs="楷体"/>
          <w:b/>
          <w:snapToGrid w:val="0"/>
          <w:color w:val="auto"/>
          <w:sz w:val="22"/>
          <w:szCs w:val="22"/>
          <w:lang w:val="zh-CN" w:eastAsia="ja-JP"/>
        </w:rPr>
        <w:id w:val="393165253"/>
        <w:docPartObj>
          <w:docPartGallery w:val="Table of Contents"/>
          <w:docPartUnique/>
        </w:docPartObj>
      </w:sdtPr>
      <w:sdtEndPr>
        <w:rPr>
          <w:rFonts w:hint="eastAsia" w:ascii="Calibri" w:hAnsi="Calibri" w:eastAsia="MS Mincho" w:cs="Calibri"/>
          <w:b/>
          <w:bCs/>
          <w:snapToGrid w:val="0"/>
          <w:color w:val="auto"/>
          <w:sz w:val="16"/>
          <w:szCs w:val="16"/>
          <w:lang w:val="zh-CN" w:eastAsia="ja-JP"/>
        </w:rPr>
      </w:sdtEndPr>
      <w:sdtContent>
        <w:p>
          <w:pPr>
            <w:pStyle w:val="73"/>
            <w:rPr>
              <w:rFonts w:hint="eastAsia" w:ascii="楷体" w:hAnsi="楷体" w:eastAsia="楷体" w:cs="楷体"/>
              <w:b/>
              <w:color w:val="auto"/>
              <w:sz w:val="22"/>
              <w:szCs w:val="22"/>
            </w:rPr>
          </w:pPr>
          <w:r>
            <w:rPr>
              <w:rFonts w:hint="eastAsia" w:ascii="楷体" w:hAnsi="楷体" w:eastAsia="楷体" w:cs="楷体"/>
              <w:b/>
              <w:snapToGrid w:val="0"/>
              <w:color w:val="auto"/>
              <w:sz w:val="22"/>
              <w:szCs w:val="22"/>
            </w:rPr>
            <w:t>目录</w:t>
          </w:r>
        </w:p>
        <w:p>
          <w:pPr>
            <w:pStyle w:val="14"/>
            <w:tabs>
              <w:tab w:val="right" w:leader="dot" w:pos="7733"/>
            </w:tabs>
            <w:rPr>
              <w:rFonts w:hint="eastAsia" w:cstheme="minorBidi"/>
              <w:kern w:val="2"/>
              <w:szCs w:val="24"/>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r>
            <w:fldChar w:fldCharType="begin"/>
          </w:r>
          <w:r>
            <w:instrText xml:space="preserve"> HYPERLINK \l "_Toc219028014" </w:instrText>
          </w:r>
          <w:r>
            <w:fldChar w:fldCharType="separate"/>
          </w:r>
          <w:r>
            <w:rPr>
              <w:rStyle w:val="23"/>
              <w:rFonts w:hint="eastAsia" w:ascii="楷体" w:hAnsi="楷体" w:eastAsia="楷体" w:cs="楷体"/>
              <w:b/>
              <w:bCs/>
            </w:rPr>
            <w:t>1 西锐飞机：拥有四十余年历史的全球私人航空领导者</w:t>
          </w:r>
          <w:r>
            <w:rPr>
              <w:rFonts w:hint="eastAsia"/>
            </w:rPr>
            <w:tab/>
          </w:r>
          <w:r>
            <w:rPr>
              <w:rFonts w:hint="eastAsia"/>
            </w:rPr>
            <w:fldChar w:fldCharType="begin"/>
          </w:r>
          <w:r>
            <w:rPr>
              <w:rFonts w:hint="eastAsia"/>
            </w:rPr>
            <w:instrText xml:space="preserve"> </w:instrText>
          </w:r>
          <w:r>
            <w:instrText xml:space="preserve">PAGEREF _Toc219028014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"_Toc219028015" </w:instrText>
          </w:r>
          <w:r>
            <w:fldChar w:fldCharType="separate"/>
          </w:r>
          <w:r>
            <w:rPr>
              <w:rStyle w:val="23"/>
              <w:rFonts w:hint="eastAsia" w:ascii="楷体" w:hAnsi="楷体" w:eastAsia="楷体" w:cs="楷体"/>
            </w:rPr>
            <w:t>1.1 公司概况</w:t>
          </w:r>
          <w:r>
            <w:rPr>
              <w:rFonts w:hint="eastAsia"/>
            </w:rPr>
            <w:tab/>
          </w:r>
          <w:r>
            <w:rPr>
              <w:rFonts w:hint="eastAsia"/>
            </w:rPr>
            <w:fldChar w:fldCharType="begin"/>
          </w:r>
          <w:r>
            <w:rPr>
              <w:rFonts w:hint="eastAsia"/>
            </w:rPr>
            <w:instrText xml:space="preserve"> </w:instrText>
          </w:r>
          <w:r>
            <w:instrText xml:space="preserve">PAGEREF _Toc219028015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"_Toc219028016" </w:instrText>
          </w:r>
          <w:r>
            <w:fldChar w:fldCharType="separate"/>
          </w:r>
          <w:r>
            <w:rPr>
              <w:rStyle w:val="23"/>
              <w:rFonts w:hint="eastAsia" w:ascii="楷体" w:hAnsi="楷体" w:eastAsia="楷体" w:cs="楷体"/>
            </w:rPr>
            <w:t>1.2 股权结构与管理层情况</w:t>
          </w:r>
          <w:r>
            <w:rPr>
              <w:rFonts w:hint="eastAsia"/>
            </w:rPr>
            <w:tab/>
          </w:r>
          <w:r>
            <w:rPr>
              <w:rFonts w:hint="eastAsia"/>
            </w:rPr>
            <w:fldChar w:fldCharType="begin"/>
          </w:r>
          <w:r>
            <w:rPr>
              <w:rFonts w:hint="eastAsia"/>
            </w:rPr>
            <w:instrText xml:space="preserve"> </w:instrText>
          </w:r>
          <w:r>
            <w:instrText xml:space="preserve">PAGEREF _Toc219028016 \h</w:instrText>
          </w:r>
          <w:r>
            <w:rPr>
              <w:rFonts w:hint="eastAsia"/>
            </w:rPr>
            <w:instrText xml:space="preserve"> </w:instrText>
          </w:r>
          <w:r>
            <w:rPr>
              <w:rFonts w:hint="eastAsia"/>
            </w:rPr>
            <w:fldChar w:fldCharType="separate"/>
          </w:r>
          <w:r>
            <w:rPr>
              <w:rFonts w:hint="eastAsia"/>
            </w:rPr>
            <w:t>3</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"_Toc219028017" </w:instrText>
          </w:r>
          <w:r>
            <w:fldChar w:fldCharType="separate"/>
          </w:r>
          <w:r>
            <w:rPr>
              <w:rStyle w:val="23"/>
              <w:rFonts w:hint="eastAsia" w:ascii="楷体" w:hAnsi="楷体" w:eastAsia="楷体" w:cs="楷体"/>
            </w:rPr>
            <w:t>1.3 主营产品</w:t>
          </w:r>
          <w:r>
            <w:rPr>
              <w:rFonts w:hint="eastAsia"/>
            </w:rPr>
            <w:tab/>
          </w:r>
          <w:r>
            <w:rPr>
              <w:rFonts w:hint="eastAsia"/>
            </w:rPr>
            <w:fldChar w:fldCharType="begin"/>
          </w:r>
          <w:r>
            <w:rPr>
              <w:rFonts w:hint="eastAsia"/>
            </w:rPr>
            <w:instrText xml:space="preserve"> </w:instrText>
          </w:r>
          <w:r>
            <w:instrText xml:space="preserve">PAGEREF _Toc219028017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"_Toc219028018" </w:instrText>
          </w:r>
          <w:r>
            <w:fldChar w:fldCharType="separate"/>
          </w:r>
          <w:r>
            <w:rPr>
              <w:rStyle w:val="23"/>
              <w:rFonts w:hint="eastAsia" w:ascii="楷体" w:hAnsi="楷体" w:eastAsia="楷体" w:cs="楷体"/>
            </w:rPr>
            <w:t>1.4 财务表现</w:t>
          </w:r>
          <w:r>
            <w:rPr>
              <w:rFonts w:hint="eastAsia"/>
            </w:rPr>
            <w:tab/>
          </w:r>
          <w:r>
            <w:rPr>
              <w:rFonts w:hint="eastAsia"/>
            </w:rPr>
            <w:fldChar w:fldCharType="begin"/>
          </w:r>
          <w:r>
            <w:rPr>
              <w:rFonts w:hint="eastAsia"/>
            </w:rPr>
            <w:instrText xml:space="preserve"> </w:instrText>
          </w:r>
          <w:r>
            <w:instrText xml:space="preserve">PAGEREF _Toc219028018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"_Toc219028019" </w:instrText>
          </w:r>
          <w:r>
            <w:fldChar w:fldCharType="separate"/>
          </w:r>
          <w:r>
            <w:rPr>
              <w:rStyle w:val="23"/>
              <w:rFonts w:hint="eastAsia" w:ascii="楷体" w:hAnsi="楷体" w:eastAsia="楷体" w:cs="楷体"/>
            </w:rPr>
            <w:t>2 私人航空需求稳健增长，消费型应用场景持续拓展</w:t>
          </w:r>
          <w:r>
            <w:rPr>
              <w:rFonts w:hint="eastAsia"/>
            </w:rPr>
            <w:tab/>
          </w:r>
          <w:r>
            <w:rPr>
              <w:rFonts w:hint="eastAsia"/>
            </w:rPr>
            <w:fldChar w:fldCharType="begin"/>
          </w:r>
          <w:r>
            <w:rPr>
              <w:rFonts w:hint="eastAsia"/>
            </w:rPr>
            <w:instrText xml:space="preserve"> </w:instrText>
          </w:r>
          <w:r>
            <w:instrText xml:space="preserve">PAGEREF _Toc219028019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"_Toc219028020" </w:instrText>
          </w:r>
          <w:r>
            <w:fldChar w:fldCharType="separate"/>
          </w:r>
          <w:r>
            <w:rPr>
              <w:rStyle w:val="23"/>
              <w:rFonts w:hint="eastAsia" w:ascii="楷体" w:hAnsi="楷体" w:eastAsia="楷体" w:cs="楷体"/>
            </w:rPr>
            <w:t>2.1 通用航空行业概览</w:t>
          </w:r>
          <w:r>
            <w:rPr>
              <w:rFonts w:hint="eastAsia"/>
            </w:rPr>
            <w:tab/>
          </w:r>
          <w:r>
            <w:rPr>
              <w:rFonts w:hint="eastAsia"/>
            </w:rPr>
            <w:fldChar w:fldCharType="begin"/>
          </w:r>
          <w:r>
            <w:rPr>
              <w:rFonts w:hint="eastAsia"/>
            </w:rPr>
            <w:instrText xml:space="preserve"> </w:instrText>
          </w:r>
          <w:r>
            <w:instrText xml:space="preserve">PAGEREF _Toc219028020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"_Toc219028021" </w:instrText>
          </w:r>
          <w:r>
            <w:fldChar w:fldCharType="separate"/>
          </w:r>
          <w:r>
            <w:rPr>
              <w:rStyle w:val="23"/>
              <w:rFonts w:hint="eastAsia" w:ascii="楷体" w:hAnsi="楷体" w:eastAsia="楷体" w:cs="楷体"/>
            </w:rPr>
            <w:t>2.2 全球私人飞机市场：交付稳步增长，行业集中度较高</w:t>
          </w:r>
          <w:r>
            <w:rPr>
              <w:rFonts w:hint="eastAsia"/>
            </w:rPr>
            <w:tab/>
          </w:r>
          <w:r>
            <w:rPr>
              <w:rFonts w:hint="eastAsia"/>
            </w:rPr>
            <w:fldChar w:fldCharType="begin"/>
          </w:r>
          <w:r>
            <w:rPr>
              <w:rFonts w:hint="eastAsia"/>
            </w:rPr>
            <w:instrText xml:space="preserve"> </w:instrText>
          </w:r>
          <w:r>
            <w:instrText xml:space="preserve">PAGEREF _Toc219028021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"_Toc219028022" </w:instrText>
          </w:r>
          <w:r>
            <w:fldChar w:fldCharType="separate"/>
          </w:r>
          <w:r>
            <w:rPr>
              <w:rStyle w:val="23"/>
              <w:rFonts w:hint="eastAsia" w:ascii="楷体" w:hAnsi="楷体" w:eastAsia="楷体" w:cs="楷体"/>
              <w:b/>
              <w:bCs/>
            </w:rPr>
            <w:t>3 高安全性产品与成熟服务生态构筑强大品牌护城河</w:t>
          </w:r>
          <w:r>
            <w:rPr>
              <w:rFonts w:hint="eastAsia"/>
            </w:rPr>
            <w:tab/>
          </w:r>
          <w:r>
            <w:rPr>
              <w:rFonts w:hint="eastAsia"/>
            </w:rPr>
            <w:fldChar w:fldCharType="begin"/>
          </w:r>
          <w:r>
            <w:rPr>
              <w:rFonts w:hint="eastAsia"/>
            </w:rPr>
            <w:instrText xml:space="preserve"> </w:instrText>
          </w:r>
          <w:r>
            <w:instrText xml:space="preserve">PAGEREF _Toc219028022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"_Toc219028023" </w:instrText>
          </w:r>
          <w:r>
            <w:fldChar w:fldCharType="separate"/>
          </w:r>
          <w:r>
            <w:rPr>
              <w:rStyle w:val="23"/>
              <w:rFonts w:hint="eastAsia" w:ascii="楷体" w:hAnsi="楷体" w:eastAsia="楷体" w:cs="楷体"/>
            </w:rPr>
            <w:t>3.1 产品矩阵覆盖全谱系需求，高安全性有效解决行业核心痛点</w:t>
          </w:r>
          <w:r>
            <w:rPr>
              <w:rFonts w:hint="eastAsia"/>
            </w:rPr>
            <w:tab/>
          </w:r>
          <w:r>
            <w:rPr>
              <w:rFonts w:hint="eastAsia"/>
            </w:rPr>
            <w:fldChar w:fldCharType="begin"/>
          </w:r>
          <w:r>
            <w:rPr>
              <w:rFonts w:hint="eastAsia"/>
            </w:rPr>
            <w:instrText xml:space="preserve"> </w:instrText>
          </w:r>
          <w:r>
            <w:instrText xml:space="preserve">PAGEREF _Toc219028023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"_Toc219028024" </w:instrText>
          </w:r>
          <w:r>
            <w:fldChar w:fldCharType="separate"/>
          </w:r>
          <w:r>
            <w:rPr>
              <w:rStyle w:val="23"/>
              <w:rFonts w:hint="eastAsia" w:ascii="楷体" w:hAnsi="楷体" w:eastAsia="楷体" w:cs="楷体"/>
            </w:rPr>
            <w:t>3.2 完整制造与服务生态体系，构建难以复制的竞争优势</w:t>
          </w:r>
          <w:r>
            <w:rPr>
              <w:rFonts w:hint="eastAsia"/>
            </w:rPr>
            <w:tab/>
          </w:r>
          <w:r>
            <w:rPr>
              <w:rFonts w:hint="eastAsia"/>
            </w:rPr>
            <w:fldChar w:fldCharType="begin"/>
          </w:r>
          <w:r>
            <w:rPr>
              <w:rFonts w:hint="eastAsia"/>
            </w:rPr>
            <w:instrText xml:space="preserve"> </w:instrText>
          </w:r>
          <w:r>
            <w:instrText xml:space="preserve">PAGEREF _Toc219028024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pPr>
            <w:pStyle w:val="16"/>
            <w:tabs>
              <w:tab w:val="right" w:leader="dot" w:pos="7733"/>
            </w:tabs>
            <w:rPr>
              <w:rFonts w:hint="eastAsia" w:cstheme="minorBidi"/>
              <w:kern w:val="2"/>
              <w:szCs w:val="24"/>
              <w14:ligatures w14:val="standardContextual"/>
            </w:rPr>
          </w:pPr>
          <w:r>
            <w:fldChar w:fldCharType="begin"/>
          </w:r>
          <w:r>
            <w:instrText xml:space="preserve"> HYPERLINK \l "_Toc219028025" </w:instrText>
          </w:r>
          <w:r>
            <w:fldChar w:fldCharType="separate"/>
          </w:r>
          <w:r>
            <w:rPr>
              <w:rStyle w:val="23"/>
              <w:rFonts w:hint="eastAsia" w:ascii="楷体" w:hAnsi="楷体" w:eastAsia="楷体" w:cs="楷体"/>
            </w:rPr>
            <w:t>3.3 高复购率与定价能力彰显品牌价值</w:t>
          </w:r>
          <w:r>
            <w:rPr>
              <w:rFonts w:hint="eastAsia"/>
            </w:rPr>
            <w:tab/>
          </w:r>
          <w:r>
            <w:rPr>
              <w:rFonts w:hint="eastAsia"/>
            </w:rPr>
            <w:fldChar w:fldCharType="begin"/>
          </w:r>
          <w:r>
            <w:rPr>
              <w:rFonts w:hint="eastAsia"/>
            </w:rPr>
            <w:instrText xml:space="preserve"> </w:instrText>
          </w:r>
          <w:r>
            <w:instrText xml:space="preserve">PAGEREF _Toc219028025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"_Toc219028026" </w:instrText>
          </w:r>
          <w:r>
            <w:fldChar w:fldCharType="separate"/>
          </w:r>
          <w:r>
            <w:rPr>
              <w:rStyle w:val="23"/>
              <w:rFonts w:hint="eastAsia" w:ascii="楷体" w:hAnsi="楷体" w:eastAsia="楷体" w:cs="楷体"/>
              <w:b/>
              <w:bCs/>
            </w:rPr>
            <w:t>4. 未来展望：增长具备韧性，发展路径清晰</w:t>
          </w:r>
          <w:r>
            <w:rPr>
              <w:rFonts w:hint="eastAsia"/>
            </w:rPr>
            <w:tab/>
          </w:r>
          <w:r>
            <w:rPr>
              <w:rFonts w:hint="eastAsia"/>
            </w:rPr>
            <w:fldChar w:fldCharType="begin"/>
          </w:r>
          <w:r>
            <w:rPr>
              <w:rFonts w:hint="eastAsia"/>
            </w:rPr>
            <w:instrText xml:space="preserve"> </w:instrText>
          </w:r>
          <w:r>
            <w:instrText xml:space="preserve">PAGEREF _Toc219028026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"_Toc219028027" </w:instrText>
          </w:r>
          <w:r>
            <w:fldChar w:fldCharType="separate"/>
          </w:r>
          <w:r>
            <w:rPr>
              <w:rStyle w:val="23"/>
              <w:rFonts w:hint="eastAsia" w:ascii="楷体" w:hAnsi="楷体" w:eastAsia="楷体" w:cs="楷体"/>
              <w:b/>
              <w:bCs/>
            </w:rPr>
            <w:t>5.估值与投资建议</w:t>
          </w:r>
          <w:r>
            <w:rPr>
              <w:rFonts w:hint="eastAsia"/>
            </w:rPr>
            <w:tab/>
          </w:r>
          <w:r>
            <w:rPr>
              <w:rFonts w:hint="eastAsia"/>
            </w:rPr>
            <w:fldChar w:fldCharType="begin"/>
          </w:r>
          <w:r>
            <w:rPr>
              <w:rFonts w:hint="eastAsia"/>
            </w:rPr>
            <w:instrText xml:space="preserve"> </w:instrText>
          </w:r>
          <w:r>
            <w:instrText xml:space="preserve">PAGEREF _Toc219028027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pPr>
            <w:pStyle w:val="14"/>
            <w:tabs>
              <w:tab w:val="right" w:leader="dot" w:pos="7733"/>
            </w:tabs>
            <w:rPr>
              <w:rFonts w:hint="eastAsia" w:cstheme="minorBidi"/>
              <w:kern w:val="2"/>
              <w:szCs w:val="24"/>
              <w14:ligatures w14:val="standardContextual"/>
            </w:rPr>
          </w:pPr>
          <w:r>
            <w:fldChar w:fldCharType="begin"/>
          </w:r>
          <w:r>
            <w:instrText xml:space="preserve"> HYPERLINK \l "_Toc219028028" </w:instrText>
          </w:r>
          <w:r>
            <w:fldChar w:fldCharType="separate"/>
          </w:r>
          <w:r>
            <w:rPr>
              <w:rStyle w:val="23"/>
              <w:rFonts w:hint="eastAsia" w:ascii="楷体" w:hAnsi="楷体" w:eastAsia="楷体" w:cs="楷体"/>
              <w:b/>
              <w:bCs/>
            </w:rPr>
            <w:t>6. 风险</w:t>
          </w:r>
          <w:r>
            <w:rPr>
              <w:rFonts w:hint="eastAsia"/>
            </w:rPr>
            <w:tab/>
          </w:r>
          <w:r>
            <w:rPr>
              <w:rFonts w:hint="eastAsia"/>
            </w:rPr>
            <w:fldChar w:fldCharType="begin"/>
          </w:r>
          <w:r>
            <w:rPr>
              <w:rFonts w:hint="eastAsia"/>
            </w:rPr>
            <w:instrText xml:space="preserve"> </w:instrText>
          </w:r>
          <w:r>
            <w:instrText xml:space="preserve">PAGEREF _Toc219028028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pPr>
            <w:rPr>
              <w:rFonts w:cs="Calibri"/>
            </w:rPr>
          </w:pPr>
          <w:r>
            <w:rPr>
              <w:rFonts w:cs="Calibri"/>
              <w:bCs/>
              <w:lang w:val="zh-CN"/>
            </w:rPr>
            <w:fldChar w:fldCharType="end"/>
          </w:r>
        </w:p>
      </w:sdtContent>
    </w:sdt>
    <w:bookmarkEnd w:id="0"/>
    <w:p>
      <w:pPr>
        <w:pStyle w:val="2"/>
        <w:spacing w:before="240" w:beforeLines="100" w:after="240" w:afterLines="100"/>
        <w:jc w:val="both"/>
        <w:rPr>
          <w:rFonts w:hint="eastAsia" w:ascii="楷体" w:hAnsi="楷体" w:eastAsia="楷体" w:cs="楷体"/>
          <w:b/>
          <w:bCs/>
          <w:color w:val="23558C"/>
          <w:sz w:val="28"/>
          <w:szCs w:val="28"/>
        </w:rPr>
      </w:pPr>
      <w:bookmarkStart w:id="0" w:name="_Toc219028014"/>
      <w:r>
        <w:rPr>
          <w:rFonts w:hint="eastAsia" w:ascii="楷体" w:hAnsi="楷体" w:eastAsia="楷体" w:cs="楷体"/>
          <w:b/>
          <w:bCs/>
          <w:color w:val="23558C"/>
          <w:sz w:val="28"/>
          <w:szCs w:val="28"/>
        </w:rPr>
        <w:t>1 西锐飞机：拥有四十余年历史的全球私人航空领导者</w:t>
      </w:r>
      <w:bookmarkEnd w:id="1"/>
    </w:p>
    <w:p>
      <w:pPr>
        <w:pStyle w:val="77"/>
        <w:jc w:val="both"/>
        <w:rPr>
          <w:rFonts w:hint="eastAsia" w:ascii="楷体" w:hAnsi="楷体" w:eastAsia="楷体" w:cs="楷体"/>
          <w:color w:val="23558C"/>
          <w:sz w:val="24"/>
          <w:szCs w:val="24"/>
        </w:rPr>
      </w:pPr>
      <w:bookmarkStart w:id="1" w:name="_Toc219028015"/>
      <w:r>
        <w:rPr>
          <w:rFonts w:hint="eastAsia" w:ascii="楷体" w:hAnsi="楷体" w:eastAsia="楷体" w:cs="楷体"/>
          <w:color w:val="23558C"/>
          <w:sz w:val="24"/>
          <w:szCs w:val="24"/>
        </w:rPr>
        <w:t>1.1 公司概况</w:t>
      </w:r>
      <w:bookmarkEnd w:id="2"/>
    </w:p>
    <w:p>
      <w:pPr>
        <w:rPr>
          <w:rFonts w:hint="eastAsia" w:ascii="楷体" w:hAnsi="楷体" w:eastAsia="楷体" w:cs="楷体"/>
          <w:sz w:val="22"/>
          <w:szCs w:val="22"/>
        </w:rPr>
      </w:pPr>
      <w:r>
        <w:rPr>
          <w:rFonts w:hint="eastAsia" w:ascii="楷体" w:hAnsi="楷体" w:eastAsia="楷体" w:cs="楷体"/>
          <w:sz w:val="22"/>
          <w:szCs w:val="22"/>
        </w:rPr>
        <w:t>西锐飞机有限公司（Cirrus Aircraft Limited）成立于1984 年，总部位于美国威斯康星州，是全球私人航空领域的先行者及行业领先企业。公司专注于高端通用航空飞机的设计、研发、制造与销售，其产品在安全性、技术水平及品牌影响力方面均获得行业广泛认可。1999年公司完成首架 SR20飞机交付，2001年首架SR20飞机交付，2004-2006年推出</w:t>
      </w:r>
      <w:r>
        <w:rPr>
          <w:rFonts w:hint="eastAsia" w:ascii="楷体" w:hAnsi="楷体" w:eastAsia="楷体" w:cs="楷体"/>
          <w:snapToGrid/>
          <w:color w:val="000000"/>
          <w:sz w:val="22"/>
          <w:szCs w:val="22"/>
        </w:rPr>
        <w:t>SR22TN，2007-2010年推出SR22T。</w:t>
      </w:r>
      <w:r>
        <w:rPr>
          <w:rFonts w:hint="eastAsia" w:ascii="楷体" w:hAnsi="楷体" w:eastAsia="楷体" w:cs="楷体"/>
          <w:sz w:val="22"/>
          <w:szCs w:val="22"/>
        </w:rPr>
        <w:t>2011年，在全球金融危机背景下，中国航空工业集团通用飞机以 2.10亿美元收购西锐飞机，标志着公司进入新的发展阶段。2016年，公司实现Vision Jet（愿景喷气机）首次交付；2017年推出Embark飞行培训计划；2018年正式上线 Cirrus Services 服务体系；2019年，公司在开曼群岛注册为获豁免公司，为后续国际化发展奠定基础。</w:t>
      </w:r>
    </w:p>
    <w:p>
      <w:pPr>
        <w:rPr>
          <w:rFonts w:hint="eastAsia" w:ascii="楷体" w:hAnsi="楷体" w:eastAsia="楷体" w:cs="楷体"/>
          <w:b/>
          <w:bCs/>
          <w:sz w:val="22"/>
          <w:szCs w:val="22"/>
          <w:u w:val="single"/>
        </w:rPr>
      </w:pPr>
      <w:r>
        <w:rPr>
          <w:rFonts w:hint="eastAsia" w:ascii="楷体" w:hAnsi="楷体" w:eastAsia="楷体" w:cs="楷体"/>
          <w:b/>
          <w:bCs/>
          <w:sz w:val="22"/>
          <w:szCs w:val="22"/>
          <w:u w:val="single"/>
        </w:rPr>
        <w:t>截至2025年上半年，公司累计交付 SR2X 系列飞机超过10,000架，Vision Jet 交付量超过600架，持续巩固其在全球私人航空市场中的领先地位。</w:t>
      </w:r>
    </w:p>
    <w:p>
      <w:pPr>
        <w:rPr>
          <w:rFonts w:cs="Calibri" w:eastAsiaTheme="minorEastAsia"/>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楷体"/>
                <w:sz w:val="22"/>
                <w:szCs w:val="22"/>
              </w:rPr>
            </w:pPr>
            <w:r>
              <w:rPr>
                <w:rFonts w:hint="eastAsia" w:ascii="楷体" w:hAnsi="楷体" w:eastAsia="楷体" w:cs="楷体"/>
                <w:b/>
                <w:bCs/>
                <w:sz w:val="20"/>
                <w:szCs w:val="20"/>
              </w:rPr>
              <w:t>表：西锐飞机发展里程碑</w:t>
            </w:r>
          </w:p>
        </w:tc>
      </w:tr>
      <w:tr>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120" w:type="dxa"/>
              <w:tblInd w:w="0" w:type="dxa"/>
              <w:tblLayout w:type="fixed"/>
              <w:tblCellMar>
                <w:top w:w="0" w:type="dxa"/>
                <w:left w:w="108" w:type="dxa"/>
                <w:bottom w:w="0" w:type="dxa"/>
                <w:right w:w="108" w:type="dxa"/>
              </w:tblCellMar>
            </w:tblPr>
            <w:tblGrid>
              <w:gridCol w:w="1312"/>
              <w:gridCol w:w="5808"/>
            </w:tblGrid>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23558C"/>
                  <w:noWrap/>
                  <w:vAlign w:val="center"/>
                </w:tcPr>
                <w:p>
                  <w:pPr>
                    <w:rPr>
                      <w:rFonts w:hint="eastAsia" w:ascii="楷体" w:hAnsi="楷体" w:eastAsia="楷体" w:cs="楷体"/>
                      <w:b/>
                      <w:bCs/>
                      <w:snapToGrid/>
                      <w:color w:val="FFFFFF" w:themeColor="background1"/>
                      <w:sz w:val="22"/>
                      <w:szCs w:val="22"/>
                      <w14:textFill>
                        <w14:solidFill>
                          <w14:schemeClr w14:val="bg1"/>
                        </w14:solidFill>
                      </w14:textFill>
                    </w:rPr>
                  </w:pPr>
                  <w:r>
                    <w:rPr>
                      <w:rFonts w:hint="eastAsia" w:ascii="楷体" w:hAnsi="楷体" w:eastAsia="楷体" w:cs="楷体"/>
                      <w:b/>
                      <w:bCs/>
                      <w:snapToGrid/>
                      <w:color w:val="FFFFFF" w:themeColor="background1"/>
                      <w:sz w:val="22"/>
                      <w:szCs w:val="22"/>
                      <w14:textFill>
                        <w14:solidFill>
                          <w14:schemeClr w14:val="bg1"/>
                        </w14:solidFill>
                      </w14:textFill>
                    </w:rPr>
                    <w:t>年份</w:t>
                  </w:r>
                </w:p>
              </w:tc>
              <w:tc>
                <w:tcPr>
                  <w:tcW w:w="5808" w:type="dxa"/>
                  <w:tcBorders>
                    <w:top w:val="nil"/>
                    <w:left w:val="nil"/>
                    <w:bottom w:val="single" w:color="auto" w:sz="4" w:space="0"/>
                    <w:right w:val="single" w:color="auto" w:sz="4" w:space="0"/>
                  </w:tcBorders>
                  <w:shd w:val="clear" w:color="auto" w:fill="23558C"/>
                  <w:noWrap/>
                  <w:vAlign w:val="center"/>
                </w:tcPr>
                <w:p>
                  <w:pPr>
                    <w:rPr>
                      <w:rFonts w:hint="eastAsia" w:ascii="楷体" w:hAnsi="楷体" w:eastAsia="楷体" w:cs="楷体"/>
                      <w:snapToGrid/>
                      <w:color w:val="FFFFFF" w:themeColor="background1"/>
                      <w:sz w:val="22"/>
                      <w:szCs w:val="22"/>
                      <w14:textFill>
                        <w14:solidFill>
                          <w14:schemeClr w14:val="bg1"/>
                        </w14:solidFill>
                      </w14:textFill>
                    </w:rPr>
                  </w:pPr>
                  <w:r>
                    <w:rPr>
                      <w:rFonts w:hint="eastAsia" w:ascii="楷体" w:hAnsi="楷体" w:eastAsia="楷体" w:cs="楷体"/>
                      <w:snapToGrid/>
                      <w:color w:val="FFFFFF" w:themeColor="background1"/>
                      <w:sz w:val="22"/>
                      <w:szCs w:val="22"/>
                      <w14:textFill>
                        <w14:solidFill>
                          <w14:schemeClr w14:val="bg1"/>
                        </w14:solidFill>
                      </w14:textFill>
                    </w:rPr>
                    <w:t>　</w:t>
                  </w:r>
                  <w:r>
                    <w:rPr>
                      <w:rFonts w:hint="eastAsia" w:ascii="楷体" w:hAnsi="楷体" w:eastAsia="楷体" w:cs="楷体"/>
                      <w:b/>
                      <w:bCs/>
                      <w:snapToGrid/>
                      <w:color w:val="FFFFFF" w:themeColor="background1"/>
                      <w:sz w:val="22"/>
                      <w:szCs w:val="22"/>
                      <w14:textFill>
                        <w14:solidFill>
                          <w14:schemeClr w14:val="bg1"/>
                        </w14:solidFill>
                      </w14:textFill>
                    </w:rPr>
                    <w:t>重大事件</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1984</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西锐设计公司成立</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1988</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VK-30原型机成功首飞</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1999</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首架SR20飞机交付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2001</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首架SR22飞机交付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2004-2006</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推出SR2X第二代机型；SR22TN首次交付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2007-2010</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推出SR2X第三代机型；SR22T首次交付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2013</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推出SR2X第五代机型</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2016</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Jet首次交付</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2017</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Vision Jet获FAA生产许可证；SR2X第六代发布</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b/>
                      <w:bCs/>
                      <w:snapToGrid/>
                      <w:color w:val="000000"/>
                      <w:sz w:val="21"/>
                      <w:szCs w:val="21"/>
                    </w:rPr>
                    <w:t>2019</w:t>
                  </w:r>
                </w:p>
              </w:tc>
              <w:tc>
                <w:tcPr>
                  <w:tcW w:w="5808" w:type="dxa"/>
                  <w:tcBorders>
                    <w:top w:val="nil"/>
                    <w:left w:val="nil"/>
                    <w:bottom w:val="single" w:color="auto" w:sz="4" w:space="0"/>
                    <w:right w:val="single" w:color="auto" w:sz="4" w:space="0"/>
                  </w:tcBorders>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开曼群岛注册；Vision Jet第二代发布</w:t>
                  </w:r>
                </w:p>
              </w:tc>
            </w:tr>
            <w:tr>
              <w:tblPrEx>
                <w:tblCellMar>
                  <w:top w:w="0" w:type="dxa"/>
                  <w:left w:w="108" w:type="dxa"/>
                  <w:bottom w:w="0" w:type="dxa"/>
                  <w:right w:w="108" w:type="dxa"/>
                </w:tblCellMar>
              </w:tblPrEx>
              <w:trPr>
                <w:trHeight w:val="278" w:hRule="atLeast"/>
              </w:trPr>
              <w:tc>
                <w:tcPr>
                  <w:tcW w:w="1312" w:type="dxa"/>
                  <w:tcBorders>
                    <w:top w:val="nil"/>
                    <w:left w:val="single" w:color="auto" w:sz="4" w:space="0"/>
                    <w:bottom w:val="single" w:color="auto" w:sz="4" w:space="0"/>
                    <w:right w:val="single" w:color="auto" w:sz="4" w:space="0"/>
                  </w:tcBorders>
                  <w:shd w:val="clear" w:color="auto" w:fill="A5C9EB" w:themeFill="text2" w:themeFillTint="40"/>
                  <w:noWrap/>
                  <w:vAlign w:val="center"/>
                </w:tcPr>
                <w:p>
                  <w:pPr>
                    <w:rPr>
                      <w:rFonts w:hint="eastAsia" w:ascii="楷体" w:hAnsi="楷体" w:eastAsia="楷体" w:cs="楷体"/>
                      <w:b/>
                      <w:bCs/>
                      <w:snapToGrid/>
                      <w:color w:val="000000"/>
                      <w:sz w:val="21"/>
                      <w:szCs w:val="21"/>
                    </w:rPr>
                  </w:pPr>
                  <w:r>
                    <w:rPr>
                      <w:rFonts w:hint="eastAsia" w:ascii="楷体" w:hAnsi="楷体" w:eastAsia="楷体" w:cs="楷体"/>
                      <w:b/>
                      <w:bCs/>
                      <w:snapToGrid/>
                      <w:color w:val="000000"/>
                      <w:sz w:val="21"/>
                      <w:szCs w:val="21"/>
                    </w:rPr>
                    <w:t>2024</w:t>
                  </w:r>
                </w:p>
              </w:tc>
              <w:tc>
                <w:tcPr>
                  <w:tcW w:w="5808" w:type="dxa"/>
                  <w:tcBorders>
                    <w:top w:val="nil"/>
                    <w:left w:val="nil"/>
                    <w:bottom w:val="single" w:color="auto" w:sz="4" w:space="0"/>
                    <w:right w:val="single" w:color="auto" w:sz="4" w:space="0"/>
                  </w:tcBorders>
                  <w:shd w:val="clear" w:color="auto" w:fill="A5C9EB" w:themeFill="text2" w:themeFillTint="40"/>
                  <w:noWrap/>
                  <w:vAlign w:val="center"/>
                </w:tcPr>
                <w:p>
                  <w:pPr>
                    <w:rPr>
                      <w:rFonts w:hint="eastAsia" w:ascii="楷体" w:hAnsi="楷体" w:eastAsia="楷体" w:cs="楷体"/>
                      <w:snapToGrid/>
                      <w:color w:val="000000"/>
                      <w:sz w:val="21"/>
                      <w:szCs w:val="21"/>
                    </w:rPr>
                  </w:pPr>
                  <w:r>
                    <w:rPr>
                      <w:rFonts w:hint="eastAsia" w:ascii="楷体" w:hAnsi="楷体" w:eastAsia="楷体" w:cs="楷体"/>
                      <w:snapToGrid/>
                      <w:color w:val="000000"/>
                      <w:sz w:val="21"/>
                      <w:szCs w:val="21"/>
                    </w:rPr>
                    <w:t>在香港联合交易所上市</w:t>
                  </w:r>
                </w:p>
              </w:tc>
            </w:tr>
          </w:tbl>
          <w:p>
            <w:pPr>
              <w:spacing w:before="48" w:beforeLines="20" w:after="48" w:afterLines="20"/>
              <w:jc w:val="center"/>
              <w:textAlignment w:val="center"/>
              <w:rPr>
                <w:rFonts w:hint="eastAsia" w:ascii="楷体" w:hAnsi="楷体" w:eastAsia="楷体" w:cs="楷体"/>
                <w:b/>
                <w:bCs/>
                <w:sz w:val="22"/>
                <w:szCs w:val="22"/>
              </w:rPr>
            </w:pP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楷体"/>
                <w:sz w:val="22"/>
                <w:szCs w:val="22"/>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rPr>
          <w:rFonts w:cs="Calibri" w:eastAsiaTheme="minorEastAsia"/>
          <w:sz w:val="22"/>
          <w:szCs w:val="22"/>
        </w:rPr>
      </w:pPr>
    </w:p>
    <w:p>
      <w:pPr>
        <w:pStyle w:val="77"/>
        <w:jc w:val="both"/>
        <w:rPr>
          <w:rFonts w:hint="eastAsia" w:ascii="楷体" w:hAnsi="楷体" w:eastAsia="楷体" w:cs="楷体"/>
          <w:color w:val="23558C"/>
          <w:sz w:val="24"/>
          <w:szCs w:val="24"/>
        </w:rPr>
      </w:pPr>
      <w:bookmarkStart w:id="2" w:name="_Toc219028016"/>
      <w:r>
        <w:rPr>
          <w:rFonts w:hint="eastAsia" w:ascii="楷体" w:hAnsi="楷体" w:eastAsia="楷体" w:cs="楷体"/>
          <w:color w:val="23558C"/>
          <w:sz w:val="24"/>
          <w:szCs w:val="24"/>
        </w:rPr>
        <w:t>1.2 股权结构与管理层情况</w:t>
      </w:r>
      <w:bookmarkEnd w:id="3"/>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西锐的最终控股大股东是中国航空工业集团公司（AVIC）</w:t>
      </w:r>
      <w:r>
        <w:rPr>
          <w:rFonts w:hint="eastAsia" w:ascii="楷体" w:hAnsi="楷体" w:eastAsia="楷体" w:cs="楷体"/>
          <w:kern w:val="2"/>
          <w:sz w:val="22"/>
          <w:szCs w:val="22"/>
        </w:rPr>
        <w:t>。</w:t>
      </w:r>
      <w:r>
        <w:rPr>
          <w:rFonts w:ascii="楷体" w:hAnsi="楷体" w:eastAsia="楷体" w:cs="楷体"/>
          <w:kern w:val="2"/>
          <w:sz w:val="22"/>
          <w:szCs w:val="22"/>
        </w:rPr>
        <w:t>AVIC</w:t>
      </w:r>
      <w:r>
        <w:rPr>
          <w:rFonts w:hint="eastAsia" w:ascii="楷体" w:hAnsi="楷体" w:eastAsia="楷体" w:cs="楷体"/>
          <w:kern w:val="2"/>
          <w:sz w:val="22"/>
          <w:szCs w:val="22"/>
        </w:rPr>
        <w:t>通过持有</w:t>
      </w:r>
      <w:r>
        <w:rPr>
          <w:rFonts w:ascii="楷体" w:hAnsi="楷体" w:eastAsia="楷体" w:cs="楷体"/>
          <w:kern w:val="2"/>
          <w:sz w:val="22"/>
          <w:szCs w:val="22"/>
        </w:rPr>
        <w:t xml:space="preserve"> AVIC</w:t>
      </w:r>
      <w:r>
        <w:rPr>
          <w:rFonts w:hint="eastAsia" w:ascii="楷体" w:hAnsi="楷体" w:eastAsia="楷体" w:cs="楷体"/>
          <w:kern w:val="2"/>
          <w:sz w:val="22"/>
          <w:szCs w:val="22"/>
        </w:rPr>
        <w:t>通用航空</w:t>
      </w:r>
      <w:r>
        <w:rPr>
          <w:rFonts w:ascii="楷体" w:hAnsi="楷体" w:eastAsia="楷体" w:cs="楷体"/>
          <w:kern w:val="2"/>
          <w:sz w:val="22"/>
          <w:szCs w:val="22"/>
        </w:rPr>
        <w:t xml:space="preserve"> 73.39% </w:t>
      </w:r>
      <w:r>
        <w:rPr>
          <w:rFonts w:hint="eastAsia" w:ascii="楷体" w:hAnsi="楷体" w:eastAsia="楷体" w:cs="楷体"/>
          <w:kern w:val="2"/>
          <w:sz w:val="22"/>
          <w:szCs w:val="22"/>
        </w:rPr>
        <w:t>的股权，间接持有中航通飞香港，</w:t>
      </w:r>
      <w:r>
        <w:rPr>
          <w:rFonts w:ascii="楷体" w:hAnsi="楷体" w:eastAsia="楷体" w:cs="楷体"/>
          <w:kern w:val="2"/>
          <w:sz w:val="22"/>
          <w:szCs w:val="22"/>
        </w:rPr>
        <w:t>AVIC</w:t>
      </w:r>
      <w:r>
        <w:rPr>
          <w:rFonts w:hint="eastAsia" w:ascii="楷体" w:hAnsi="楷体" w:eastAsia="楷体" w:cs="楷体"/>
          <w:kern w:val="2"/>
          <w:sz w:val="22"/>
          <w:szCs w:val="22"/>
        </w:rPr>
        <w:t>通用航空香港有限公司作为西锐飞机的直接控股股东（持股80%）。因此通过股权穿透，AVIC持有西锐58.71%</w:t>
      </w:r>
      <w:r>
        <w:rPr>
          <w:rFonts w:ascii="楷体" w:hAnsi="楷体" w:eastAsia="楷体" w:cs="楷体"/>
          <w:kern w:val="2"/>
          <w:sz w:val="22"/>
          <w:szCs w:val="22"/>
        </w:rPr>
        <w:t>%</w:t>
      </w:r>
      <w:r>
        <w:rPr>
          <w:rFonts w:hint="eastAsia" w:ascii="楷体" w:hAnsi="楷体" w:eastAsia="楷体" w:cs="楷体"/>
          <w:kern w:val="2"/>
          <w:sz w:val="22"/>
          <w:szCs w:val="22"/>
        </w:rPr>
        <w:t>已发行股份。</w:t>
      </w:r>
    </w:p>
    <w:p>
      <w:pPr>
        <w:widowControl w:val="0"/>
        <w:jc w:val="both"/>
        <w:rPr>
          <w:rFonts w:hint="eastAsia" w:ascii="楷体" w:hAnsi="楷体" w:eastAsia="楷体" w:cs="楷体"/>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cs="Calibri"/>
                <w:sz w:val="20"/>
                <w:szCs w:val="20"/>
              </w:rPr>
            </w:pPr>
            <w:bookmarkStart w:id="3" w:name="_Hlk216641008"/>
            <w:r>
              <w:rPr>
                <w:rFonts w:hint="eastAsia" w:ascii="楷体" w:hAnsi="楷体" w:eastAsia="楷体" w:cs="楷体"/>
                <w:b/>
                <w:bCs/>
                <w:kern w:val="2"/>
                <w:sz w:val="20"/>
                <w:szCs w:val="20"/>
              </w:rPr>
              <w:t>图:西锐公司的股权结构</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258060"/>
                  <wp:effectExtent l="0" t="0" r="6350" b="889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0"/>
                          <a:stretch>
                            <a:fillRect/>
                          </a:stretch>
                        </pic:blipFill>
                        <pic:spPr>
                          <a:xfrm>
                            <a:off x="0" y="0"/>
                            <a:ext cx="4603750" cy="225806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bookmarkEnd w:id="4"/>
    </w:tbl>
    <w:p>
      <w:pPr>
        <w:widowControl w:val="0"/>
        <w:jc w:val="both"/>
        <w:rPr>
          <w:rFonts w:hint="eastAsia" w:eastAsia="楷体" w:asciiTheme="minorHAnsi" w:hAnsiTheme="minorHAnsi" w:cstheme="minorHAnsi"/>
          <w:kern w:val="2"/>
          <w:sz w:val="22"/>
          <w:szCs w:val="22"/>
        </w:rPr>
      </w:pP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在治理结构方面，公司管理团队保持高度稳定，并采取高度本地化的管理模式。</w:t>
      </w:r>
      <w:r>
        <w:rPr>
          <w:rFonts w:hint="eastAsia" w:ascii="楷体" w:hAnsi="楷体" w:eastAsia="楷体" w:cs="楷体"/>
          <w:kern w:val="2"/>
          <w:sz w:val="22"/>
          <w:szCs w:val="22"/>
        </w:rPr>
        <w:t>Cirrus保留了核心高管和技术人员，美国本土员工本地化率达到100%。美国团队享有充分的决策自主权。这种本土化模式使员工对企业业务高度熟悉，有助于维持企业文化连续性、提升运营效率，有利于公司长期运营发展。</w:t>
      </w: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楷体"/>
                <w:sz w:val="20"/>
                <w:szCs w:val="20"/>
              </w:rPr>
            </w:pPr>
            <w:r>
              <w:rPr>
                <w:rFonts w:hint="eastAsia" w:ascii="楷体" w:hAnsi="楷体" w:eastAsia="楷体" w:cs="Calibri"/>
                <w:b/>
                <w:sz w:val="20"/>
                <w:szCs w:val="20"/>
              </w:rPr>
              <w:t>表：集团高级管理人员</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86935" cy="137414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1"/>
                          <a:stretch>
                            <a:fillRect/>
                          </a:stretch>
                        </pic:blipFill>
                        <pic:spPr>
                          <a:xfrm>
                            <a:off x="0" y="0"/>
                            <a:ext cx="4692368" cy="1375996"/>
                          </a:xfrm>
                          <a:prstGeom prst="rect">
                            <a:avLst/>
                          </a:prstGeom>
                        </pic:spPr>
                      </pic:pic>
                    </a:graphicData>
                  </a:graphic>
                </wp:inline>
              </w:drawing>
            </w:r>
          </w:p>
        </w:tc>
      </w:tr>
      <w:tr>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p>
      <w:pPr>
        <w:pStyle w:val="77"/>
        <w:jc w:val="both"/>
        <w:rPr>
          <w:rFonts w:hint="eastAsia" w:ascii="楷体" w:hAnsi="楷体" w:eastAsia="楷体" w:cs="楷体"/>
          <w:color w:val="23558C"/>
          <w:sz w:val="24"/>
          <w:szCs w:val="24"/>
        </w:rPr>
      </w:pPr>
      <w:bookmarkStart w:id="4" w:name="_Toc219028017"/>
      <w:r>
        <w:rPr>
          <w:rFonts w:hint="eastAsia" w:ascii="楷体" w:hAnsi="楷体" w:eastAsia="楷体" w:cs="楷体"/>
          <w:color w:val="23558C"/>
          <w:sz w:val="24"/>
          <w:szCs w:val="24"/>
        </w:rPr>
        <w:t>1.3 主营产品</w:t>
      </w:r>
      <w:bookmarkEnd w:id="5"/>
    </w:p>
    <w:p>
      <w:pPr>
        <w:widowControl w:val="0"/>
        <w:jc w:val="both"/>
        <w:rPr>
          <w:rFonts w:hint="eastAsia" w:ascii="楷体" w:hAnsi="楷体" w:eastAsia="楷体" w:cs="楷体"/>
          <w:kern w:val="2"/>
          <w:sz w:val="22"/>
          <w:szCs w:val="22"/>
        </w:rPr>
      </w:pPr>
      <w:r>
        <w:rPr>
          <w:rFonts w:hint="eastAsia" w:ascii="楷体" w:hAnsi="楷体" w:eastAsia="楷体" w:cs="楷体"/>
          <w:sz w:val="22"/>
          <w:szCs w:val="22"/>
        </w:rPr>
        <w:t>西锐飞机的核心产品主要包括</w:t>
      </w:r>
      <w:r>
        <w:rPr>
          <w:rStyle w:val="22"/>
          <w:rFonts w:hint="eastAsia" w:ascii="楷体" w:hAnsi="楷体" w:eastAsia="楷体" w:cs="楷体"/>
          <w:b w:val="0"/>
          <w:sz w:val="22"/>
          <w:szCs w:val="22"/>
        </w:rPr>
        <w:t>SR2X系列单发活塞飞机</w:t>
      </w:r>
      <w:r>
        <w:rPr>
          <w:rFonts w:hint="eastAsia" w:ascii="楷体" w:hAnsi="楷体" w:eastAsia="楷体" w:cs="楷体"/>
          <w:sz w:val="22"/>
          <w:szCs w:val="22"/>
        </w:rPr>
        <w:t xml:space="preserve"> 以及</w:t>
      </w:r>
      <w:r>
        <w:rPr>
          <w:rStyle w:val="22"/>
          <w:rFonts w:hint="eastAsia" w:ascii="楷体" w:hAnsi="楷体" w:eastAsia="楷体" w:cs="楷体"/>
          <w:b w:val="0"/>
          <w:sz w:val="22"/>
          <w:szCs w:val="22"/>
        </w:rPr>
        <w:t>愿景喷气机</w:t>
      </w:r>
      <w:r>
        <w:rPr>
          <w:rFonts w:hint="eastAsia" w:ascii="楷体" w:hAnsi="楷体" w:eastAsia="楷体" w:cs="楷体"/>
          <w:sz w:val="22"/>
          <w:szCs w:val="22"/>
        </w:rPr>
        <w:t>两大产品线。</w:t>
      </w:r>
    </w:p>
    <w:p>
      <w:pPr>
        <w:widowControl w:val="0"/>
        <w:numPr>
          <w:ilvl w:val="0"/>
          <w:numId w:val="12"/>
        </w:numPr>
        <w:jc w:val="both"/>
        <w:rPr>
          <w:rFonts w:hint="eastAsia" w:ascii="楷体" w:hAnsi="楷体" w:eastAsia="楷体" w:cs="楷体"/>
          <w:kern w:val="2"/>
          <w:sz w:val="22"/>
          <w:szCs w:val="22"/>
        </w:rPr>
      </w:pPr>
      <w:r>
        <w:rPr>
          <w:rFonts w:hint="eastAsia" w:ascii="楷体" w:hAnsi="楷体" w:eastAsia="楷体" w:cs="楷体"/>
          <w:b/>
          <w:bCs/>
          <w:kern w:val="2"/>
          <w:sz w:val="22"/>
          <w:szCs w:val="22"/>
        </w:rPr>
        <w:t>SR2X系列</w:t>
      </w:r>
      <w:r>
        <w:rPr>
          <w:rFonts w:hint="eastAsia" w:ascii="楷体" w:hAnsi="楷体" w:eastAsia="楷体" w:cs="楷体"/>
          <w:kern w:val="2"/>
          <w:sz w:val="22"/>
          <w:szCs w:val="22"/>
        </w:rPr>
        <w:t>：主要为SR20、SR22和SR22T三款机型。该系列定位为入门级单引擎活塞式飞机，适用于私人飞行和飞行训练等多种用途。各型号单价从60万美元到100万美元以上不等。</w:t>
      </w:r>
    </w:p>
    <w:p>
      <w:pPr>
        <w:widowControl w:val="0"/>
        <w:numPr>
          <w:ilvl w:val="0"/>
          <w:numId w:val="12"/>
        </w:numPr>
        <w:jc w:val="both"/>
        <w:rPr>
          <w:rFonts w:hint="eastAsia" w:ascii="微软雅黑" w:hAnsi="微软雅黑" w:eastAsia="微软雅黑" w:cs="微软雅黑"/>
          <w:kern w:val="2"/>
          <w:sz w:val="20"/>
          <w:szCs w:val="20"/>
        </w:rPr>
      </w:pPr>
      <w:r>
        <w:rPr>
          <w:rStyle w:val="22"/>
          <w:rFonts w:hint="eastAsia" w:ascii="楷体" w:hAnsi="楷体" w:eastAsia="楷体" w:cs="楷体"/>
          <w:bCs/>
          <w:sz w:val="22"/>
          <w:szCs w:val="22"/>
        </w:rPr>
        <w:t>愿景喷气机：</w:t>
      </w:r>
      <w:r>
        <w:rPr>
          <w:rFonts w:hint="eastAsia" w:ascii="楷体" w:hAnsi="楷体" w:eastAsia="楷体" w:cs="楷体"/>
          <w:kern w:val="2"/>
          <w:sz w:val="22"/>
          <w:szCs w:val="22"/>
        </w:rPr>
        <w:t>为公司高端产品线。是全球首款获得美国联邦航空管理局（FAA）认证的单引擎喷气式飞机，该机型主要面向高端私人航空市场。</w:t>
      </w:r>
    </w:p>
    <w:p>
      <w:pPr>
        <w:widowControl w:val="0"/>
        <w:tabs>
          <w:tab w:val="left" w:pos="720"/>
        </w:tabs>
        <w:jc w:val="both"/>
        <w:rPr>
          <w:rFonts w:hint="eastAsia" w:ascii="微软雅黑" w:hAnsi="微软雅黑" w:eastAsia="微软雅黑" w:cs="微软雅黑"/>
          <w:kern w:val="2"/>
          <w:sz w:val="20"/>
          <w:szCs w:val="20"/>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图：西锐飞机主要产品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ascii="等线" w:hAnsi="等线"/>
              </w:rPr>
              <w:drawing>
                <wp:inline distT="0" distB="0" distL="0" distR="0">
                  <wp:extent cx="6343650" cy="4146550"/>
                  <wp:effectExtent l="0" t="0" r="0" b="635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2"/>
                          <a:stretch>
                            <a:fillRect/>
                          </a:stretch>
                        </pic:blipFill>
                        <pic:spPr>
                          <a:xfrm>
                            <a:off x="0" y="0"/>
                            <a:ext cx="6343650" cy="4146550"/>
                          </a:xfrm>
                          <a:prstGeom prst="rect">
                            <a:avLst/>
                          </a:prstGeom>
                          <a:noFill/>
                          <a:ln w="9525">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等线" w:hAnsi="等线"/>
              </w:rPr>
            </w:pPr>
            <w:r>
              <w:rPr>
                <w:rFonts w:hint="eastAsia" w:ascii="楷体" w:hAnsi="楷体" w:eastAsia="楷体" w:cs="楷体"/>
                <w:b/>
                <w:bCs/>
                <w:sz w:val="20"/>
                <w:szCs w:val="20"/>
              </w:rPr>
              <w:t>资料来源：</w:t>
            </w:r>
            <w:r>
              <w:rPr>
                <w:rFonts w:hint="eastAsia" w:ascii="楷体" w:hAnsi="楷体" w:eastAsia="楷体" w:cs="楷体"/>
                <w:sz w:val="20"/>
                <w:szCs w:val="20"/>
              </w:rPr>
              <w:t>公司公告、HFI</w:t>
            </w:r>
          </w:p>
        </w:tc>
      </w:tr>
    </w:tbl>
    <w:p>
      <w:pPr>
        <w:widowControl w:val="0"/>
        <w:jc w:val="both"/>
        <w:rPr>
          <w:rFonts w:eastAsia="楷体" w:cs="Calibri"/>
          <w:kern w:val="2"/>
          <w:sz w:val="22"/>
          <w:szCs w:val="22"/>
        </w:rPr>
      </w:pPr>
    </w:p>
    <w:p>
      <w:pPr>
        <w:pStyle w:val="77"/>
        <w:jc w:val="both"/>
        <w:rPr>
          <w:rFonts w:hint="eastAsia" w:ascii="楷体" w:hAnsi="楷体" w:eastAsia="楷体" w:cs="楷体"/>
          <w:color w:val="23558C"/>
          <w:sz w:val="24"/>
          <w:szCs w:val="24"/>
        </w:rPr>
      </w:pPr>
      <w:bookmarkStart w:id="5" w:name="_Toc219028018"/>
      <w:r>
        <w:rPr>
          <w:rFonts w:hint="eastAsia" w:ascii="楷体" w:hAnsi="楷体" w:eastAsia="楷体" w:cs="楷体"/>
          <w:color w:val="23558C"/>
          <w:sz w:val="24"/>
          <w:szCs w:val="24"/>
        </w:rPr>
        <w:t>1.4 财务表现</w:t>
      </w:r>
      <w:bookmarkEnd w:id="6"/>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2020-2024年公司收入呈现较强劲的增长。</w:t>
      </w:r>
      <w:r>
        <w:rPr>
          <w:rFonts w:hint="eastAsia" w:ascii="楷体" w:hAnsi="楷体" w:eastAsia="楷体" w:cs="楷体"/>
          <w:kern w:val="2"/>
          <w:sz w:val="22"/>
          <w:szCs w:val="22"/>
        </w:rPr>
        <w:t>其总营收从2020年的5.87亿美元提升至2024年的11.97亿美元，4年CAGR达19.4%。具体来看，2021年得益于航空需求回暖，增速达到26.2%；2022-2023年受供应链中断影响，增速放缓至约20%；2024年通过优化产品结构，公司收入实现同比增长12.1%，较前一年有所放缓。</w:t>
      </w:r>
    </w:p>
    <w:p>
      <w:pPr>
        <w:widowControl w:val="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图：西锐飞机营收及增长率（单位：百万美元）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3844925" cy="2260600"/>
                  <wp:effectExtent l="0" t="0" r="0" b="0"/>
                  <wp:docPr id="6" name="图表 11"/>
                  <wp:cNvGraphicFramePr/>
                  <a:graphic xmlns:a="http://schemas.openxmlformats.org/drawingml/2006/main">
                    <a:graphicData uri="http://schemas.openxmlformats.org/drawingml/2006/chart">
                      <c:chart xmlns:c="http://schemas.openxmlformats.org/drawingml/2006/chart" r:id="rId74"/>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rPr>
          <w:rFonts w:cs="Calibri" w:eastAsiaTheme="minorEastAsia"/>
          <w:sz w:val="22"/>
          <w:szCs w:val="22"/>
        </w:rPr>
      </w:pPr>
    </w:p>
    <w:p>
      <w:pPr>
        <w:widowControl w:val="0"/>
        <w:jc w:val="both"/>
        <w:rPr>
          <w:rFonts w:hint="eastAsia" w:ascii="楷体" w:hAnsi="楷体" w:eastAsia="楷体" w:cs="楷体"/>
          <w:kern w:val="2"/>
          <w:sz w:val="22"/>
          <w:szCs w:val="22"/>
        </w:rPr>
      </w:pPr>
      <w:bookmarkStart w:id="6" w:name="_Hlk216641762"/>
      <w:r>
        <w:rPr>
          <w:rFonts w:hint="eastAsia" w:ascii="楷体" w:hAnsi="楷体" w:eastAsia="楷体" w:cs="楷体"/>
          <w:b/>
          <w:bCs/>
          <w:kern w:val="2"/>
          <w:sz w:val="22"/>
          <w:szCs w:val="22"/>
        </w:rPr>
        <w:t>在业务结构方面</w:t>
      </w:r>
      <w:r>
        <w:rPr>
          <w:rFonts w:hint="eastAsia" w:ascii="楷体" w:hAnsi="楷体" w:eastAsia="楷体" w:cs="楷体"/>
          <w:kern w:val="2"/>
          <w:sz w:val="22"/>
          <w:szCs w:val="22"/>
        </w:rPr>
        <w:t>，飞机制造业务始终占据主导地位，其营收占比从2020年的83.3%小幅上升至2024年的85.5%；服务业务的占比从16.7%降至14.5%（但收入绝对值增长了13.8%）。</w:t>
      </w:r>
    </w:p>
    <w:bookmarkEnd w:id="7"/>
    <w:p>
      <w:pPr>
        <w:widowControl w:val="0"/>
        <w:jc w:val="both"/>
        <w:rPr>
          <w:rFonts w:eastAsia="楷体" w:cs="Calibri"/>
          <w:kern w:val="2"/>
          <w:sz w:val="22"/>
          <w:szCs w:val="22"/>
        </w:rPr>
      </w:pPr>
      <w:bookmarkStart w:id="7" w:name="_Hlk216642019"/>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图：西锐飞机业务板块收入及增长率（百万美元）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sz w:val="20"/>
                <w:szCs w:val="20"/>
              </w:rPr>
              <w:drawing>
                <wp:inline distT="0" distB="0" distL="0" distR="0">
                  <wp:extent cx="4035425" cy="2677795"/>
                  <wp:effectExtent l="0" t="0" r="3175" b="0"/>
                  <wp:docPr id="7" name="图表 1"/>
                  <wp:cNvGraphicFramePr/>
                  <a:graphic xmlns:a="http://schemas.openxmlformats.org/drawingml/2006/main">
                    <a:graphicData uri="http://schemas.openxmlformats.org/drawingml/2006/chart">
                      <c:chart xmlns:c="http://schemas.openxmlformats.org/drawingml/2006/chart" r:id="rId75"/>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eastAsia="楷体" w:cs="Calibri"/>
          <w:kern w:val="2"/>
          <w:sz w:val="22"/>
          <w:szCs w:val="22"/>
        </w:rPr>
      </w:pPr>
    </w:p>
    <w:p>
      <w:pPr>
        <w:pStyle w:val="37"/>
        <w:numPr>
          <w:ilvl w:val="0"/>
          <w:numId w:val="14"/>
        </w:numPr>
        <w:rPr>
          <w:rFonts w:eastAsia="楷体" w:cs="Calibri"/>
          <w:kern w:val="2"/>
          <w:sz w:val="22"/>
          <w:szCs w:val="22"/>
        </w:rPr>
      </w:pPr>
      <w:r>
        <w:rPr>
          <w:rFonts w:hint="eastAsia" w:eastAsia="楷体" w:cs="Calibri"/>
          <w:b/>
          <w:bCs/>
          <w:kern w:val="2"/>
          <w:sz w:val="22"/>
          <w:szCs w:val="22"/>
        </w:rPr>
        <w:t>飞机业务方面：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2024</w:t>
      </w:r>
      <w:r>
        <w:rPr>
          <w:rFonts w:hint="eastAsia" w:eastAsia="楷体" w:cs="Calibri"/>
          <w:kern w:val="2"/>
          <w:sz w:val="22"/>
          <w:szCs w:val="22"/>
        </w:rPr>
        <w:t>年，西锐的航空器总收入从</w:t>
      </w:r>
      <w:r>
        <w:rPr>
          <w:rFonts w:eastAsia="楷体" w:cs="Calibri"/>
          <w:kern w:val="2"/>
          <w:sz w:val="22"/>
          <w:szCs w:val="22"/>
        </w:rPr>
        <w:t>6.1961</w:t>
      </w:r>
      <w:r>
        <w:rPr>
          <w:rFonts w:hint="eastAsia" w:eastAsia="楷体" w:cs="Calibri"/>
          <w:kern w:val="2"/>
          <w:sz w:val="22"/>
          <w:szCs w:val="22"/>
        </w:rPr>
        <w:t>亿美元增长至</w:t>
      </w:r>
      <w:r>
        <w:rPr>
          <w:rFonts w:eastAsia="楷体" w:cs="Calibri"/>
          <w:kern w:val="2"/>
          <w:sz w:val="22"/>
          <w:szCs w:val="22"/>
        </w:rPr>
        <w:t>9.1565</w:t>
      </w:r>
      <w:r>
        <w:rPr>
          <w:rFonts w:hint="eastAsia" w:eastAsia="楷体" w:cs="Calibri"/>
          <w:kern w:val="2"/>
          <w:sz w:val="22"/>
          <w:szCs w:val="22"/>
        </w:rPr>
        <w:t>亿美元。截至</w:t>
      </w:r>
      <w:r>
        <w:rPr>
          <w:rFonts w:eastAsia="楷体" w:cs="Calibri"/>
          <w:kern w:val="2"/>
          <w:sz w:val="22"/>
          <w:szCs w:val="22"/>
        </w:rPr>
        <w:t>2024</w:t>
      </w:r>
      <w:r>
        <w:rPr>
          <w:rFonts w:hint="eastAsia" w:eastAsia="楷体" w:cs="Calibri"/>
          <w:kern w:val="2"/>
          <w:sz w:val="22"/>
          <w:szCs w:val="22"/>
        </w:rPr>
        <w:t>年末，</w:t>
      </w:r>
      <w:r>
        <w:rPr>
          <w:rFonts w:eastAsia="楷体" w:cs="Calibri"/>
          <w:kern w:val="2"/>
          <w:sz w:val="22"/>
          <w:szCs w:val="22"/>
        </w:rPr>
        <w:t>SR2X</w:t>
      </w:r>
      <w:r>
        <w:rPr>
          <w:rFonts w:hint="eastAsia" w:eastAsia="楷体" w:cs="Calibri"/>
          <w:kern w:val="2"/>
          <w:sz w:val="22"/>
          <w:szCs w:val="22"/>
        </w:rPr>
        <w:t>系列和</w:t>
      </w:r>
      <w:r>
        <w:rPr>
          <w:rFonts w:eastAsia="楷体" w:cs="Calibri"/>
          <w:kern w:val="2"/>
          <w:sz w:val="22"/>
          <w:szCs w:val="22"/>
        </w:rPr>
        <w:t>Vision Jet</w:t>
      </w:r>
      <w:r>
        <w:rPr>
          <w:rFonts w:hint="eastAsia" w:eastAsia="楷体" w:cs="Calibri"/>
          <w:kern w:val="2"/>
          <w:sz w:val="22"/>
          <w:szCs w:val="22"/>
        </w:rPr>
        <w:t>的交付量分别增至</w:t>
      </w:r>
      <w:r>
        <w:rPr>
          <w:rFonts w:eastAsia="楷体" w:cs="Calibri"/>
          <w:kern w:val="2"/>
          <w:sz w:val="22"/>
          <w:szCs w:val="22"/>
        </w:rPr>
        <w:t>630</w:t>
      </w:r>
      <w:r>
        <w:rPr>
          <w:rFonts w:hint="eastAsia" w:eastAsia="楷体" w:cs="Calibri"/>
          <w:kern w:val="2"/>
          <w:sz w:val="22"/>
          <w:szCs w:val="22"/>
        </w:rPr>
        <w:t>架和</w:t>
      </w:r>
      <w:r>
        <w:rPr>
          <w:rFonts w:eastAsia="楷体" w:cs="Calibri"/>
          <w:kern w:val="2"/>
          <w:sz w:val="22"/>
          <w:szCs w:val="22"/>
        </w:rPr>
        <w:t>101</w:t>
      </w:r>
      <w:r>
        <w:rPr>
          <w:rFonts w:hint="eastAsia" w:eastAsia="楷体" w:cs="Calibri"/>
          <w:kern w:val="2"/>
          <w:sz w:val="22"/>
          <w:szCs w:val="22"/>
        </w:rPr>
        <w:t>架，同时它们的平均销售价格分别上涨了</w:t>
      </w:r>
      <w:r>
        <w:rPr>
          <w:rFonts w:eastAsia="楷体" w:cs="Calibri"/>
          <w:kern w:val="2"/>
          <w:sz w:val="22"/>
          <w:szCs w:val="22"/>
        </w:rPr>
        <w:t>9.7%</w:t>
      </w:r>
      <w:r>
        <w:rPr>
          <w:rFonts w:hint="eastAsia" w:eastAsia="楷体" w:cs="Calibri"/>
          <w:kern w:val="2"/>
          <w:sz w:val="22"/>
          <w:szCs w:val="22"/>
        </w:rPr>
        <w:t>和</w:t>
      </w:r>
      <w:r>
        <w:rPr>
          <w:rFonts w:eastAsia="楷体" w:cs="Calibri"/>
          <w:kern w:val="2"/>
          <w:sz w:val="22"/>
          <w:szCs w:val="22"/>
        </w:rPr>
        <w:t>8.0%</w:t>
      </w:r>
      <w:r>
        <w:rPr>
          <w:rFonts w:hint="eastAsia" w:eastAsia="楷体" w:cs="Calibri"/>
          <w:kern w:val="2"/>
          <w:sz w:val="22"/>
          <w:szCs w:val="22"/>
        </w:rPr>
        <w:t>。</w:t>
      </w:r>
    </w:p>
    <w:p>
      <w:pPr>
        <w:pStyle w:val="37"/>
        <w:widowControl w:val="0"/>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图：西锐飞机业务板块收入（百万美元）</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图：西锐飞机销量细分</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1340" cy="1818005"/>
                  <wp:effectExtent l="0" t="0" r="3810" b="0"/>
                  <wp:docPr id="8" name="图表 1"/>
                  <wp:cNvGraphicFramePr/>
                  <a:graphic xmlns:a="http://schemas.openxmlformats.org/drawingml/2006/main">
                    <a:graphicData uri="http://schemas.openxmlformats.org/drawingml/2006/chart">
                      <c:chart xmlns:c="http://schemas.openxmlformats.org/drawingml/2006/chart" r:id="rId76"/>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132455" cy="1870710"/>
                  <wp:effectExtent l="0" t="0" r="0" b="0"/>
                  <wp:docPr id="9" name="图表 1"/>
                  <wp:cNvGraphicFramePr/>
                  <a:graphic xmlns:a="http://schemas.openxmlformats.org/drawingml/2006/main">
                    <a:graphicData uri="http://schemas.openxmlformats.org/drawingml/2006/chart">
                      <c:chart xmlns:c="http://schemas.openxmlformats.org/drawingml/2006/chart" r:id="rId77"/>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eastAsia="楷体_GB2312" w:cs="Calibri"/>
          <w:kern w:val="2"/>
          <w:sz w:val="20"/>
          <w:szCs w:val="20"/>
        </w:rPr>
      </w:pPr>
    </w:p>
    <w:p>
      <w:pPr>
        <w:rPr>
          <w:rFonts w:eastAsia="楷体" w:cs="Calibri"/>
          <w:kern w:val="2"/>
          <w:sz w:val="22"/>
          <w:szCs w:val="22"/>
        </w:rPr>
      </w:pPr>
      <w:r>
        <w:rPr>
          <w:rFonts w:hint="eastAsia" w:eastAsia="楷体" w:cs="Calibri"/>
          <w:b/>
          <w:bCs/>
          <w:kern w:val="2"/>
          <w:sz w:val="22"/>
          <w:szCs w:val="22"/>
        </w:rPr>
        <w:t>2</w:t>
      </w:r>
      <w:r>
        <w:rPr>
          <w:rFonts w:eastAsia="楷体" w:cs="Calibri"/>
          <w:b/>
          <w:bCs/>
          <w:kern w:val="2"/>
          <w:sz w:val="22"/>
          <w:szCs w:val="22"/>
        </w:rPr>
        <w:t>)</w:t>
      </w:r>
      <w:r>
        <w:rPr>
          <w:rFonts w:eastAsia="楷体" w:cs="Calibri"/>
          <w:b/>
          <w:bCs/>
          <w:kern w:val="2"/>
          <w:sz w:val="22"/>
          <w:szCs w:val="22"/>
        </w:rPr>
        <w:tab/>
      </w:r>
      <w:r>
        <w:rPr>
          <w:rFonts w:hint="eastAsia" w:eastAsia="楷体" w:cs="Calibri"/>
          <w:b/>
          <w:bCs/>
          <w:kern w:val="2"/>
          <w:sz w:val="22"/>
          <w:szCs w:val="22"/>
        </w:rPr>
        <w:t>服务业务方面：</w:t>
      </w:r>
      <w:r>
        <w:rPr>
          <w:rFonts w:hint="eastAsia" w:eastAsia="楷体" w:cs="Calibri"/>
          <w:kern w:val="2"/>
          <w:sz w:val="22"/>
          <w:szCs w:val="22"/>
        </w:rPr>
        <w:t>从</w:t>
      </w:r>
      <w:r>
        <w:rPr>
          <w:rFonts w:eastAsia="楷体" w:cs="Calibri"/>
          <w:kern w:val="2"/>
          <w:sz w:val="22"/>
          <w:szCs w:val="22"/>
        </w:rPr>
        <w:t>2021</w:t>
      </w:r>
      <w:r>
        <w:rPr>
          <w:rFonts w:hint="eastAsia" w:eastAsia="楷体" w:cs="Calibri"/>
          <w:kern w:val="2"/>
          <w:sz w:val="22"/>
          <w:szCs w:val="22"/>
        </w:rPr>
        <w:t>年至</w:t>
      </w:r>
      <w:r>
        <w:rPr>
          <w:rFonts w:eastAsia="楷体" w:cs="Calibri"/>
          <w:kern w:val="2"/>
          <w:sz w:val="22"/>
          <w:szCs w:val="22"/>
        </w:rPr>
        <w:t>2023</w:t>
      </w:r>
      <w:r>
        <w:rPr>
          <w:rFonts w:hint="eastAsia" w:eastAsia="楷体" w:cs="Calibri"/>
          <w:kern w:val="2"/>
          <w:sz w:val="22"/>
          <w:szCs w:val="22"/>
        </w:rPr>
        <w:t>年，西锐的服务总收入从</w:t>
      </w:r>
      <w:r>
        <w:rPr>
          <w:rFonts w:eastAsia="楷体" w:cs="Calibri"/>
          <w:kern w:val="2"/>
          <w:sz w:val="22"/>
          <w:szCs w:val="22"/>
        </w:rPr>
        <w:t>1.185</w:t>
      </w:r>
      <w:r>
        <w:rPr>
          <w:rFonts w:hint="eastAsia" w:eastAsia="楷体" w:cs="Calibri"/>
          <w:kern w:val="2"/>
          <w:sz w:val="22"/>
          <w:szCs w:val="22"/>
        </w:rPr>
        <w:t>亿美元增长至</w:t>
      </w:r>
      <w:r>
        <w:rPr>
          <w:rFonts w:eastAsia="楷体" w:cs="Calibri"/>
          <w:kern w:val="2"/>
          <w:sz w:val="22"/>
          <w:szCs w:val="22"/>
        </w:rPr>
        <w:t>1.521</w:t>
      </w:r>
      <w:r>
        <w:rPr>
          <w:rFonts w:hint="eastAsia" w:eastAsia="楷体" w:cs="Calibri"/>
          <w:kern w:val="2"/>
          <w:sz w:val="22"/>
          <w:szCs w:val="22"/>
        </w:rPr>
        <w:t>亿美元。其中，售后零部件</w:t>
      </w:r>
      <w:r>
        <w:rPr>
          <w:rFonts w:eastAsia="楷体" w:cs="Calibri"/>
          <w:kern w:val="2"/>
          <w:sz w:val="22"/>
          <w:szCs w:val="22"/>
        </w:rPr>
        <w:t>/</w:t>
      </w:r>
      <w:r>
        <w:rPr>
          <w:rFonts w:hint="eastAsia" w:eastAsia="楷体" w:cs="Calibri"/>
          <w:kern w:val="2"/>
          <w:sz w:val="22"/>
          <w:szCs w:val="22"/>
        </w:rPr>
        <w:t>维护的占比从</w:t>
      </w:r>
      <w:r>
        <w:rPr>
          <w:rFonts w:eastAsia="楷体" w:cs="Calibri"/>
          <w:kern w:val="2"/>
          <w:sz w:val="22"/>
          <w:szCs w:val="22"/>
        </w:rPr>
        <w:t>40.5%</w:t>
      </w:r>
      <w:r>
        <w:rPr>
          <w:rFonts w:hint="eastAsia" w:eastAsia="楷体" w:cs="Calibri"/>
          <w:kern w:val="2"/>
          <w:sz w:val="22"/>
          <w:szCs w:val="22"/>
        </w:rPr>
        <w:t>上升至</w:t>
      </w:r>
      <w:r>
        <w:rPr>
          <w:rFonts w:eastAsia="楷体" w:cs="Calibri"/>
          <w:kern w:val="2"/>
          <w:sz w:val="22"/>
          <w:szCs w:val="22"/>
        </w:rPr>
        <w:t>53.1%</w:t>
      </w:r>
      <w:r>
        <w:rPr>
          <w:rFonts w:hint="eastAsia" w:eastAsia="楷体" w:cs="Calibri"/>
          <w:kern w:val="2"/>
          <w:sz w:val="22"/>
          <w:szCs w:val="22"/>
        </w:rPr>
        <w:t>，而二手飞机销售的占比则从</w:t>
      </w:r>
      <w:r>
        <w:rPr>
          <w:rFonts w:eastAsia="楷体" w:cs="Calibri"/>
          <w:kern w:val="2"/>
          <w:sz w:val="22"/>
          <w:szCs w:val="22"/>
        </w:rPr>
        <w:t>8.7%</w:t>
      </w:r>
      <w:r>
        <w:rPr>
          <w:rFonts w:hint="eastAsia" w:eastAsia="楷体" w:cs="Calibri"/>
          <w:kern w:val="2"/>
          <w:sz w:val="22"/>
          <w:szCs w:val="22"/>
        </w:rPr>
        <w:t>增加到</w:t>
      </w:r>
      <w:r>
        <w:rPr>
          <w:rFonts w:eastAsia="楷体" w:cs="Calibri"/>
          <w:kern w:val="2"/>
          <w:sz w:val="22"/>
          <w:szCs w:val="22"/>
        </w:rPr>
        <w:t>17.5%</w:t>
      </w:r>
      <w:r>
        <w:rPr>
          <w:rFonts w:hint="eastAsia" w:eastAsia="楷体" w:cs="Calibri"/>
          <w:kern w:val="2"/>
          <w:sz w:val="22"/>
          <w:szCs w:val="22"/>
        </w:rPr>
        <w:t>。</w:t>
      </w: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w:t>
            </w:r>
            <w:r>
              <w:rPr>
                <w:rFonts w:ascii="楷体" w:hAnsi="楷体" w:eastAsia="楷体" w:cs="Calibri"/>
                <w:b/>
                <w:sz w:val="20"/>
                <w:szCs w:val="20"/>
              </w:rPr>
              <w:t>2021-2023</w:t>
            </w:r>
            <w:r>
              <w:rPr>
                <w:rFonts w:hint="eastAsia" w:ascii="楷体" w:hAnsi="楷体" w:eastAsia="楷体" w:cs="Calibri"/>
                <w:b/>
                <w:sz w:val="20"/>
                <w:szCs w:val="20"/>
              </w:rPr>
              <w:t>年西锐飞机售后服务收入明细</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211955" cy="2541905"/>
                  <wp:effectExtent l="0" t="0" r="0" b="0"/>
                  <wp:docPr id="10" name="图表 1"/>
                  <wp:cNvGraphicFramePr/>
                  <a:graphic xmlns:a="http://schemas.openxmlformats.org/drawingml/2006/main">
                    <a:graphicData uri="http://schemas.openxmlformats.org/drawingml/2006/chart">
                      <c:chart xmlns:c="http://schemas.openxmlformats.org/drawingml/2006/chart" r:id="rId78"/>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ascii="楷体" w:hAnsi="楷体" w:eastAsia="楷体" w:cs="楷体"/>
          <w:b/>
          <w:bCs/>
          <w:kern w:val="2"/>
          <w:sz w:val="22"/>
          <w:szCs w:val="22"/>
        </w:rPr>
      </w:pPr>
    </w:p>
    <w:p>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该公司盈利能力在2020至2024年间持续提升。</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1) 从毛利率和毛利润的角度来看：</w:t>
      </w:r>
      <w:r>
        <w:rPr>
          <w:rFonts w:hint="eastAsia" w:ascii="楷体" w:hAnsi="楷体" w:eastAsia="楷体" w:cs="楷体"/>
          <w:kern w:val="2"/>
          <w:sz w:val="22"/>
          <w:szCs w:val="22"/>
        </w:rPr>
        <w:t>2020至2024年间，公司毛利润从1.85亿美元增至4.14亿美元，年复合增长率（CAGR）达22.3%。毛利率则从2020年的31.6%提升至2024年的34.6%。</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2) 从净利润和净利润率来看：</w:t>
      </w:r>
      <w:r>
        <w:rPr>
          <w:rFonts w:hint="eastAsia" w:ascii="楷体" w:hAnsi="楷体" w:eastAsia="楷体" w:cs="楷体"/>
          <w:kern w:val="2"/>
          <w:sz w:val="22"/>
          <w:szCs w:val="22"/>
        </w:rPr>
        <w:t>净利润从2020年的3600万美元激增至2024年的1.21亿美元，净利润 CAGR 高达32.3%。净利润率从2020年的6.2%提升至2024年的10.1%。</w:t>
      </w:r>
    </w:p>
    <w:p>
      <w:pPr>
        <w:widowControl w:val="0"/>
        <w:jc w:val="both"/>
        <w:rPr>
          <w:rFonts w:hint="eastAsia" w:ascii="楷体" w:hAnsi="楷体" w:eastAsia="楷体" w:cs="楷体"/>
          <w:kern w:val="2"/>
          <w:sz w:val="22"/>
          <w:szCs w:val="22"/>
        </w:rPr>
      </w:pPr>
      <w:r>
        <w:rPr>
          <w:rFonts w:hint="eastAsia" w:ascii="楷体" w:hAnsi="楷体" w:eastAsia="楷体" w:cs="楷体"/>
          <w:kern w:val="2"/>
          <w:sz w:val="22"/>
          <w:szCs w:val="22"/>
        </w:rPr>
        <w:t>盈利能力的显著提升主要由产品定价策略（SR2X系列平均价格每年增长9.8%）、高毛利率业务占比上升（Vision Jet贡献了29.9%的收入）以及西锐飞机操作系统（COS）带来的生产效率改进所驱动。</w:t>
      </w:r>
    </w:p>
    <w:p>
      <w:pPr>
        <w:widowControl w:val="0"/>
        <w:jc w:val="both"/>
        <w:rPr>
          <w:rFonts w:hint="eastAsia" w:ascii="楷体" w:hAnsi="楷体" w:eastAsia="楷体" w:cs="楷体"/>
          <w:kern w:val="2"/>
          <w:sz w:val="22"/>
          <w:szCs w:val="22"/>
        </w:rPr>
      </w:pPr>
      <w:r>
        <w:rPr>
          <w:rFonts w:hint="eastAsia" w:ascii="楷体" w:hAnsi="楷体" w:eastAsia="楷体" w:cs="楷体"/>
          <w:b/>
          <w:bCs/>
          <w:kern w:val="2"/>
          <w:sz w:val="22"/>
          <w:szCs w:val="22"/>
        </w:rPr>
        <w:t>3)</w:t>
      </w:r>
      <w:r>
        <w:rPr>
          <w:rFonts w:hint="eastAsia" w:ascii="楷体" w:hAnsi="楷体" w:eastAsia="楷体" w:cs="楷体"/>
          <w:b/>
          <w:bCs/>
          <w:spacing w:val="-2"/>
          <w:sz w:val="22"/>
          <w:szCs w:val="22"/>
          <w:shd w:val="clear" w:color="auto" w:fill="FCFCFC"/>
        </w:rPr>
        <w:t xml:space="preserve"> 费用比率保持稳定：</w:t>
      </w:r>
      <w:r>
        <w:rPr>
          <w:rFonts w:hint="eastAsia" w:ascii="楷体" w:hAnsi="楷体" w:eastAsia="楷体" w:cs="楷体"/>
          <w:spacing w:val="-2"/>
          <w:sz w:val="22"/>
          <w:szCs w:val="22"/>
          <w:shd w:val="clear" w:color="auto" w:fill="FCFCFC"/>
        </w:rPr>
        <w:t>Cirrus Aircraft的销售费用比率维持在12%左右，管理费用比率保持在10%，财务费用比率则稳定在0.4%。</w:t>
      </w:r>
    </w:p>
    <w:p>
      <w:pPr>
        <w:widowControl w:val="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图：西锐飞机公司净利润/毛利润及增长率（单位：百万美元）</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图：西锐飞机公司净利润率/毛利率</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165" cy="2058670"/>
                  <wp:effectExtent l="0" t="0" r="0" b="0"/>
                  <wp:docPr id="11" name="图表 21"/>
                  <wp:cNvGraphicFramePr/>
                  <a:graphic xmlns:a="http://schemas.openxmlformats.org/drawingml/2006/main">
                    <a:graphicData uri="http://schemas.openxmlformats.org/drawingml/2006/chart">
                      <c:chart xmlns:c="http://schemas.openxmlformats.org/drawingml/2006/chart" r:id="rId79"/>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28645" cy="2232025"/>
                  <wp:effectExtent l="0" t="0" r="0" b="0"/>
                  <wp:docPr id="12" name="图表 20"/>
                  <wp:cNvGraphicFramePr/>
                  <a:graphic xmlns:a="http://schemas.openxmlformats.org/drawingml/2006/main">
                    <a:graphicData uri="http://schemas.openxmlformats.org/drawingml/2006/chart">
                      <c:chart xmlns:c="http://schemas.openxmlformats.org/drawingml/2006/chart" r:id="rId80"/>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图：西锐飞机费用比率</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294505" cy="2292985"/>
                  <wp:effectExtent l="0" t="0" r="0" b="0"/>
                  <wp:docPr id="13" name="图表 23"/>
                  <wp:cNvGraphicFramePr/>
                  <a:graphic xmlns:a="http://schemas.openxmlformats.org/drawingml/2006/main">
                    <a:graphicData uri="http://schemas.openxmlformats.org/drawingml/2006/chart">
                      <c:chart xmlns:c="http://schemas.openxmlformats.org/drawingml/2006/chart" r:id="rId81"/>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楷体"/>
                <w:b/>
                <w:bCs/>
                <w:sz w:val="20"/>
                <w:szCs w:val="20"/>
              </w:rPr>
              <w:t>资料来源：</w:t>
            </w:r>
            <w:r>
              <w:rPr>
                <w:rFonts w:hint="eastAsia" w:ascii="楷体" w:hAnsi="楷体" w:eastAsia="楷体" w:cs="楷体"/>
                <w:sz w:val="20"/>
                <w:szCs w:val="20"/>
              </w:rPr>
              <w:t>wind、HFI</w:t>
            </w:r>
          </w:p>
        </w:tc>
      </w:tr>
    </w:tbl>
    <w:p>
      <w:pPr>
        <w:widowControl w:val="0"/>
        <w:jc w:val="both"/>
        <w:rPr>
          <w:rFonts w:hint="eastAsia" w:eastAsia="楷体" w:asciiTheme="minorHAnsi" w:hAnsiTheme="minorHAnsi" w:cstheme="minorHAnsi"/>
          <w:kern w:val="2"/>
          <w:sz w:val="22"/>
          <w:szCs w:val="22"/>
        </w:rPr>
      </w:pPr>
    </w:p>
    <w:bookmarkEnd w:id="8"/>
    <w:p>
      <w:pPr>
        <w:pStyle w:val="2"/>
        <w:spacing w:before="240" w:beforeLines="100" w:after="240" w:afterLines="100"/>
        <w:jc w:val="both"/>
        <w:rPr>
          <w:rFonts w:hint="eastAsia" w:ascii="楷体" w:hAnsi="楷体" w:eastAsia="楷体" w:cs="楷体"/>
          <w:color w:val="23558C"/>
          <w:sz w:val="28"/>
          <w:szCs w:val="28"/>
        </w:rPr>
      </w:pPr>
      <w:bookmarkStart w:id="8" w:name="_Toc219028019"/>
      <w:bookmarkStart w:id="9" w:name="_Hlk216642041"/>
      <w:bookmarkStart w:id="10" w:name="_Toc186105500"/>
      <w:r>
        <w:rPr>
          <w:rFonts w:hint="eastAsia" w:ascii="楷体" w:hAnsi="楷体" w:eastAsia="楷体" w:cs="楷体"/>
          <w:color w:val="23558C"/>
          <w:sz w:val="28"/>
          <w:szCs w:val="28"/>
        </w:rPr>
        <w:t>2 私人航空需求稳健增长，消费型应用场景持续拓展</w:t>
      </w:r>
      <w:bookmarkEnd w:id="9"/>
    </w:p>
    <w:p>
      <w:pPr>
        <w:pStyle w:val="77"/>
        <w:jc w:val="both"/>
        <w:rPr>
          <w:rFonts w:hint="eastAsia" w:ascii="楷体" w:hAnsi="楷体" w:eastAsia="楷体" w:cs="楷体"/>
          <w:color w:val="23558C"/>
          <w:sz w:val="24"/>
        </w:rPr>
      </w:pPr>
      <w:bookmarkStart w:id="11" w:name="_Toc219028020"/>
      <w:r>
        <w:rPr>
          <w:rFonts w:hint="eastAsia" w:ascii="楷体" w:hAnsi="楷体" w:eastAsia="楷体" w:cs="楷体"/>
          <w:color w:val="23558C"/>
          <w:sz w:val="24"/>
        </w:rPr>
        <w:t>2.1 通用航空行业概览</w:t>
      </w:r>
      <w:bookmarkEnd w:id="10"/>
    </w:p>
    <w:bookmarkEnd w:id="11"/>
    <w:p>
      <w:pPr>
        <w:widowControl w:val="0"/>
        <w:jc w:val="both"/>
        <w:rPr>
          <w:rFonts w:hint="eastAsia" w:ascii="楷体" w:hAnsi="楷体" w:eastAsia="楷体" w:cs="楷体"/>
          <w:b/>
          <w:bCs/>
          <w:kern w:val="2"/>
          <w:sz w:val="22"/>
          <w:szCs w:val="22"/>
        </w:rPr>
      </w:pPr>
      <w:r>
        <w:rPr>
          <w:rFonts w:hint="eastAsia" w:ascii="楷体" w:hAnsi="楷体" w:eastAsia="楷体" w:cs="楷体"/>
          <w:b/>
          <w:bCs/>
          <w:sz w:val="22"/>
          <w:szCs w:val="22"/>
        </w:rPr>
        <w:t>通用航空是指除军事航空和定期商业航空运输以外的所有航空活动，涵盖私人航空及专业航空。</w:t>
      </w:r>
    </w:p>
    <w:p>
      <w:pPr>
        <w:widowControl w:val="0"/>
        <w:jc w:val="both"/>
        <w:rPr>
          <w:rFonts w:hint="eastAsia" w:ascii="楷体" w:hAnsi="楷体" w:eastAsia="楷体" w:cs="楷体"/>
          <w:kern w:val="2"/>
          <w:sz w:val="22"/>
          <w:szCs w:val="22"/>
        </w:rPr>
      </w:pPr>
      <w:r>
        <w:rPr>
          <w:rFonts w:hint="eastAsia" w:ascii="楷体" w:hAnsi="楷体" w:eastAsia="楷体" w:cs="楷体"/>
          <w:b/>
          <w:bCs/>
          <w:sz w:val="22"/>
          <w:szCs w:val="22"/>
        </w:rPr>
        <w:t>私人航空</w:t>
      </w:r>
      <w:r>
        <w:rPr>
          <w:rFonts w:hint="eastAsia" w:ascii="楷体" w:hAnsi="楷体" w:eastAsia="楷体" w:cs="楷体"/>
          <w:sz w:val="22"/>
          <w:szCs w:val="22"/>
        </w:rPr>
        <w:t>主要指非商业性质的固定翼通用航空飞行活动，包括个人飞行和飞行培训等，主要面向私人机主、飞行教员及航空爱好者。该类飞机单机价格通常低于700万美元，在通用航空飞机交付量中占据主导地位，占比约为76%。</w:t>
      </w:r>
    </w:p>
    <w:p>
      <w:pPr>
        <w:widowControl w:val="0"/>
        <w:jc w:val="both"/>
        <w:rPr>
          <w:rFonts w:hint="eastAsia" w:ascii="楷体" w:hAnsi="楷体" w:eastAsia="楷体" w:cs="楷体"/>
          <w:sz w:val="22"/>
          <w:szCs w:val="22"/>
        </w:rPr>
      </w:pPr>
      <w:r>
        <w:rPr>
          <w:rFonts w:hint="eastAsia" w:ascii="楷体" w:hAnsi="楷体" w:eastAsia="楷体" w:cs="楷体"/>
          <w:b/>
          <w:bCs/>
          <w:sz w:val="22"/>
          <w:szCs w:val="22"/>
        </w:rPr>
        <w:t>专业航空</w:t>
      </w:r>
      <w:r>
        <w:rPr>
          <w:rFonts w:hint="eastAsia" w:ascii="楷体" w:hAnsi="楷体" w:eastAsia="楷体" w:cs="楷体"/>
          <w:sz w:val="22"/>
          <w:szCs w:val="22"/>
        </w:rPr>
        <w:t>领域涵盖企业包机服务及特殊用途的飞行器。这类飞机通常配备先进技术与多引擎系统，具备远程、跨洲际及洲际飞行能力，可实现高速飞行。</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表：私人航空器与专业航空器对比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rPr>
                <w:rFonts w:hint="eastAsia" w:ascii="等线" w:hAnsi="等线"/>
              </w:rPr>
            </w:pPr>
            <w:r>
              <w:rPr>
                <w:rFonts w:hint="eastAsia" w:ascii="等线" w:hAnsi="等线"/>
              </w:rPr>
              <w:drawing>
                <wp:inline distT="0" distB="0" distL="0" distR="0">
                  <wp:extent cx="6343650" cy="1943100"/>
                  <wp:effectExtent l="0" t="0" r="0" b="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343650" cy="19431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napToGrid w:val="0"/>
                <w:sz w:val="20"/>
                <w:szCs w:val="20"/>
              </w:rPr>
              <w:t>资料来源：公司公告，HFI</w:t>
            </w:r>
          </w:p>
        </w:tc>
      </w:tr>
    </w:tbl>
    <w:p>
      <w:pPr>
        <w:widowControl w:val="0"/>
        <w:jc w:val="both"/>
        <w:rPr>
          <w:rFonts w:hint="eastAsia" w:ascii="微软雅黑" w:hAnsi="微软雅黑" w:eastAsia="微软雅黑" w:cs="微软雅黑"/>
          <w:kern w:val="2"/>
          <w:sz w:val="22"/>
          <w:szCs w:val="22"/>
        </w:rPr>
      </w:pPr>
    </w:p>
    <w:p>
      <w:pPr>
        <w:widowControl w:val="0"/>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目前主流的飞机类型包括活塞发动机和涡轮发动机机型。</w:t>
      </w:r>
    </w:p>
    <w:p>
      <w:pPr>
        <w:pStyle w:val="37"/>
        <w:widowControl w:val="0"/>
        <w:numPr>
          <w:ilvl w:val="0"/>
          <w:numId w:val="1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活塞发动机飞机：</w:t>
      </w:r>
      <w:r>
        <w:rPr>
          <w:rFonts w:hint="eastAsia" w:ascii="楷体" w:hAnsi="楷体" w:eastAsia="楷体" w:cs="楷体"/>
          <w:kern w:val="2"/>
          <w:sz w:val="22"/>
          <w:szCs w:val="22"/>
        </w:rPr>
        <w:t>通过燃油与空气混合燃烧驱动活塞带动螺旋桨产生推力，具有成本低、维护简单的特点，适用于低速、短航程飞行，是短途交通、飞行培训及私人飞行的主流选择。</w:t>
      </w:r>
    </w:p>
    <w:p>
      <w:pPr>
        <w:pStyle w:val="37"/>
        <w:widowControl w:val="0"/>
        <w:ind w:left="360"/>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图：活塞式飞机的类型和历史</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449445" cy="2219325"/>
                  <wp:effectExtent l="0" t="0" r="8255" b="952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pic:cNvPicPr>
                        </pic:nvPicPr>
                        <pic:blipFill>
                          <a:blip r:embed="rId32"/>
                          <a:stretch>
                            <a:fillRect/>
                          </a:stretch>
                        </pic:blipFill>
                        <pic:spPr>
                          <a:xfrm>
                            <a:off x="0" y="0"/>
                            <a:ext cx="4463141" cy="2226444"/>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kern w:val="2"/>
                <w:sz w:val="22"/>
                <w:szCs w:val="22"/>
              </w:rPr>
              <w:t>T</w:t>
            </w:r>
            <w:r>
              <w:rPr>
                <w:rFonts w:ascii="楷体" w:hAnsi="楷体" w:eastAsia="楷体" w:cs="Calibri"/>
                <w:kern w:val="2"/>
                <w:sz w:val="22"/>
                <w:szCs w:val="22"/>
              </w:rPr>
              <w:t>sunami</w:t>
            </w:r>
            <w:r>
              <w:rPr>
                <w:rFonts w:hint="eastAsia" w:ascii="楷体" w:hAnsi="楷体" w:eastAsia="楷体" w:cs="Calibri"/>
                <w:kern w:val="2"/>
                <w:sz w:val="22"/>
                <w:szCs w:val="22"/>
              </w:rPr>
              <w:t xml:space="preserve"> A</w:t>
            </w:r>
            <w:r>
              <w:rPr>
                <w:rFonts w:ascii="楷体" w:hAnsi="楷体" w:eastAsia="楷体" w:cs="Calibri"/>
                <w:kern w:val="2"/>
                <w:sz w:val="22"/>
                <w:szCs w:val="22"/>
              </w:rPr>
              <w:t>ir</w:t>
            </w:r>
            <w:r>
              <w:rPr>
                <w:rFonts w:hint="eastAsia" w:ascii="楷体" w:hAnsi="楷体" w:eastAsia="楷体" w:cs="Calibri"/>
                <w:sz w:val="20"/>
                <w:szCs w:val="20"/>
              </w:rPr>
              <w:t>, HFI</w:t>
            </w:r>
          </w:p>
        </w:tc>
      </w:tr>
    </w:tbl>
    <w:p>
      <w:pPr>
        <w:widowControl w:val="0"/>
        <w:jc w:val="both"/>
        <w:rPr>
          <w:rFonts w:eastAsia="楷体" w:cs="Calibri"/>
          <w:kern w:val="2"/>
          <w:sz w:val="22"/>
          <w:szCs w:val="22"/>
        </w:rPr>
      </w:pPr>
    </w:p>
    <w:p>
      <w:pPr>
        <w:pStyle w:val="37"/>
        <w:widowControl w:val="0"/>
        <w:numPr>
          <w:ilvl w:val="0"/>
          <w:numId w:val="15"/>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涡轮发动机飞机主要分为四大类，其中涡轮螺旋桨和涡轮喷气式飞机占据主流地位。</w:t>
      </w:r>
      <w:r>
        <w:rPr>
          <w:rFonts w:hint="eastAsia" w:ascii="楷体" w:hAnsi="楷体" w:eastAsia="楷体" w:cs="楷体"/>
          <w:kern w:val="2"/>
          <w:sz w:val="22"/>
          <w:szCs w:val="22"/>
        </w:rPr>
        <w:t>从成本效益和性能表现来看，这类飞机在中远程飞行、高空作业及复杂天气条件下展现出卓越的适应性和可靠性，因此被广泛应用于商务差旅、应急救援及专业工业任务领域。</w:t>
      </w:r>
    </w:p>
    <w:p>
      <w:pPr>
        <w:pStyle w:val="37"/>
        <w:widowControl w:val="0"/>
        <w:numPr>
          <w:ilvl w:val="0"/>
          <w:numId w:val="16"/>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涡轮喷气式发动机：</w:t>
      </w:r>
      <w:r>
        <w:rPr>
          <w:rFonts w:hint="eastAsia" w:ascii="楷体" w:hAnsi="楷体" w:eastAsia="楷体" w:cs="楷体"/>
          <w:kern w:val="2"/>
          <w:sz w:val="22"/>
          <w:szCs w:val="22"/>
        </w:rPr>
        <w:t>通过高速排气产生推力，适用于高空高速飞行。然而，其高燃油消耗率导致在现代民航中的应用受到限制。</w:t>
      </w:r>
    </w:p>
    <w:p>
      <w:pPr>
        <w:widowControl w:val="0"/>
        <w:numPr>
          <w:ilvl w:val="0"/>
          <w:numId w:val="16"/>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涡扇发动机：</w:t>
      </w:r>
      <w:r>
        <w:rPr>
          <w:rFonts w:hint="eastAsia" w:ascii="楷体" w:hAnsi="楷体" w:eastAsia="楷体" w:cs="楷体"/>
          <w:kern w:val="2"/>
          <w:sz w:val="22"/>
          <w:szCs w:val="22"/>
        </w:rPr>
        <w:t>通过增设风扇绕流核心区域的空气，从而提升推进效率、燃油经济性并降低噪音。该机型是商用客机和军用运输机的首选。</w:t>
      </w:r>
    </w:p>
    <w:p>
      <w:pPr>
        <w:widowControl w:val="0"/>
        <w:numPr>
          <w:ilvl w:val="0"/>
          <w:numId w:val="16"/>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涡轮螺旋桨发动机：</w:t>
      </w:r>
      <w:r>
        <w:rPr>
          <w:rFonts w:hint="eastAsia" w:ascii="楷体" w:hAnsi="楷体" w:eastAsia="楷体" w:cs="楷体"/>
          <w:kern w:val="2"/>
          <w:sz w:val="22"/>
          <w:szCs w:val="22"/>
        </w:rPr>
        <w:t>通过涡轮驱动螺旋桨，将喷气动力转化为机械能；具有高燃油效率，广泛应用于支线客机和军用运输机，但高速性能有限。</w:t>
      </w:r>
    </w:p>
    <w:p>
      <w:pPr>
        <w:widowControl w:val="0"/>
        <w:numPr>
          <w:ilvl w:val="0"/>
          <w:numId w:val="16"/>
        </w:numPr>
        <w:jc w:val="both"/>
        <w:rPr>
          <w:rFonts w:hint="eastAsia" w:ascii="楷体" w:hAnsi="楷体" w:eastAsia="楷体" w:cs="楷体"/>
          <w:kern w:val="2"/>
          <w:sz w:val="22"/>
          <w:szCs w:val="22"/>
        </w:rPr>
      </w:pPr>
      <w:r>
        <w:rPr>
          <w:rFonts w:hint="eastAsia" w:ascii="楷体" w:hAnsi="楷体" w:eastAsia="楷体" w:cs="楷体"/>
          <w:b/>
          <w:bCs/>
          <w:kern w:val="2"/>
          <w:sz w:val="22"/>
          <w:szCs w:val="22"/>
        </w:rPr>
        <w:t>涡轮轴发动机：</w:t>
      </w:r>
      <w:r>
        <w:rPr>
          <w:rFonts w:hint="eastAsia" w:ascii="楷体" w:hAnsi="楷体" w:eastAsia="楷体" w:cs="楷体"/>
          <w:kern w:val="2"/>
          <w:sz w:val="22"/>
          <w:szCs w:val="22"/>
        </w:rPr>
        <w:t>可将喷气动力完全转化为轴功率，广泛应用于直升机等旋翼飞行器，实现垂直起降与悬停功能。</w:t>
      </w:r>
    </w:p>
    <w:p>
      <w:pPr>
        <w:widowControl w:val="0"/>
        <w:ind w:left="360"/>
        <w:jc w:val="both"/>
        <w:rPr>
          <w:rFonts w:eastAsia="楷体" w:cs="Calibri"/>
          <w:b/>
          <w:bCs/>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图:涡轮发动机飞机的比较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535170" cy="2273935"/>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3"/>
                          <a:stretch>
                            <a:fillRect/>
                          </a:stretch>
                        </pic:blipFill>
                        <pic:spPr>
                          <a:xfrm>
                            <a:off x="0" y="0"/>
                            <a:ext cx="4541191" cy="2277486"/>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kern w:val="2"/>
                <w:sz w:val="22"/>
                <w:szCs w:val="22"/>
              </w:rPr>
              <w:t>Boldmethod</w:t>
            </w:r>
            <w:r>
              <w:rPr>
                <w:rFonts w:hint="eastAsia" w:ascii="楷体" w:hAnsi="楷体" w:eastAsia="楷体" w:cs="Calibri"/>
                <w:sz w:val="20"/>
                <w:szCs w:val="20"/>
              </w:rPr>
              <w:t>, HFI</w:t>
            </w:r>
          </w:p>
        </w:tc>
      </w:tr>
    </w:tbl>
    <w:p>
      <w:pPr>
        <w:jc w:val="both"/>
        <w:rPr>
          <w:rFonts w:hint="eastAsia" w:ascii="微软雅黑" w:hAnsi="微软雅黑" w:eastAsia="微软雅黑" w:cs="微软雅黑"/>
          <w:b/>
          <w:bCs/>
          <w:kern w:val="2"/>
          <w:sz w:val="20"/>
          <w:szCs w:val="20"/>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全球通用航空器交付量呈现稳步增长态势。</w:t>
      </w:r>
      <w:r>
        <w:rPr>
          <w:rFonts w:hint="eastAsia" w:ascii="楷体" w:hAnsi="楷体" w:eastAsia="楷体" w:cs="楷体"/>
          <w:kern w:val="2"/>
          <w:sz w:val="22"/>
          <w:szCs w:val="22"/>
        </w:rPr>
        <w:t>2019至2023年间，交付量从2,657架增至3,050架，五年 CAGR 达3.5%。同期交付价值保持相对稳定，2019年为236亿美元，2023年为234亿美元。根据通用航空制造商协会（GAMA）预测，2024至2028年交付量与交付价值的五年 CAGR 预计将超过6%，到2028年交付量预计达3,779架，交付价值达342.4亿美元。</w:t>
      </w:r>
    </w:p>
    <w:p>
      <w:pPr>
        <w:jc w:val="both"/>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图：全球通用航空器交付量（架）</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图：全球通用航空器交付量（美元）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100705" cy="2042160"/>
                  <wp:effectExtent l="0" t="0" r="0" b="0"/>
                  <wp:docPr id="17" name="图表 7"/>
                  <wp:cNvGraphicFramePr/>
                  <a:graphic xmlns:a="http://schemas.openxmlformats.org/drawingml/2006/main">
                    <a:graphicData uri="http://schemas.openxmlformats.org/drawingml/2006/chart">
                      <c:chart xmlns:c="http://schemas.openxmlformats.org/drawingml/2006/chart" r:id="rId82"/>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1820" cy="2037715"/>
                  <wp:effectExtent l="0" t="0" r="0" b="0"/>
                  <wp:docPr id="18" name="图表 8"/>
                  <wp:cNvGraphicFramePr/>
                  <a:graphic xmlns:a="http://schemas.openxmlformats.org/drawingml/2006/main">
                    <a:graphicData uri="http://schemas.openxmlformats.org/drawingml/2006/chart">
                      <c:chart xmlns:c="http://schemas.openxmlformats.org/drawingml/2006/chart" r:id="rId83"/>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w:t>
            </w:r>
            <w:r>
              <w:rPr>
                <w:rFonts w:ascii="楷体" w:hAnsi="楷体" w:eastAsia="楷体" w:cs="Calibri"/>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Wind,HFI</w:t>
            </w:r>
          </w:p>
        </w:tc>
      </w:tr>
    </w:tbl>
    <w:p>
      <w:pPr>
        <w:jc w:val="both"/>
        <w:rPr>
          <w:rFonts w:eastAsia="楷体" w:cs="Calibri"/>
          <w:b/>
          <w:bCs/>
          <w:kern w:val="2"/>
          <w:sz w:val="22"/>
          <w:szCs w:val="22"/>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全球通用航空市场呈现北美地区增长为主</w:t>
      </w:r>
      <w:r>
        <w:rPr>
          <w:rFonts w:hint="eastAsia" w:ascii="楷体" w:hAnsi="楷体" w:eastAsia="楷体" w:cs="楷体"/>
          <w:kern w:val="2"/>
          <w:sz w:val="22"/>
          <w:szCs w:val="22"/>
        </w:rPr>
        <w:t>、</w:t>
      </w:r>
      <w:r>
        <w:rPr>
          <w:rFonts w:hint="eastAsia" w:ascii="楷体" w:hAnsi="楷体" w:eastAsia="楷体" w:cs="楷体"/>
          <w:b/>
          <w:bCs/>
          <w:kern w:val="2"/>
          <w:sz w:val="22"/>
          <w:szCs w:val="22"/>
        </w:rPr>
        <w:t>欧洲保持稳定、亚太地区面临调整压力、拉美/中东及非洲地区增速放缓的格局。</w:t>
      </w:r>
      <w:r>
        <w:rPr>
          <w:rFonts w:hint="eastAsia" w:ascii="楷体" w:hAnsi="楷体" w:eastAsia="楷体" w:cs="楷体"/>
          <w:kern w:val="2"/>
          <w:sz w:val="22"/>
          <w:szCs w:val="22"/>
        </w:rPr>
        <w:t>未来随着各国政策落地实施，特别是中国持续推进低空经济与通用航空发展，亚太地区的市场份额有望回升。</w:t>
      </w:r>
    </w:p>
    <w:p>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sz w:val="20"/>
                <w:szCs w:val="20"/>
              </w:rPr>
              <w:t>图：全球通用航空器按地区交付量（架）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380865" cy="2126615"/>
                  <wp:effectExtent l="0" t="0" r="635" b="6985"/>
                  <wp:docPr id="19" name="图表 10"/>
                  <wp:cNvGraphicFramePr/>
                  <a:graphic xmlns:a="http://schemas.openxmlformats.org/drawingml/2006/main">
                    <a:graphicData uri="http://schemas.openxmlformats.org/drawingml/2006/chart">
                      <c:chart xmlns:c="http://schemas.openxmlformats.org/drawingml/2006/chart" r:id="rId84"/>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pStyle w:val="77"/>
        <w:jc w:val="both"/>
        <w:rPr>
          <w:rFonts w:hint="eastAsia" w:ascii="楷体" w:hAnsi="楷体" w:eastAsia="楷体" w:cs="楷体"/>
          <w:b w:val="0"/>
          <w:bCs w:val="0"/>
          <w:color w:val="23558C"/>
          <w:kern w:val="2"/>
          <w:sz w:val="24"/>
          <w:szCs w:val="24"/>
        </w:rPr>
      </w:pPr>
      <w:bookmarkStart w:id="12" w:name="_Toc219028021"/>
      <w:r>
        <w:rPr>
          <w:rFonts w:hint="eastAsia" w:ascii="楷体" w:hAnsi="楷体" w:eastAsia="楷体" w:cs="楷体"/>
          <w:color w:val="23558C"/>
          <w:sz w:val="24"/>
          <w:szCs w:val="24"/>
        </w:rPr>
        <w:t>2.2 全球私人飞机市场：交付稳步增长，行业集中度较高</w:t>
      </w:r>
      <w:bookmarkEnd w:id="12"/>
    </w:p>
    <w:p>
      <w:pPr>
        <w:rPr>
          <w:rFonts w:eastAsia="楷体" w:cs="Calibri"/>
          <w:b/>
          <w:bCs/>
          <w:kern w:val="2"/>
          <w:sz w:val="22"/>
          <w:szCs w:val="22"/>
        </w:rPr>
      </w:pPr>
      <w:r>
        <w:rPr>
          <w:rFonts w:hint="eastAsia" w:ascii="楷体" w:hAnsi="楷体" w:eastAsia="楷体" w:cs="楷体"/>
          <w:b/>
          <w:bCs/>
          <w:kern w:val="2"/>
          <w:sz w:val="22"/>
          <w:szCs w:val="22"/>
        </w:rPr>
        <w:t>全球私人飞机市场在交付量和价值方面持续增长，平均售价也呈现上升趋势。</w:t>
      </w:r>
      <w:r>
        <w:rPr>
          <w:rFonts w:hint="eastAsia" w:ascii="楷体" w:hAnsi="楷体" w:eastAsia="楷体" w:cs="楷体"/>
          <w:kern w:val="2"/>
          <w:sz w:val="22"/>
          <w:szCs w:val="22"/>
        </w:rPr>
        <w:t>私人飞机因其高度灵活性、隐私保护、安全性、时间效率及全年可用性而日益受到青睐。全球交付量从2019年的1,894架增至2023年的2,215架（4年CAGR 为4%），交付价值从27亿美元增长至37亿美元（4年CAGR为8.5%）。平均售价从2019年的143万美元攀升至2023年的167万美元，主要受原材料和劳动力成本上涨以及制造商对高端机型研发投资增加的推动。</w:t>
      </w:r>
    </w:p>
    <w:p>
      <w:pPr>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图：全球私人飞机交付量（架）</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图：全球私人飞机交付价值（美元）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2212975"/>
                  <wp:effectExtent l="0" t="0" r="6350" b="0"/>
                  <wp:docPr id="20" name="图表 1"/>
                  <wp:cNvGraphicFramePr/>
                  <a:graphic xmlns:a="http://schemas.openxmlformats.org/drawingml/2006/main">
                    <a:graphicData uri="http://schemas.openxmlformats.org/drawingml/2006/chart">
                      <c:chart xmlns:c="http://schemas.openxmlformats.org/drawingml/2006/chart" r:id="rId85"/>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0550" cy="2239010"/>
                  <wp:effectExtent l="0" t="0" r="0" b="8890"/>
                  <wp:docPr id="21" name="图表 2"/>
                  <wp:cNvGraphicFramePr/>
                  <a:graphic xmlns:a="http://schemas.openxmlformats.org/drawingml/2006/main">
                    <a:graphicData uri="http://schemas.openxmlformats.org/drawingml/2006/chart">
                      <c:chart xmlns:c="http://schemas.openxmlformats.org/drawingml/2006/chart" r:id="rId86"/>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c>
          <w:tcPr>
            <w:tcW w:w="241" w:type="dxa"/>
            <w:tcMar>
              <w:left w:w="0" w:type="dxa"/>
              <w:right w:w="28" w:type="dxa"/>
            </w:tcMar>
          </w:tcPr>
          <w:p>
            <w:pPr>
              <w:spacing w:before="48" w:beforeLines="20" w:after="48" w:afterLines="20"/>
              <w:jc w:val="both"/>
              <w:rPr>
                <w:rFonts w:hint="eastAsia" w:ascii="楷体" w:hAnsi="楷体" w:eastAsia="楷体"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图：私人飞机平均售价历史趋势（百万美元）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483735" cy="1950720"/>
                  <wp:effectExtent l="0" t="0" r="0" b="0"/>
                  <wp:docPr id="22" name="图表 5"/>
                  <wp:cNvGraphicFramePr/>
                  <a:graphic xmlns:a="http://schemas.openxmlformats.org/drawingml/2006/main">
                    <a:graphicData uri="http://schemas.openxmlformats.org/drawingml/2006/chart">
                      <c:chart xmlns:c="http://schemas.openxmlformats.org/drawingml/2006/chart" r:id="rId87"/>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jc w:val="both"/>
        <w:rPr>
          <w:rFonts w:eastAsia="楷体" w:cs="Calibri"/>
          <w:b/>
          <w:bCs/>
          <w:kern w:val="2"/>
          <w:sz w:val="22"/>
          <w:szCs w:val="22"/>
        </w:rPr>
      </w:pPr>
    </w:p>
    <w:p>
      <w:pPr>
        <w:jc w:val="both"/>
        <w:rPr>
          <w:rFonts w:hint="eastAsia" w:ascii="楷体" w:hAnsi="楷体" w:eastAsia="楷体" w:cs="楷体"/>
          <w:b/>
          <w:bCs/>
          <w:kern w:val="2"/>
          <w:sz w:val="22"/>
          <w:szCs w:val="22"/>
        </w:rPr>
      </w:pPr>
      <w:r>
        <w:rPr>
          <w:rFonts w:hint="eastAsia" w:ascii="楷体" w:hAnsi="楷体" w:eastAsia="楷体" w:cs="楷体"/>
          <w:b/>
          <w:bCs/>
          <w:kern w:val="2"/>
          <w:sz w:val="22"/>
          <w:szCs w:val="22"/>
        </w:rPr>
        <w:t xml:space="preserve">全球私人飞机交付量的持续增长主要受三大因素驱动：一方面是高净值人群（HNWIs）和飞行学员的持续增加，另一方面是基础设施的不断完善。 </w:t>
      </w:r>
    </w:p>
    <w:p>
      <w:pPr>
        <w:numPr>
          <w:ilvl w:val="0"/>
          <w:numId w:val="17"/>
        </w:numPr>
        <w:jc w:val="both"/>
        <w:rPr>
          <w:rFonts w:hint="eastAsia" w:ascii="楷体" w:hAnsi="楷体" w:eastAsia="楷体" w:cs="楷体"/>
          <w:kern w:val="2"/>
          <w:sz w:val="22"/>
          <w:szCs w:val="22"/>
        </w:rPr>
      </w:pPr>
      <w:r>
        <w:rPr>
          <w:rFonts w:hint="eastAsia" w:ascii="楷体" w:hAnsi="楷体" w:eastAsia="楷体" w:cs="楷体"/>
          <w:kern w:val="2"/>
          <w:sz w:val="22"/>
          <w:szCs w:val="22"/>
        </w:rPr>
        <w:t>私人飞机是高净值人士短途通勤、观光游览及休闲活动的热门选择。2018至2023年间，全球 HNWI 人口从5200万增至7400万（CAGR 为7.2%），预计到2028年将达到1.2亿，2024至2028年复合年增长率（CAGR）达10.6%。</w:t>
      </w:r>
    </w:p>
    <w:p>
      <w:pPr>
        <w:numPr>
          <w:ilvl w:val="0"/>
          <w:numId w:val="17"/>
        </w:numPr>
        <w:jc w:val="both"/>
        <w:rPr>
          <w:rFonts w:hint="eastAsia" w:ascii="楷体" w:hAnsi="楷体" w:eastAsia="楷体" w:cs="楷体"/>
          <w:kern w:val="2"/>
          <w:sz w:val="22"/>
          <w:szCs w:val="22"/>
        </w:rPr>
      </w:pPr>
      <w:r>
        <w:rPr>
          <w:rFonts w:hint="eastAsia" w:ascii="楷体" w:hAnsi="楷体" w:eastAsia="楷体" w:cs="楷体"/>
          <w:kern w:val="2"/>
          <w:sz w:val="22"/>
          <w:szCs w:val="22"/>
        </w:rPr>
        <w:t>美国飞行学员人数从2019年的19.77万增至2023年的31.65万，复合年增长率（CAGR）达12.5%。</w:t>
      </w:r>
    </w:p>
    <w:p>
      <w:pPr>
        <w:numPr>
          <w:ilvl w:val="0"/>
          <w:numId w:val="17"/>
        </w:numPr>
        <w:jc w:val="both"/>
        <w:rPr>
          <w:rFonts w:hint="eastAsia" w:ascii="楷体" w:hAnsi="楷体" w:eastAsia="楷体" w:cs="楷体"/>
          <w:kern w:val="2"/>
          <w:sz w:val="22"/>
          <w:szCs w:val="22"/>
        </w:rPr>
      </w:pPr>
      <w:r>
        <w:rPr>
          <w:rFonts w:hint="eastAsia" w:ascii="楷体" w:hAnsi="楷体" w:eastAsia="楷体" w:cs="楷体"/>
          <w:kern w:val="2"/>
          <w:sz w:val="22"/>
          <w:szCs w:val="22"/>
        </w:rPr>
        <w:t>基础设施扩建已奠定坚实基础：Statista数据显示，2022年美国私人机场数量达14,776座，较2014年增长13,863座。</w:t>
      </w: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图：1990年至2022年美国私人机场数量</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4391025" cy="2636520"/>
                  <wp:effectExtent l="0" t="0" r="0" b="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0"/>
                          <a:stretch>
                            <a:fillRect/>
                          </a:stretch>
                        </pic:blipFill>
                        <pic:spPr>
                          <a:xfrm>
                            <a:off x="0" y="0"/>
                            <a:ext cx="4402495" cy="264392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eastAsia="楷体" w:cs="Calibri"/>
                <w:kern w:val="2"/>
                <w:sz w:val="22"/>
                <w:szCs w:val="22"/>
              </w:rPr>
              <w:t>Statista</w:t>
            </w:r>
            <w:r>
              <w:rPr>
                <w:rFonts w:eastAsia="楷体" w:cs="Calibri"/>
                <w:sz w:val="20"/>
                <w:szCs w:val="20"/>
              </w:rPr>
              <w:t xml:space="preserve">, </w:t>
            </w:r>
            <w:r>
              <w:rPr>
                <w:rFonts w:hint="eastAsia" w:ascii="楷体" w:hAnsi="楷体" w:eastAsia="楷体" w:cs="Calibri"/>
                <w:sz w:val="20"/>
                <w:szCs w:val="20"/>
              </w:rPr>
              <w:t>HFI</w:t>
            </w:r>
          </w:p>
        </w:tc>
      </w:tr>
    </w:tbl>
    <w:p>
      <w:pPr>
        <w:jc w:val="both"/>
        <w:rPr>
          <w:rFonts w:eastAsia="楷体" w:cs="Calibri"/>
          <w:kern w:val="2"/>
          <w:sz w:val="22"/>
          <w:szCs w:val="22"/>
        </w:rPr>
      </w:pPr>
    </w:p>
    <w:p>
      <w:pPr>
        <w:rPr>
          <w:rFonts w:hint="eastAsia" w:ascii="楷体" w:hAnsi="楷体" w:eastAsia="楷体" w:cs="楷体"/>
          <w:kern w:val="2"/>
          <w:sz w:val="22"/>
          <w:szCs w:val="22"/>
        </w:rPr>
      </w:pPr>
      <w:r>
        <w:rPr>
          <w:rFonts w:hint="eastAsia" w:ascii="楷体" w:hAnsi="楷体" w:eastAsia="楷体" w:cs="楷体"/>
          <w:b/>
          <w:bCs/>
          <w:kern w:val="2"/>
          <w:sz w:val="22"/>
          <w:szCs w:val="22"/>
        </w:rPr>
        <w:t>该行业呈现高度集中格局，西锐航空占据主导地位。</w:t>
      </w:r>
      <w:r>
        <w:rPr>
          <w:rFonts w:hint="eastAsia" w:ascii="楷体" w:hAnsi="楷体" w:eastAsia="楷体" w:cs="楷体"/>
          <w:kern w:val="2"/>
          <w:sz w:val="22"/>
          <w:szCs w:val="22"/>
        </w:rPr>
        <w:t>在全球私人飞机市场中，西锐航空、塞斯纳（自2014年起归属德事隆航空）和钻石飞机是主要制造商。根据GAMA报告，2023年西锐航空、塞斯纳和钻石飞机的交付量分别为708架、618架和273架。三家公司合计占据总销量市场份额的47.6%，其中西锐航空占比23.2%。</w:t>
      </w:r>
    </w:p>
    <w:p>
      <w:pPr>
        <w:rPr>
          <w:rFonts w:hint="eastAsia" w:ascii="微软雅黑" w:hAnsi="微软雅黑" w:eastAsia="微软雅黑" w:cs="微软雅黑"/>
          <w:kern w:val="2"/>
          <w:sz w:val="20"/>
          <w:szCs w:val="20"/>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表：飞机制造商排名</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86610"/>
                  <wp:effectExtent l="0" t="0" r="6350" b="889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1"/>
                          <a:stretch>
                            <a:fillRect/>
                          </a:stretch>
                        </pic:blipFill>
                        <pic:spPr>
                          <a:xfrm>
                            <a:off x="0" y="0"/>
                            <a:ext cx="4603750" cy="208661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rPr>
          <w:rFonts w:hint="eastAsia" w:ascii="楷体" w:hAnsi="楷体" w:eastAsia="楷体" w:cs="楷体"/>
          <w:b/>
          <w:bCs/>
          <w:sz w:val="22"/>
          <w:szCs w:val="22"/>
        </w:rPr>
      </w:pPr>
      <w:r>
        <w:rPr>
          <w:rFonts w:hint="eastAsia" w:ascii="楷体" w:hAnsi="楷体" w:eastAsia="楷体" w:cs="楷体"/>
          <w:b/>
          <w:bCs/>
          <w:sz w:val="22"/>
          <w:szCs w:val="22"/>
        </w:rPr>
        <w:t>西锐飞机在活塞发动机飞机领域占据显著领先地位，其两大主要型号系列的市场份额均呈现上升趋势。</w:t>
      </w:r>
    </w:p>
    <w:p>
      <w:pPr>
        <w:pStyle w:val="37"/>
        <w:numPr>
          <w:ilvl w:val="0"/>
          <w:numId w:val="18"/>
        </w:numPr>
        <w:rPr>
          <w:rFonts w:hint="eastAsia" w:ascii="楷体" w:hAnsi="楷体" w:eastAsia="楷体" w:cs="楷体"/>
          <w:sz w:val="22"/>
          <w:szCs w:val="22"/>
        </w:rPr>
      </w:pPr>
      <w:r>
        <w:rPr>
          <w:rFonts w:hint="eastAsia" w:ascii="楷体" w:hAnsi="楷体" w:eastAsia="楷体" w:cs="楷体"/>
          <w:b/>
          <w:bCs/>
          <w:sz w:val="22"/>
          <w:szCs w:val="22"/>
        </w:rPr>
        <w:t>活塞发动机飞机：</w:t>
      </w:r>
      <w:r>
        <w:rPr>
          <w:rFonts w:hint="eastAsia" w:ascii="楷体" w:hAnsi="楷体" w:eastAsia="楷体" w:cs="楷体"/>
          <w:sz w:val="22"/>
          <w:szCs w:val="22"/>
        </w:rPr>
        <w:t>从出货量来看，2024年全球五大活塞发动机飞机制造商合计市场份额达84.6%，其中西锐飞机以31.9%的份额位居榜首（较2020年约24.1%的份额显著提升）。西锐飞机处于高端市场，出货量领先。</w:t>
      </w:r>
    </w:p>
    <w:p>
      <w:pPr>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图：全球活塞式飞机交付量市场份额（单位：架）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114300" distR="114300">
                  <wp:extent cx="4598670" cy="2923540"/>
                  <wp:effectExtent l="0" t="0" r="0" b="0"/>
                  <wp:docPr id="25" name="图表 1"/>
                  <wp:cNvGraphicFramePr/>
                  <a:graphic xmlns:a="http://schemas.openxmlformats.org/drawingml/2006/main">
                    <a:graphicData uri="http://schemas.openxmlformats.org/drawingml/2006/chart">
                      <c:chart xmlns:c="http://schemas.openxmlformats.org/drawingml/2006/chart" r:id="rId88"/>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rPr>
          <w:rFonts w:hint="eastAsia" w:ascii="楷体" w:hAnsi="楷体" w:eastAsia="楷体" w:cs="楷体"/>
          <w:kern w:val="2"/>
          <w:sz w:val="22"/>
          <w:szCs w:val="22"/>
        </w:rPr>
      </w:pPr>
      <w:r>
        <w:rPr>
          <w:rFonts w:hint="eastAsia" w:ascii="楷体" w:hAnsi="楷体" w:eastAsia="楷体" w:cs="楷体"/>
          <w:b/>
          <w:bCs/>
          <w:kern w:val="2"/>
          <w:sz w:val="22"/>
          <w:szCs w:val="22"/>
        </w:rPr>
        <w:t>2)喷气式飞机：</w:t>
      </w:r>
      <w:r>
        <w:rPr>
          <w:rFonts w:hint="eastAsia" w:ascii="楷体" w:hAnsi="楷体" w:eastAsia="楷体" w:cs="楷体"/>
          <w:kern w:val="2"/>
          <w:sz w:val="22"/>
          <w:szCs w:val="22"/>
        </w:rPr>
        <w:t>2024年全球五大喷气式飞机制造商合计市场份额达86.91%，其中西锐飞机以约13.22%的份额位列第五（较2019年的约10.0%有所提升）。</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图：全球喷气式飞机交付量市场份额（单位：架）</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15"/>
                <w:szCs w:val="15"/>
              </w:rPr>
            </w:pPr>
            <w:r>
              <w:rPr>
                <w:sz w:val="15"/>
                <w:szCs w:val="15"/>
              </w:rPr>
              <w:drawing>
                <wp:inline distT="0" distB="0" distL="114300" distR="114300">
                  <wp:extent cx="4338320" cy="2731135"/>
                  <wp:effectExtent l="0" t="0" r="5080" b="12065"/>
                  <wp:docPr id="26" name="图表 1"/>
                  <wp:cNvGraphicFramePr/>
                  <a:graphic xmlns:a="http://schemas.openxmlformats.org/drawingml/2006/main">
                    <a:graphicData uri="http://schemas.openxmlformats.org/drawingml/2006/chart">
                      <c:chart xmlns:c="http://schemas.openxmlformats.org/drawingml/2006/chart" r:id="rId89"/>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ascii="楷体" w:hAnsi="楷体" w:eastAsia="楷体" w:cs="Calibri"/>
                <w:kern w:val="2"/>
                <w:sz w:val="22"/>
                <w:szCs w:val="22"/>
              </w:rPr>
              <w:t>GAMA</w:t>
            </w:r>
            <w:r>
              <w:rPr>
                <w:rFonts w:hint="eastAsia" w:ascii="楷体" w:hAnsi="楷体" w:eastAsia="楷体" w:cs="Calibri"/>
                <w:sz w:val="20"/>
                <w:szCs w:val="20"/>
              </w:rPr>
              <w:t>, Wind, HFI</w:t>
            </w:r>
          </w:p>
        </w:tc>
      </w:tr>
    </w:tbl>
    <w:p>
      <w:pPr>
        <w:rPr>
          <w:rFonts w:hint="eastAsia" w:eastAsia="楷体" w:asciiTheme="minorHAnsi" w:hAnsiTheme="minorHAnsi" w:cstheme="minorHAnsi"/>
          <w:kern w:val="2"/>
          <w:sz w:val="22"/>
          <w:szCs w:val="22"/>
        </w:rPr>
      </w:pPr>
    </w:p>
    <w:p>
      <w:pPr>
        <w:pStyle w:val="2"/>
        <w:spacing w:before="240" w:beforeLines="100" w:after="240" w:afterLines="100"/>
        <w:jc w:val="both"/>
        <w:rPr>
          <w:rFonts w:hint="eastAsia" w:ascii="楷体" w:hAnsi="楷体" w:eastAsia="楷体" w:cs="楷体"/>
          <w:b/>
          <w:bCs/>
          <w:color w:val="23558C"/>
          <w:sz w:val="28"/>
          <w:szCs w:val="28"/>
        </w:rPr>
      </w:pPr>
      <w:bookmarkStart w:id="13" w:name="_Toc219028022"/>
      <w:r>
        <w:rPr>
          <w:rFonts w:hint="eastAsia" w:ascii="楷体" w:hAnsi="楷体" w:eastAsia="楷体" w:cs="楷体"/>
          <w:b/>
          <w:bCs/>
          <w:color w:val="23558C"/>
          <w:sz w:val="28"/>
          <w:szCs w:val="28"/>
        </w:rPr>
        <w:t>3 高安全性产品与成熟服务生态构筑强大品牌护城河</w:t>
      </w:r>
      <w:bookmarkEnd w:id="13"/>
    </w:p>
    <w:p>
      <w:pPr>
        <w:pStyle w:val="77"/>
        <w:jc w:val="both"/>
        <w:rPr>
          <w:rFonts w:hint="eastAsia" w:ascii="楷体" w:hAnsi="楷体" w:eastAsia="楷体" w:cs="楷体"/>
          <w:color w:val="23558C"/>
          <w:sz w:val="24"/>
          <w:szCs w:val="24"/>
        </w:rPr>
      </w:pPr>
      <w:bookmarkStart w:id="14" w:name="_Toc219028023"/>
      <w:r>
        <w:rPr>
          <w:rFonts w:hint="eastAsia" w:ascii="楷体" w:hAnsi="楷体" w:eastAsia="楷体" w:cs="楷体"/>
          <w:color w:val="23558C"/>
          <w:sz w:val="24"/>
          <w:szCs w:val="24"/>
        </w:rPr>
        <w:t>3.1 产品矩阵覆盖全谱系需求，高安全性有效解决行业核心痛点</w:t>
      </w:r>
      <w:bookmarkEnd w:id="14"/>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西锐飞机通过“入门级—进阶型—旗舰型”的产品矩阵，覆盖从初级飞行用户到高净值客户的全谱系需求，实现精准市场分层与收入结构多元化。</w:t>
      </w:r>
      <w:r>
        <w:rPr>
          <w:rFonts w:hint="eastAsia" w:ascii="楷体" w:hAnsi="楷体" w:eastAsia="楷体" w:cs="楷体"/>
          <w:kern w:val="2"/>
          <w:sz w:val="22"/>
          <w:szCs w:val="22"/>
        </w:rPr>
        <w:t>公司产品战略的核心为SR2X系列（包括SR20、SR22及SR22T），构成由入门级向高性能单发活塞飞机逐级升级的产品体系，其中SR20面向基础需求市场，而SR22与SR22T则通过持续的性能迭代满足更高阶飞行需求。</w:t>
      </w:r>
    </w:p>
    <w:p>
      <w:pPr>
        <w:jc w:val="both"/>
        <w:rPr>
          <w:rFonts w:hint="eastAsia" w:ascii="楷体" w:hAnsi="楷体" w:eastAsia="楷体" w:cs="楷体"/>
          <w:kern w:val="2"/>
          <w:sz w:val="22"/>
          <w:szCs w:val="22"/>
        </w:rPr>
      </w:pPr>
      <w:r>
        <w:rPr>
          <w:rFonts w:hint="eastAsia" w:ascii="楷体" w:hAnsi="楷体" w:eastAsia="楷体" w:cs="楷体"/>
          <w:kern w:val="2"/>
          <w:sz w:val="22"/>
          <w:szCs w:val="22"/>
        </w:rPr>
        <w:t>在此基础上，Vision Jet作为公司高端产品线，定位于轻型喷气公务机市场，具备更强的飞行性能、更先进的航电系统以及更宽敞的客舱空间，可容纳5名成人及2名儿童，定价显著高于 SR 系列，进一步拓展了公司在高端私人航空领域的市场边界。</w:t>
      </w: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图：主要产品</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067810" cy="2209800"/>
                  <wp:effectExtent l="0" t="0" r="8890" b="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4"/>
                          <a:stretch>
                            <a:fillRect/>
                          </a:stretch>
                        </pic:blipFill>
                        <pic:spPr>
                          <a:xfrm>
                            <a:off x="0" y="0"/>
                            <a:ext cx="4081436" cy="2217487"/>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kern w:val="2"/>
          <w:sz w:val="22"/>
          <w:szCs w:val="22"/>
        </w:rPr>
      </w:pPr>
    </w:p>
    <w:p>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与同行相比，西锐飞机的两大产品线具有鲜明的战略定位：SR系列瞄准高端活塞发动机市场，而Vision Jet则作为涡轮发动机领域的高性价比之选。</w:t>
      </w:r>
    </w:p>
    <w:p>
      <w:pPr>
        <w:rPr>
          <w:rFonts w:hint="eastAsia" w:ascii="楷体" w:hAnsi="楷体" w:eastAsia="楷体" w:cs="楷体"/>
          <w:kern w:val="2"/>
          <w:sz w:val="22"/>
          <w:szCs w:val="22"/>
        </w:rPr>
      </w:pPr>
      <w:r>
        <w:rPr>
          <w:rFonts w:hint="eastAsia" w:ascii="楷体" w:hAnsi="楷体" w:eastAsia="楷体" w:cs="楷体"/>
          <w:b/>
          <w:bCs/>
          <w:kern w:val="2"/>
          <w:sz w:val="22"/>
          <w:szCs w:val="22"/>
        </w:rPr>
        <w:t>1)活塞发动机飞机：</w:t>
      </w:r>
      <w:r>
        <w:rPr>
          <w:rFonts w:hint="eastAsia" w:ascii="楷体" w:hAnsi="楷体" w:eastAsia="楷体" w:cs="楷体"/>
          <w:kern w:val="2"/>
          <w:sz w:val="22"/>
          <w:szCs w:val="22"/>
        </w:rPr>
        <w:t>从平均价格对比来看，Cirrus公司的三款主力机型——SR20、SR22和SR22T，其基础售价分别为63万美元、84万美元和96万美元，均高于活塞发动机飞机行业平均交付价76万美元。</w:t>
      </w:r>
    </w:p>
    <w:p>
      <w:pPr>
        <w:rPr>
          <w:rFonts w:hint="eastAsia" w:ascii="楷体" w:hAnsi="楷体" w:eastAsia="楷体" w:cs="楷体"/>
          <w:kern w:val="2"/>
          <w:sz w:val="22"/>
          <w:szCs w:val="22"/>
        </w:rPr>
      </w:pPr>
      <w:r>
        <w:rPr>
          <w:rFonts w:hint="eastAsia" w:ascii="楷体" w:hAnsi="楷体" w:eastAsia="楷体" w:cs="楷体"/>
          <w:b/>
          <w:bCs/>
          <w:kern w:val="2"/>
          <w:sz w:val="22"/>
          <w:szCs w:val="22"/>
        </w:rPr>
        <w:t>2)</w:t>
      </w:r>
      <w:r>
        <w:rPr>
          <w:rFonts w:hint="eastAsia"/>
        </w:rPr>
        <w:t xml:space="preserve"> </w:t>
      </w:r>
      <w:r>
        <w:rPr>
          <w:rFonts w:hint="eastAsia" w:ascii="楷体" w:hAnsi="楷体" w:eastAsia="楷体" w:cs="楷体"/>
          <w:b/>
          <w:bCs/>
          <w:kern w:val="2"/>
          <w:sz w:val="22"/>
          <w:szCs w:val="22"/>
        </w:rPr>
        <w:t>涡轮式飞机：</w:t>
      </w:r>
      <w:r>
        <w:rPr>
          <w:rFonts w:hint="eastAsia" w:ascii="楷体" w:hAnsi="楷体" w:eastAsia="楷体" w:cs="楷体"/>
          <w:kern w:val="2"/>
          <w:sz w:val="22"/>
          <w:szCs w:val="22"/>
        </w:rPr>
        <w:t>Cirrus主打高性价比，其单座Vision Jet机型（7座）起售价为324万美元。作为对比：Piper M600（6座）352万美元，Epic E1000（6座）419万美元，Daher tBM960（6座）478万美元，Pilatus PC-12 NGX（11座）572万美元，Textron CitationM2（7座）586万美元。</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表：西锐飞机产品与竞品在价格、性能及规格方面的对比</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1750695"/>
                  <wp:effectExtent l="0" t="0" r="6350" b="190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45"/>
                          <a:stretch>
                            <a:fillRect/>
                          </a:stretch>
                        </pic:blipFill>
                        <pic:spPr>
                          <a:xfrm>
                            <a:off x="0" y="0"/>
                            <a:ext cx="4603750" cy="175069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b/>
          <w:bCs/>
          <w:kern w:val="2"/>
          <w:sz w:val="22"/>
          <w:szCs w:val="22"/>
        </w:rPr>
      </w:pPr>
    </w:p>
    <w:p>
      <w:p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西锐通过高安全性产品解决了通用航空行业的核心痛点。</w:t>
      </w:r>
      <w:r>
        <w:rPr>
          <w:rFonts w:hint="eastAsia" w:ascii="楷体" w:hAnsi="楷体" w:eastAsia="楷体" w:cs="楷体"/>
          <w:kern w:val="2"/>
          <w:sz w:val="22"/>
          <w:szCs w:val="22"/>
        </w:rPr>
        <w:t>根据 Frost &amp; Sullivan 数据，西锐飞机每 10 万飞行小时的事故率仅为行业平均水平的约三分之一，显著优于同业。公司主要通过两项关键差异化安全技术有效降低飞行风险。</w:t>
      </w:r>
    </w:p>
    <w:p>
      <w:pPr>
        <w:numPr>
          <w:ilvl w:val="0"/>
          <w:numId w:val="1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全机身降落伞系统：</w:t>
      </w:r>
      <w:r>
        <w:rPr>
          <w:rFonts w:hint="eastAsia" w:ascii="楷体" w:hAnsi="楷体" w:eastAsia="楷体" w:cs="楷体"/>
          <w:kern w:val="2"/>
          <w:sz w:val="22"/>
          <w:szCs w:val="22"/>
        </w:rPr>
        <w:t>自1999年问世以来，这项专利技术已应用于所有西锐公司飞机，累计挽救了250余条生命。</w:t>
      </w:r>
    </w:p>
    <w:p>
      <w:pPr>
        <w:numPr>
          <w:ilvl w:val="0"/>
          <w:numId w:val="19"/>
        </w:numPr>
        <w:jc w:val="both"/>
        <w:rPr>
          <w:rFonts w:hint="eastAsia" w:ascii="楷体" w:hAnsi="楷体" w:eastAsia="楷体" w:cs="楷体"/>
          <w:kern w:val="2"/>
          <w:sz w:val="22"/>
          <w:szCs w:val="22"/>
        </w:rPr>
      </w:pPr>
      <w:r>
        <w:rPr>
          <w:rFonts w:hint="eastAsia" w:ascii="楷体" w:hAnsi="楷体" w:eastAsia="楷体" w:cs="楷体"/>
          <w:b/>
          <w:bCs/>
          <w:kern w:val="2"/>
          <w:sz w:val="22"/>
          <w:szCs w:val="22"/>
        </w:rPr>
        <w:t>安全返航紧急自动着陆系统：</w:t>
      </w:r>
      <w:r>
        <w:rPr>
          <w:rFonts w:hint="eastAsia" w:ascii="楷体" w:hAnsi="楷体" w:eastAsia="楷体" w:cs="楷体"/>
          <w:kern w:val="2"/>
          <w:sz w:val="22"/>
          <w:szCs w:val="22"/>
        </w:rPr>
        <w:t>该系统于2019年末首次应用于Vision Jet客机，2025年5月在SR系列G7+机型上正式启用。当飞行员失去操作能力时，乘客只需轻按按钮即可实现飞机安全着陆。</w:t>
      </w:r>
    </w:p>
    <w:p>
      <w:pPr>
        <w:ind w:left="360"/>
        <w:jc w:val="both"/>
        <w:rPr>
          <w:rFonts w:eastAsia="楷体" w:cs="Calibr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highlight w:val="yellow"/>
              </w:rPr>
            </w:pPr>
            <w:r>
              <w:rPr>
                <w:rFonts w:hint="eastAsia" w:ascii="楷体" w:hAnsi="楷体" w:eastAsia="楷体" w:cs="Calibri"/>
                <w:b/>
                <w:sz w:val="20"/>
                <w:szCs w:val="20"/>
              </w:rPr>
              <w:t>图：全机身降落伞系统</w:t>
            </w:r>
          </w:p>
        </w:tc>
        <w:tc>
          <w:tcPr>
            <w:tcW w:w="241" w:type="dxa"/>
            <w:tcMar>
              <w:left w:w="0" w:type="dxa"/>
              <w:right w:w="28" w:type="dxa"/>
            </w:tcMar>
          </w:tcPr>
          <w:p>
            <w:pPr>
              <w:spacing w:before="48" w:beforeLines="20" w:after="48" w:afterLines="20"/>
              <w:jc w:val="both"/>
              <w:rPr>
                <w:rFonts w:eastAsia="楷体_GB2312" w:cs="Calibri"/>
                <w:sz w:val="20"/>
                <w:szCs w:val="20"/>
                <w:highlight w:val="yellow"/>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图：安全返航紧急自动着陆系统</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107690" cy="2495550"/>
                  <wp:effectExtent l="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46"/>
                          <a:stretch>
                            <a:fillRect/>
                          </a:stretch>
                        </pic:blipFill>
                        <pic:spPr>
                          <a:xfrm>
                            <a:off x="0" y="0"/>
                            <a:ext cx="3112054" cy="2499208"/>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2957830" cy="2418715"/>
                  <wp:effectExtent l="0" t="0" r="0" b="63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47"/>
                          <a:stretch>
                            <a:fillRect/>
                          </a:stretch>
                        </pic:blipFill>
                        <pic:spPr>
                          <a:xfrm>
                            <a:off x="0" y="0"/>
                            <a:ext cx="2985293" cy="2441283"/>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hint="eastAsia" w:eastAsia="楷体" w:asciiTheme="minorHAnsi" w:hAnsiTheme="minorHAnsi" w:cstheme="minorHAns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表：不同情境下的缓解措施</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853055"/>
                  <wp:effectExtent l="0" t="0" r="6350" b="4445"/>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48"/>
                          <a:stretch>
                            <a:fillRect/>
                          </a:stretch>
                        </pic:blipFill>
                        <pic:spPr>
                          <a:xfrm>
                            <a:off x="0" y="0"/>
                            <a:ext cx="4603750" cy="285305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rPr>
          <w:rFonts w:hint="eastAsia" w:eastAsia="楷体" w:asciiTheme="minorHAnsi" w:hAnsiTheme="minorHAnsi" w:cstheme="minorHAnsi"/>
          <w:kern w:val="2"/>
          <w:sz w:val="22"/>
          <w:szCs w:val="22"/>
        </w:rPr>
      </w:pPr>
    </w:p>
    <w:p>
      <w:pPr>
        <w:pStyle w:val="77"/>
        <w:jc w:val="both"/>
        <w:rPr>
          <w:rFonts w:hint="eastAsia" w:ascii="楷体" w:hAnsi="楷体" w:eastAsia="楷体" w:cs="楷体"/>
          <w:b w:val="0"/>
          <w:bCs w:val="0"/>
          <w:color w:val="23558C"/>
          <w:kern w:val="2"/>
          <w:sz w:val="24"/>
          <w:szCs w:val="24"/>
        </w:rPr>
      </w:pPr>
      <w:bookmarkStart w:id="15" w:name="_Toc219028024"/>
      <w:r>
        <w:rPr>
          <w:rFonts w:hint="eastAsia" w:ascii="楷体" w:hAnsi="楷体" w:eastAsia="楷体" w:cs="楷体"/>
          <w:color w:val="23558C"/>
          <w:sz w:val="24"/>
          <w:szCs w:val="24"/>
        </w:rPr>
        <w:t>3.2 完整制造与服务生态体系，构建难以复制的竞争优势</w:t>
      </w:r>
      <w:bookmarkEnd w:id="15"/>
    </w:p>
    <w:p>
      <w:pPr>
        <w:jc w:val="both"/>
        <w:rPr>
          <w:rFonts w:hint="eastAsia" w:ascii="楷体" w:hAnsi="楷体" w:eastAsia="楷体" w:cs="楷体"/>
          <w:b/>
          <w:bCs/>
          <w:kern w:val="2"/>
          <w:sz w:val="22"/>
          <w:szCs w:val="22"/>
          <w:u w:val="single"/>
        </w:rPr>
      </w:pPr>
      <w:r>
        <w:rPr>
          <w:rFonts w:hint="eastAsia" w:ascii="楷体" w:hAnsi="楷体" w:eastAsia="楷体" w:cs="楷体"/>
          <w:b/>
          <w:bCs/>
          <w:kern w:val="2"/>
          <w:sz w:val="22"/>
          <w:szCs w:val="22"/>
          <w:u w:val="single"/>
        </w:rPr>
        <w:t>西锐飞机凭借两大核心生产基地及与全球顶尖供应商的长期合作，有效实现了生产协同效应与供应链稳定。</w:t>
      </w:r>
    </w:p>
    <w:p>
      <w:pPr>
        <w:pStyle w:val="37"/>
        <w:numPr>
          <w:ilvl w:val="0"/>
          <w:numId w:val="20"/>
        </w:numPr>
        <w:jc w:val="both"/>
        <w:rPr>
          <w:rFonts w:hint="eastAsia" w:ascii="楷体" w:hAnsi="楷体" w:eastAsia="楷体" w:cs="楷体"/>
          <w:kern w:val="2"/>
          <w:sz w:val="22"/>
          <w:szCs w:val="22"/>
        </w:rPr>
      </w:pPr>
      <w:r>
        <w:rPr>
          <w:rFonts w:hint="eastAsia" w:ascii="楷体" w:hAnsi="楷体" w:eastAsia="楷体" w:cs="楷体"/>
          <w:b/>
          <w:bCs/>
          <w:kern w:val="2"/>
          <w:sz w:val="22"/>
          <w:szCs w:val="22"/>
        </w:rPr>
        <w:t>两大核心生产基地：</w:t>
      </w:r>
      <w:r>
        <w:rPr>
          <w:rFonts w:hint="eastAsia" w:ascii="楷体" w:hAnsi="楷体" w:eastAsia="楷体" w:cs="楷体"/>
          <w:kern w:val="2"/>
          <w:sz w:val="22"/>
          <w:szCs w:val="22"/>
        </w:rPr>
        <w:t>北达科他州大福克斯工厂专注碳纤维等先进复合材料部件的研发与生产，明尼苏达州杜鲁斯工厂则负责飞机最终组装与测试。通过金属部件制造与子系统生产的垂直整合，实现高效协作。</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表：西锐飞机物业概览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hint="eastAsia" w:ascii="等线" w:hAnsi="等线"/>
              </w:rPr>
              <w:drawing>
                <wp:inline distT="0" distB="0" distL="0" distR="0">
                  <wp:extent cx="6343650" cy="1219200"/>
                  <wp:effectExtent l="0" t="0" r="0" b="0"/>
                  <wp:docPr id="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343650" cy="121920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pStyle w:val="37"/>
        <w:numPr>
          <w:ilvl w:val="0"/>
          <w:numId w:val="20"/>
        </w:numPr>
        <w:jc w:val="both"/>
        <w:rPr>
          <w:rFonts w:hint="eastAsia" w:ascii="楷体" w:hAnsi="楷体" w:eastAsia="楷体" w:cs="楷体"/>
          <w:kern w:val="2"/>
          <w:sz w:val="22"/>
          <w:szCs w:val="22"/>
        </w:rPr>
      </w:pPr>
      <w:r>
        <w:rPr>
          <w:rFonts w:hint="eastAsia" w:ascii="楷体" w:hAnsi="楷体" w:eastAsia="楷体" w:cs="楷体"/>
          <w:b/>
          <w:bCs/>
          <w:kern w:val="2"/>
          <w:sz w:val="22"/>
          <w:szCs w:val="22"/>
        </w:rPr>
        <w:t>西锐公司拥有完善的供应链管理体系</w:t>
      </w:r>
      <w:r>
        <w:rPr>
          <w:rFonts w:hint="eastAsia" w:ascii="楷体" w:hAnsi="楷体" w:eastAsia="楷体" w:cs="楷体"/>
          <w:kern w:val="2"/>
          <w:sz w:val="22"/>
          <w:szCs w:val="22"/>
        </w:rPr>
        <w:t>，通过与全球顶尖供应商建立长期合作关系，主要保障原材料质量及零部件供应稳定性。其供应商主要来自航空电子系统、复合材料、推进系统以及客舱与内饰系统的制造商和开发商。</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pPr>
              <w:pStyle w:val="74"/>
              <w:keepNext/>
              <w:numPr>
                <w:ilvl w:val="0"/>
                <w:numId w:val="0"/>
              </w:numPr>
              <w:rPr>
                <w:rFonts w:hint="eastAsia" w:ascii="楷体" w:hAnsi="楷体" w:eastAsia="楷体"/>
              </w:rPr>
            </w:pPr>
            <w:r>
              <w:rPr>
                <w:rFonts w:hint="eastAsia" w:ascii="楷体" w:hAnsi="楷体" w:eastAsia="楷体" w:cs="Calibri"/>
                <w:bCs w:val="0"/>
                <w:snapToGrid w:val="0"/>
                <w:sz w:val="20"/>
                <w:szCs w:val="20"/>
              </w:rPr>
              <w:t>表：西锐飞机主要供应商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vAlign w:val="center"/>
          </w:tcPr>
          <w:p>
            <w:pPr>
              <w:pStyle w:val="75"/>
              <w:keepNext/>
              <w:jc w:val="center"/>
              <w:rPr>
                <w:rFonts w:hint="eastAsia" w:ascii="等线" w:hAnsi="等线"/>
              </w:rPr>
            </w:pPr>
            <w:r>
              <w:rPr>
                <w:rFonts w:hint="eastAsia" w:ascii="等线" w:hAnsi="等线"/>
              </w:rPr>
              <w:drawing>
                <wp:inline distT="0" distB="0" distL="0" distR="0">
                  <wp:extent cx="6343650" cy="1605280"/>
                  <wp:effectExtent l="0" t="0" r="0" b="0"/>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6343650" cy="1605280"/>
                          </a:xfrm>
                          <a:prstGeom prst="rect">
                            <a:avLst/>
                          </a:prstGeom>
                          <a:noFill/>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pPr>
              <w:pStyle w:val="76"/>
              <w:rPr>
                <w:rFonts w:hint="eastAsia" w:ascii="楷体" w:hAnsi="楷体" w:eastAsia="楷体"/>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 w:cs="Calibri"/>
          <w:kern w:val="2"/>
          <w:sz w:val="22"/>
          <w:szCs w:val="22"/>
        </w:rPr>
      </w:pPr>
      <w:r>
        <w:rPr>
          <w:rFonts w:hint="eastAsia" w:eastAsia="楷体" w:cs="Calibri"/>
          <w:b/>
          <w:bCs/>
          <w:kern w:val="2"/>
          <w:sz w:val="22"/>
          <w:szCs w:val="22"/>
        </w:rPr>
        <w:t>西锐不断构建其服务生态系统，以提升客户忠诚度。</w:t>
      </w:r>
      <w:r>
        <w:rPr>
          <w:rFonts w:hint="eastAsia" w:eastAsia="楷体" w:cs="Calibri"/>
          <w:kern w:val="2"/>
          <w:sz w:val="22"/>
          <w:szCs w:val="22"/>
        </w:rPr>
        <w:t>它提供包括飞行员培训中心、飞行培训、维护、飞机管理以及融资</w:t>
      </w:r>
      <w:r>
        <w:rPr>
          <w:rFonts w:eastAsia="楷体" w:cs="Calibri"/>
          <w:kern w:val="2"/>
          <w:sz w:val="22"/>
          <w:szCs w:val="22"/>
        </w:rPr>
        <w:t>/</w:t>
      </w:r>
      <w:r>
        <w:rPr>
          <w:rFonts w:hint="eastAsia" w:eastAsia="楷体" w:cs="Calibri"/>
          <w:kern w:val="2"/>
          <w:sz w:val="22"/>
          <w:szCs w:val="22"/>
        </w:rPr>
        <w:t>保险在内的全生命周期服务。公司以飞机销售为切入点，将变现能力延伸至整个所有权周期，从而形成一个高客户粘性的关系闭环，这标志着其从纯粹的硬件销售向“产品</w:t>
      </w:r>
      <w:r>
        <w:rPr>
          <w:rFonts w:eastAsia="楷体" w:cs="Calibri"/>
          <w:kern w:val="2"/>
          <w:sz w:val="22"/>
          <w:szCs w:val="22"/>
        </w:rPr>
        <w:t xml:space="preserve"> + </w:t>
      </w:r>
      <w:r>
        <w:rPr>
          <w:rFonts w:hint="eastAsia" w:eastAsia="楷体" w:cs="Calibri"/>
          <w:kern w:val="2"/>
          <w:sz w:val="22"/>
          <w:szCs w:val="22"/>
        </w:rPr>
        <w:t>服务”生态系统的战略转型。</w:t>
      </w:r>
    </w:p>
    <w:p>
      <w:pPr>
        <w:jc w:val="both"/>
        <w:rPr>
          <w:rFonts w:eastAsia="楷体" w:cs="Calibri"/>
          <w:b/>
          <w:bCs/>
          <w:kern w:val="2"/>
          <w:sz w:val="22"/>
          <w:szCs w:val="22"/>
        </w:rPr>
      </w:pPr>
      <w:r>
        <w:rPr>
          <w:rFonts w:eastAsia="楷体" w:cs="Calibri"/>
          <w:b/>
          <w:bCs/>
          <w:kern w:val="2"/>
          <w:sz w:val="22"/>
          <w:szCs w:val="22"/>
        </w:rPr>
        <w:t xml:space="preserve">1) </w:t>
      </w:r>
      <w:r>
        <w:rPr>
          <w:rFonts w:hint="eastAsia" w:eastAsia="楷体" w:cs="Calibri"/>
          <w:b/>
          <w:bCs/>
          <w:kern w:val="2"/>
          <w:sz w:val="22"/>
          <w:szCs w:val="22"/>
        </w:rPr>
        <w:t>飞机维护与支持网络</w:t>
      </w:r>
    </w:p>
    <w:p>
      <w:pPr>
        <w:jc w:val="both"/>
        <w:rPr>
          <w:rFonts w:eastAsia="楷体" w:cs="Calibri"/>
          <w:kern w:val="2"/>
          <w:sz w:val="22"/>
          <w:szCs w:val="22"/>
        </w:rPr>
      </w:pPr>
      <w:r>
        <w:rPr>
          <w:rFonts w:hint="eastAsia" w:eastAsia="楷体" w:cs="Calibri"/>
          <w:kern w:val="2"/>
          <w:sz w:val="22"/>
          <w:szCs w:val="22"/>
        </w:rPr>
        <w:t>西锐运营着</w:t>
      </w:r>
      <w:r>
        <w:rPr>
          <w:rFonts w:eastAsia="楷体" w:cs="Calibri"/>
          <w:kern w:val="2"/>
          <w:sz w:val="22"/>
          <w:szCs w:val="22"/>
        </w:rPr>
        <w:t xml:space="preserve"> 4 </w:t>
      </w:r>
      <w:r>
        <w:rPr>
          <w:rFonts w:hint="eastAsia" w:eastAsia="楷体" w:cs="Calibri"/>
          <w:kern w:val="2"/>
          <w:sz w:val="22"/>
          <w:szCs w:val="22"/>
        </w:rPr>
        <w:t>个公司自营服务中心和遍布全球的</w:t>
      </w:r>
      <w:r>
        <w:rPr>
          <w:rFonts w:eastAsia="楷体" w:cs="Calibri"/>
          <w:kern w:val="2"/>
          <w:sz w:val="22"/>
          <w:szCs w:val="22"/>
        </w:rPr>
        <w:t xml:space="preserve"> 242 </w:t>
      </w:r>
      <w:r>
        <w:rPr>
          <w:rFonts w:hint="eastAsia" w:eastAsia="楷体" w:cs="Calibri"/>
          <w:kern w:val="2"/>
          <w:sz w:val="22"/>
          <w:szCs w:val="22"/>
        </w:rPr>
        <w:t>个授权服务中心（分布：北美</w:t>
      </w:r>
      <w:r>
        <w:rPr>
          <w:rFonts w:eastAsia="楷体" w:cs="Calibri"/>
          <w:kern w:val="2"/>
          <w:sz w:val="22"/>
          <w:szCs w:val="22"/>
        </w:rPr>
        <w:t xml:space="preserve"> 183 </w:t>
      </w:r>
      <w:r>
        <w:rPr>
          <w:rFonts w:hint="eastAsia" w:eastAsia="楷体" w:cs="Calibri"/>
          <w:kern w:val="2"/>
          <w:sz w:val="22"/>
          <w:szCs w:val="22"/>
        </w:rPr>
        <w:t>个，欧洲</w:t>
      </w:r>
      <w:r>
        <w:rPr>
          <w:rFonts w:eastAsia="楷体" w:cs="Calibri"/>
          <w:kern w:val="2"/>
          <w:sz w:val="22"/>
          <w:szCs w:val="22"/>
        </w:rPr>
        <w:t xml:space="preserve"> 29 </w:t>
      </w:r>
      <w:r>
        <w:rPr>
          <w:rFonts w:hint="eastAsia" w:eastAsia="楷体" w:cs="Calibri"/>
          <w:kern w:val="2"/>
          <w:sz w:val="22"/>
          <w:szCs w:val="22"/>
        </w:rPr>
        <w:t>个，亚洲</w:t>
      </w:r>
      <w:r>
        <w:rPr>
          <w:rFonts w:eastAsia="楷体" w:cs="Calibri"/>
          <w:kern w:val="2"/>
          <w:sz w:val="22"/>
          <w:szCs w:val="22"/>
        </w:rPr>
        <w:t xml:space="preserve"> 7 </w:t>
      </w:r>
      <w:r>
        <w:rPr>
          <w:rFonts w:hint="eastAsia" w:eastAsia="楷体" w:cs="Calibri"/>
          <w:kern w:val="2"/>
          <w:sz w:val="22"/>
          <w:szCs w:val="22"/>
        </w:rPr>
        <w:t>个等），提供</w:t>
      </w:r>
      <w:r>
        <w:rPr>
          <w:rFonts w:eastAsia="楷体" w:cs="Calibri"/>
          <w:kern w:val="2"/>
          <w:sz w:val="22"/>
          <w:szCs w:val="22"/>
        </w:rPr>
        <w:t xml:space="preserve"> 24/7 </w:t>
      </w:r>
      <w:r>
        <w:rPr>
          <w:rFonts w:hint="eastAsia" w:eastAsia="楷体" w:cs="Calibri"/>
          <w:kern w:val="2"/>
          <w:sz w:val="22"/>
          <w:szCs w:val="22"/>
        </w:rPr>
        <w:t>全球范围内的</w:t>
      </w:r>
      <w:r>
        <w:rPr>
          <w:rFonts w:eastAsia="楷体" w:cs="Calibri"/>
          <w:kern w:val="2"/>
          <w:sz w:val="22"/>
          <w:szCs w:val="22"/>
        </w:rPr>
        <w:t xml:space="preserve"> AOG</w:t>
      </w:r>
      <w:r>
        <w:rPr>
          <w:rFonts w:hint="eastAsia" w:eastAsia="楷体" w:cs="Calibri"/>
          <w:kern w:val="2"/>
          <w:sz w:val="22"/>
          <w:szCs w:val="22"/>
        </w:rPr>
        <w:t>（飞机停场）移动支持服务。主要维护项目包括：</w:t>
      </w:r>
      <w:r>
        <w:rPr>
          <w:rFonts w:eastAsia="楷体" w:cs="Calibri"/>
          <w:kern w:val="2"/>
          <w:sz w:val="22"/>
          <w:szCs w:val="22"/>
        </w:rPr>
        <w:t xml:space="preserve">JetStream </w:t>
      </w:r>
      <w:r>
        <w:rPr>
          <w:rFonts w:hint="eastAsia" w:eastAsia="楷体" w:cs="Calibri"/>
          <w:kern w:val="2"/>
          <w:sz w:val="22"/>
          <w:szCs w:val="22"/>
        </w:rPr>
        <w:t>计划：全面的预付费维护计划（涵盖零件更换、培训、</w:t>
      </w:r>
      <w:r>
        <w:rPr>
          <w:rFonts w:eastAsia="楷体" w:cs="Calibri"/>
          <w:kern w:val="2"/>
          <w:sz w:val="22"/>
          <w:szCs w:val="22"/>
        </w:rPr>
        <w:t xml:space="preserve">10 </w:t>
      </w:r>
      <w:r>
        <w:rPr>
          <w:rFonts w:hint="eastAsia" w:eastAsia="楷体" w:cs="Calibri"/>
          <w:kern w:val="2"/>
          <w:sz w:val="22"/>
          <w:szCs w:val="22"/>
        </w:rPr>
        <w:t>年机身大修等），价格约为每年</w:t>
      </w:r>
      <w:r>
        <w:rPr>
          <w:rFonts w:eastAsia="楷体" w:cs="Calibri"/>
          <w:kern w:val="2"/>
          <w:sz w:val="22"/>
          <w:szCs w:val="22"/>
        </w:rPr>
        <w:t xml:space="preserve"> 96,000 </w:t>
      </w:r>
      <w:r>
        <w:rPr>
          <w:rFonts w:hint="eastAsia" w:eastAsia="楷体" w:cs="Calibri"/>
          <w:kern w:val="2"/>
          <w:sz w:val="22"/>
          <w:szCs w:val="22"/>
        </w:rPr>
        <w:t>至</w:t>
      </w:r>
      <w:r>
        <w:rPr>
          <w:rFonts w:eastAsia="楷体" w:cs="Calibri"/>
          <w:kern w:val="2"/>
          <w:sz w:val="22"/>
          <w:szCs w:val="22"/>
        </w:rPr>
        <w:t xml:space="preserve"> 225,000 </w:t>
      </w:r>
      <w:r>
        <w:rPr>
          <w:rFonts w:hint="eastAsia" w:eastAsia="楷体" w:cs="Calibri"/>
          <w:kern w:val="2"/>
          <w:sz w:val="22"/>
          <w:szCs w:val="22"/>
        </w:rPr>
        <w:t>美元，符合条件的机主参与率达</w:t>
      </w:r>
      <w:r>
        <w:rPr>
          <w:rFonts w:eastAsia="楷体" w:cs="Calibri"/>
          <w:kern w:val="2"/>
          <w:sz w:val="22"/>
          <w:szCs w:val="22"/>
        </w:rPr>
        <w:t xml:space="preserve"> 100%</w:t>
      </w:r>
      <w:r>
        <w:rPr>
          <w:rFonts w:hint="eastAsia" w:eastAsia="楷体" w:cs="Calibri"/>
          <w:kern w:val="2"/>
          <w:sz w:val="22"/>
          <w:szCs w:val="22"/>
        </w:rPr>
        <w:t>；</w:t>
      </w:r>
      <w:r>
        <w:rPr>
          <w:rFonts w:eastAsia="楷体" w:cs="Calibri"/>
          <w:kern w:val="2"/>
          <w:sz w:val="22"/>
          <w:szCs w:val="22"/>
        </w:rPr>
        <w:t>Cirrus ASSIST</w:t>
      </w:r>
      <w:r>
        <w:rPr>
          <w:rFonts w:hint="eastAsia" w:eastAsia="楷体" w:cs="Calibri"/>
          <w:kern w:val="2"/>
          <w:sz w:val="22"/>
          <w:szCs w:val="22"/>
        </w:rPr>
        <w:t>：快速</w:t>
      </w:r>
      <w:r>
        <w:rPr>
          <w:rFonts w:eastAsia="楷体" w:cs="Calibri"/>
          <w:kern w:val="2"/>
          <w:sz w:val="22"/>
          <w:szCs w:val="22"/>
        </w:rPr>
        <w:t xml:space="preserve"> AOG </w:t>
      </w:r>
      <w:r>
        <w:rPr>
          <w:rFonts w:hint="eastAsia" w:eastAsia="楷体" w:cs="Calibri"/>
          <w:kern w:val="2"/>
          <w:sz w:val="22"/>
          <w:szCs w:val="22"/>
        </w:rPr>
        <w:t>响应</w:t>
      </w:r>
      <w:r>
        <w:rPr>
          <w:rFonts w:eastAsia="楷体" w:cs="Calibri"/>
          <w:kern w:val="2"/>
          <w:sz w:val="22"/>
          <w:szCs w:val="22"/>
        </w:rPr>
        <w:t xml:space="preserve"> + </w:t>
      </w:r>
      <w:r>
        <w:rPr>
          <w:rFonts w:hint="eastAsia" w:eastAsia="楷体" w:cs="Calibri"/>
          <w:kern w:val="2"/>
          <w:sz w:val="22"/>
          <w:szCs w:val="22"/>
        </w:rPr>
        <w:t>内外升级和改装，按工时和零件收费；</w:t>
      </w:r>
      <w:r>
        <w:rPr>
          <w:rFonts w:eastAsia="楷体" w:cs="Calibri"/>
          <w:kern w:val="2"/>
          <w:sz w:val="22"/>
          <w:szCs w:val="22"/>
        </w:rPr>
        <w:t>Cirrus Direct</w:t>
      </w:r>
      <w:r>
        <w:rPr>
          <w:rFonts w:hint="eastAsia" w:eastAsia="楷体" w:cs="Calibri"/>
          <w:kern w:val="2"/>
          <w:sz w:val="22"/>
          <w:szCs w:val="22"/>
        </w:rPr>
        <w:t>：在线平台，客户可直接订购零件和升级服务，按组件计费。</w:t>
      </w:r>
    </w:p>
    <w:p>
      <w:pPr>
        <w:jc w:val="both"/>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eastAsia="楷体_GB2312" w:cs="Calibri"/>
                <w:b/>
                <w:bCs/>
                <w:sz w:val="20"/>
                <w:szCs w:val="20"/>
              </w:rPr>
            </w:pPr>
            <w:r>
              <w:rPr>
                <w:rFonts w:hint="eastAsia" w:eastAsia="楷体" w:cs="Calibri"/>
                <w:b/>
                <w:bCs/>
                <w:kern w:val="2"/>
                <w:sz w:val="20"/>
                <w:szCs w:val="20"/>
              </w:rPr>
              <w:t>图：飞机维护与支持网络</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rFonts w:eastAsia="宋体" w:cs="Calibri"/>
                <w:b/>
                <w:bCs/>
                <w:sz w:val="20"/>
                <w:szCs w:val="20"/>
              </w:rPr>
              <w:drawing>
                <wp:inline distT="0" distB="0" distL="0" distR="0">
                  <wp:extent cx="3311525" cy="1446530"/>
                  <wp:effectExtent l="0" t="0" r="3175" b="127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51"/>
                          <a:stretch>
                            <a:fillRect/>
                          </a:stretch>
                        </pic:blipFill>
                        <pic:spPr>
                          <a:xfrm>
                            <a:off x="0" y="0"/>
                            <a:ext cx="3365668" cy="1470288"/>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r>
        <w:rPr>
          <w:rFonts w:eastAsia="楷体" w:cs="Calibri"/>
          <w:b/>
          <w:bCs/>
          <w:kern w:val="2"/>
          <w:sz w:val="22"/>
          <w:szCs w:val="22"/>
        </w:rPr>
        <w:t>2</w:t>
      </w:r>
      <w:r>
        <w:rPr>
          <w:rFonts w:hint="eastAsia" w:eastAsia="楷体" w:cs="Calibri"/>
          <w:b/>
          <w:bCs/>
          <w:kern w:val="2"/>
          <w:sz w:val="22"/>
          <w:szCs w:val="22"/>
        </w:rPr>
        <w:t>）二手飞机业务</w:t>
      </w:r>
    </w:p>
    <w:p>
      <w:pPr>
        <w:rPr>
          <w:rFonts w:eastAsia="楷体" w:cs="Calibri"/>
          <w:kern w:val="2"/>
          <w:sz w:val="22"/>
          <w:szCs w:val="22"/>
        </w:rPr>
      </w:pPr>
      <w:r>
        <w:rPr>
          <w:rFonts w:hint="eastAsia" w:eastAsia="楷体" w:cs="Calibri"/>
          <w:kern w:val="2"/>
          <w:sz w:val="22"/>
          <w:szCs w:val="22"/>
        </w:rPr>
        <w:t>西锐运营着全球规模最大、最活跃的二手西锐飞机交易平台。公司收购二手飞机作为库存，然后加价出售以赚取差价（不收取任何额外服务费）。</w:t>
      </w:r>
    </w:p>
    <w:p>
      <w:pPr>
        <w:rPr>
          <w:rFonts w:eastAsia="楷体" w:cs="Calibri"/>
          <w:kern w:val="2"/>
          <w:sz w:val="22"/>
          <w:szCs w:val="22"/>
        </w:rPr>
      </w:pPr>
    </w:p>
    <w:p>
      <w:pPr>
        <w:rPr>
          <w:rFonts w:eastAsia="楷体" w:cs="Calibri"/>
          <w:b/>
          <w:bCs/>
          <w:kern w:val="2"/>
          <w:sz w:val="22"/>
          <w:szCs w:val="22"/>
        </w:rPr>
      </w:pPr>
      <w:r>
        <w:rPr>
          <w:rFonts w:eastAsia="楷体" w:cs="Calibri"/>
          <w:b/>
          <w:bCs/>
          <w:kern w:val="2"/>
          <w:sz w:val="22"/>
          <w:szCs w:val="22"/>
        </w:rPr>
        <w:t>3</w:t>
      </w:r>
      <w:r>
        <w:rPr>
          <w:rFonts w:hint="eastAsia" w:eastAsia="楷体" w:cs="Calibri"/>
          <w:b/>
          <w:bCs/>
          <w:kern w:val="2"/>
          <w:sz w:val="22"/>
          <w:szCs w:val="22"/>
        </w:rPr>
        <w:t>）飞行培训服务</w:t>
      </w:r>
    </w:p>
    <w:p>
      <w:pPr>
        <w:rPr>
          <w:rFonts w:eastAsia="楷体" w:cs="Calibri"/>
          <w:kern w:val="2"/>
          <w:sz w:val="22"/>
          <w:szCs w:val="22"/>
        </w:rPr>
      </w:pPr>
      <w:r>
        <w:rPr>
          <w:rFonts w:hint="eastAsia" w:eastAsia="楷体" w:cs="Calibri"/>
          <w:kern w:val="2"/>
          <w:sz w:val="22"/>
          <w:szCs w:val="22"/>
        </w:rPr>
        <w:t>截至</w:t>
      </w:r>
      <w:r>
        <w:rPr>
          <w:rFonts w:eastAsia="楷体" w:cs="Calibri"/>
          <w:kern w:val="2"/>
          <w:sz w:val="22"/>
          <w:szCs w:val="22"/>
        </w:rPr>
        <w:t xml:space="preserve"> 2023 </w:t>
      </w:r>
      <w:r>
        <w:rPr>
          <w:rFonts w:hint="eastAsia" w:eastAsia="楷体" w:cs="Calibri"/>
          <w:kern w:val="2"/>
          <w:sz w:val="22"/>
          <w:szCs w:val="22"/>
        </w:rPr>
        <w:t>年</w:t>
      </w:r>
      <w:r>
        <w:rPr>
          <w:rFonts w:eastAsia="楷体" w:cs="Calibri"/>
          <w:kern w:val="2"/>
          <w:sz w:val="22"/>
          <w:szCs w:val="22"/>
        </w:rPr>
        <w:t xml:space="preserve"> 12 </w:t>
      </w:r>
      <w:r>
        <w:rPr>
          <w:rFonts w:hint="eastAsia" w:eastAsia="楷体" w:cs="Calibri"/>
          <w:kern w:val="2"/>
          <w:sz w:val="22"/>
          <w:szCs w:val="22"/>
        </w:rPr>
        <w:t>月</w:t>
      </w:r>
      <w:r>
        <w:rPr>
          <w:rFonts w:eastAsia="楷体" w:cs="Calibri"/>
          <w:kern w:val="2"/>
          <w:sz w:val="22"/>
          <w:szCs w:val="22"/>
        </w:rPr>
        <w:t xml:space="preserve"> 31 </w:t>
      </w:r>
      <w:r>
        <w:rPr>
          <w:rFonts w:hint="eastAsia" w:eastAsia="楷体" w:cs="Calibri"/>
          <w:kern w:val="2"/>
          <w:sz w:val="22"/>
          <w:szCs w:val="22"/>
        </w:rPr>
        <w:t>日，公司在美国田纳西州、亚利桑那州、德克萨斯州和佛罗里达州设有四个原厂培训中心，并在</w:t>
      </w:r>
      <w:r>
        <w:rPr>
          <w:rFonts w:eastAsia="楷体" w:cs="Calibri"/>
          <w:kern w:val="2"/>
          <w:sz w:val="22"/>
          <w:szCs w:val="22"/>
        </w:rPr>
        <w:t xml:space="preserve"> 13 </w:t>
      </w:r>
      <w:r>
        <w:rPr>
          <w:rFonts w:hint="eastAsia" w:eastAsia="楷体" w:cs="Calibri"/>
          <w:kern w:val="2"/>
          <w:sz w:val="22"/>
          <w:szCs w:val="22"/>
        </w:rPr>
        <w:t>个国家</w:t>
      </w:r>
      <w:r>
        <w:rPr>
          <w:rFonts w:eastAsia="楷体" w:cs="Calibri"/>
          <w:kern w:val="2"/>
          <w:sz w:val="22"/>
          <w:szCs w:val="22"/>
        </w:rPr>
        <w:t>/</w:t>
      </w:r>
      <w:r>
        <w:rPr>
          <w:rFonts w:hint="eastAsia" w:eastAsia="楷体" w:cs="Calibri"/>
          <w:kern w:val="2"/>
          <w:sz w:val="22"/>
          <w:szCs w:val="22"/>
        </w:rPr>
        <w:t>地区拥有</w:t>
      </w:r>
      <w:r>
        <w:rPr>
          <w:rFonts w:eastAsia="楷体" w:cs="Calibri"/>
          <w:kern w:val="2"/>
          <w:sz w:val="22"/>
          <w:szCs w:val="22"/>
        </w:rPr>
        <w:t xml:space="preserve"> 118 </w:t>
      </w:r>
      <w:r>
        <w:rPr>
          <w:rFonts w:hint="eastAsia" w:eastAsia="楷体" w:cs="Calibri"/>
          <w:kern w:val="2"/>
          <w:sz w:val="22"/>
          <w:szCs w:val="22"/>
        </w:rPr>
        <w:t>个授权培训中心（其中</w:t>
      </w:r>
      <w:r>
        <w:rPr>
          <w:rFonts w:eastAsia="楷体" w:cs="Calibri"/>
          <w:kern w:val="2"/>
          <w:sz w:val="22"/>
          <w:szCs w:val="22"/>
        </w:rPr>
        <w:t xml:space="preserve"> 94 </w:t>
      </w:r>
      <w:r>
        <w:rPr>
          <w:rFonts w:hint="eastAsia" w:eastAsia="楷体" w:cs="Calibri"/>
          <w:kern w:val="2"/>
          <w:sz w:val="22"/>
          <w:szCs w:val="22"/>
        </w:rPr>
        <w:t>个位于美国，</w:t>
      </w:r>
      <w:r>
        <w:rPr>
          <w:rFonts w:eastAsia="楷体" w:cs="Calibri"/>
          <w:kern w:val="2"/>
          <w:sz w:val="22"/>
          <w:szCs w:val="22"/>
        </w:rPr>
        <w:t xml:space="preserve">16 </w:t>
      </w:r>
      <w:r>
        <w:rPr>
          <w:rFonts w:hint="eastAsia" w:eastAsia="楷体" w:cs="Calibri"/>
          <w:kern w:val="2"/>
          <w:sz w:val="22"/>
          <w:szCs w:val="22"/>
        </w:rPr>
        <w:t>个位于欧洲）。主要培训项目包括：现场模拟机及过渡培训；</w:t>
      </w:r>
      <w:r>
        <w:rPr>
          <w:rFonts w:eastAsia="楷体" w:cs="Calibri"/>
          <w:kern w:val="2"/>
          <w:sz w:val="22"/>
          <w:szCs w:val="22"/>
        </w:rPr>
        <w:t xml:space="preserve">Cirrus Approach——SR2X </w:t>
      </w:r>
      <w:r>
        <w:rPr>
          <w:rFonts w:hint="eastAsia" w:eastAsia="楷体" w:cs="Calibri"/>
          <w:kern w:val="2"/>
          <w:sz w:val="22"/>
          <w:szCs w:val="22"/>
        </w:rPr>
        <w:t>系列和</w:t>
      </w:r>
      <w:r>
        <w:rPr>
          <w:rFonts w:eastAsia="楷体" w:cs="Calibri"/>
          <w:kern w:val="2"/>
          <w:sz w:val="22"/>
          <w:szCs w:val="22"/>
        </w:rPr>
        <w:t xml:space="preserve"> Vision Jet </w:t>
      </w:r>
      <w:r>
        <w:rPr>
          <w:rFonts w:hint="eastAsia" w:eastAsia="楷体" w:cs="Calibri"/>
          <w:kern w:val="2"/>
          <w:sz w:val="22"/>
          <w:szCs w:val="22"/>
        </w:rPr>
        <w:t>的在线课程；</w:t>
      </w:r>
      <w:r>
        <w:rPr>
          <w:rFonts w:eastAsia="楷体" w:cs="Calibri"/>
          <w:kern w:val="2"/>
          <w:sz w:val="22"/>
          <w:szCs w:val="22"/>
        </w:rPr>
        <w:t>Cirrus Embark——</w:t>
      </w:r>
      <w:r>
        <w:rPr>
          <w:rFonts w:hint="eastAsia" w:eastAsia="楷体" w:cs="Calibri"/>
          <w:kern w:val="2"/>
          <w:sz w:val="22"/>
          <w:szCs w:val="22"/>
        </w:rPr>
        <w:t>为二手</w:t>
      </w:r>
      <w:r>
        <w:rPr>
          <w:rFonts w:eastAsia="楷体" w:cs="Calibri"/>
          <w:kern w:val="2"/>
          <w:sz w:val="22"/>
          <w:szCs w:val="22"/>
        </w:rPr>
        <w:t xml:space="preserve"> SR2X/Vision Jet </w:t>
      </w:r>
      <w:r>
        <w:rPr>
          <w:rFonts w:hint="eastAsia" w:eastAsia="楷体" w:cs="Calibri"/>
          <w:kern w:val="2"/>
          <w:sz w:val="22"/>
          <w:szCs w:val="22"/>
        </w:rPr>
        <w:t>买家提供的免费过渡培训；私人飞行员执照培训（包括强化型</w:t>
      </w:r>
      <w:r>
        <w:rPr>
          <w:rFonts w:eastAsia="楷体" w:cs="Calibri"/>
          <w:kern w:val="2"/>
          <w:sz w:val="22"/>
          <w:szCs w:val="22"/>
        </w:rPr>
        <w:t xml:space="preserve"> SR22 </w:t>
      </w:r>
      <w:r>
        <w:rPr>
          <w:rFonts w:hint="eastAsia" w:eastAsia="楷体" w:cs="Calibri"/>
          <w:kern w:val="2"/>
          <w:sz w:val="22"/>
          <w:szCs w:val="22"/>
        </w:rPr>
        <w:t>课程）。</w:t>
      </w: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图：西锐飞机训练中心</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hint="eastAsia" w:ascii="楷体" w:hAnsi="楷体" w:eastAsia="楷体" w:cs="Calibri"/>
                <w:b/>
                <w:sz w:val="20"/>
                <w:szCs w:val="20"/>
              </w:rPr>
            </w:pPr>
            <w:r>
              <w:rPr>
                <w:rFonts w:hint="eastAsia" w:ascii="楷体" w:hAnsi="楷体" w:eastAsia="楷体" w:cs="Calibri"/>
                <w:b/>
                <w:sz w:val="20"/>
                <w:szCs w:val="20"/>
              </w:rPr>
              <w:t>图：西锐飞机授权培训中心</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001520"/>
                  <wp:effectExtent l="0" t="0" r="0" b="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52"/>
                          <a:stretch>
                            <a:fillRect/>
                          </a:stretch>
                        </pic:blipFill>
                        <pic:spPr>
                          <a:xfrm>
                            <a:off x="0" y="0"/>
                            <a:ext cx="3240000" cy="2002113"/>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39770" cy="2040255"/>
                  <wp:effectExtent l="0" t="0" r="0" b="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53"/>
                          <a:stretch>
                            <a:fillRect/>
                          </a:stretch>
                        </pic:blipFill>
                        <pic:spPr>
                          <a:xfrm>
                            <a:off x="0" y="0"/>
                            <a:ext cx="3240000" cy="2040681"/>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color w:val="000000"/>
                <w:sz w:val="20"/>
                <w:szCs w:val="20"/>
                <w:lang w:bidi="ar"/>
              </w:rPr>
            </w:pPr>
            <w:r>
              <w:rPr>
                <w:rFonts w:hint="eastAsia" w:ascii="楷体" w:hAnsi="楷体" w:eastAsia="楷体" w:cs="Calibri"/>
                <w:b/>
                <w:sz w:val="20"/>
                <w:szCs w:val="20"/>
              </w:rPr>
              <w:t>图：西锐飞机基地</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eastAsia="楷体_GB2312" w:cs="Calibri"/>
                <w:b/>
                <w:sz w:val="20"/>
                <w:szCs w:val="20"/>
              </w:rPr>
            </w:pPr>
            <w:r>
              <w:rPr>
                <w:rFonts w:hint="eastAsia" w:ascii="楷体" w:hAnsi="楷体" w:eastAsia="楷体" w:cs="Calibri"/>
                <w:b/>
                <w:bCs/>
                <w:sz w:val="20"/>
                <w:szCs w:val="20"/>
              </w:rPr>
              <w:t>图</w:t>
            </w:r>
            <w:r>
              <w:rPr>
                <w:rFonts w:ascii="楷体" w:hAnsi="楷体" w:eastAsia="楷体" w:cs="Calibri"/>
                <w:b/>
                <w:bCs/>
                <w:sz w:val="20"/>
                <w:szCs w:val="20"/>
              </w:rPr>
              <w:t>:</w:t>
            </w:r>
            <w:r>
              <w:rPr>
                <w:rFonts w:hint="eastAsia" w:ascii="楷体" w:hAnsi="楷体" w:eastAsia="楷体" w:cs="Calibri"/>
                <w:b/>
                <w:bCs/>
                <w:sz w:val="20"/>
                <w:szCs w:val="20"/>
              </w:rPr>
              <w:t>指导者(CSIPs)</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239770" cy="2274570"/>
                  <wp:effectExtent l="0" t="0" r="0" b="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54"/>
                          <a:stretch>
                            <a:fillRect/>
                          </a:stretch>
                        </pic:blipFill>
                        <pic:spPr>
                          <a:xfrm>
                            <a:off x="0" y="0"/>
                            <a:ext cx="3240000" cy="2275009"/>
                          </a:xfrm>
                          <a:prstGeom prst="rect">
                            <a:avLst/>
                          </a:prstGeom>
                        </pic:spPr>
                      </pic:pic>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39770" cy="2257425"/>
                  <wp:effectExtent l="0" t="0" r="0" b="952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55"/>
                          <a:stretch>
                            <a:fillRect/>
                          </a:stretch>
                        </pic:blipFill>
                        <pic:spPr>
                          <a:xfrm>
                            <a:off x="0" y="0"/>
                            <a:ext cx="3240000" cy="2257877"/>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rPr>
          <w:rFonts w:eastAsia="楷体" w:cs="Calibri"/>
          <w:b/>
          <w:bCs/>
          <w:kern w:val="2"/>
          <w:sz w:val="22"/>
          <w:szCs w:val="22"/>
        </w:rPr>
      </w:pPr>
    </w:p>
    <w:p>
      <w:pPr>
        <w:rPr>
          <w:rFonts w:eastAsia="楷体" w:cs="Calibri"/>
          <w:b/>
          <w:bCs/>
          <w:kern w:val="2"/>
          <w:sz w:val="22"/>
          <w:szCs w:val="22"/>
        </w:rPr>
      </w:pPr>
      <w:r>
        <w:rPr>
          <w:rFonts w:eastAsia="楷体" w:cs="Calibri"/>
          <w:b/>
          <w:bCs/>
          <w:kern w:val="2"/>
          <w:sz w:val="22"/>
          <w:szCs w:val="22"/>
        </w:rPr>
        <w:t xml:space="preserve">4) </w:t>
      </w:r>
      <w:r>
        <w:rPr>
          <w:rFonts w:hint="eastAsia" w:eastAsia="楷体" w:cs="Calibri"/>
          <w:b/>
          <w:bCs/>
          <w:kern w:val="2"/>
          <w:sz w:val="22"/>
          <w:szCs w:val="22"/>
        </w:rPr>
        <w:t>飞机管理及增值服务</w:t>
      </w:r>
    </w:p>
    <w:p>
      <w:pPr>
        <w:rPr>
          <w:rFonts w:eastAsia="楷体" w:cs="Calibri"/>
          <w:kern w:val="2"/>
          <w:sz w:val="22"/>
          <w:szCs w:val="22"/>
        </w:rPr>
      </w:pPr>
      <w:r>
        <w:rPr>
          <w:rFonts w:hint="eastAsia" w:eastAsia="楷体" w:cs="Calibri"/>
          <w:kern w:val="2"/>
          <w:sz w:val="22"/>
          <w:szCs w:val="22"/>
        </w:rPr>
        <w:t>西锐为</w:t>
      </w:r>
      <w:r>
        <w:rPr>
          <w:rFonts w:eastAsia="楷体" w:cs="Calibri"/>
          <w:kern w:val="2"/>
          <w:sz w:val="22"/>
          <w:szCs w:val="22"/>
        </w:rPr>
        <w:t xml:space="preserve"> Vision Jet </w:t>
      </w:r>
      <w:r>
        <w:rPr>
          <w:rFonts w:hint="eastAsia" w:eastAsia="楷体" w:cs="Calibri"/>
          <w:kern w:val="2"/>
          <w:sz w:val="22"/>
          <w:szCs w:val="22"/>
        </w:rPr>
        <w:t>机主提供</w:t>
      </w:r>
      <w:r>
        <w:rPr>
          <w:rFonts w:eastAsia="楷体" w:cs="Calibri"/>
          <w:kern w:val="2"/>
          <w:sz w:val="22"/>
          <w:szCs w:val="22"/>
        </w:rPr>
        <w:t xml:space="preserve"> Vision Air </w:t>
      </w:r>
      <w:r>
        <w:rPr>
          <w:rFonts w:hint="eastAsia" w:eastAsia="楷体" w:cs="Calibri"/>
          <w:kern w:val="2"/>
          <w:sz w:val="22"/>
          <w:szCs w:val="22"/>
        </w:rPr>
        <w:t>高级全年管理服务，年费为</w:t>
      </w:r>
      <w:r>
        <w:rPr>
          <w:rFonts w:eastAsia="楷体" w:cs="Calibri"/>
          <w:kern w:val="2"/>
          <w:sz w:val="22"/>
          <w:szCs w:val="22"/>
        </w:rPr>
        <w:t xml:space="preserve"> 30 </w:t>
      </w:r>
      <w:r>
        <w:rPr>
          <w:rFonts w:hint="eastAsia" w:eastAsia="楷体" w:cs="Calibri"/>
          <w:kern w:val="2"/>
          <w:sz w:val="22"/>
          <w:szCs w:val="22"/>
        </w:rPr>
        <w:t>万至</w:t>
      </w:r>
      <w:r>
        <w:rPr>
          <w:rFonts w:eastAsia="楷体" w:cs="Calibri"/>
          <w:kern w:val="2"/>
          <w:sz w:val="22"/>
          <w:szCs w:val="22"/>
        </w:rPr>
        <w:t xml:space="preserve"> 48.5 </w:t>
      </w:r>
      <w:r>
        <w:rPr>
          <w:rFonts w:hint="eastAsia" w:eastAsia="楷体" w:cs="Calibri"/>
          <w:kern w:val="2"/>
          <w:sz w:val="22"/>
          <w:szCs w:val="22"/>
        </w:rPr>
        <w:t>万美元；同时还提供</w:t>
      </w:r>
      <w:r>
        <w:rPr>
          <w:rFonts w:eastAsia="楷体" w:cs="Calibri"/>
          <w:kern w:val="2"/>
          <w:sz w:val="22"/>
          <w:szCs w:val="22"/>
        </w:rPr>
        <w:t xml:space="preserve"> Cirrus One </w:t>
      </w:r>
      <w:r>
        <w:rPr>
          <w:rFonts w:hint="eastAsia" w:eastAsia="楷体" w:cs="Calibri"/>
          <w:kern w:val="2"/>
          <w:sz w:val="22"/>
          <w:szCs w:val="22"/>
        </w:rPr>
        <w:t>服务，面向</w:t>
      </w:r>
      <w:r>
        <w:rPr>
          <w:rFonts w:eastAsia="楷体" w:cs="Calibri"/>
          <w:kern w:val="2"/>
          <w:sz w:val="22"/>
          <w:szCs w:val="22"/>
        </w:rPr>
        <w:t xml:space="preserve"> SR </w:t>
      </w:r>
      <w:r>
        <w:rPr>
          <w:rFonts w:hint="eastAsia" w:eastAsia="楷体" w:cs="Calibri"/>
          <w:kern w:val="2"/>
          <w:sz w:val="22"/>
          <w:szCs w:val="22"/>
        </w:rPr>
        <w:t>系列飞机，起价为每月</w:t>
      </w:r>
      <w:r>
        <w:rPr>
          <w:rFonts w:eastAsia="楷体" w:cs="Calibri"/>
          <w:kern w:val="2"/>
          <w:sz w:val="22"/>
          <w:szCs w:val="22"/>
        </w:rPr>
        <w:t xml:space="preserve"> 1500 </w:t>
      </w:r>
      <w:r>
        <w:rPr>
          <w:rFonts w:hint="eastAsia" w:eastAsia="楷体" w:cs="Calibri"/>
          <w:kern w:val="2"/>
          <w:sz w:val="22"/>
          <w:szCs w:val="22"/>
        </w:rPr>
        <w:t>美元（具体价格因服务而异）。</w:t>
      </w:r>
    </w:p>
    <w:p>
      <w:pPr>
        <w:rPr>
          <w:rFonts w:eastAsia="楷体" w:cs="Calibri"/>
          <w:kern w:val="2"/>
          <w:sz w:val="22"/>
          <w:szCs w:val="22"/>
        </w:rPr>
      </w:pPr>
      <w:r>
        <w:rPr>
          <w:rFonts w:eastAsia="楷体" w:cs="Calibri"/>
          <w:kern w:val="2"/>
          <w:sz w:val="22"/>
          <w:szCs w:val="22"/>
        </w:rPr>
        <w:t xml:space="preserve">Cirrus Finance &amp; Insurance </w:t>
      </w:r>
      <w:r>
        <w:rPr>
          <w:rFonts w:hint="eastAsia" w:eastAsia="楷体" w:cs="Calibri"/>
          <w:kern w:val="2"/>
          <w:sz w:val="22"/>
          <w:szCs w:val="22"/>
        </w:rPr>
        <w:t>通过第三方合作伙伴提供融资和保险解决方案，</w:t>
      </w:r>
      <w:r>
        <w:rPr>
          <w:rFonts w:eastAsia="楷体" w:cs="Calibri"/>
          <w:kern w:val="2"/>
          <w:sz w:val="22"/>
          <w:szCs w:val="22"/>
        </w:rPr>
        <w:t xml:space="preserve">2021 </w:t>
      </w:r>
      <w:r>
        <w:rPr>
          <w:rFonts w:hint="eastAsia" w:eastAsia="楷体" w:cs="Calibri"/>
          <w:kern w:val="2"/>
          <w:sz w:val="22"/>
          <w:szCs w:val="22"/>
        </w:rPr>
        <w:t>年和</w:t>
      </w:r>
      <w:r>
        <w:rPr>
          <w:rFonts w:eastAsia="楷体" w:cs="Calibri"/>
          <w:kern w:val="2"/>
          <w:sz w:val="22"/>
          <w:szCs w:val="22"/>
        </w:rPr>
        <w:t xml:space="preserve"> 2022 </w:t>
      </w:r>
      <w:r>
        <w:rPr>
          <w:rFonts w:hint="eastAsia" w:eastAsia="楷体" w:cs="Calibri"/>
          <w:kern w:val="2"/>
          <w:sz w:val="22"/>
          <w:szCs w:val="22"/>
        </w:rPr>
        <w:t>年的经纪佣金收入为</w:t>
      </w:r>
      <w:r>
        <w:rPr>
          <w:rFonts w:eastAsia="楷体" w:cs="Calibri"/>
          <w:kern w:val="2"/>
          <w:sz w:val="22"/>
          <w:szCs w:val="22"/>
        </w:rPr>
        <w:t xml:space="preserve"> 160 </w:t>
      </w:r>
      <w:r>
        <w:rPr>
          <w:rFonts w:hint="eastAsia" w:eastAsia="楷体" w:cs="Calibri"/>
          <w:kern w:val="2"/>
          <w:sz w:val="22"/>
          <w:szCs w:val="22"/>
        </w:rPr>
        <w:t>万美元，预计</w:t>
      </w:r>
      <w:r>
        <w:rPr>
          <w:rFonts w:eastAsia="楷体" w:cs="Calibri"/>
          <w:kern w:val="2"/>
          <w:sz w:val="22"/>
          <w:szCs w:val="22"/>
        </w:rPr>
        <w:t xml:space="preserve"> 2023 </w:t>
      </w:r>
      <w:r>
        <w:rPr>
          <w:rFonts w:hint="eastAsia" w:eastAsia="楷体" w:cs="Calibri"/>
          <w:kern w:val="2"/>
          <w:sz w:val="22"/>
          <w:szCs w:val="22"/>
        </w:rPr>
        <w:t>年将增至</w:t>
      </w:r>
      <w:r>
        <w:rPr>
          <w:rFonts w:eastAsia="楷体" w:cs="Calibri"/>
          <w:kern w:val="2"/>
          <w:sz w:val="22"/>
          <w:szCs w:val="22"/>
        </w:rPr>
        <w:t xml:space="preserve"> 270 </w:t>
      </w:r>
      <w:r>
        <w:rPr>
          <w:rFonts w:hint="eastAsia" w:eastAsia="楷体" w:cs="Calibri"/>
          <w:kern w:val="2"/>
          <w:sz w:val="22"/>
          <w:szCs w:val="22"/>
        </w:rPr>
        <w:t>万美元。该公司累计促成了超过</w:t>
      </w:r>
      <w:r>
        <w:rPr>
          <w:rFonts w:eastAsia="楷体" w:cs="Calibri"/>
          <w:kern w:val="2"/>
          <w:sz w:val="22"/>
          <w:szCs w:val="22"/>
        </w:rPr>
        <w:t xml:space="preserve"> 3100 </w:t>
      </w:r>
      <w:r>
        <w:rPr>
          <w:rFonts w:hint="eastAsia" w:eastAsia="楷体" w:cs="Calibri"/>
          <w:kern w:val="2"/>
          <w:sz w:val="22"/>
          <w:szCs w:val="22"/>
        </w:rPr>
        <w:t>笔融资交易，并为</w:t>
      </w:r>
      <w:r>
        <w:rPr>
          <w:rFonts w:eastAsia="楷体" w:cs="Calibri"/>
          <w:kern w:val="2"/>
          <w:sz w:val="22"/>
          <w:szCs w:val="22"/>
        </w:rPr>
        <w:t xml:space="preserve"> 900 </w:t>
      </w:r>
      <w:r>
        <w:rPr>
          <w:rFonts w:hint="eastAsia" w:eastAsia="楷体" w:cs="Calibri"/>
          <w:kern w:val="2"/>
          <w:sz w:val="22"/>
          <w:szCs w:val="22"/>
        </w:rPr>
        <w:t>多架飞机提供了保险保障。</w:t>
      </w:r>
    </w:p>
    <w:p>
      <w:pPr>
        <w:rPr>
          <w:rFonts w:eastAsia="楷体" w:cs="Calibri"/>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图：西锐飞机IQ应用</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2074545"/>
                  <wp:effectExtent l="0" t="0" r="6350" b="1905"/>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56"/>
                          <a:stretch>
                            <a:fillRect/>
                          </a:stretch>
                        </pic:blipFill>
                        <pic:spPr>
                          <a:xfrm>
                            <a:off x="0" y="0"/>
                            <a:ext cx="4603750" cy="2074545"/>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pPr>
        <w:rPr>
          <w:rFonts w:eastAsia="楷体" w:cs="Calibri"/>
          <w:kern w:val="2"/>
          <w:sz w:val="22"/>
          <w:szCs w:val="22"/>
        </w:rPr>
      </w:pPr>
    </w:p>
    <w:p>
      <w:pPr>
        <w:pStyle w:val="77"/>
        <w:jc w:val="both"/>
        <w:rPr>
          <w:rFonts w:hint="eastAsia" w:ascii="楷体" w:hAnsi="楷体" w:eastAsia="楷体" w:cs="楷体"/>
          <w:b w:val="0"/>
          <w:bCs w:val="0"/>
          <w:color w:val="23558C"/>
          <w:kern w:val="2"/>
          <w:sz w:val="22"/>
          <w:szCs w:val="22"/>
        </w:rPr>
      </w:pPr>
      <w:bookmarkStart w:id="16" w:name="_Toc219028025"/>
      <w:r>
        <w:rPr>
          <w:rFonts w:hint="eastAsia" w:ascii="楷体" w:hAnsi="楷体" w:eastAsia="楷体" w:cs="楷体"/>
          <w:color w:val="23558C"/>
          <w:sz w:val="24"/>
        </w:rPr>
        <w:t>3.3 高复购率与定价能力彰显品牌价值</w:t>
      </w:r>
      <w:bookmarkEnd w:id="16"/>
    </w:p>
    <w:p>
      <w:pPr>
        <w:jc w:val="both"/>
        <w:rPr>
          <w:rFonts w:eastAsia="楷体" w:cs="Calibri"/>
          <w:kern w:val="2"/>
          <w:sz w:val="22"/>
          <w:szCs w:val="22"/>
        </w:rPr>
      </w:pPr>
      <w:r>
        <w:rPr>
          <w:rFonts w:eastAsia="楷体" w:cs="Calibri"/>
          <w:b/>
          <w:bCs/>
          <w:kern w:val="2"/>
          <w:sz w:val="22"/>
          <w:szCs w:val="22"/>
        </w:rPr>
        <w:t>西锐飞机具备</w:t>
      </w:r>
      <w:r>
        <w:rPr>
          <w:rFonts w:hint="eastAsia" w:eastAsia="楷体" w:cs="Calibri"/>
          <w:b/>
          <w:bCs/>
          <w:kern w:val="2"/>
          <w:sz w:val="22"/>
          <w:szCs w:val="22"/>
        </w:rPr>
        <w:t>高</w:t>
      </w:r>
      <w:r>
        <w:rPr>
          <w:rFonts w:eastAsia="楷体" w:cs="Calibri"/>
          <w:b/>
          <w:bCs/>
          <w:kern w:val="2"/>
          <w:sz w:val="22"/>
          <w:szCs w:val="22"/>
        </w:rPr>
        <w:t>复购率及持续的定价能力，反映出其</w:t>
      </w:r>
      <w:r>
        <w:rPr>
          <w:rFonts w:hint="eastAsia" w:eastAsia="楷体" w:cs="Calibri"/>
          <w:b/>
          <w:bCs/>
          <w:kern w:val="2"/>
          <w:sz w:val="22"/>
          <w:szCs w:val="22"/>
        </w:rPr>
        <w:t>较强的品牌价值</w:t>
      </w:r>
      <w:r>
        <w:rPr>
          <w:rFonts w:eastAsia="楷体" w:cs="Calibri"/>
          <w:b/>
          <w:bCs/>
          <w:kern w:val="2"/>
          <w:sz w:val="22"/>
          <w:szCs w:val="22"/>
        </w:rPr>
        <w:t>。</w:t>
      </w:r>
      <w:r>
        <w:rPr>
          <w:rFonts w:eastAsia="楷体" w:cs="Calibri"/>
          <w:kern w:val="2"/>
          <w:sz w:val="22"/>
          <w:szCs w:val="22"/>
        </w:rPr>
        <w:t>过去九年间，公司产品平均售价复合年增长率达到 7.5%，显著高于同期美国人均可支配收入 5.24% 的增速、美国 CPI 的 1.38%，亦高于法拉利约 4.8% 的涨幅，显示出公司在高端私人航空市场中突出的品牌溢价能力。</w:t>
      </w:r>
    </w:p>
    <w:p>
      <w:pPr>
        <w:jc w:val="both"/>
        <w:rPr>
          <w:rFonts w:eastAsia="楷体" w:cs="Calibri"/>
          <w:b/>
          <w:bCs/>
          <w:kern w:val="2"/>
          <w:sz w:val="22"/>
          <w:szCs w:val="22"/>
        </w:rPr>
      </w:pPr>
      <w:r>
        <w:rPr>
          <w:rFonts w:eastAsia="楷体" w:cs="Calibri"/>
          <w:kern w:val="2"/>
          <w:sz w:val="22"/>
          <w:szCs w:val="22"/>
        </w:rPr>
        <w:t>从客户结构来看，根据公司招股说明书披露，Vision Jet 的销售中约 75% 来自既有客户，较高的复购比例进一步验证了公司产品满意度与品牌黏性的持续提升。</w:t>
      </w:r>
    </w:p>
    <w:p>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图：2015年至2024年西锐飞机平均价格</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图：2015-2024年法拉利平均价格</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46730" cy="1882775"/>
                  <wp:effectExtent l="0" t="0" r="0" b="0"/>
                  <wp:docPr id="40" name="图表 12"/>
                  <wp:cNvGraphicFramePr/>
                  <a:graphic xmlns:a="http://schemas.openxmlformats.org/drawingml/2006/main">
                    <a:graphicData uri="http://schemas.openxmlformats.org/drawingml/2006/chart">
                      <c:chart xmlns:c="http://schemas.openxmlformats.org/drawingml/2006/chart" r:id="rId90"/>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29280" cy="1835785"/>
                  <wp:effectExtent l="0" t="0" r="0" b="0"/>
                  <wp:docPr id="41" name="图表 15"/>
                  <wp:cNvGraphicFramePr/>
                  <a:graphic xmlns:a="http://schemas.openxmlformats.org/drawingml/2006/main">
                    <a:graphicData uri="http://schemas.openxmlformats.org/drawingml/2006/chart">
                      <c:chart xmlns:c="http://schemas.openxmlformats.org/drawingml/2006/chart" r:id="rId91"/>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公司官方网站, HFI</w:t>
            </w:r>
          </w:p>
        </w:tc>
      </w:tr>
    </w:tbl>
    <w:p>
      <w:pPr>
        <w:jc w:val="both"/>
        <w:rPr>
          <w:rFonts w:hint="eastAsia" w:eastAsia="楷体" w:asciiTheme="minorHAnsi" w:hAnsiTheme="minorHAnsi" w:cstheme="minorHAnsi"/>
          <w:kern w:val="2"/>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color w:val="000000"/>
                <w:sz w:val="20"/>
                <w:szCs w:val="20"/>
                <w:lang w:bidi="ar"/>
              </w:rPr>
            </w:pPr>
            <w:r>
              <w:rPr>
                <w:rFonts w:hint="eastAsia" w:ascii="楷体" w:hAnsi="楷体" w:eastAsia="楷体" w:cs="Calibri"/>
                <w:b/>
                <w:sz w:val="20"/>
                <w:szCs w:val="20"/>
              </w:rPr>
              <w:t>图：2015年至2024年美国人均可支配收入</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图：2015年至2024年美国CPI</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75305" cy="1828165"/>
                  <wp:effectExtent l="0" t="0" r="0" b="635"/>
                  <wp:docPr id="42" name="图表 19"/>
                  <wp:cNvGraphicFramePr/>
                  <a:graphic xmlns:a="http://schemas.openxmlformats.org/drawingml/2006/main">
                    <a:graphicData uri="http://schemas.openxmlformats.org/drawingml/2006/chart">
                      <c:chart xmlns:c="http://schemas.openxmlformats.org/drawingml/2006/chart" r:id="rId92"/>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drawing>
                <wp:inline distT="0" distB="0" distL="114300" distR="114300">
                  <wp:extent cx="3132455" cy="1828165"/>
                  <wp:effectExtent l="0" t="0" r="0" b="635"/>
                  <wp:docPr id="43" name="图表 21"/>
                  <wp:cNvGraphicFramePr/>
                  <a:graphic xmlns:a="http://schemas.openxmlformats.org/drawingml/2006/main">
                    <a:graphicData uri="http://schemas.openxmlformats.org/drawingml/2006/chart">
                      <c:chart xmlns:c="http://schemas.openxmlformats.org/drawingml/2006/chart" r:id="rId93"/>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hint="eastAsia" w:eastAsia="楷体" w:asciiTheme="minorHAnsi" w:hAnsiTheme="minorHAnsi" w:cstheme="minorHAnsi"/>
          <w:kern w:val="2"/>
          <w:sz w:val="22"/>
          <w:szCs w:val="22"/>
        </w:rPr>
      </w:pPr>
    </w:p>
    <w:p>
      <w:pPr>
        <w:pStyle w:val="2"/>
        <w:spacing w:before="240" w:beforeLines="100" w:after="240" w:afterLines="100"/>
        <w:jc w:val="both"/>
        <w:rPr>
          <w:rFonts w:hint="eastAsia" w:ascii="楷体" w:hAnsi="楷体" w:eastAsia="楷体" w:cs="楷体"/>
          <w:b/>
          <w:bCs/>
          <w:color w:val="23558C"/>
          <w:sz w:val="28"/>
          <w:szCs w:val="28"/>
        </w:rPr>
      </w:pPr>
      <w:bookmarkStart w:id="17" w:name="_Toc219028026"/>
      <w:r>
        <w:rPr>
          <w:rFonts w:hint="eastAsia" w:ascii="楷体" w:hAnsi="楷体" w:eastAsia="楷体" w:cs="楷体"/>
          <w:b/>
          <w:bCs/>
          <w:color w:val="23558C"/>
          <w:sz w:val="28"/>
          <w:szCs w:val="28"/>
        </w:rPr>
        <w:t xml:space="preserve">4. </w:t>
      </w:r>
      <w:bookmarkEnd w:id="17"/>
      <w:r>
        <w:rPr>
          <w:rFonts w:hint="eastAsia" w:ascii="楷体" w:hAnsi="楷体" w:eastAsia="楷体" w:cs="楷体"/>
          <w:b/>
          <w:bCs/>
          <w:color w:val="23558C"/>
          <w:sz w:val="28"/>
          <w:szCs w:val="28"/>
        </w:rPr>
        <w:t>未来展望：增长具备韧性，发展路径清晰</w:t>
      </w:r>
      <w:bookmarkEnd w:id="18"/>
    </w:p>
    <w:p>
      <w:pPr>
        <w:jc w:val="both"/>
        <w:rPr>
          <w:rFonts w:eastAsia="楷体" w:cs="Calibri"/>
          <w:sz w:val="22"/>
          <w:szCs w:val="22"/>
        </w:rPr>
      </w:pPr>
      <w:r>
        <w:rPr>
          <w:rFonts w:hint="eastAsia" w:eastAsia="楷体" w:cs="Calibri"/>
          <w:b/>
          <w:bCs/>
          <w:sz w:val="22"/>
          <w:szCs w:val="22"/>
        </w:rPr>
        <w:t>强劲的订单积压确保了稳健的业绩表现。</w:t>
      </w:r>
      <w:r>
        <w:rPr>
          <w:rFonts w:hint="eastAsia" w:eastAsia="楷体" w:cs="Calibri"/>
          <w:sz w:val="22"/>
          <w:szCs w:val="22"/>
        </w:rPr>
        <w:t>由于客户对机型和配置的偏好差异，客户按订单支付的每架飞机交付周期通常为18至24个月。根据GAMA数据，西锐飞机在2025年前三个季度交付了555架飞机，其订单积压依然充足，为未来业绩提供了有力支撑。</w:t>
      </w:r>
    </w:p>
    <w:p>
      <w:pPr>
        <w:jc w:val="both"/>
        <w:rPr>
          <w:rFonts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图：西锐飞机季度出货量（架）</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表：西锐飞机订单与交付统计数据</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rPr>
                <w:snapToGrid/>
              </w:rPr>
              <w:drawing>
                <wp:inline distT="0" distB="0" distL="0" distR="0">
                  <wp:extent cx="3012440" cy="1828800"/>
                  <wp:effectExtent l="0" t="0" r="0" b="0"/>
                  <wp:docPr id="44" name="图表 1"/>
                  <wp:cNvGraphicFramePr/>
                  <a:graphic xmlns:a="http://schemas.openxmlformats.org/drawingml/2006/main">
                    <a:graphicData uri="http://schemas.openxmlformats.org/drawingml/2006/chart">
                      <c:chart xmlns:c="http://schemas.openxmlformats.org/drawingml/2006/chart" r:id="rId94"/>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251200" cy="1795145"/>
                  <wp:effectExtent l="0" t="0" r="6350" b="0"/>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62"/>
                          <a:stretch>
                            <a:fillRect/>
                          </a:stretch>
                        </pic:blipFill>
                        <pic:spPr>
                          <a:xfrm>
                            <a:off x="0" y="0"/>
                            <a:ext cx="3253976" cy="1796844"/>
                          </a:xfrm>
                          <a:prstGeom prst="rect">
                            <a:avLst/>
                          </a:prstGeom>
                        </pic:spPr>
                      </pic:pic>
                    </a:graphicData>
                  </a:graphic>
                </wp:inline>
              </w:drawing>
            </w:r>
          </w:p>
        </w:tc>
      </w:tr>
      <w:tr>
        <w:tblPrEx>
          <w:tblCellMar>
            <w:top w:w="0" w:type="dxa"/>
            <w:left w:w="108" w:type="dxa"/>
            <w:bottom w:w="0" w:type="dxa"/>
            <w:right w:w="108" w:type="dxa"/>
          </w:tblCellMar>
        </w:tblPrEx>
        <w:trPr>
          <w:trHeight w:val="37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GAMA,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公司年报,公司招股说明书，HFI</w:t>
            </w:r>
          </w:p>
        </w:tc>
      </w:tr>
    </w:tbl>
    <w:p>
      <w:pPr>
        <w:jc w:val="both"/>
        <w:rPr>
          <w:rFonts w:eastAsia="楷体" w:cs="Calibri"/>
          <w:sz w:val="22"/>
          <w:szCs w:val="22"/>
        </w:rPr>
      </w:pPr>
    </w:p>
    <w:p>
      <w:pPr>
        <w:jc w:val="both"/>
        <w:rPr>
          <w:rFonts w:hint="eastAsia" w:eastAsia="楷体" w:cs="Calibri"/>
          <w:sz w:val="22"/>
          <w:szCs w:val="22"/>
        </w:rPr>
      </w:pPr>
      <w:r>
        <w:rPr>
          <w:rFonts w:hint="eastAsia" w:eastAsia="楷体" w:cs="Calibri"/>
          <w:b/>
          <w:bCs/>
          <w:sz w:val="22"/>
          <w:szCs w:val="22"/>
        </w:rPr>
        <w:t>产能扩张计划助力业务稳步增长。</w:t>
      </w:r>
      <w:r>
        <w:rPr>
          <w:rFonts w:hint="eastAsia" w:eastAsia="楷体" w:cs="Calibri"/>
          <w:sz w:val="22"/>
          <w:szCs w:val="22"/>
        </w:rPr>
        <w:t>西锐公司历年交付量从500多台稳步攀升至700多台，目前产能已接近满负荷。2025年6月，该公司宣布斥资1300万美元扩建北达科他州大福克斯工厂，预计2026年投产后，交付量将逐步提升。</w:t>
      </w:r>
    </w:p>
    <w:p>
      <w:pPr>
        <w:jc w:val="both"/>
        <w:rPr>
          <w:rFonts w:eastAsia="楷体" w:cs="Calibri"/>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表:产能与利用率</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603750" cy="1635760"/>
                  <wp:effectExtent l="0" t="0" r="6350" b="2540"/>
                  <wp:docPr id="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63"/>
                          <a:stretch>
                            <a:fillRect/>
                          </a:stretch>
                        </pic:blipFill>
                        <pic:spPr>
                          <a:xfrm>
                            <a:off x="0" y="0"/>
                            <a:ext cx="4603750" cy="1635760"/>
                          </a:xfrm>
                          <a:prstGeom prst="rect">
                            <a:avLst/>
                          </a:prstGeom>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hint="eastAsia" w:ascii="楷体" w:hAnsi="楷体" w:eastAsia="楷体" w:cs="Calibri"/>
                <w:sz w:val="20"/>
                <w:szCs w:val="20"/>
              </w:rPr>
              <w:t>公司公告，HFI</w:t>
            </w:r>
          </w:p>
        </w:tc>
      </w:tr>
    </w:tbl>
    <w:p>
      <w:pPr>
        <w:rPr>
          <w:rFonts w:eastAsia="楷体" w:cs="Calibri"/>
          <w:kern w:val="2"/>
          <w:sz w:val="22"/>
          <w:szCs w:val="22"/>
        </w:rPr>
      </w:pPr>
    </w:p>
    <w:p>
      <w:pPr>
        <w:rPr>
          <w:rFonts w:eastAsia="楷体" w:cs="Calibri"/>
          <w:sz w:val="22"/>
          <w:szCs w:val="22"/>
        </w:rPr>
      </w:pPr>
      <w:r>
        <w:rPr>
          <w:rFonts w:hint="eastAsia" w:eastAsia="楷体" w:cs="Calibri"/>
          <w:b/>
          <w:bCs/>
          <w:sz w:val="22"/>
          <w:szCs w:val="22"/>
        </w:rPr>
        <w:t>全球通用航空服务市场广阔的发展潜力驱动公司服务收入持续向上</w:t>
      </w:r>
      <w:r>
        <w:rPr>
          <w:rFonts w:hint="eastAsia" w:eastAsia="楷体" w:cs="Calibri"/>
          <w:sz w:val="22"/>
          <w:szCs w:val="22"/>
        </w:rPr>
        <w:t>。近年来，全球通用航空飞机服务市场保持较快增长态势，随着在役机队规模持续扩大，特别是个人用户及中小企业使用频率提升，固定运营基地（FBO）、维修与大修（MRO）、零部件供应、性能升级、飞行培训、保险及金融服务等需求显著增强。对于机队规模庞大且成熟的主机厂而言，服务业务收入通常可占总收入的 35%–40%。相比之下，西锐飞机 2024 年售后服务收入占比仅为 14.5%，仍显著低于行业成熟水平。随着公司在役机队规模持续扩大及服务体系不断完善，服务业务在整体收入结构中的占比具备较大的提升空间，有望成为未来中长期增长的重要驱动因素。</w:t>
      </w:r>
    </w:p>
    <w:p>
      <w:pPr>
        <w:rPr>
          <w:rFonts w:eastAsia="楷体" w:cs="Calibri"/>
          <w:sz w:val="22"/>
          <w:szCs w:val="22"/>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pPr>
              <w:spacing w:before="48" w:beforeLines="20" w:after="48" w:afterLines="20"/>
              <w:jc w:val="both"/>
              <w:textAlignment w:val="center"/>
              <w:rPr>
                <w:rFonts w:ascii="楷体" w:hAnsi="楷体" w:eastAsia="楷体" w:cs="Calibri"/>
                <w:b/>
                <w:sz w:val="20"/>
                <w:szCs w:val="20"/>
              </w:rPr>
            </w:pPr>
            <w:r>
              <w:rPr>
                <w:rFonts w:hint="eastAsia" w:ascii="楷体" w:hAnsi="楷体" w:eastAsia="楷体" w:cs="Calibri"/>
                <w:b/>
                <w:sz w:val="20"/>
                <w:szCs w:val="20"/>
              </w:rPr>
              <w:t>图：西锐飞机售后服务收入占比</w:t>
            </w:r>
          </w:p>
        </w:tc>
        <w:tc>
          <w:tcPr>
            <w:tcW w:w="241" w:type="dxa"/>
            <w:tcMar>
              <w:left w:w="0" w:type="dxa"/>
              <w:right w:w="28" w:type="dxa"/>
            </w:tcMar>
          </w:tcPr>
          <w:p>
            <w:pPr>
              <w:spacing w:before="48" w:beforeLines="20" w:after="48" w:afterLines="20"/>
              <w:jc w:val="both"/>
              <w:rPr>
                <w:rFonts w:ascii="楷体" w:hAnsi="楷体" w:eastAsia="楷体" w:cs="Calibri"/>
                <w:sz w:val="20"/>
                <w:szCs w:val="20"/>
              </w:rPr>
            </w:pPr>
          </w:p>
        </w:tc>
        <w:tc>
          <w:tcPr>
            <w:tcW w:w="5149" w:type="dxa"/>
            <w:tcBorders>
              <w:bottom w:val="single" w:color="auto" w:sz="4" w:space="0"/>
            </w:tcBorders>
            <w:tcMar>
              <w:left w:w="0" w:type="dxa"/>
              <w:right w:w="28" w:type="dxa"/>
            </w:tcMar>
          </w:tcPr>
          <w:p>
            <w:pPr>
              <w:spacing w:before="48" w:beforeLines="20" w:after="48" w:afterLines="20"/>
              <w:jc w:val="both"/>
              <w:rPr>
                <w:rFonts w:ascii="楷体" w:hAnsi="楷体" w:eastAsia="楷体" w:cs="Calibri"/>
                <w:b/>
                <w:sz w:val="20"/>
                <w:szCs w:val="20"/>
              </w:rPr>
            </w:pPr>
            <w:r>
              <w:rPr>
                <w:rFonts w:hint="eastAsia" w:ascii="楷体" w:hAnsi="楷体" w:eastAsia="楷体" w:cs="Calibri"/>
                <w:b/>
                <w:sz w:val="20"/>
                <w:szCs w:val="20"/>
              </w:rPr>
              <w:t>表:全球通用航空器服务需求增长的原因</w:t>
            </w:r>
          </w:p>
        </w:tc>
      </w:tr>
      <w:tr>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pPr>
              <w:spacing w:before="48" w:beforeLines="20" w:after="48" w:afterLines="20"/>
              <w:jc w:val="both"/>
              <w:textAlignment w:val="center"/>
              <w:rPr>
                <w:rFonts w:eastAsia="楷体_GB2312" w:cs="Calibri"/>
                <w:b/>
                <w:color w:val="000000"/>
                <w:sz w:val="20"/>
                <w:szCs w:val="20"/>
                <w:lang w:bidi="ar"/>
              </w:rPr>
            </w:pPr>
            <w:r>
              <w:drawing>
                <wp:inline distT="0" distB="0" distL="114300" distR="114300">
                  <wp:extent cx="3098800" cy="1837690"/>
                  <wp:effectExtent l="0" t="0" r="6350" b="0"/>
                  <wp:docPr id="47" name="图表 16"/>
                  <wp:cNvGraphicFramePr/>
                  <a:graphic xmlns:a="http://schemas.openxmlformats.org/drawingml/2006/main">
                    <a:graphicData uri="http://schemas.openxmlformats.org/drawingml/2006/chart">
                      <c:chart xmlns:c="http://schemas.openxmlformats.org/drawingml/2006/chart" r:id="rId95"/>
                    </a:graphicData>
                  </a:graphic>
                </wp:inline>
              </w:drawing>
            </w:r>
          </w:p>
        </w:tc>
        <w:tc>
          <w:tcPr>
            <w:tcW w:w="241" w:type="dxa"/>
          </w:tcPr>
          <w:p>
            <w:pPr>
              <w:spacing w:before="48" w:beforeLines="20" w:after="48" w:afterLines="20"/>
              <w:jc w:val="both"/>
              <w:rPr>
                <w:rFonts w:eastAsia="楷体_GB2312" w:cs="Calibri"/>
                <w:sz w:val="20"/>
                <w:szCs w:val="20"/>
              </w:rPr>
            </w:pPr>
          </w:p>
        </w:tc>
        <w:tc>
          <w:tcPr>
            <w:tcW w:w="5149" w:type="dxa"/>
            <w:tcBorders>
              <w:top w:val="single" w:color="auto" w:sz="4" w:space="0"/>
              <w:bottom w:val="single" w:color="auto" w:sz="4" w:space="0"/>
            </w:tcBorders>
          </w:tcPr>
          <w:p>
            <w:pPr>
              <w:spacing w:before="48" w:beforeLines="20" w:after="48" w:afterLines="20"/>
              <w:jc w:val="both"/>
              <w:rPr>
                <w:rFonts w:eastAsia="楷体_GB2312" w:cs="Calibri"/>
                <w:b/>
                <w:sz w:val="20"/>
                <w:szCs w:val="20"/>
              </w:rPr>
            </w:pPr>
            <w:r>
              <w:rPr>
                <w:snapToGrid/>
              </w:rPr>
              <w:drawing>
                <wp:inline distT="0" distB="0" distL="0" distR="0">
                  <wp:extent cx="3132455" cy="1749425"/>
                  <wp:effectExtent l="0" t="0" r="0" b="3175"/>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65"/>
                          <a:stretch>
                            <a:fillRect/>
                          </a:stretch>
                        </pic:blipFill>
                        <pic:spPr>
                          <a:xfrm>
                            <a:off x="0" y="0"/>
                            <a:ext cx="3132455" cy="1749425"/>
                          </a:xfrm>
                          <a:prstGeom prst="rect">
                            <a:avLst/>
                          </a:prstGeom>
                        </pic:spPr>
                      </pic:pic>
                    </a:graphicData>
                  </a:graphic>
                </wp:inline>
              </w:drawing>
            </w:r>
          </w:p>
        </w:tc>
      </w:tr>
      <w:tr>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pPr>
              <w:spacing w:before="48" w:beforeLines="20" w:after="48" w:afterLines="20"/>
              <w:jc w:val="both"/>
              <w:textAlignment w:val="center"/>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c>
          <w:tcPr>
            <w:tcW w:w="241" w:type="dxa"/>
            <w:tcMar>
              <w:left w:w="0" w:type="dxa"/>
              <w:right w:w="28" w:type="dxa"/>
            </w:tcMar>
          </w:tcPr>
          <w:p>
            <w:pPr>
              <w:spacing w:before="48" w:beforeLines="20" w:after="48" w:afterLines="20"/>
              <w:jc w:val="both"/>
              <w:rPr>
                <w:rFonts w:eastAsia="楷体_GB2312" w:cs="Calibri"/>
                <w:sz w:val="20"/>
                <w:szCs w:val="20"/>
              </w:rPr>
            </w:pPr>
          </w:p>
        </w:tc>
        <w:tc>
          <w:tcPr>
            <w:tcW w:w="5149" w:type="dxa"/>
            <w:tcBorders>
              <w:top w:val="single" w:color="auto" w:sz="4" w:space="0"/>
            </w:tcBorders>
            <w:tcMar>
              <w:left w:w="0" w:type="dxa"/>
              <w:right w:w="28" w:type="dxa"/>
            </w:tcMar>
          </w:tcPr>
          <w:p>
            <w:pPr>
              <w:spacing w:before="48" w:beforeLines="20" w:after="48" w:afterLines="20"/>
              <w:jc w:val="both"/>
              <w:rPr>
                <w:rFonts w:eastAsia="楷体_GB2312"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宋体" w:cs="Calibri"/>
        </w:rPr>
      </w:pPr>
    </w:p>
    <w:p>
      <w:pPr>
        <w:pStyle w:val="2"/>
        <w:spacing w:before="240" w:beforeLines="100" w:after="240" w:afterLines="100"/>
        <w:jc w:val="both"/>
        <w:rPr>
          <w:rFonts w:hint="eastAsia" w:ascii="楷体" w:hAnsi="楷体" w:eastAsia="楷体" w:cs="楷体"/>
          <w:b/>
          <w:bCs/>
          <w:color w:val="23558C"/>
          <w:sz w:val="28"/>
          <w:szCs w:val="28"/>
        </w:rPr>
      </w:pPr>
      <w:bookmarkStart w:id="18" w:name="_Toc219028027"/>
      <w:r>
        <w:rPr>
          <w:rFonts w:hint="eastAsia" w:ascii="楷体" w:hAnsi="楷体" w:eastAsia="楷体" w:cs="楷体"/>
          <w:b/>
          <w:bCs/>
          <w:color w:val="23558C"/>
          <w:sz w:val="28"/>
          <w:szCs w:val="28"/>
        </w:rPr>
        <w:t>5.估值与投资建议</w:t>
      </w:r>
      <w:bookmarkEnd w:id="19"/>
    </w:p>
    <w:p>
      <w:pPr>
        <w:pStyle w:val="77"/>
        <w:jc w:val="both"/>
        <w:rPr>
          <w:rFonts w:hint="eastAsia" w:ascii="楷体" w:hAnsi="楷体" w:eastAsia="楷体" w:cs="楷体"/>
          <w:color w:val="23558C"/>
          <w:sz w:val="24"/>
        </w:rPr>
      </w:pPr>
      <w:r>
        <w:rPr>
          <w:rFonts w:hint="eastAsia" w:ascii="楷体" w:hAnsi="楷体" w:eastAsia="楷体" w:cs="楷体"/>
          <w:color w:val="23558C"/>
          <w:sz w:val="24"/>
        </w:rPr>
        <w:t>5.1 盈利预测</w:t>
      </w:r>
    </w:p>
    <w:p>
      <w:pPr>
        <w:pStyle w:val="37"/>
        <w:numPr>
          <w:ilvl w:val="0"/>
          <w:numId w:val="21"/>
        </w:numPr>
        <w:jc w:val="both"/>
        <w:rPr>
          <w:rFonts w:hint="eastAsia" w:ascii="楷体" w:hAnsi="楷体" w:eastAsia="楷体" w:cs="楷体"/>
          <w:sz w:val="22"/>
          <w:szCs w:val="22"/>
        </w:rPr>
      </w:pPr>
      <w:r>
        <w:rPr>
          <w:rFonts w:hint="eastAsia" w:ascii="楷体" w:hAnsi="楷体" w:eastAsia="楷体" w:cs="楷体"/>
          <w:b/>
          <w:bCs/>
          <w:sz w:val="22"/>
          <w:szCs w:val="22"/>
        </w:rPr>
        <w:t>总营收</w:t>
      </w:r>
    </w:p>
    <w:p>
      <w:pPr>
        <w:jc w:val="both"/>
        <w:rPr>
          <w:rFonts w:hint="eastAsia" w:ascii="楷体" w:hAnsi="楷体" w:eastAsia="楷体" w:cs="楷体"/>
          <w:sz w:val="22"/>
          <w:szCs w:val="22"/>
        </w:rPr>
      </w:pPr>
      <w:r>
        <w:rPr>
          <w:rFonts w:hint="eastAsia" w:ascii="楷体" w:hAnsi="楷体" w:eastAsia="楷体" w:cs="楷体"/>
          <w:b/>
          <w:bCs/>
          <w:sz w:val="22"/>
          <w:szCs w:val="22"/>
        </w:rPr>
        <w:t>1）</w:t>
      </w:r>
      <w:r>
        <w:rPr>
          <w:rFonts w:eastAsia="楷体" w:cs="Calibri"/>
          <w:b/>
          <w:bCs/>
          <w:sz w:val="22"/>
          <w:szCs w:val="22"/>
        </w:rPr>
        <w:t>SR</w:t>
      </w:r>
      <w:r>
        <w:rPr>
          <w:rFonts w:hint="eastAsia" w:ascii="楷体" w:hAnsi="楷体" w:eastAsia="楷体" w:cs="楷体"/>
          <w:b/>
          <w:bCs/>
          <w:sz w:val="22"/>
          <w:szCs w:val="22"/>
        </w:rPr>
        <w:t>系列飞机：</w:t>
      </w:r>
      <w:r>
        <w:rPr>
          <w:rFonts w:hint="eastAsia" w:ascii="楷体" w:hAnsi="楷体" w:eastAsia="楷体" w:cs="楷体"/>
          <w:sz w:val="22"/>
          <w:szCs w:val="22"/>
        </w:rPr>
        <w:t>预计2025-2027年</w:t>
      </w:r>
      <w:r>
        <w:rPr>
          <w:rFonts w:ascii="楷体" w:hAnsi="楷体" w:eastAsia="楷体" w:cs="楷体"/>
          <w:sz w:val="22"/>
          <w:szCs w:val="22"/>
        </w:rPr>
        <w:t xml:space="preserve"> SR2X</w:t>
      </w:r>
      <w:r>
        <w:rPr>
          <w:rFonts w:hint="eastAsia" w:ascii="楷体" w:hAnsi="楷体" w:eastAsia="楷体" w:cs="楷体"/>
          <w:sz w:val="22"/>
          <w:szCs w:val="22"/>
        </w:rPr>
        <w:t>总收入分别为8.23/9.71/11.43亿美元，对应同比增速分别为18.8%/17.97%/17.72%。</w:t>
      </w:r>
    </w:p>
    <w:p>
      <w:pPr>
        <w:jc w:val="both"/>
        <w:rPr>
          <w:rFonts w:hint="eastAsia" w:ascii="楷体" w:hAnsi="楷体" w:eastAsia="楷体" w:cs="楷体"/>
          <w:sz w:val="22"/>
          <w:szCs w:val="22"/>
        </w:rPr>
      </w:pPr>
      <w:r>
        <w:rPr>
          <w:rFonts w:hint="eastAsia" w:ascii="楷体" w:hAnsi="楷体" w:eastAsia="楷体" w:cs="楷体"/>
          <w:sz w:val="22"/>
          <w:szCs w:val="22"/>
        </w:rPr>
        <w:t>其中交付量分别为693/750/810架，对应年均增长约</w:t>
      </w:r>
      <w:r>
        <w:rPr>
          <w:rFonts w:ascii="楷体" w:hAnsi="楷体" w:eastAsia="楷体" w:cs="楷体"/>
          <w:sz w:val="22"/>
          <w:szCs w:val="22"/>
        </w:rPr>
        <w:t>8%</w:t>
      </w:r>
      <w:r>
        <w:rPr>
          <w:rFonts w:hint="eastAsia" w:ascii="楷体" w:hAnsi="楷体" w:eastAsia="楷体" w:cs="楷体"/>
          <w:sz w:val="22"/>
          <w:szCs w:val="22"/>
        </w:rPr>
        <w:t>；预计平均售价分别为</w:t>
      </w:r>
      <w:r>
        <w:rPr>
          <w:rFonts w:ascii="楷体" w:hAnsi="楷体" w:eastAsia="楷体" w:cs="楷体"/>
          <w:sz w:val="22"/>
          <w:szCs w:val="22"/>
        </w:rPr>
        <w:t>1.1</w:t>
      </w:r>
      <w:r>
        <w:rPr>
          <w:rFonts w:hint="eastAsia" w:ascii="楷体" w:hAnsi="楷体" w:eastAsia="楷体" w:cs="楷体"/>
          <w:sz w:val="22"/>
          <w:szCs w:val="22"/>
        </w:rPr>
        <w:t>9/1.29/</w:t>
      </w:r>
      <w:r>
        <w:rPr>
          <w:rFonts w:ascii="楷体" w:hAnsi="楷体" w:eastAsia="楷体" w:cs="楷体"/>
          <w:sz w:val="22"/>
          <w:szCs w:val="22"/>
        </w:rPr>
        <w:t>1.41</w:t>
      </w:r>
      <w:r>
        <w:rPr>
          <w:rFonts w:hint="eastAsia" w:ascii="楷体" w:hAnsi="楷体" w:eastAsia="楷体" w:cs="楷体"/>
          <w:sz w:val="22"/>
          <w:szCs w:val="22"/>
        </w:rPr>
        <w:t>百万美元，年均提升</w:t>
      </w:r>
      <w:r>
        <w:rPr>
          <w:rFonts w:ascii="楷体" w:hAnsi="楷体" w:eastAsia="楷体" w:cs="楷体"/>
          <w:sz w:val="22"/>
          <w:szCs w:val="22"/>
        </w:rPr>
        <w:t>8%–9%</w:t>
      </w:r>
      <w:r>
        <w:rPr>
          <w:rFonts w:hint="eastAsia" w:ascii="楷体" w:hAnsi="楷体" w:eastAsia="楷体" w:cs="楷体"/>
          <w:sz w:val="22"/>
          <w:szCs w:val="22"/>
        </w:rPr>
        <w:t xml:space="preserve">。 </w:t>
      </w:r>
    </w:p>
    <w:p>
      <w:pPr>
        <w:jc w:val="both"/>
        <w:rPr>
          <w:rFonts w:hint="eastAsia" w:ascii="楷体" w:hAnsi="楷体" w:eastAsia="楷体" w:cs="楷体"/>
          <w:sz w:val="22"/>
          <w:szCs w:val="22"/>
        </w:rPr>
      </w:pPr>
      <w:r>
        <w:rPr>
          <w:rFonts w:hint="eastAsia" w:ascii="楷体" w:hAnsi="楷体" w:eastAsia="楷体" w:cs="楷体"/>
          <w:b/>
          <w:bCs/>
          <w:sz w:val="22"/>
          <w:szCs w:val="22"/>
        </w:rPr>
        <w:t>2）</w:t>
      </w:r>
      <w:r>
        <w:rPr>
          <w:rFonts w:eastAsia="楷体" w:cs="Calibri"/>
          <w:b/>
          <w:bCs/>
          <w:sz w:val="22"/>
          <w:szCs w:val="22"/>
        </w:rPr>
        <w:t>Vision Jet</w:t>
      </w:r>
      <w:r>
        <w:rPr>
          <w:rFonts w:hint="eastAsia" w:ascii="楷体" w:hAnsi="楷体" w:eastAsia="楷体" w:cs="楷体"/>
          <w:b/>
          <w:bCs/>
          <w:sz w:val="22"/>
          <w:szCs w:val="22"/>
        </w:rPr>
        <w:t>系列飞机：预计</w:t>
      </w:r>
      <w:r>
        <w:rPr>
          <w:rFonts w:hint="eastAsia" w:ascii="楷体" w:hAnsi="楷体" w:eastAsia="楷体" w:cs="楷体"/>
          <w:sz w:val="22"/>
          <w:szCs w:val="22"/>
        </w:rPr>
        <w:t>2025-2027年总收入分别为4.04/4.44/5.14</w:t>
      </w:r>
      <w:r>
        <w:rPr>
          <w:rFonts w:ascii="楷体" w:hAnsi="楷体" w:eastAsia="楷体" w:cs="楷体"/>
          <w:sz w:val="22"/>
          <w:szCs w:val="22"/>
        </w:rPr>
        <w:t xml:space="preserve"> </w:t>
      </w:r>
      <w:r>
        <w:rPr>
          <w:rFonts w:hint="eastAsia" w:ascii="楷体" w:hAnsi="楷体" w:eastAsia="楷体" w:cs="楷体"/>
          <w:sz w:val="22"/>
          <w:szCs w:val="22"/>
        </w:rPr>
        <w:t>百万美元。</w:t>
      </w:r>
      <w:r>
        <w:rPr>
          <w:rFonts w:ascii="楷体" w:hAnsi="楷体" w:eastAsia="楷体" w:cs="楷体"/>
          <w:sz w:val="22"/>
          <w:szCs w:val="22"/>
        </w:rPr>
        <w:t xml:space="preserve"> </w:t>
      </w:r>
      <w:r>
        <w:rPr>
          <w:rFonts w:hint="eastAsia" w:ascii="楷体" w:hAnsi="楷体" w:eastAsia="楷体" w:cs="楷体"/>
          <w:sz w:val="22"/>
          <w:szCs w:val="22"/>
        </w:rPr>
        <w:t>其中交付量分别为110/114/120架，对应年均增长约6</w:t>
      </w:r>
      <w:r>
        <w:rPr>
          <w:rFonts w:ascii="楷体" w:hAnsi="楷体" w:eastAsia="楷体" w:cs="楷体"/>
          <w:sz w:val="22"/>
          <w:szCs w:val="22"/>
        </w:rPr>
        <w:t>%</w:t>
      </w:r>
      <w:r>
        <w:rPr>
          <w:rFonts w:hint="eastAsia" w:ascii="楷体" w:hAnsi="楷体" w:eastAsia="楷体" w:cs="楷体"/>
          <w:sz w:val="22"/>
          <w:szCs w:val="22"/>
        </w:rPr>
        <w:t>；预计平均售价分别为3.67/3.97/4.28百万美元，年均提升</w:t>
      </w:r>
      <w:r>
        <w:rPr>
          <w:rFonts w:ascii="楷体" w:hAnsi="楷体" w:eastAsia="楷体" w:cs="楷体"/>
          <w:sz w:val="22"/>
          <w:szCs w:val="22"/>
        </w:rPr>
        <w:t>8%</w:t>
      </w:r>
      <w:r>
        <w:rPr>
          <w:rFonts w:hint="eastAsia" w:ascii="楷体" w:hAnsi="楷体" w:eastAsia="楷体" w:cs="楷体"/>
          <w:sz w:val="22"/>
          <w:szCs w:val="22"/>
        </w:rPr>
        <w:t>。</w:t>
      </w:r>
    </w:p>
    <w:p>
      <w:pPr>
        <w:jc w:val="both"/>
        <w:rPr>
          <w:rFonts w:hint="eastAsia" w:ascii="楷体" w:hAnsi="楷体" w:eastAsia="楷体" w:cs="楷体"/>
          <w:sz w:val="22"/>
          <w:szCs w:val="22"/>
        </w:rPr>
      </w:pPr>
      <w:r>
        <w:rPr>
          <w:rFonts w:hint="eastAsia" w:ascii="楷体" w:hAnsi="楷体" w:eastAsia="楷体" w:cs="楷体"/>
          <w:b/>
          <w:bCs/>
          <w:sz w:val="22"/>
          <w:szCs w:val="22"/>
        </w:rPr>
        <w:t>3）服务业务</w:t>
      </w:r>
      <w:r>
        <w:rPr>
          <w:rFonts w:hint="eastAsia" w:ascii="楷体" w:hAnsi="楷体" w:eastAsia="楷体" w:cs="楷体"/>
          <w:sz w:val="22"/>
          <w:szCs w:val="22"/>
        </w:rPr>
        <w:t>：</w:t>
      </w:r>
      <w:r>
        <w:rPr>
          <w:rFonts w:ascii="楷体" w:hAnsi="楷体" w:eastAsia="楷体" w:cs="楷体"/>
          <w:sz w:val="22"/>
          <w:szCs w:val="22"/>
        </w:rPr>
        <w:t>伴随存量机型机龄增长，零部件更换需求</w:t>
      </w:r>
      <w:r>
        <w:rPr>
          <w:rFonts w:hint="eastAsia" w:ascii="楷体" w:hAnsi="楷体" w:eastAsia="楷体" w:cs="楷体"/>
          <w:sz w:val="22"/>
          <w:szCs w:val="22"/>
        </w:rPr>
        <w:t>增加</w:t>
      </w:r>
      <w:r>
        <w:rPr>
          <w:rFonts w:ascii="楷体" w:hAnsi="楷体" w:eastAsia="楷体" w:cs="楷体"/>
          <w:sz w:val="22"/>
          <w:szCs w:val="22"/>
        </w:rPr>
        <w:t>，</w:t>
      </w:r>
      <w:r>
        <w:rPr>
          <w:rFonts w:hint="eastAsia" w:ascii="楷体" w:hAnsi="楷体" w:eastAsia="楷体" w:cs="楷体"/>
          <w:sz w:val="22"/>
          <w:szCs w:val="22"/>
        </w:rPr>
        <w:t>后续服务业务将持续表现亮眼，2025-2027年预计收入分别为1.99/2.31/2.70亿美元，同比增速为15%/16%/17%。</w:t>
      </w:r>
    </w:p>
    <w:p>
      <w:pPr>
        <w:jc w:val="both"/>
        <w:rPr>
          <w:rFonts w:hint="eastAsia" w:ascii="楷体" w:hAnsi="楷体" w:eastAsia="楷体" w:cs="楷体"/>
          <w:b/>
          <w:bCs/>
          <w:sz w:val="22"/>
          <w:szCs w:val="22"/>
        </w:rPr>
      </w:pPr>
    </w:p>
    <w:p>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基于以上，2025-2027年预计公司总收入为14.26/16.54/19.28亿美元。</w:t>
      </w:r>
    </w:p>
    <w:p>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bookmarkStart w:id="19" w:name="_Hlk219374613"/>
            <w:r>
              <w:rPr>
                <w:rFonts w:hint="eastAsia" w:ascii="楷体" w:hAnsi="楷体" w:eastAsia="楷体" w:cs="Calibri"/>
                <w:b/>
                <w:sz w:val="20"/>
                <w:szCs w:val="20"/>
              </w:rPr>
              <w:t>表：2025-2027年收入量价拆分假设（百万美元）</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133850" cy="2628900"/>
                  <wp:effectExtent l="0" t="0" r="0" b="0"/>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4137666" cy="2631555"/>
                          </a:xfrm>
                          <a:prstGeom prst="rect">
                            <a:avLst/>
                          </a:prstGeom>
                          <a:noFill/>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bookmarkEnd w:id="20"/>
    </w:tbl>
    <w:p>
      <w:pPr>
        <w:pStyle w:val="37"/>
        <w:numPr>
          <w:ilvl w:val="0"/>
          <w:numId w:val="21"/>
        </w:numPr>
        <w:jc w:val="both"/>
        <w:rPr>
          <w:rFonts w:hint="eastAsia" w:ascii="楷体" w:hAnsi="楷体" w:eastAsia="楷体" w:cs="楷体"/>
          <w:sz w:val="22"/>
          <w:szCs w:val="22"/>
        </w:rPr>
      </w:pPr>
      <w:r>
        <w:rPr>
          <w:rFonts w:hint="eastAsia" w:ascii="楷体" w:hAnsi="楷体" w:eastAsia="楷体" w:cs="楷体"/>
          <w:b/>
          <w:bCs/>
          <w:sz w:val="22"/>
          <w:szCs w:val="22"/>
        </w:rPr>
        <w:t>毛利率</w:t>
      </w:r>
    </w:p>
    <w:p>
      <w:pPr>
        <w:jc w:val="both"/>
        <w:rPr>
          <w:rFonts w:hint="eastAsia" w:ascii="楷体" w:hAnsi="楷体" w:eastAsia="楷体" w:cs="楷体"/>
          <w:sz w:val="22"/>
          <w:szCs w:val="22"/>
        </w:rPr>
      </w:pPr>
      <w:r>
        <w:rPr>
          <w:rFonts w:ascii="楷体" w:hAnsi="楷体" w:eastAsia="楷体" w:cs="楷体"/>
          <w:sz w:val="22"/>
          <w:szCs w:val="22"/>
        </w:rPr>
        <w:t>在</w:t>
      </w:r>
      <w:r>
        <w:rPr>
          <w:rFonts w:hint="eastAsia" w:ascii="楷体" w:hAnsi="楷体" w:eastAsia="楷体" w:cs="楷体"/>
          <w:sz w:val="22"/>
          <w:szCs w:val="22"/>
        </w:rPr>
        <w:t>产品结构升级、以</w:t>
      </w:r>
      <w:r>
        <w:rPr>
          <w:rFonts w:ascii="楷体" w:hAnsi="楷体" w:eastAsia="楷体" w:cs="楷体"/>
          <w:sz w:val="22"/>
          <w:szCs w:val="22"/>
        </w:rPr>
        <w:t>及高毛利服务拉动下，</w:t>
      </w:r>
      <w:r>
        <w:rPr>
          <w:rFonts w:hint="eastAsia" w:ascii="楷体" w:hAnsi="楷体" w:eastAsia="楷体" w:cs="楷体"/>
          <w:sz w:val="22"/>
          <w:szCs w:val="22"/>
        </w:rPr>
        <w:t>公司整体</w:t>
      </w:r>
      <w:r>
        <w:rPr>
          <w:rFonts w:ascii="楷体" w:hAnsi="楷体" w:eastAsia="楷体" w:cs="楷体"/>
          <w:sz w:val="22"/>
          <w:szCs w:val="22"/>
        </w:rPr>
        <w:t>毛利率有望稳步提升</w:t>
      </w:r>
      <w:r>
        <w:rPr>
          <w:rFonts w:hint="eastAsia" w:ascii="楷体" w:hAnsi="楷体" w:eastAsia="楷体" w:cs="楷体"/>
          <w:sz w:val="22"/>
          <w:szCs w:val="22"/>
        </w:rPr>
        <w:t>，其中预计2025-2027年飞机业务毛利率达到34.9%/35.1%/35.5%，服务业务毛利率分别为34.5%/36.2%/38.9%。</w:t>
      </w:r>
      <w:r>
        <w:rPr>
          <w:rFonts w:hint="eastAsia" w:ascii="楷体" w:hAnsi="楷体" w:eastAsia="楷体" w:cs="楷体"/>
          <w:b/>
          <w:bCs/>
          <w:sz w:val="22"/>
          <w:szCs w:val="22"/>
          <w:u w:val="single"/>
        </w:rPr>
        <w:t>综上，公司整体毛利率分别为34.8%/35.3%/36.0%。</w:t>
      </w:r>
    </w:p>
    <w:p>
      <w:pPr>
        <w:jc w:val="both"/>
        <w:rPr>
          <w:rFonts w:hint="eastAsia" w:ascii="楷体" w:hAnsi="楷体" w:eastAsia="楷体" w:cs="楷体"/>
          <w:b/>
          <w:bCs/>
          <w:sz w:val="22"/>
          <w:szCs w:val="22"/>
        </w:rPr>
      </w:pPr>
    </w:p>
    <w:p>
      <w:pPr>
        <w:pStyle w:val="37"/>
        <w:numPr>
          <w:ilvl w:val="0"/>
          <w:numId w:val="21"/>
        </w:numPr>
        <w:jc w:val="both"/>
        <w:rPr>
          <w:rFonts w:hint="eastAsia" w:ascii="楷体" w:hAnsi="楷体" w:eastAsia="楷体" w:cs="楷体"/>
          <w:sz w:val="22"/>
          <w:szCs w:val="22"/>
        </w:rPr>
      </w:pPr>
      <w:r>
        <w:rPr>
          <w:rFonts w:hint="eastAsia" w:ascii="楷体" w:hAnsi="楷体" w:eastAsia="楷体" w:cs="楷体"/>
          <w:b/>
          <w:bCs/>
          <w:sz w:val="22"/>
          <w:szCs w:val="22"/>
        </w:rPr>
        <w:t>期间费用率</w:t>
      </w:r>
    </w:p>
    <w:p>
      <w:pPr>
        <w:pStyle w:val="37"/>
        <w:numPr>
          <w:ilvl w:val="0"/>
          <w:numId w:val="22"/>
        </w:numPr>
        <w:jc w:val="both"/>
        <w:rPr>
          <w:rFonts w:hint="eastAsia" w:ascii="楷体" w:hAnsi="楷体" w:eastAsia="楷体" w:cs="楷体"/>
          <w:sz w:val="22"/>
          <w:szCs w:val="22"/>
        </w:rPr>
      </w:pPr>
      <w:r>
        <w:rPr>
          <w:rFonts w:hint="eastAsia" w:ascii="楷体" w:hAnsi="楷体" w:eastAsia="楷体" w:cs="楷体"/>
          <w:b/>
          <w:bCs/>
          <w:sz w:val="22"/>
          <w:szCs w:val="22"/>
        </w:rPr>
        <w:t>销售费用率：</w:t>
      </w:r>
      <w:r>
        <w:rPr>
          <w:rFonts w:hint="eastAsia" w:ascii="楷体" w:hAnsi="楷体" w:eastAsia="楷体" w:cs="楷体"/>
          <w:sz w:val="22"/>
          <w:szCs w:val="22"/>
        </w:rPr>
        <w:t>2</w:t>
      </w:r>
      <w:r>
        <w:rPr>
          <w:rFonts w:ascii="楷体" w:hAnsi="楷体" w:eastAsia="楷体" w:cs="楷体"/>
          <w:sz w:val="22"/>
          <w:szCs w:val="22"/>
        </w:rPr>
        <w:t>02</w:t>
      </w:r>
      <w:r>
        <w:rPr>
          <w:rFonts w:hint="eastAsia" w:ascii="楷体" w:hAnsi="楷体" w:eastAsia="楷体" w:cs="楷体"/>
          <w:sz w:val="22"/>
          <w:szCs w:val="22"/>
        </w:rPr>
        <w:t>3年与</w:t>
      </w:r>
      <w:r>
        <w:rPr>
          <w:rFonts w:ascii="楷体" w:hAnsi="楷体" w:eastAsia="楷体" w:cs="楷体"/>
          <w:sz w:val="22"/>
          <w:szCs w:val="22"/>
        </w:rPr>
        <w:t>202</w:t>
      </w:r>
      <w:r>
        <w:rPr>
          <w:rFonts w:hint="eastAsia" w:ascii="楷体" w:hAnsi="楷体" w:eastAsia="楷体" w:cs="楷体"/>
          <w:sz w:val="22"/>
          <w:szCs w:val="22"/>
        </w:rPr>
        <w:t>4年，销售费用率分别为10.00</w:t>
      </w:r>
      <w:r>
        <w:rPr>
          <w:rFonts w:ascii="楷体" w:hAnsi="楷体" w:eastAsia="楷体" w:cs="楷体"/>
          <w:sz w:val="22"/>
          <w:szCs w:val="22"/>
        </w:rPr>
        <w:t>%</w:t>
      </w:r>
      <w:r>
        <w:rPr>
          <w:rFonts w:hint="eastAsia" w:ascii="楷体" w:hAnsi="楷体" w:eastAsia="楷体" w:cs="楷体"/>
          <w:sz w:val="22"/>
          <w:szCs w:val="22"/>
        </w:rPr>
        <w:t>与10.32</w:t>
      </w:r>
      <w:r>
        <w:rPr>
          <w:rFonts w:ascii="楷体" w:hAnsi="楷体" w:eastAsia="楷体" w:cs="楷体"/>
          <w:sz w:val="22"/>
          <w:szCs w:val="22"/>
        </w:rPr>
        <w:t>%</w:t>
      </w:r>
      <w:r>
        <w:rPr>
          <w:rFonts w:hint="eastAsia" w:ascii="楷体" w:hAnsi="楷体" w:eastAsia="楷体" w:cs="楷体"/>
          <w:sz w:val="22"/>
          <w:szCs w:val="22"/>
        </w:rPr>
        <w:t>，随公司规模化优势进一步显现，控费能力提升，预计2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7年销售费用率分别为10.00%/9.90%/9.80%。</w:t>
      </w:r>
    </w:p>
    <w:p>
      <w:pPr>
        <w:pStyle w:val="37"/>
        <w:numPr>
          <w:ilvl w:val="0"/>
          <w:numId w:val="22"/>
        </w:numPr>
        <w:jc w:val="both"/>
        <w:rPr>
          <w:rFonts w:hint="eastAsia" w:ascii="楷体" w:hAnsi="楷体" w:eastAsia="楷体" w:cs="楷体"/>
          <w:sz w:val="22"/>
          <w:szCs w:val="22"/>
        </w:rPr>
      </w:pPr>
      <w:r>
        <w:rPr>
          <w:rFonts w:hint="eastAsia" w:ascii="楷体" w:hAnsi="楷体" w:eastAsia="楷体" w:cs="楷体"/>
          <w:b/>
          <w:bCs/>
          <w:sz w:val="22"/>
          <w:szCs w:val="22"/>
        </w:rPr>
        <w:t>管理费用率：</w:t>
      </w:r>
      <w:r>
        <w:rPr>
          <w:rFonts w:hint="eastAsia" w:ascii="楷体" w:hAnsi="楷体" w:eastAsia="楷体" w:cs="楷体"/>
          <w:sz w:val="22"/>
          <w:szCs w:val="22"/>
        </w:rPr>
        <w:t>公司管理费用率水平逐年降低，从2</w:t>
      </w:r>
      <w:r>
        <w:rPr>
          <w:rFonts w:ascii="楷体" w:hAnsi="楷体" w:eastAsia="楷体" w:cs="楷体"/>
          <w:sz w:val="22"/>
          <w:szCs w:val="22"/>
        </w:rPr>
        <w:t>0</w:t>
      </w:r>
      <w:r>
        <w:rPr>
          <w:rFonts w:hint="eastAsia" w:ascii="楷体" w:hAnsi="楷体" w:eastAsia="楷体" w:cs="楷体"/>
          <w:sz w:val="22"/>
          <w:szCs w:val="22"/>
        </w:rPr>
        <w:t>23年的12.66%降低至2</w:t>
      </w:r>
      <w:r>
        <w:rPr>
          <w:rFonts w:ascii="楷体" w:hAnsi="楷体" w:eastAsia="楷体" w:cs="楷体"/>
          <w:sz w:val="22"/>
          <w:szCs w:val="22"/>
        </w:rPr>
        <w:t>02</w:t>
      </w:r>
      <w:r>
        <w:rPr>
          <w:rFonts w:hint="eastAsia" w:ascii="楷体" w:hAnsi="楷体" w:eastAsia="楷体" w:cs="楷体"/>
          <w:sz w:val="22"/>
          <w:szCs w:val="22"/>
        </w:rPr>
        <w:t>4年的11.80%，预计2</w:t>
      </w:r>
      <w:r>
        <w:rPr>
          <w:rFonts w:ascii="楷体" w:hAnsi="楷体" w:eastAsia="楷体" w:cs="楷体"/>
          <w:sz w:val="22"/>
          <w:szCs w:val="22"/>
        </w:rPr>
        <w:t>02</w:t>
      </w:r>
      <w:r>
        <w:rPr>
          <w:rFonts w:hint="eastAsia" w:ascii="楷体" w:hAnsi="楷体" w:eastAsia="楷体" w:cs="楷体"/>
          <w:sz w:val="22"/>
          <w:szCs w:val="22"/>
        </w:rPr>
        <w:t>5-</w:t>
      </w:r>
      <w:r>
        <w:rPr>
          <w:rFonts w:ascii="楷体" w:hAnsi="楷体" w:eastAsia="楷体" w:cs="楷体"/>
          <w:sz w:val="22"/>
          <w:szCs w:val="22"/>
        </w:rPr>
        <w:t>202</w:t>
      </w:r>
      <w:r>
        <w:rPr>
          <w:rFonts w:hint="eastAsia" w:ascii="楷体" w:hAnsi="楷体" w:eastAsia="楷体" w:cs="楷体"/>
          <w:sz w:val="22"/>
          <w:szCs w:val="22"/>
        </w:rPr>
        <w:t>7年管理费用率分别为10.90%/10.60%/10.40%。</w:t>
      </w:r>
    </w:p>
    <w:p>
      <w:pPr>
        <w:jc w:val="both"/>
        <w:rPr>
          <w:rFonts w:hint="eastAsia" w:ascii="楷体" w:hAnsi="楷体" w:eastAsia="楷体" w:cs="楷体"/>
          <w:sz w:val="22"/>
          <w:szCs w:val="22"/>
        </w:rPr>
      </w:pPr>
    </w:p>
    <w:p>
      <w:pPr>
        <w:jc w:val="both"/>
        <w:rPr>
          <w:rFonts w:hint="eastAsia" w:ascii="楷体" w:hAnsi="楷体" w:eastAsia="楷体" w:cs="楷体"/>
          <w:b/>
          <w:bCs/>
          <w:sz w:val="22"/>
          <w:szCs w:val="22"/>
          <w:u w:val="single"/>
        </w:rPr>
      </w:pPr>
      <w:r>
        <w:rPr>
          <w:rFonts w:hint="eastAsia" w:ascii="楷体" w:hAnsi="楷体" w:eastAsia="楷体" w:cs="楷体"/>
          <w:b/>
          <w:bCs/>
          <w:sz w:val="22"/>
          <w:szCs w:val="22"/>
          <w:u w:val="single"/>
        </w:rPr>
        <w:t>综上，预计公司2025-2027年的净利润分别为1.62/1.99/2.42亿美元，同比增速分别为34.2%/23.1%/21.3%。</w:t>
      </w:r>
    </w:p>
    <w:p>
      <w:pPr>
        <w:pStyle w:val="77"/>
        <w:jc w:val="both"/>
        <w:rPr>
          <w:rFonts w:hint="eastAsia" w:ascii="楷体" w:hAnsi="楷体" w:eastAsia="楷体" w:cs="楷体"/>
          <w:color w:val="23558C"/>
          <w:sz w:val="24"/>
        </w:rPr>
      </w:pPr>
      <w:r>
        <w:rPr>
          <w:rFonts w:hint="eastAsia" w:ascii="楷体" w:hAnsi="楷体" w:eastAsia="楷体" w:cs="楷体"/>
          <w:color w:val="23558C"/>
          <w:sz w:val="24"/>
        </w:rPr>
        <w:t>5.2 估值分析</w:t>
      </w:r>
    </w:p>
    <w:p>
      <w:pPr>
        <w:jc w:val="both"/>
        <w:rPr>
          <w:rFonts w:ascii="楷体" w:hAnsi="楷体" w:eastAsia="楷体" w:cs="楷体"/>
          <w:sz w:val="22"/>
          <w:szCs w:val="22"/>
        </w:rPr>
      </w:pPr>
      <w:r>
        <w:rPr>
          <w:rFonts w:hint="eastAsia" w:ascii="楷体" w:hAnsi="楷体" w:eastAsia="楷体" w:cs="楷体"/>
          <w:sz w:val="22"/>
          <w:szCs w:val="22"/>
        </w:rPr>
        <w:t>基于贴现现金流（DCF）估值模型，我们对公司未来经营现金流进行测算，并综合考虑行业增长前景、公司竞争地位及盈利能力改善趋势，给予公司目标价11.12美元（对应港币86.72元）。首次覆盖西锐飞机，给予“优于大市（Outperform）” 的投资评级。</w:t>
      </w:r>
    </w:p>
    <w:p>
      <w:pPr>
        <w:jc w:val="both"/>
        <w:rPr>
          <w:rFonts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表：DCF模型</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rPr>
                <w:snapToGrid/>
              </w:rPr>
              <w:drawing>
                <wp:inline distT="0" distB="0" distL="0" distR="0">
                  <wp:extent cx="4916805" cy="4362450"/>
                  <wp:effectExtent l="0" t="0" r="0" b="0"/>
                  <wp:docPr id="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67"/>
                          <a:stretch>
                            <a:fillRect/>
                          </a:stretch>
                        </pic:blipFill>
                        <pic:spPr>
                          <a:xfrm>
                            <a:off x="0" y="0"/>
                            <a:ext cx="4916805" cy="4362450"/>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hint="eastAsia" w:ascii="楷体" w:hAnsi="楷体" w:eastAsia="楷体" w:cs="楷体"/>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trPr>
          <w:trHeight w:val="302" w:hRule="atLeast"/>
        </w:trPr>
        <w:tc>
          <w:tcPr>
            <w:tcW w:w="7466" w:type="dxa"/>
            <w:tcBorders>
              <w:bottom w:val="single" w:color="auto" w:sz="4" w:space="0"/>
            </w:tcBorders>
            <w:tcMar>
              <w:left w:w="0" w:type="dxa"/>
              <w:right w:w="28" w:type="dxa"/>
            </w:tcMar>
          </w:tcPr>
          <w:p>
            <w:pPr>
              <w:spacing w:before="48" w:beforeLines="20" w:after="48" w:afterLines="20"/>
              <w:jc w:val="both"/>
              <w:textAlignment w:val="center"/>
              <w:rPr>
                <w:rFonts w:hint="eastAsia" w:ascii="楷体" w:hAnsi="楷体" w:eastAsia="楷体" w:cs="Calibri"/>
                <w:b/>
                <w:sz w:val="20"/>
                <w:szCs w:val="20"/>
              </w:rPr>
            </w:pPr>
            <w:r>
              <w:rPr>
                <w:rFonts w:hint="eastAsia" w:ascii="楷体" w:hAnsi="楷体" w:eastAsia="楷体" w:cs="Calibri"/>
                <w:b/>
                <w:sz w:val="20"/>
                <w:szCs w:val="20"/>
              </w:rPr>
              <w:t>表：财务汇总</w:t>
            </w:r>
          </w:p>
        </w:tc>
      </w:tr>
      <w:tr>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pPr>
              <w:spacing w:before="48" w:beforeLines="20" w:after="48" w:afterLines="20"/>
              <w:jc w:val="center"/>
              <w:textAlignment w:val="center"/>
              <w:rPr>
                <w:rFonts w:eastAsia="宋体" w:cs="Calibri"/>
                <w:b/>
                <w:bCs/>
                <w:sz w:val="20"/>
                <w:szCs w:val="20"/>
              </w:rPr>
            </w:pPr>
            <w:r>
              <w:drawing>
                <wp:inline distT="0" distB="0" distL="0" distR="0">
                  <wp:extent cx="4916805" cy="3792855"/>
                  <wp:effectExtent l="0" t="0" r="0" b="0"/>
                  <wp:docPr id="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68"/>
                          <a:stretch>
                            <a:fillRect/>
                          </a:stretch>
                        </pic:blipFill>
                        <pic:spPr>
                          <a:xfrm>
                            <a:off x="0" y="0"/>
                            <a:ext cx="4916805" cy="3792855"/>
                          </a:xfrm>
                          <a:prstGeom prst="rect">
                            <a:avLst/>
                          </a:prstGeom>
                          <a:noFill/>
                          <a:ln w="9525">
                            <a:noFill/>
                          </a:ln>
                        </pic:spPr>
                      </pic:pic>
                    </a:graphicData>
                  </a:graphic>
                </wp:inline>
              </w:drawing>
            </w:r>
          </w:p>
        </w:tc>
      </w:tr>
      <w:tr>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pPr>
              <w:spacing w:line="240" w:lineRule="atLeast"/>
              <w:jc w:val="both"/>
              <w:textAlignment w:val="center"/>
              <w:rPr>
                <w:rFonts w:hint="eastAsia" w:ascii="楷体" w:hAnsi="楷体" w:eastAsia="楷体" w:cs="Calibri"/>
                <w:sz w:val="20"/>
                <w:szCs w:val="20"/>
              </w:rPr>
            </w:pPr>
            <w:r>
              <w:rPr>
                <w:rFonts w:hint="eastAsia" w:ascii="楷体" w:hAnsi="楷体" w:eastAsia="楷体" w:cs="Calibri"/>
                <w:b/>
                <w:bCs/>
                <w:sz w:val="20"/>
                <w:szCs w:val="20"/>
              </w:rPr>
              <w:t>资料来源</w:t>
            </w:r>
            <w:r>
              <w:rPr>
                <w:rFonts w:ascii="楷体" w:hAnsi="楷体" w:eastAsia="楷体" w:cs="Calibri"/>
                <w:b/>
                <w:bCs/>
                <w:sz w:val="20"/>
                <w:szCs w:val="20"/>
              </w:rPr>
              <w:t xml:space="preserve">: </w:t>
            </w:r>
            <w:r>
              <w:rPr>
                <w:rFonts w:hint="eastAsia" w:ascii="楷体" w:hAnsi="楷体" w:eastAsia="楷体" w:cs="Calibri"/>
                <w:sz w:val="20"/>
                <w:szCs w:val="20"/>
              </w:rPr>
              <w:t>Wind, HFI</w:t>
            </w:r>
          </w:p>
        </w:tc>
      </w:tr>
    </w:tbl>
    <w:p>
      <w:pPr>
        <w:jc w:val="both"/>
        <w:rPr>
          <w:rFonts w:eastAsia="楷体_GB2312" w:cs="Calibri"/>
          <w:b/>
          <w:sz w:val="17"/>
        </w:rPr>
      </w:pPr>
    </w:p>
    <w:p>
      <w:pPr>
        <w:pStyle w:val="2"/>
        <w:spacing w:before="240" w:beforeLines="100" w:after="240" w:afterLines="100"/>
        <w:jc w:val="both"/>
        <w:rPr>
          <w:rFonts w:hint="eastAsia" w:ascii="楷体" w:hAnsi="楷体" w:eastAsia="楷体" w:cs="楷体"/>
          <w:b/>
          <w:bCs/>
          <w:color w:val="23558C"/>
          <w:sz w:val="28"/>
          <w:szCs w:val="28"/>
        </w:rPr>
      </w:pPr>
      <w:bookmarkStart w:id="20" w:name="_Toc186105501"/>
      <w:bookmarkStart w:id="21" w:name="_Toc219028028"/>
      <w:r>
        <w:rPr>
          <w:rFonts w:hint="eastAsia" w:ascii="楷体" w:hAnsi="楷体" w:eastAsia="楷体" w:cs="楷体"/>
          <w:b/>
          <w:bCs/>
          <w:color w:val="23558C"/>
          <w:sz w:val="28"/>
          <w:szCs w:val="28"/>
        </w:rPr>
        <w:t xml:space="preserve">6. </w:t>
      </w:r>
      <w:bookmarkEnd w:id="21"/>
      <w:r>
        <w:rPr>
          <w:rFonts w:hint="eastAsia" w:ascii="楷体" w:hAnsi="楷体" w:eastAsia="楷体" w:cs="楷体"/>
          <w:b/>
          <w:bCs/>
          <w:color w:val="23558C"/>
          <w:sz w:val="28"/>
          <w:szCs w:val="28"/>
        </w:rPr>
        <w:t>风险</w:t>
      </w:r>
      <w:bookmarkEnd w:id="22"/>
    </w:p>
    <w:p>
      <w:pPr>
        <w:tabs>
          <w:tab w:val="left" w:pos="871"/>
        </w:tabs>
        <w:rPr>
          <w:rFonts w:hint="eastAsia" w:ascii="楷体" w:hAnsi="楷体" w:eastAsia="楷体" w:cs="楷体"/>
          <w:sz w:val="22"/>
          <w:szCs w:val="22"/>
        </w:rPr>
      </w:pPr>
      <w:r>
        <w:rPr>
          <w:rFonts w:hint="eastAsia" w:ascii="楷体" w:hAnsi="楷体" w:eastAsia="楷体" w:cs="楷体"/>
          <w:sz w:val="22"/>
          <w:szCs w:val="22"/>
        </w:rPr>
        <w:t>原材料价格波动；供应链中断；市场竞争加剧；客户需求和偏好变化；政策执行未达预</w:t>
      </w:r>
    </w:p>
    <w:p>
      <w:pPr/>
    </w:p>
    <w:bookmarkEnd w:id="22"/>
    <w:bookmarkEnd w:id="6"/>
    <w:bookmarkEnd w:id="7"/>
    <w:bookmarkEnd w:id="9"/>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pPr>
                    <w:pStyle w:val="71"/>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 xml:space="preserve"> [Table_disclaimer]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pPr>
                    <w:pStyle w:val="71"/>
                    <w:spacing w:after="60"/>
                    <w:rPr>
                      <w:rFonts w:eastAsia="楷体_GB2312" w:cs="Calibri"/>
                      <w:b/>
                      <w:bCs/>
                      <w:w w:val="70"/>
                      <w:sz w:val="22"/>
                      <w:szCs w:val="22"/>
                      <w:lang w:eastAsia="zh-CN"/>
                    </w:rPr>
                  </w:pPr>
                  <w:r>
                    <w:rPr>
                      <w:rFonts w:eastAsia="楷体_GB2312" w:cs="Calibri"/>
                      <w:b/>
                      <w:bCs/>
                      <w:w w:val="70"/>
                      <w:sz w:val="22"/>
                      <w:szCs w:val="22"/>
                    </w:rPr>
                    <w:t>附录APPENDIX</w:t>
                  </w:r>
                </w:p>
                <w:p>
                  <w:pPr>
                    <w:pStyle w:val="71"/>
                    <w:rPr>
                      <w:rFonts w:eastAsia="楷体_GB2312" w:cs="Calibri"/>
                      <w:b/>
                      <w:w w:val="70"/>
                      <w:sz w:val="20"/>
                      <w:szCs w:val="20"/>
                    </w:rPr>
                  </w:pPr>
                  <w:r>
                    <w:rPr>
                      <w:rFonts w:eastAsia="楷体_GB2312" w:cs="Calibri"/>
                      <w:b/>
                      <w:w w:val="70"/>
                      <w:sz w:val="20"/>
                      <w:szCs w:val="20"/>
                    </w:rPr>
                    <w:t>重要信息披露</w:t>
                  </w:r>
                </w:p>
                <w:p>
                  <w:pPr>
                    <w:pStyle w:val="71"/>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pPr>
                    <w:pStyle w:val="71"/>
                    <w:rPr>
                      <w:rFonts w:eastAsia="楷体_GB2312" w:cs="Calibri"/>
                      <w:b/>
                      <w:bCs/>
                      <w:w w:val="70"/>
                      <w:sz w:val="20"/>
                      <w:szCs w:val="20"/>
                    </w:rPr>
                  </w:pPr>
                  <w:r>
                    <w:rPr>
                      <w:rFonts w:eastAsia="楷体_GB2312" w:cs="Calibri"/>
                      <w:b/>
                      <w:bCs/>
                      <w:w w:val="70"/>
                      <w:sz w:val="20"/>
                      <w:szCs w:val="20"/>
                    </w:rPr>
                    <w:t>IMPORTANT DISCLOSURES</w:t>
                  </w:r>
                </w:p>
                <w:p>
                  <w:pPr>
                    <w:pStyle w:val="71"/>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pPr>
                    <w:pStyle w:val="71"/>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pPr>
                    <w:rPr>
                      <w:rFonts w:eastAsia="楷体_GB2312" w:cs="Calibri"/>
                      <w:w w:val="70"/>
                      <w:sz w:val="20"/>
                      <w:szCs w:val="20"/>
                    </w:rPr>
                  </w:pPr>
                  <w:r>
                    <w:rPr>
                      <w:rFonts w:hint="eastAsia" w:eastAsia="楷体_GB2312" w:cs="Calibri"/>
                      <w:w w:val="70"/>
                      <w:sz w:val="20"/>
                      <w:szCs w:val="20"/>
                    </w:rPr>
                    <w:t>我， {{ source }}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 source }}x,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r>
                    <w:rPr>
                      <w:rFonts w:eastAsia="楷体_GB2312" w:cs="Calibri"/>
                      <w:w w:val="70"/>
                      <w:sz w:val="20"/>
                      <w:szCs w:val="20"/>
                    </w:rPr>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pPr>
                    <w:pStyle w:val="71"/>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3"/>
                      <w:rFonts w:eastAsia="楷体_GB2312" w:cs="Calibri"/>
                      <w:color w:val="000000" w:themeColor="text1"/>
                      <w:w w:val="70"/>
                      <w:sz w:val="20"/>
                      <w:szCs w:val="20"/>
                      <w14:textFill>
                        <w14:solidFill>
                          <w14:schemeClr w14:val="tx1"/>
                        </w14:solidFill>
                      </w14:textFill>
                    </w:rPr>
                    <w:t>请发邮件至</w:t>
                  </w:r>
                  <w:r>
                    <w:rPr>
                      <w:rStyle w:val="23"/>
                      <w:rFonts w:hint="eastAsia" w:eastAsia="楷体_GB2312" w:cs="Calibri"/>
                      <w:color w:val="000000" w:themeColor="text1"/>
                      <w:w w:val="70"/>
                      <w:sz w:val="20"/>
                      <w:szCs w:val="20"/>
                      <w14:textFill>
                        <w14:solidFill>
                          <w14:schemeClr w14:val="tx1"/>
                        </w14:solidFill>
                      </w14:textFill>
                    </w:rPr>
                    <w:t>lcd</w:t>
                  </w:r>
                  <w:r>
                    <w:rPr>
                      <w:rStyle w:val="23"/>
                      <w:rFonts w:eastAsia="楷体_GB2312" w:cs="Calibri"/>
                      <w:color w:val="000000" w:themeColor="text1"/>
                      <w:w w:val="70"/>
                      <w:sz w:val="20"/>
                      <w:szCs w:val="20"/>
                      <w14:textFill>
                        <w14:solidFill>
                          <w14:schemeClr w14:val="tx1"/>
                        </w14:solidFill>
                      </w14:textFill>
                    </w:rPr>
                    <w:t>@</w:t>
                  </w:r>
                  <w:r>
                    <w:rPr>
                      <w:rStyle w:val="23"/>
                      <w:rFonts w:hint="eastAsia" w:eastAsia="楷体_GB2312" w:cs="Calibri"/>
                      <w:color w:val="000000" w:themeColor="text1"/>
                      <w:w w:val="70"/>
                      <w:sz w:val="20"/>
                      <w:szCs w:val="20"/>
                      <w14:textFill>
                        <w14:solidFill>
                          <w14:schemeClr w14:val="tx1"/>
                        </w14:solidFill>
                      </w14:textFill>
                    </w:rPr>
                    <w:t>hfisec</w:t>
                  </w:r>
                  <w:r>
                    <w:rPr>
                      <w:rStyle w:val="23"/>
                      <w:rFonts w:eastAsia="楷体_GB2312" w:cs="Calibri"/>
                      <w:color w:val="000000" w:themeColor="text1"/>
                      <w:w w:val="70"/>
                      <w:sz w:val="20"/>
                      <w:szCs w:val="20"/>
                      <w14:textFill>
                        <w14:solidFill>
                          <w14:schemeClr w14:val="tx1"/>
                        </w14:solidFill>
                      </w14:textFill>
                    </w:rPr>
                    <w:t>.com</w:t>
                  </w:r>
                  <w:r>
                    <w:rPr>
                      <w:rStyle w:val="23"/>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pPr>
                    <w:pStyle w:val="71"/>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pPr>
                    <w:pStyle w:val="71"/>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pPr>
                    <w:pStyle w:val="71"/>
                    <w:rPr>
                      <w:rFonts w:eastAsia="楷体_GB2312" w:cs="Calibri"/>
                      <w:b/>
                      <w:w w:val="70"/>
                      <w:sz w:val="20"/>
                      <w:szCs w:val="20"/>
                      <w:lang w:eastAsia="zh-CN"/>
                    </w:rPr>
                  </w:pPr>
                  <w:r>
                    <w:rPr>
                      <w:rFonts w:eastAsia="楷体_GB2312" w:cs="Calibri"/>
                      <w:b/>
                      <w:w w:val="70"/>
                      <w:sz w:val="20"/>
                      <w:szCs w:val="20"/>
                      <w:lang w:eastAsia="zh-CN"/>
                    </w:rPr>
                    <w:t>分析师股票评级</w:t>
                  </w:r>
                </w:p>
                <w:p>
                  <w:pPr>
                    <w:pStyle w:val="71"/>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pPr>
                    <w:pStyle w:val="71"/>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pPr>
                    <w:pStyle w:val="71"/>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pPr>
                    <w:pStyle w:val="71"/>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pPr>
                    <w:pStyle w:val="71"/>
                    <w:rPr>
                      <w:rFonts w:eastAsia="楷体_GB2312" w:cs="Calibri"/>
                      <w:w w:val="79"/>
                      <w:sz w:val="20"/>
                      <w:szCs w:val="20"/>
                    </w:rPr>
                  </w:pPr>
                  <w:r>
                    <w:rPr>
                      <w:rFonts w:eastAsia="楷体_GB2312" w:cs="Calibri"/>
                      <w:b/>
                      <w:w w:val="79"/>
                      <w:sz w:val="20"/>
                      <w:szCs w:val="20"/>
                    </w:rPr>
                    <w:t xml:space="preserve">Ratings Definitions (from 1 Jul 2020): </w:t>
                  </w:r>
                </w:p>
                <w:p>
                  <w:pPr>
                    <w:pStyle w:val="71"/>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pPr>
                    <w:pStyle w:val="71"/>
                    <w:rPr>
                      <w:rFonts w:eastAsia="楷体_GB2312" w:cs="Calibri"/>
                      <w:b/>
                      <w:w w:val="79"/>
                      <w:sz w:val="20"/>
                      <w:szCs w:val="20"/>
                    </w:rPr>
                  </w:pPr>
                  <w:r>
                    <w:rPr>
                      <w:rFonts w:eastAsia="楷体_GB2312" w:cs="Calibri"/>
                      <w:b/>
                      <w:w w:val="79"/>
                      <w:sz w:val="20"/>
                      <w:szCs w:val="20"/>
                    </w:rPr>
                    <w:t>Analyst Stock Ratings</w:t>
                  </w:r>
                </w:p>
                <w:p>
                  <w:pPr>
                    <w:pStyle w:val="71"/>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pPr>
                    <w:pStyle w:val="71"/>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pPr>
                    <w:pStyle w:val="71"/>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pPr>
                    <w:pStyle w:val="71"/>
                    <w:rPr>
                      <w:rFonts w:eastAsia="楷体_GB2312" w:cs="Calibri"/>
                      <w:w w:val="70"/>
                      <w:sz w:val="20"/>
                      <w:szCs w:val="2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pPr>
                    <w:pStyle w:val="71"/>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pPr>
                    <w:pStyle w:val="71"/>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r>
                    <w:rPr>
                      <w:rFonts w:eastAsia="楷体_GB2312" w:cs="Calibri"/>
                      <w:b/>
                      <w:w w:val="70"/>
                      <w:sz w:val="20"/>
                      <w:szCs w:val="20"/>
                    </w:rPr>
                    <w:t>重要免责声明：</w:t>
                  </w:r>
                </w:p>
                <w:p>
                  <w:pPr>
                    <w:pStyle w:val="71"/>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pPr>
                    <w:pStyle w:val="71"/>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pPr>
                    <w:pStyle w:val="71"/>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pPr>
                    <w:pStyle w:val="71"/>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pPr>
                    <w:pStyle w:val="71"/>
                    <w:spacing w:after="40"/>
                    <w:rPr>
                      <w:rFonts w:eastAsia="楷体_GB2312" w:cs="Calibri"/>
                      <w:b/>
                      <w:bCs/>
                      <w:w w:val="70"/>
                      <w:sz w:val="20"/>
                      <w:szCs w:val="20"/>
                    </w:rPr>
                  </w:pPr>
                  <w:r>
                    <w:rPr>
                      <w:rFonts w:eastAsia="楷体_GB2312" w:cs="Calibri"/>
                      <w:b/>
                      <w:bCs/>
                      <w:w w:val="70"/>
                      <w:sz w:val="20"/>
                      <w:szCs w:val="20"/>
                    </w:rPr>
                    <w:t>IMPORTANT DISCLAIMER</w:t>
                  </w:r>
                </w:p>
                <w:p>
                  <w:pPr>
                    <w:pStyle w:val="71"/>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pPr>
                    <w:pStyle w:val="71"/>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pPr>
                    <w:pStyle w:val="71"/>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pPr>
                    <w:pStyle w:val="71"/>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_GB2312" w:cs="Calibri"/>
                      <w:w w:val="70"/>
                      <w:sz w:val="20"/>
                      <w:szCs w:val="20"/>
                    </w:rPr>
                    <w:t>www.</w:t>
                  </w:r>
                  <w:r>
                    <w:rPr>
                      <w:rStyle w:val="23"/>
                      <w:rFonts w:hint="eastAsia" w:eastAsia="楷体_GB2312" w:cs="Calibri"/>
                      <w:w w:val="70"/>
                      <w:sz w:val="20"/>
                      <w:szCs w:val="20"/>
                      <w:lang w:eastAsia="zh-CN"/>
                    </w:rPr>
                    <w:t>hfisec</w:t>
                  </w:r>
                  <w:r>
                    <w:rPr>
                      <w:rStyle w:val="23"/>
                      <w:rFonts w:eastAsia="楷体_GB2312" w:cs="Calibri"/>
                      <w:w w:val="70"/>
                      <w:sz w:val="20"/>
                      <w:szCs w:val="20"/>
                    </w:rPr>
                    <w:t>.com</w:t>
                  </w:r>
                  <w:r>
                    <w:rPr>
                      <w:rStyle w:val="23"/>
                      <w:rFonts w:eastAsia="楷体_GB2312" w:cs="Calibri"/>
                      <w:w w:val="70"/>
                      <w:sz w:val="20"/>
                      <w:szCs w:val="20"/>
                    </w:rPr>
                    <w:fldChar w:fldCharType="end"/>
                  </w:r>
                  <w:r>
                    <w:rPr>
                      <w:rStyle w:val="23"/>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snapToGrid/>
                      <w:w w:val="70"/>
                      <w:sz w:val="20"/>
                      <w:szCs w:val="20"/>
                    </w:rPr>
                  </w:pPr>
                  <w:r>
                    <w:rPr>
                      <w:rFonts w:eastAsia="楷体_GB2312" w:cs="Calibri"/>
                      <w:b/>
                      <w:snapToGrid/>
                      <w:w w:val="70"/>
                      <w:sz w:val="20"/>
                      <w:szCs w:val="20"/>
                    </w:rPr>
                    <w:t>分发和地区通知：</w:t>
                  </w:r>
                </w:p>
                <w:p>
                  <w:pPr>
                    <w:pStyle w:val="71"/>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pPr>
                    <w:pStyle w:val="71"/>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pPr>
                    <w:pStyle w:val="71"/>
                    <w:spacing w:after="40"/>
                    <w:rPr>
                      <w:rFonts w:eastAsia="楷体_GB2312" w:cs="Calibri"/>
                      <w:b/>
                      <w:bCs/>
                      <w:w w:val="70"/>
                      <w:sz w:val="20"/>
                      <w:szCs w:val="20"/>
                    </w:rPr>
                  </w:pPr>
                  <w:r>
                    <w:rPr>
                      <w:rFonts w:eastAsia="楷体_GB2312" w:cs="Calibri"/>
                      <w:b/>
                      <w:bCs/>
                      <w:w w:val="70"/>
                      <w:sz w:val="20"/>
                      <w:szCs w:val="20"/>
                    </w:rPr>
                    <w:t>DISTRIBUTION AND REGIONAL NOTICES</w:t>
                  </w:r>
                </w:p>
                <w:p>
                  <w:pPr>
                    <w:pStyle w:val="71"/>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pPr>
                    <w:pStyle w:val="71"/>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pPr>
                    <w:pStyle w:val="71"/>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pPr>
                    <w:pStyle w:val="71"/>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pPr>
                    <w:pStyle w:val="71"/>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pPr>
                    <w:pStyle w:val="71"/>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pPr>
                    <w:pStyle w:val="71"/>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pPr>
                    <w:pStyle w:val="71"/>
                    <w:spacing w:after="60"/>
                    <w:rPr>
                      <w:rFonts w:eastAsia="楷体_GB2312" w:cs="Calibri"/>
                      <w:b/>
                      <w:w w:val="70"/>
                      <w:sz w:val="20"/>
                      <w:szCs w:val="20"/>
                      <w:lang w:eastAsia="zh-CN"/>
                    </w:rPr>
                  </w:pPr>
                </w:p>
              </w:tc>
            </w:tr>
          </w:tbl>
          <w:p>
            <w:pPr>
              <w:rPr>
                <w:rFonts w:eastAsia="楷体_GB2312" w:cs="Calibri"/>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pPr>
              <w:pStyle w:val="71"/>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0773" w:type="dxa"/>
                </w:tcPr>
                <w:p>
                  <w:pPr>
                    <w:pStyle w:val="71"/>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r>
                    <w:rPr>
                      <w:rFonts w:eastAsia="楷体_GB2312" w:cs="等线"/>
                      <w:sz w:val="12"/>
                      <w:szCs w:val="12"/>
                    </w:rPr>
                    <w:t>Source: Company data Bloomberg, XXX estimates</w:t>
                  </w:r>
                </w:p>
              </w:tc>
            </w:tr>
          </w:tbl>
          <w:p>
            <w:pPr>
              <w:pStyle w:val="71"/>
              <w:rPr>
                <w:rFonts w:eastAsia="楷体_GB2312" w:cs="Calibri"/>
                <w:b/>
                <w:w w:val="70"/>
                <w:sz w:val="20"/>
                <w:szCs w:val="20"/>
                <w:lang w:eastAsia="zh-CN"/>
              </w:rPr>
            </w:pPr>
          </w:p>
          <w:p>
            <w:pPr>
              <w:pStyle w:val="55"/>
              <w:rPr>
                <w:rFonts w:eastAsia="楷体_GB2312" w:cs="Calibri"/>
              </w:rPr>
            </w:pPr>
          </w:p>
        </w:tc>
      </w:tr>
    </w:tbl>
    <w:p>
      <w:pPr>
        <w:rPr>
          <w:rFonts w:eastAsiaTheme="minorEastAsia"/>
        </w:rPr>
      </w:pPr>
    </w:p>
    <w:sectPr>
      <w:headerReference r:id="rId14" w:type="first"/>
      <w:footerReference r:id="rId16" w:type="first"/>
      <w:footerReference r:id="rId15" w:type="default"/>
      <w:pgSz w:w="11910" w:h="16840"/>
      <w:pgMar w:top="567" w:right="567" w:bottom="1021" w:left="3600"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52"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53"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rPr>
        <w:rFonts w:eastAsiaTheme="minorEastAsia"/>
      </w:rP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pPr>
          <w:pStyle w:val="13"/>
        </w:pPr>
        <w:r>
          <w:rPr>
            <w:lang w:val="zh-CN"/>
          </w:rPr>
          <w:t>[在此处键入]</w:t>
        </w:r>
      </w:p>
    </w:sdtContent>
  </w:sdt>
  <w:p>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pPr>
            <w:pStyle w:val="65"/>
            <w:jc w:val="right"/>
            <w:rPr>
              <w:rStyle w:val="67"/>
              <w:rFonts w:eastAsia="楷体_GB2312" w:cs="等线"/>
              <w:color w:val="FF0000"/>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65"/>
      <w:rPr>
        <w:rFonts w:eastAsiaTheme="minorEastAsia"/>
        <w:color w:val="23558C"/>
        <w:lang w:eastAsia="zh-CN"/>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left"/>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65"/>
      <w:rPr>
        <w:rFonts w:eastAsiaTheme="minorEastAsia"/>
        <w:color w:val="23558C"/>
        <w:lang w:eastAsia="zh-CN"/>
      </w:rP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65"/>
      <w:rPr>
        <w:rFonts w:eastAsiaTheme="minorEastAsia"/>
        <w:color w:val="23558C"/>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CE7F8"/>
    <w:multiLevelType w:val="singleLevel"/>
    <w:tmpl w:val="984CE7F8"/>
    <w:lvl w:ilvl="0" w:tentative="0">
      <w:start w:val="1"/>
      <w:numFmt w:val="decimal"/>
      <w:lvlText w:val="%1)"/>
      <w:lvlJc w:val="left"/>
      <w:pPr>
        <w:tabs>
          <w:tab w:val="left" w:pos="312"/>
        </w:tabs>
      </w:pPr>
    </w:lvl>
  </w:abstractNum>
  <w:abstractNum w:abstractNumId="1">
    <w:nsid w:val="0C734EF2"/>
    <w:multiLevelType w:val="multilevel"/>
    <w:tmpl w:val="0C734EF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70D0AD2"/>
    <w:multiLevelType w:val="multilevel"/>
    <w:tmpl w:val="170D0AD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A351FC1"/>
    <w:multiLevelType w:val="multilevel"/>
    <w:tmpl w:val="1A351FC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630A4C"/>
    <w:multiLevelType w:val="multilevel"/>
    <w:tmpl w:val="28630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7C6594"/>
    <w:multiLevelType w:val="multilevel"/>
    <w:tmpl w:val="3A7C659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16F7145"/>
    <w:multiLevelType w:val="multilevel"/>
    <w:tmpl w:val="416F7145"/>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64573A64"/>
    <w:multiLevelType w:val="multilevel"/>
    <w:tmpl w:val="64573A64"/>
    <w:lvl w:ilvl="0" w:tentative="0">
      <w:start w:val="1"/>
      <w:numFmt w:val="decimalEnclosedCircle"/>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89549F9"/>
    <w:multiLevelType w:val="multilevel"/>
    <w:tmpl w:val="789549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57D65F7"/>
    <w:multiLevelType w:val="multilevel"/>
    <w:tmpl w:val="28630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4587B74"/>
    <w:multiLevelType w:val="multilevel"/>
    <w:tmpl w:val="1A351FC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03024127"/>
    <w:multiLevelType w:val="multilevel"/>
    <w:tmpl w:val="0C734EF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02ED5D53"/>
    <w:multiLevelType w:val="multilevel"/>
    <w:tmpl w:val="416F7145"/>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0226E8F3"/>
    <w:multiLevelType w:val="singleLevel"/>
    <w:tmpl w:val="984CE7F8"/>
    <w:lvl w:ilvl="0" w:tentative="0">
      <w:start w:val="1"/>
      <w:numFmt w:val="decimal"/>
      <w:lvlText w:val="%1)"/>
      <w:lvlJc w:val="left"/>
      <w:pPr>
        <w:tabs>
          <w:tab w:val="left" w:pos="312"/>
        </w:tabs>
      </w:pPr>
    </w:lvl>
  </w:abstractNum>
  <w:abstractNum w:abstractNumId="16">
    <w:nsid w:val="059EF585"/>
    <w:multiLevelType w:val="multilevel"/>
    <w:tmpl w:val="170D0AD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017176C9"/>
    <w:multiLevelType w:val="multilevel"/>
    <w:tmpl w:val="789549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059A5DAA"/>
    <w:multiLevelType w:val="multilevel"/>
    <w:tmpl w:val="3A7C659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02C5A378"/>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0">
    <w:nsid w:val="048FC5F3"/>
    <w:multiLevelType w:val="multilevel"/>
    <w:tmpl w:val="64573A64"/>
    <w:lvl w:ilvl="0" w:tentative="0">
      <w:start w:val="1"/>
      <w:numFmt w:val="decimalEnclosedCircle"/>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8"/>
  </w:num>
  <w:num w:numId="2">
    <w:abstractNumId w:val="4"/>
  </w:num>
  <w:num w:numId="3">
    <w:abstractNumId w:val="3"/>
  </w:num>
  <w:num w:numId="4">
    <w:abstractNumId w:val="1"/>
  </w:num>
  <w:num w:numId="5">
    <w:abstractNumId w:val="6"/>
  </w:num>
  <w:num w:numId="6">
    <w:abstractNumId w:val="0"/>
  </w:num>
  <w:num w:numId="7">
    <w:abstractNumId w:val="2"/>
  </w:num>
  <w:num w:numId="8">
    <w:abstractNumId w:val="10"/>
  </w:num>
  <w:num w:numId="9">
    <w:abstractNumId w:val="5"/>
  </w:num>
  <w:num w:numId="10">
    <w:abstractNumId w:val="7"/>
  </w:num>
  <w:num w:numId="12">
    <w:abstractNumId w:val="11"/>
  </w:num>
  <w:num w:numId="13">
    <w:abstractNumId w:val="12"/>
  </w:num>
  <w:num w:numId="14">
    <w:abstractNumId w:val="12"/>
    <w:lvlOverride w:ilvl="0">
      <w:startOverride w:val="1"/>
    </w:lvlOverride>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lOWU1OWFiZTlkMDIxMDc5MTk1MDFjOTRlNGRkZTIifQ=="/>
  </w:docVars>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33A0998"/>
    <w:rsid w:val="03502CFD"/>
    <w:rsid w:val="04656EB0"/>
    <w:rsid w:val="049802FF"/>
    <w:rsid w:val="04BF763E"/>
    <w:rsid w:val="061340E1"/>
    <w:rsid w:val="062A4F87"/>
    <w:rsid w:val="064A387B"/>
    <w:rsid w:val="074C2609"/>
    <w:rsid w:val="07E74E75"/>
    <w:rsid w:val="08182C56"/>
    <w:rsid w:val="083057A7"/>
    <w:rsid w:val="0990783C"/>
    <w:rsid w:val="0CED3B15"/>
    <w:rsid w:val="0D662AF9"/>
    <w:rsid w:val="0DB66863"/>
    <w:rsid w:val="0E2C5125"/>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6C120C"/>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91E364C"/>
    <w:rsid w:val="6A86769D"/>
    <w:rsid w:val="6C7C0072"/>
    <w:rsid w:val="6CBD693E"/>
    <w:rsid w:val="6EDB7B1D"/>
    <w:rsid w:val="6F413CD0"/>
    <w:rsid w:val="708319D8"/>
    <w:rsid w:val="709E0D12"/>
    <w:rsid w:val="72EE509C"/>
    <w:rsid w:val="73057B87"/>
    <w:rsid w:val="74764121"/>
    <w:rsid w:val="74856478"/>
    <w:rsid w:val="76F16C4E"/>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autoRedefine/>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autoRedefine/>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autoRedefine/>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autoRedefine/>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Block Text"/>
    <w:basedOn w:val="1"/>
    <w:autoRedefine/>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unhideWhenUsed/>
    <w:qFormat/>
    <w:uiPriority w:val="99"/>
    <w:pPr>
      <w:tabs>
        <w:tab w:val="center" w:pos="4153"/>
        <w:tab w:val="right" w:pos="8306"/>
      </w:tabs>
      <w:snapToGrid w:val="0"/>
    </w:pPr>
    <w:rPr>
      <w:sz w:val="18"/>
      <w:szCs w:val="18"/>
    </w:rPr>
  </w:style>
  <w:style w:type="paragraph" w:styleId="13">
    <w:name w:val="header"/>
    <w:basedOn w:val="1"/>
    <w:link w:val="42"/>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autoRedefine/>
    <w:semiHidden/>
    <w:unhideWhenUsed/>
    <w:qFormat/>
    <w:uiPriority w:val="99"/>
    <w:rPr>
      <w:rFonts w:ascii="Times New Roman" w:hAnsi="Times New Roman"/>
      <w:sz w:val="24"/>
      <w:szCs w:val="24"/>
    </w:rPr>
  </w:style>
  <w:style w:type="paragraph" w:styleId="18">
    <w:name w:val="Title"/>
    <w:basedOn w:val="1"/>
    <w:next w:val="1"/>
    <w:link w:val="33"/>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autoRedefine/>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22"/>
    <w:rPr>
      <w:b/>
    </w:rPr>
  </w:style>
  <w:style w:type="character" w:styleId="23">
    <w:name w:val="Hyperlink"/>
    <w:basedOn w:val="21"/>
    <w:autoRedefine/>
    <w:qFormat/>
    <w:uiPriority w:val="99"/>
    <w:rPr>
      <w:color w:val="0000FF"/>
      <w:u w:val="single"/>
    </w:rPr>
  </w:style>
  <w:style w:type="character" w:customStyle="1" w:styleId="24">
    <w:name w:val="标题 1 字符"/>
    <w:basedOn w:val="21"/>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autoRedefine/>
    <w:semiHidden/>
    <w:qFormat/>
    <w:uiPriority w:val="9"/>
    <w:rPr>
      <w:rFonts w:cstheme="majorBidi"/>
      <w:color w:val="104862" w:themeColor="accent1" w:themeShade="BF"/>
      <w:sz w:val="28"/>
      <w:szCs w:val="28"/>
    </w:rPr>
  </w:style>
  <w:style w:type="character" w:customStyle="1" w:styleId="28">
    <w:name w:val="标题 5 字符"/>
    <w:basedOn w:val="21"/>
    <w:link w:val="6"/>
    <w:autoRedefine/>
    <w:semiHidden/>
    <w:qFormat/>
    <w:uiPriority w:val="9"/>
    <w:rPr>
      <w:rFonts w:cstheme="majorBidi"/>
      <w:color w:val="104862" w:themeColor="accent1" w:themeShade="BF"/>
      <w:sz w:val="24"/>
      <w:szCs w:val="24"/>
    </w:rPr>
  </w:style>
  <w:style w:type="character" w:customStyle="1" w:styleId="29">
    <w:name w:val="标题 6 字符"/>
    <w:basedOn w:val="21"/>
    <w:link w:val="7"/>
    <w:autoRedefine/>
    <w:semiHidden/>
    <w:qFormat/>
    <w:uiPriority w:val="9"/>
    <w:rPr>
      <w:rFonts w:cstheme="majorBidi"/>
      <w:b/>
      <w:bCs/>
      <w:color w:val="104862" w:themeColor="accent1" w:themeShade="BF"/>
    </w:rPr>
  </w:style>
  <w:style w:type="character" w:customStyle="1" w:styleId="30">
    <w:name w:val="标题 7 字符"/>
    <w:basedOn w:val="21"/>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autoRedefine/>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autoRedefine/>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21"/>
    <w:autoRedefine/>
    <w:qFormat/>
    <w:uiPriority w:val="21"/>
    <w:rPr>
      <w:i/>
      <w:iCs/>
      <w:color w:val="104862" w:themeColor="accent1" w:themeShade="BF"/>
    </w:rPr>
  </w:style>
  <w:style w:type="paragraph" w:styleId="39">
    <w:name w:val="Intense Quote"/>
    <w:basedOn w:val="1"/>
    <w:next w:val="1"/>
    <w:link w:val="40"/>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autoRedefine/>
    <w:qFormat/>
    <w:uiPriority w:val="30"/>
    <w:rPr>
      <w:i/>
      <w:iCs/>
      <w:color w:val="104862" w:themeColor="accent1" w:themeShade="BF"/>
    </w:rPr>
  </w:style>
  <w:style w:type="character" w:customStyle="1" w:styleId="41">
    <w:name w:val="明显参考1"/>
    <w:basedOn w:val="21"/>
    <w:autoRedefine/>
    <w:qFormat/>
    <w:uiPriority w:val="32"/>
    <w:rPr>
      <w:b/>
      <w:bCs/>
      <w:smallCaps/>
      <w:color w:val="104862" w:themeColor="accent1" w:themeShade="BF"/>
      <w:spacing w:val="5"/>
    </w:rPr>
  </w:style>
  <w:style w:type="character" w:customStyle="1" w:styleId="42">
    <w:name w:val="页眉 字符"/>
    <w:basedOn w:val="21"/>
    <w:link w:val="13"/>
    <w:autoRedefine/>
    <w:qFormat/>
    <w:uiPriority w:val="99"/>
    <w:rPr>
      <w:sz w:val="18"/>
      <w:szCs w:val="18"/>
    </w:rPr>
  </w:style>
  <w:style w:type="character" w:customStyle="1" w:styleId="43">
    <w:name w:val="页脚 字符"/>
    <w:basedOn w:val="21"/>
    <w:link w:val="12"/>
    <w:autoRedefine/>
    <w:qFormat/>
    <w:uiPriority w:val="99"/>
    <w:rPr>
      <w:sz w:val="18"/>
      <w:szCs w:val="18"/>
    </w:rPr>
  </w:style>
  <w:style w:type="paragraph" w:customStyle="1" w:styleId="44">
    <w:name w:val="EFABodyText"/>
    <w:link w:val="47"/>
    <w:autoRedefine/>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autoRedefine/>
    <w:qFormat/>
    <w:uiPriority w:val="0"/>
    <w:pPr>
      <w:framePr w:wrap="around" w:xAlign="right" w:y="1"/>
      <w:jc w:val="right"/>
    </w:pPr>
    <w:rPr>
      <w:bCs/>
      <w:snapToGrid/>
      <w:szCs w:val="32"/>
    </w:rPr>
  </w:style>
  <w:style w:type="paragraph" w:customStyle="1" w:styleId="46">
    <w:name w:val="EFAFPFrameText_11.5pt"/>
    <w:link w:val="58"/>
    <w:autoRedefine/>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autoRedefine/>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autoRedefine/>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autoRedefine/>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autoRedefine/>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autoRedefine/>
    <w:qFormat/>
    <w:uiPriority w:val="0"/>
    <w:pPr>
      <w:framePr w:wrap="around"/>
    </w:pPr>
    <w:rPr>
      <w:sz w:val="12"/>
      <w:szCs w:val="12"/>
    </w:rPr>
  </w:style>
  <w:style w:type="paragraph" w:customStyle="1" w:styleId="52">
    <w:name w:val="EFAFPColFrame_AnalystName"/>
    <w:basedOn w:val="50"/>
    <w:autoRedefine/>
    <w:qFormat/>
    <w:uiPriority w:val="0"/>
    <w:pPr>
      <w:framePr w:wrap="around"/>
    </w:pPr>
    <w:rPr>
      <w:b/>
      <w:sz w:val="16"/>
    </w:rPr>
  </w:style>
  <w:style w:type="paragraph" w:customStyle="1" w:styleId="53">
    <w:name w:val="EFAFPColFrameText_8pt"/>
    <w:basedOn w:val="50"/>
    <w:autoRedefine/>
    <w:qFormat/>
    <w:uiPriority w:val="0"/>
    <w:pPr>
      <w:framePr w:wrap="around"/>
    </w:pPr>
    <w:rPr>
      <w:sz w:val="16"/>
    </w:rPr>
  </w:style>
  <w:style w:type="character" w:customStyle="1" w:styleId="54">
    <w:name w:val="EFAFPColFrameText_Left Char"/>
    <w:basedOn w:val="21"/>
    <w:link w:val="50"/>
    <w:autoRedefine/>
    <w:qFormat/>
    <w:uiPriority w:val="0"/>
    <w:rPr>
      <w:rFonts w:ascii="Calibri" w:hAnsi="Calibri" w:eastAsia="MS Mincho" w:cs="Times New Roman"/>
      <w:snapToGrid w:val="0"/>
      <w:kern w:val="0"/>
      <w:sz w:val="14"/>
      <w:szCs w:val="14"/>
    </w:rPr>
  </w:style>
  <w:style w:type="paragraph" w:customStyle="1" w:styleId="55">
    <w:name w:val="EFAAnchor"/>
    <w:basedOn w:val="1"/>
    <w:autoRedefine/>
    <w:qFormat/>
    <w:uiPriority w:val="0"/>
    <w:pPr>
      <w:widowControl w:val="0"/>
      <w:adjustRightInd w:val="0"/>
      <w:snapToGrid w:val="0"/>
    </w:pPr>
    <w:rPr>
      <w:sz w:val="4"/>
    </w:rPr>
  </w:style>
  <w:style w:type="paragraph" w:customStyle="1" w:styleId="56">
    <w:name w:val="EFAFP_BodyText2"/>
    <w:link w:val="57"/>
    <w:autoRedefine/>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autoRedefine/>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autoRedefine/>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autoRedefine/>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autoRedefine/>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autoRedefine/>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autoRedefine/>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autoRedefine/>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autoRedefine/>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autoRedefine/>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autoRedefine/>
    <w:qFormat/>
    <w:uiPriority w:val="0"/>
    <w:rPr>
      <w:rFonts w:ascii="Calibri" w:hAnsi="Calibri" w:eastAsia="MS Mincho" w:cs="Times New Roman"/>
      <w:snapToGrid w:val="0"/>
      <w:kern w:val="0"/>
      <w:sz w:val="16"/>
      <w:szCs w:val="16"/>
      <w:lang w:eastAsia="ja-JP"/>
    </w:rPr>
  </w:style>
  <w:style w:type="character" w:customStyle="1" w:styleId="67">
    <w:name w:val="EFACharBold_and_AllCap"/>
    <w:autoRedefine/>
    <w:qFormat/>
    <w:uiPriority w:val="1"/>
    <w:rPr>
      <w:b/>
      <w:caps/>
    </w:rPr>
  </w:style>
  <w:style w:type="paragraph" w:customStyle="1" w:styleId="68">
    <w:name w:val="EFAPageFooter"/>
    <w:basedOn w:val="65"/>
    <w:autoRedefine/>
    <w:qFormat/>
    <w:uiPriority w:val="0"/>
    <w:pPr>
      <w:framePr w:wrap="around" w:vAnchor="page" w:hAnchor="page" w:x="347" w:y="15481"/>
      <w:tabs>
        <w:tab w:val="center" w:pos="5165"/>
      </w:tabs>
    </w:pPr>
    <w:rPr>
      <w:b/>
      <w:sz w:val="20"/>
      <w:szCs w:val="20"/>
    </w:rPr>
  </w:style>
  <w:style w:type="paragraph" w:customStyle="1" w:styleId="69">
    <w:name w:val="EFASideComment"/>
    <w:basedOn w:val="44"/>
    <w:autoRedefine/>
    <w:qFormat/>
    <w:uiPriority w:val="0"/>
    <w:pPr>
      <w:framePr w:w="2980" w:hSpace="180" w:wrap="around" w:vAnchor="text" w:hAnchor="text" w:x="-3250" w:y="160"/>
    </w:pPr>
  </w:style>
  <w:style w:type="table" w:customStyle="1" w:styleId="70">
    <w:name w:val="Common"/>
    <w:basedOn w:val="20"/>
    <w:autoRedefine/>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autoRedefine/>
    <w:qFormat/>
    <w:uiPriority w:val="99"/>
    <w:pPr>
      <w:jc w:val="both"/>
    </w:pPr>
  </w:style>
  <w:style w:type="character" w:customStyle="1" w:styleId="72">
    <w:name w:val="EFADisclaimerText Char"/>
    <w:basedOn w:val="21"/>
    <w:link w:val="71"/>
    <w:autoRedefine/>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autoRedefine/>
    <w:unhideWhenUsed/>
    <w:qFormat/>
    <w:uiPriority w:val="39"/>
    <w:pPr>
      <w:spacing w:after="0" w:line="259" w:lineRule="auto"/>
      <w:outlineLvl w:val="9"/>
    </w:pPr>
    <w:rPr>
      <w:snapToGrid/>
      <w:sz w:val="32"/>
    </w:rPr>
  </w:style>
  <w:style w:type="paragraph" w:customStyle="1" w:styleId="74">
    <w:name w:val="【正文】图表标题"/>
    <w:basedOn w:val="75"/>
    <w:autoRedefine/>
    <w:qFormat/>
    <w:uiPriority w:val="6"/>
    <w:pPr>
      <w:numPr>
        <w:ilvl w:val="0"/>
        <w:numId w:val="1"/>
      </w:numPr>
      <w:jc w:val="left"/>
    </w:pPr>
    <w:rPr>
      <w:b/>
      <w:bCs/>
    </w:rPr>
  </w:style>
  <w:style w:type="paragraph" w:customStyle="1" w:styleId="75">
    <w:name w:val="【基础样式】"/>
    <w:autoRedefine/>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3" Type="http://schemas.openxmlformats.org/officeDocument/2006/relationships/glossaryDocument" Target="glossary/document.xml"/><Relationship Id="rId72" Type="http://schemas.openxmlformats.org/officeDocument/2006/relationships/fontTable" Target="fontTable.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footer" Target="footer2.xml"/><Relationship Id="rId69" Type="http://schemas.openxmlformats.org/officeDocument/2006/relationships/customXml" Target="../customXml/item1.xml"/><Relationship Id="rId68" Type="http://schemas.openxmlformats.org/officeDocument/2006/relationships/image" Target="media/image29.emf"/><Relationship Id="rId67" Type="http://schemas.openxmlformats.org/officeDocument/2006/relationships/image" Target="media/image28.emf"/><Relationship Id="rId66" Type="http://schemas.openxmlformats.org/officeDocument/2006/relationships/image" Target="media/image27.emf"/><Relationship Id="rId65" Type="http://schemas.openxmlformats.org/officeDocument/2006/relationships/image" Target="media/image26.png"/><Relationship Id="rId64" Type="http://schemas.openxmlformats.org/officeDocument/2006/relationships/chart" Target="charts/chart22.xml"/><Relationship Id="rId63" Type="http://schemas.openxmlformats.org/officeDocument/2006/relationships/image" Target="media/image25.png"/><Relationship Id="rId62" Type="http://schemas.openxmlformats.org/officeDocument/2006/relationships/image" Target="media/image24.png"/><Relationship Id="rId61" Type="http://schemas.openxmlformats.org/officeDocument/2006/relationships/chart" Target="charts/chart21.xml"/><Relationship Id="rId60" Type="http://schemas.openxmlformats.org/officeDocument/2006/relationships/chart" Target="charts/chart20.xml"/><Relationship Id="rId6" Type="http://schemas.openxmlformats.org/officeDocument/2006/relationships/footer" Target="footer1.xml"/><Relationship Id="rId59" Type="http://schemas.openxmlformats.org/officeDocument/2006/relationships/chart" Target="charts/chart19.xml"/><Relationship Id="rId58" Type="http://schemas.openxmlformats.org/officeDocument/2006/relationships/chart" Target="charts/chart18.xml"/><Relationship Id="rId57" Type="http://schemas.openxmlformats.org/officeDocument/2006/relationships/chart" Target="charts/chart17.xml"/><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emf"/><Relationship Id="rId5" Type="http://schemas.openxmlformats.org/officeDocument/2006/relationships/header" Target="header3.xml"/><Relationship Id="rId49" Type="http://schemas.openxmlformats.org/officeDocument/2006/relationships/image" Target="media/image16.emf"/><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chart" Target="charts/chart16.xml"/><Relationship Id="rId42" Type="http://schemas.openxmlformats.org/officeDocument/2006/relationships/chart" Target="charts/chart15.xml"/><Relationship Id="rId41" Type="http://schemas.openxmlformats.org/officeDocument/2006/relationships/image" Target="media/image10.png"/><Relationship Id="rId40" Type="http://schemas.openxmlformats.org/officeDocument/2006/relationships/image" Target="media/image9.png"/><Relationship Id="rId4" Type="http://schemas.openxmlformats.org/officeDocument/2006/relationships/header" Target="header2.xml"/><Relationship Id="rId39" Type="http://schemas.openxmlformats.org/officeDocument/2006/relationships/chart" Target="charts/chart14.xml"/><Relationship Id="rId38" Type="http://schemas.openxmlformats.org/officeDocument/2006/relationships/chart" Target="charts/chart13.xml"/><Relationship Id="rId37" Type="http://schemas.openxmlformats.org/officeDocument/2006/relationships/chart" Target="charts/chart12.xml"/><Relationship Id="rId36" Type="http://schemas.openxmlformats.org/officeDocument/2006/relationships/chart" Target="charts/chart11.xml"/><Relationship Id="rId35" Type="http://schemas.openxmlformats.org/officeDocument/2006/relationships/chart" Target="charts/chart10.xml"/><Relationship Id="rId34" Type="http://schemas.openxmlformats.org/officeDocument/2006/relationships/chart" Target="charts/chart9.xml"/><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emf"/><Relationship Id="rId30" Type="http://schemas.openxmlformats.org/officeDocument/2006/relationships/chart" Target="charts/chart8.xml"/><Relationship Id="rId3" Type="http://schemas.openxmlformats.org/officeDocument/2006/relationships/header" Target="header1.xml"/><Relationship Id="rId29" Type="http://schemas.openxmlformats.org/officeDocument/2006/relationships/chart" Target="charts/chart7.xml"/><Relationship Id="rId28" Type="http://schemas.openxmlformats.org/officeDocument/2006/relationships/chart" Target="charts/chart6.xml"/><Relationship Id="rId27" Type="http://schemas.openxmlformats.org/officeDocument/2006/relationships/chart" Target="charts/chart5.xml"/><Relationship Id="rId26" Type="http://schemas.openxmlformats.org/officeDocument/2006/relationships/chart" Target="charts/chart4.xml"/><Relationship Id="rId25" Type="http://schemas.openxmlformats.org/officeDocument/2006/relationships/chart" Target="charts/chart3.xml"/><Relationship Id="rId24" Type="http://schemas.openxmlformats.org/officeDocument/2006/relationships/chart" Target="charts/chart2.xml"/><Relationship Id="rId23" Type="http://schemas.openxmlformats.org/officeDocument/2006/relationships/chart" Target="charts/chart1.xml"/><Relationship Id="rId22" Type="http://schemas.openxmlformats.org/officeDocument/2006/relationships/image" Target="media/image5.emf"/><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 Id="rId74" Type="http://schemas.openxmlformats.org/officeDocument/2006/relationships/chart" Target="charts/chart23.xml"/><Relationship Id="rId75" Type="http://schemas.openxmlformats.org/officeDocument/2006/relationships/chart" Target="charts/chart24.xml"/><Relationship Id="rId76" Type="http://schemas.openxmlformats.org/officeDocument/2006/relationships/chart" Target="charts/chart25.xml"/><Relationship Id="rId77" Type="http://schemas.openxmlformats.org/officeDocument/2006/relationships/chart" Target="charts/chart26.xml"/><Relationship Id="rId78" Type="http://schemas.openxmlformats.org/officeDocument/2006/relationships/chart" Target="charts/chart27.xml"/><Relationship Id="rId79" Type="http://schemas.openxmlformats.org/officeDocument/2006/relationships/chart" Target="charts/chart28.xml"/><Relationship Id="rId80" Type="http://schemas.openxmlformats.org/officeDocument/2006/relationships/chart" Target="charts/chart29.xml"/><Relationship Id="rId81" Type="http://schemas.openxmlformats.org/officeDocument/2006/relationships/chart" Target="charts/chart30.xml"/><Relationship Id="rId82" Type="http://schemas.openxmlformats.org/officeDocument/2006/relationships/chart" Target="charts/chart31.xml"/><Relationship Id="rId83" Type="http://schemas.openxmlformats.org/officeDocument/2006/relationships/chart" Target="charts/chart32.xml"/><Relationship Id="rId84" Type="http://schemas.openxmlformats.org/officeDocument/2006/relationships/chart" Target="charts/chart33.xml"/><Relationship Id="rId85" Type="http://schemas.openxmlformats.org/officeDocument/2006/relationships/chart" Target="charts/chart34.xml"/><Relationship Id="rId86" Type="http://schemas.openxmlformats.org/officeDocument/2006/relationships/chart" Target="charts/chart35.xml"/><Relationship Id="rId87" Type="http://schemas.openxmlformats.org/officeDocument/2006/relationships/chart" Target="charts/chart36.xml"/><Relationship Id="rId88" Type="http://schemas.openxmlformats.org/officeDocument/2006/relationships/chart" Target="charts/chart37.xml"/><Relationship Id="rId89" Type="http://schemas.openxmlformats.org/officeDocument/2006/relationships/chart" Target="charts/chart38.xml"/><Relationship Id="rId90" Type="http://schemas.openxmlformats.org/officeDocument/2006/relationships/chart" Target="charts/chart39.xml"/><Relationship Id="rId91" Type="http://schemas.openxmlformats.org/officeDocument/2006/relationships/chart" Target="charts/chart40.xml"/><Relationship Id="rId92" Type="http://schemas.openxmlformats.org/officeDocument/2006/relationships/chart" Target="charts/chart41.xml"/><Relationship Id="rId93" Type="http://schemas.openxmlformats.org/officeDocument/2006/relationships/chart" Target="charts/chart42.xml"/><Relationship Id="rId94" Type="http://schemas.openxmlformats.org/officeDocument/2006/relationships/chart" Target="charts/chart43.xml"/><Relationship Id="rId95" Type="http://schemas.openxmlformats.org/officeDocument/2006/relationships/chart" Target="charts/chart44.xml"/><Relationship Id="rId96" Type="http://schemas.openxmlformats.org/officeDocument/2006/relationships/header" Target="header9.xml"/><Relationship Id="rId97" Type="http://schemas.openxmlformats.org/officeDocument/2006/relationships/footer" Target="footer7.xml"/><Relationship Id="rId98" Type="http://schemas.openxmlformats.org/officeDocument/2006/relationships/header" Target="header10.xml"/><Relationship Id="rId99" Type="http://schemas.openxmlformats.org/officeDocument/2006/relationships/footer" Target="footer8.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86151\Desktop\&#35199;&#38160;&#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86151\Desktop\&#35199;&#38160;&#24213;&#31295;(2).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https://d.docs.live.net/fb92e85d57d94469/&#21326;&#31119;&#22269;&#38469;/&#35199;&#38160;&#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oleObject" Target="https://d.docs.live.net/fb92e85d57d94469/&#21326;&#31119;&#22269;&#38469;/&#35199;&#38160;&#24213;&#31295;.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C:\Users\86151\Desktop\&#35199;&#38160;&#24213;&#31295;(2).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86151\Desktop\&#35199;&#38160;&#24213;&#31295;.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86151\Desktop\&#35199;&#38160;&#24213;&#31295;.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86151\Desktop\&#35199;&#38160;&#24213;&#31295;.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86151\Desktop\&#35199;&#38160;&#24213;&#31295;.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C:\Users\86151\Desktop\&#35199;&#38160;&#24213;&#31295;.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14.xml"/><Relationship Id="rId3" Type="http://schemas.microsoft.com/office/2011/relationships/chartStyle" Target="style14.xml"/><Relationship Id="rId2" Type="http://schemas.openxmlformats.org/officeDocument/2006/relationships/themeOverride" Target="../theme/themeOverride14.xml"/><Relationship Id="rId1" Type="http://schemas.openxmlformats.org/officeDocument/2006/relationships/oleObject" Target="file:///C:\Users\86151\Desktop\&#35199;&#38160;&#24213;&#31295;.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86151\Desktop\&#35199;&#38160;&#24213;&#31295;.xlsx" TargetMode="External"/></Relationships>
</file>

<file path=word/charts/_rels/chart13.xml.rels><?xml version='1.0' encoding='UTF-8' standalone='yes'?>
<Relationships xmlns="http://schemas.openxmlformats.org/package/2006/relationships"><Relationship Id="rId4" Type="http://schemas.microsoft.com/office/2011/relationships/chartColorStyle" Target="colors15.xml"/><Relationship Id="rId3" Type="http://schemas.microsoft.com/office/2011/relationships/chartStyle" Target="style15.xml"/><Relationship Id="rId2" Type="http://schemas.openxmlformats.org/officeDocument/2006/relationships/themeOverride" Target="../theme/themeOverride15.xml"/><Relationship Id="rId1" Type="http://schemas.openxmlformats.org/officeDocument/2006/relationships/oleObject" Target="file:///C:\Users\86151\Desktop\&#35199;&#38160;&#24213;&#31295;.xlsx" TargetMode="External"/></Relationships>
</file>

<file path=word/charts/_rels/chart14.xml.rels><?xml version='1.0' encoding='UTF-8' standalone='yes'?>
<Relationships xmlns="http://schemas.openxmlformats.org/package/2006/relationships"><Relationship Id="rId4" Type="http://schemas.microsoft.com/office/2011/relationships/chartColorStyle" Target="colors16.xml"/><Relationship Id="rId3" Type="http://schemas.microsoft.com/office/2011/relationships/chartStyle" Target="style16.xml"/><Relationship Id="rId2" Type="http://schemas.openxmlformats.org/officeDocument/2006/relationships/themeOverride" Target="../theme/themeOverride16.xml"/><Relationship Id="rId1" Type="http://schemas.openxmlformats.org/officeDocument/2006/relationships/oleObject" Target="file:///C:\Users\86151\Desktop\&#35199;&#38160;&#24213;&#31295;.xlsx" TargetMode="External"/></Relationships>
</file>

<file path=word/charts/_rels/chart15.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oleObject" Target="file:///C:\Users\86151\Desktop\&#35199;&#38160;&#24213;&#31295;.xlsx" TargetMode="External"/></Relationships>
</file>

<file path=word/charts/_rels/chart16.xml.rels><?xml version='1.0' encoding='UTF-8' standalone='yes'?>
<Relationships xmlns="http://schemas.openxmlformats.org/package/2006/relationships"><Relationship Id="rId4" Type="http://schemas.microsoft.com/office/2011/relationships/chartColorStyle" Target="colors17.xml"/><Relationship Id="rId3" Type="http://schemas.microsoft.com/office/2011/relationships/chartStyle" Target="style17.xml"/><Relationship Id="rId2" Type="http://schemas.openxmlformats.org/officeDocument/2006/relationships/themeOverride" Target="../theme/themeOverride17.xml"/><Relationship Id="rId1" Type="http://schemas.openxmlformats.org/officeDocument/2006/relationships/oleObject" Target="file:///C:\Users\86151\Desktop\&#35199;&#38160;&#24213;&#31295;.xlsx" TargetMode="External"/></Relationships>
</file>

<file path=word/charts/_rels/chart17.xml.rels><?xml version='1.0' encoding='UTF-8' standalone='yes'?>
<Relationships xmlns="http://schemas.openxmlformats.org/package/2006/relationships"><Relationship Id="rId4" Type="http://schemas.microsoft.com/office/2011/relationships/chartColorStyle" Target="colors20.xml"/><Relationship Id="rId3" Type="http://schemas.microsoft.com/office/2011/relationships/chartStyle" Target="style20.xml"/><Relationship Id="rId2" Type="http://schemas.openxmlformats.org/officeDocument/2006/relationships/themeOverride" Target="../theme/themeOverride20.xml"/><Relationship Id="rId1" Type="http://schemas.openxmlformats.org/officeDocument/2006/relationships/oleObject" Target="file:///C:\Users\86151\Desktop\&#35199;&#38160;&#24213;&#31295;.xlsx" TargetMode="External"/></Relationships>
</file>

<file path=word/charts/_rels/chart18.xml.rels><?xml version='1.0' encoding='UTF-8' standalone='yes'?>
<Relationships xmlns="http://schemas.openxmlformats.org/package/2006/relationships"><Relationship Id="rId4" Type="http://schemas.microsoft.com/office/2011/relationships/chartColorStyle" Target="colors18.xml"/><Relationship Id="rId3" Type="http://schemas.microsoft.com/office/2011/relationships/chartStyle" Target="style18.xml"/><Relationship Id="rId2" Type="http://schemas.openxmlformats.org/officeDocument/2006/relationships/themeOverride" Target="../theme/themeOverride18.xml"/><Relationship Id="rId1" Type="http://schemas.openxmlformats.org/officeDocument/2006/relationships/oleObject" Target="file:///C:\Users\86151\Desktop\&#35199;&#38160;&#24213;&#31295;.xlsx" TargetMode="External"/></Relationships>
</file>

<file path=word/charts/_rels/chart19.xml.rels><?xml version='1.0' encoding='UTF-8' standalone='yes'?>
<Relationships xmlns="http://schemas.openxmlformats.org/package/2006/relationships"><Relationship Id="rId4" Type="http://schemas.microsoft.com/office/2011/relationships/chartColorStyle" Target="colors19.xml"/><Relationship Id="rId3" Type="http://schemas.microsoft.com/office/2011/relationships/chartStyle" Target="style19.xml"/><Relationship Id="rId2" Type="http://schemas.openxmlformats.org/officeDocument/2006/relationships/themeOverride" Target="../theme/themeOverride19.xml"/><Relationship Id="rId1" Type="http://schemas.openxmlformats.org/officeDocument/2006/relationships/oleObject" Target="file:///C:\Users\86151\Desktop\&#35199;&#38160;&#24213;&#31295;.xlsx" TargetMode="External"/></Relationships>
</file>

<file path=word/charts/_rels/chart20.xml.rels><?xml version='1.0' encoding='UTF-8' standalone='yes'?>
<Relationships xmlns="http://schemas.openxmlformats.org/package/2006/relationships"><Relationship Id="rId4" Type="http://schemas.microsoft.com/office/2011/relationships/chartColorStyle" Target="colors21.xml"/><Relationship Id="rId3" Type="http://schemas.microsoft.com/office/2011/relationships/chartStyle" Target="style21.xml"/><Relationship Id="rId2" Type="http://schemas.openxmlformats.org/officeDocument/2006/relationships/themeOverride" Target="../theme/themeOverride21.xml"/><Relationship Id="rId1" Type="http://schemas.openxmlformats.org/officeDocument/2006/relationships/oleObject" Target="file:///C:\Users\86151\Desktop\&#35199;&#38160;&#24213;&#31295;.xlsx" TargetMode="External"/></Relationships>
</file>

<file path=word/charts/_rels/chart21.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C:\Users\zheng\Desktop\&#35199;&#38160;&#24213;&#31295;.xlsx" TargetMode="External"/></Relationships>
</file>

<file path=word/charts/_rels/chart22.xml.rels><?xml version='1.0' encoding='UTF-8' standalone='yes'?>
<Relationships xmlns="http://schemas.openxmlformats.org/package/2006/relationships"><Relationship Id="rId4" Type="http://schemas.microsoft.com/office/2011/relationships/chartColorStyle" Target="colors22.xml"/><Relationship Id="rId3" Type="http://schemas.microsoft.com/office/2011/relationships/chartStyle" Target="style22.xml"/><Relationship Id="rId2" Type="http://schemas.openxmlformats.org/officeDocument/2006/relationships/themeOverride" Target="../theme/themeOverride22.xml"/><Relationship Id="rId1" Type="http://schemas.openxmlformats.org/officeDocument/2006/relationships/oleObject" Target="file:///C:\Users\86151\Desktop\&#35199;&#38160;&#24213;&#31295;.xlsx"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23.xml"/><Relationship Id="rId3" Type="http://schemas.microsoft.com/office/2011/relationships/chartStyle" Target="style23.xml"/><Relationship Id="rId4" Type="http://schemas.microsoft.com/office/2011/relationships/chartColorStyle" Target="colors23.xml"/></Relationships>
</file>

<file path=word/charts/_rels/chart24.xml.rels><?xml version='1.0' encoding='UTF-8' standalone='yes'?>
<Relationships xmlns="http://schemas.openxmlformats.org/package/2006/relationships"><Relationship Id="rId1" Type="http://schemas.openxmlformats.org/officeDocument/2006/relationships/oleObject" Target="file:///C:\Users\86151\Desktop\&#35199;&#38160;&#24213;&#31295;(2).xlsx" TargetMode="External"/><Relationship Id="rId2" Type="http://schemas.openxmlformats.org/officeDocument/2006/relationships/themeOverride" Target="../theme/themeOverride24.xml"/><Relationship Id="rId3" Type="http://schemas.microsoft.com/office/2011/relationships/chartStyle" Target="style24.xml"/><Relationship Id="rId4" Type="http://schemas.microsoft.com/office/2011/relationships/chartColorStyle" Target="colors24.xml"/></Relationships>
</file>

<file path=word/charts/_rels/chart25.xml.rels><?xml version='1.0' encoding='UTF-8' standalone='yes'?>
<Relationships xmlns="http://schemas.openxmlformats.org/package/2006/relationships"><Relationship Id="rId1" Type="http://schemas.openxmlformats.org/officeDocument/2006/relationships/oleObject" Target="https://d.docs.live.net/fb92e85d57d94469/&#21326;&#31119;&#22269;&#38469;/&#35199;&#38160;&#24213;&#31295;.xlsx" TargetMode="External"/><Relationship Id="rId2" Type="http://schemas.openxmlformats.org/officeDocument/2006/relationships/themeOverride" Target="../theme/themeOverride25.xml"/><Relationship Id="rId3" Type="http://schemas.microsoft.com/office/2011/relationships/chartStyle" Target="style25.xml"/><Relationship Id="rId4" Type="http://schemas.microsoft.com/office/2011/relationships/chartColorStyle" Target="colors25.xml"/></Relationships>
</file>

<file path=word/charts/_rels/chart26.xml.rels><?xml version='1.0' encoding='UTF-8' standalone='yes'?>
<Relationships xmlns="http://schemas.openxmlformats.org/package/2006/relationships"><Relationship Id="rId1" Type="http://schemas.openxmlformats.org/officeDocument/2006/relationships/oleObject" Target="https://d.docs.live.net/fb92e85d57d94469/&#21326;&#31119;&#22269;&#38469;/&#35199;&#38160;&#24213;&#31295;.xlsx" TargetMode="External"/><Relationship Id="rId2" Type="http://schemas.openxmlformats.org/officeDocument/2006/relationships/themeOverride" Target="../theme/themeOverride26.xml"/><Relationship Id="rId3" Type="http://schemas.microsoft.com/office/2011/relationships/chartStyle" Target="style26.xml"/><Relationship Id="rId4" Type="http://schemas.microsoft.com/office/2011/relationships/chartColorStyle" Target="colors26.xml"/></Relationships>
</file>

<file path=word/charts/_rels/chart27.xml.rels><?xml version='1.0' encoding='UTF-8' standalone='yes'?>
<Relationships xmlns="http://schemas.openxmlformats.org/package/2006/relationships"><Relationship Id="rId1" Type="http://schemas.openxmlformats.org/officeDocument/2006/relationships/oleObject" Target="file:///C:\Users\86151\Desktop\&#35199;&#38160;&#24213;&#31295;(2).xlsx" TargetMode="External"/><Relationship Id="rId2" Type="http://schemas.openxmlformats.org/officeDocument/2006/relationships/themeOverride" Target="../theme/themeOverride27.xml"/><Relationship Id="rId3" Type="http://schemas.microsoft.com/office/2011/relationships/chartStyle" Target="style27.xml"/><Relationship Id="rId4" Type="http://schemas.microsoft.com/office/2011/relationships/chartColorStyle" Target="colors27.xml"/></Relationships>
</file>

<file path=word/charts/_rels/chart28.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28.xml"/><Relationship Id="rId3" Type="http://schemas.microsoft.com/office/2011/relationships/chartStyle" Target="style28.xml"/><Relationship Id="rId4" Type="http://schemas.microsoft.com/office/2011/relationships/chartColorStyle" Target="colors28.xml"/></Relationships>
</file>

<file path=word/charts/_rels/chart29.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29.xml"/><Relationship Id="rId3" Type="http://schemas.microsoft.com/office/2011/relationships/chartStyle" Target="style29.xml"/><Relationship Id="rId4" Type="http://schemas.microsoft.com/office/2011/relationships/chartColorStyle" Target="colors29.xml"/></Relationships>
</file>

<file path=word/charts/_rels/chart30.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0.xml"/><Relationship Id="rId3" Type="http://schemas.microsoft.com/office/2011/relationships/chartStyle" Target="style30.xml"/><Relationship Id="rId4" Type="http://schemas.microsoft.com/office/2011/relationships/chartColorStyle" Target="colors30.xml"/></Relationships>
</file>

<file path=word/charts/_rels/chart31.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1.xml"/><Relationship Id="rId3" Type="http://schemas.microsoft.com/office/2011/relationships/chartStyle" Target="style31.xml"/><Relationship Id="rId4" Type="http://schemas.microsoft.com/office/2011/relationships/chartColorStyle" Target="colors31.xml"/></Relationships>
</file>

<file path=word/charts/_rels/chart32.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2.xml"/><Relationship Id="rId3" Type="http://schemas.microsoft.com/office/2011/relationships/chartStyle" Target="style32.xml"/><Relationship Id="rId4" Type="http://schemas.microsoft.com/office/2011/relationships/chartColorStyle" Target="colors32.xml"/></Relationships>
</file>

<file path=word/charts/_rels/chart33.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3.xml"/><Relationship Id="rId3" Type="http://schemas.microsoft.com/office/2011/relationships/chartStyle" Target="style33.xml"/><Relationship Id="rId4" Type="http://schemas.microsoft.com/office/2011/relationships/chartColorStyle" Target="colors33.xml"/></Relationships>
</file>

<file path=word/charts/_rels/chart34.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4.xml"/><Relationship Id="rId3" Type="http://schemas.microsoft.com/office/2011/relationships/chartStyle" Target="style34.xml"/><Relationship Id="rId4" Type="http://schemas.microsoft.com/office/2011/relationships/chartColorStyle" Target="colors34.xml"/></Relationships>
</file>

<file path=word/charts/_rels/chart35.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5.xml"/><Relationship Id="rId3" Type="http://schemas.microsoft.com/office/2011/relationships/chartStyle" Target="style35.xml"/><Relationship Id="rId4" Type="http://schemas.microsoft.com/office/2011/relationships/chartColorStyle" Target="colors35.xml"/></Relationships>
</file>

<file path=word/charts/_rels/chart36.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6.xml"/><Relationship Id="rId3" Type="http://schemas.microsoft.com/office/2011/relationships/chartStyle" Target="style36.xml"/><Relationship Id="rId4" Type="http://schemas.microsoft.com/office/2011/relationships/chartColorStyle" Target="colors36.xml"/></Relationships>
</file>

<file path=word/charts/_rels/chart37.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7.xml"/><Relationship Id="rId3" Type="http://schemas.microsoft.com/office/2011/relationships/chartStyle" Target="style37.xml"/><Relationship Id="rId4" Type="http://schemas.microsoft.com/office/2011/relationships/chartColorStyle" Target="colors37.xml"/></Relationships>
</file>

<file path=word/charts/_rels/chart38.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8.xml"/><Relationship Id="rId3" Type="http://schemas.microsoft.com/office/2011/relationships/chartStyle" Target="style38.xml"/><Relationship Id="rId4" Type="http://schemas.microsoft.com/office/2011/relationships/chartColorStyle" Target="colors38.xml"/></Relationships>
</file>

<file path=word/charts/_rels/chart39.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39.xml"/><Relationship Id="rId3" Type="http://schemas.microsoft.com/office/2011/relationships/chartStyle" Target="style39.xml"/><Relationship Id="rId4" Type="http://schemas.microsoft.com/office/2011/relationships/chartColorStyle" Target="colors39.xml"/></Relationships>
</file>

<file path=word/charts/_rels/chart40.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40.xml"/><Relationship Id="rId3" Type="http://schemas.microsoft.com/office/2011/relationships/chartStyle" Target="style40.xml"/><Relationship Id="rId4" Type="http://schemas.microsoft.com/office/2011/relationships/chartColorStyle" Target="colors40.xml"/></Relationships>
</file>

<file path=word/charts/_rels/chart41.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41.xml"/><Relationship Id="rId3" Type="http://schemas.microsoft.com/office/2011/relationships/chartStyle" Target="style41.xml"/><Relationship Id="rId4" Type="http://schemas.microsoft.com/office/2011/relationships/chartColorStyle" Target="colors41.xml"/></Relationships>
</file>

<file path=word/charts/_rels/chart42.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42.xml"/><Relationship Id="rId3" Type="http://schemas.microsoft.com/office/2011/relationships/chartStyle" Target="style42.xml"/><Relationship Id="rId4" Type="http://schemas.microsoft.com/office/2011/relationships/chartColorStyle" Target="colors42.xml"/></Relationships>
</file>

<file path=word/charts/_rels/chart43.xml.rels><?xml version='1.0' encoding='UTF-8' standalone='yes'?>
<Relationships xmlns="http://schemas.openxmlformats.org/package/2006/relationships"><Relationship Id="rId1" Type="http://schemas.openxmlformats.org/officeDocument/2006/relationships/oleObject" Target="file:///C:\Users\zheng\Desktop\&#35199;&#38160;&#24213;&#31295;.xlsx" TargetMode="External"/><Relationship Id="rId2" Type="http://schemas.openxmlformats.org/officeDocument/2006/relationships/themeOverride" Target="../theme/themeOverride43.xml"/><Relationship Id="rId3" Type="http://schemas.microsoft.com/office/2011/relationships/chartStyle" Target="style43.xml"/><Relationship Id="rId4" Type="http://schemas.microsoft.com/office/2011/relationships/chartColorStyle" Target="colors43.xml"/></Relationships>
</file>

<file path=word/charts/_rels/chart44.xml.rels><?xml version='1.0' encoding='UTF-8' standalone='yes'?>
<Relationships xmlns="http://schemas.openxmlformats.org/package/2006/relationships"><Relationship Id="rId1" Type="http://schemas.openxmlformats.org/officeDocument/2006/relationships/oleObject" Target="file:///C:\Users\86151\Desktop\&#35199;&#38160;&#24213;&#31295;.xlsx" TargetMode="External"/><Relationship Id="rId2" Type="http://schemas.openxmlformats.org/officeDocument/2006/relationships/themeOverride" Target="../theme/themeOverride44.xml"/><Relationship Id="rId3" Type="http://schemas.microsoft.com/office/2011/relationships/chartStyle" Target="style44.xml"/><Relationship Id="rId4" Type="http://schemas.microsoft.com/office/2011/relationships/chartColorStyle" Target="colors4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
          <c:w val="0.736598905506848"/>
          <c:h val="0.715094978907071"/>
        </c:manualLayout>
      </c:layout>
      <c:barChart>
        <c:barDir val="col"/>
        <c:grouping val="clustered"/>
        <c:varyColors val="0"/>
        <c:ser>
          <c:idx val="0"/>
          <c:order val="0"/>
          <c:tx>
            <c:strRef>
              <c:f>[西锐底稿.xlsx]Part1!$H$43</c:f>
              <c:strCache>
                <c:ptCount val="1"/>
                <c:pt idx="0">
                  <c:v>营业总收入</c:v>
                </c:pt>
              </c:strCache>
            </c:strRef>
          </c:tx>
          <c:spPr>
            <a:solidFill>
              <a:srgbClr val="00206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[西锐底稿.xlsx]Part1!$G$44:$G$49</c:f>
              <c:numCache>
                <c:formatCode>General</c:formatCode>
                <c:ptCount val="5"/>
                <c:pt idx="0">
                  <c:v>2020</c:v>
                </c:pt>
                <c:pt idx="1">
                  <c:v>2021</c:v>
                </c:pt>
                <c:pt idx="2">
                  <c:v>2022</c:v>
                </c:pt>
                <c:pt idx="3">
                  <c:v>2023</c:v>
                </c:pt>
                <c:pt idx="4">
                  <c:v>2024</c:v>
                </c:pt>
              </c:numCache>
            </c:numRef>
          </c:cat>
          <c:val>
            <c:numRef>
              <c:f>Part1!$H$44:$H$49</c:f>
              <c:numCache>
                <c:formatCode>#,##0.00</c:formatCode>
                <c:ptCount val="5"/>
                <c:pt idx="0">
                  <c:v>586.46</c:v>
                </c:pt>
                <c:pt idx="1">
                  <c:v>738.13</c:v>
                </c:pt>
                <c:pt idx="2">
                  <c:v>894.08</c:v>
                </c:pt>
                <c:pt idx="3">
                  <c:v>1067.71</c:v>
                </c:pt>
                <c:pt idx="4">
                  <c:v>1197.13</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[西锐底稿.xlsx]Part1!$I$43</c:f>
              <c:strCache>
                <c:ptCount val="1"/>
                <c:pt idx="0">
                  <c:v>yoy</c:v>
                </c:pt>
              </c:strCache>
            </c:strRef>
          </c:tx>
          <c:spPr>
            <a:ln w="28575" cap="rnd">
              <a:solidFill>
                <a:srgbClr val="A5A5A5"/>
              </a:solidFill>
              <a:round/>
            </a:ln>
            <a:effectLst/>
          </c:spPr>
          <c:marker>
            <c:symbol val="none"/>
          </c:marker>
          <c:dLbls>
            <c:delete val="1"/>
          </c:dLbls>
          <c:cat>
            <c:numRef>
              <c:f>[西锐底稿.xlsx]Part1!$G$44:$G$49</c:f>
              <c:numCache>
                <c:formatCode>General</c:formatCode>
                <c:ptCount val="5"/>
                <c:pt idx="0">
                  <c:v>2020</c:v>
                </c:pt>
                <c:pt idx="1">
                  <c:v>2021</c:v>
                </c:pt>
                <c:pt idx="2">
                  <c:v>2022</c:v>
                </c:pt>
                <c:pt idx="3">
                  <c:v>2023</c:v>
                </c:pt>
                <c:pt idx="4">
                  <c:v>2024</c:v>
                </c:pt>
              </c:numCache>
            </c:numRef>
          </c:cat>
          <c:val>
            <c:numRef>
              <c:f>Part1!$I$44:$I$49</c:f>
              <c:numCache>
                <c:formatCode>General</c:formatCode>
                <c:ptCount val="5"/>
                <c:pt idx="1" c:formatCode="0.00%">
                  <c:v>0.258619513692323</c:v>
                </c:pt>
                <c:pt idx="2" c:formatCode="0.00%">
                  <c:v>0.211277146302142</c:v>
                </c:pt>
                <c:pt idx="3" c:formatCode="0.00%">
                  <c:v>0.194199624194703</c:v>
                </c:pt>
                <c:pt idx="4" c:formatCode="0.00%">
                  <c:v>0.12121268883873</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
          <c:y val="0.119168487446923"/>
          <c:w val="0.895941719196458"/>
          <c:h val="0.823239889516428"/>
        </c:manualLayout>
      </c:layout>
      <c:barChart>
        <c:barDir val="col"/>
        <c:grouping val="stacked"/>
        <c:varyColors val="0"/>
        <c:ser>
          <c:idx val="1"/>
          <c:order val="0"/>
          <c:tx>
            <c:strRef>
              <c:f>Part1!$G$68</c:f>
              <c:strCache>
                <c:ptCount val="1"/>
                <c:pt idx="0">
                  <c:v>飞机业务</c:v>
                </c:pt>
              </c:strCache>
            </c:strRef>
          </c:tx>
          <c:spPr>
            <a:solidFill>
              <a:srgbClr val="002060"/>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ser>
        <c:ser>
          <c:idx val="3"/>
          <c:order val="2"/>
          <c:tx>
            <c:strRef>
              <c:f>Part1!$G$70</c:f>
              <c:strCache>
                <c:ptCount val="1"/>
                <c:pt idx="0">
                  <c:v>服务业务</c:v>
                </c:pt>
              </c:strCache>
            </c:strRef>
          </c:tx>
          <c:spPr>
            <a:solidFill>
              <a:sysClr val="window" lastClr="FFFFFF">
                <a:lumMod val="75000"/>
              </a:sysClr>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c:v>
                </c:pt>
                <c:pt idx="4">
                  <c:v>173.22</c:v>
                </c:pt>
              </c:numCache>
            </c:numRef>
          </c:val>
        </c:ser>
        <c:dLbls>
          <c:showLegendKey val="0"/>
          <c:showVal val="0"/>
          <c:showCatName val="0"/>
          <c:showSerName val="0"/>
          <c:showPercent val="0"/>
          <c:showBubbleSize val="0"/>
        </c:dLbls>
        <c:gapWidth val="150"/>
        <c:overlap val="100"/>
        <c:axId val="1162810192"/>
        <c:axId val="1162808272"/>
      </c:barChart>
      <c:lineChart>
        <c:grouping val="standard"/>
        <c:varyColors val="0"/>
        <c:ser>
          <c:idx val="2"/>
          <c:order val="1"/>
          <c:tx>
            <c:strRef>
              <c:f>Part1!$G$69</c:f>
              <c:strCache>
                <c:ptCount val="1"/>
                <c:pt idx="0">
                  <c:v>yoy</c:v>
                </c:pt>
              </c:strCache>
            </c:strRef>
          </c:tx>
          <c:spPr>
            <a:ln w="28575" cap="rnd">
              <a:solidFill>
                <a:srgbClr val="002060"/>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Part1!$H$69:$L$69</c:f>
              <c:numCache>
                <c:formatCode>General</c:formatCode>
                <c:ptCount val="5"/>
                <c:pt idx="1" c:formatCode="0.00%">
                  <c:v>0.268938540621352</c:v>
                </c:pt>
                <c:pt idx="2" c:formatCode="0.00%">
                  <c:v>0.226158389954972</c:v>
                </c:pt>
                <c:pt idx="3" c:formatCode="0.00%">
                  <c:v>0.205214941953826</c:v>
                </c:pt>
                <c:pt idx="4" c:formatCode="0.00%">
                  <c:v>0.11823294927101</c:v>
                </c:pt>
              </c:numCache>
            </c:numRef>
          </c:val>
          <c:smooth val="0"/>
        </c:ser>
        <c:ser>
          <c:idx val="4"/>
          <c:order val="3"/>
          <c:tx>
            <c:strRef>
              <c:f>Part1!$G$71</c:f>
              <c:strCache>
                <c:ptCount val="1"/>
                <c:pt idx="0">
                  <c:v>yoy</c:v>
                </c:pt>
              </c:strCache>
            </c:strRef>
          </c:tx>
          <c:spPr>
            <a:ln w="28575" cap="rnd">
              <a:solidFill>
                <a:sysClr val="window" lastClr="FFFFFF">
                  <a:lumMod val="85000"/>
                </a:sysClr>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Part1!$H$71:$L$71</c:f>
              <c:numCache>
                <c:formatCode>General</c:formatCode>
                <c:ptCount val="5"/>
                <c:pt idx="1" c:formatCode="0.00%">
                  <c:v>0.207293470510339</c:v>
                </c:pt>
                <c:pt idx="2" c:formatCode="0.00%">
                  <c:v>0.133479581505231</c:v>
                </c:pt>
                <c:pt idx="3" c:formatCode="0.00%">
                  <c:v>0.131829685871669</c:v>
                </c:pt>
                <c:pt idx="4" c:formatCode="0.00%">
                  <c:v>0.13923051627754</c:v>
                </c:pt>
              </c:numCache>
            </c:numRef>
          </c:val>
          <c:smooth val="0"/>
        </c:ser>
        <c:dLbls>
          <c:showLegendKey val="0"/>
          <c:showVal val="0"/>
          <c:showCatName val="0"/>
          <c:showSerName val="0"/>
          <c:showPercent val="0"/>
          <c:showBubbleSize val="0"/>
        </c:dLbls>
        <c:marker val="0"/>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7356528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1439"/>
        <c:crosses val="autoZero"/>
        <c:auto val="1"/>
        <c:lblAlgn val="ctr"/>
        <c:lblOffset val="100"/>
        <c:noMultiLvlLbl val="0"/>
      </c:catAx>
      <c:valAx>
        <c:axId val="73565143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735652879"/>
        <c:crosses val="max"/>
        <c:crossBetween val="between"/>
      </c:valAx>
      <c:spPr>
        <a:noFill/>
        <a:ln>
          <a:noFill/>
        </a:ln>
        <a:effectLst/>
      </c:spPr>
    </c:plotArea>
    <c:legend>
      <c:legendPos val="t"/>
      <c:layout>
        <c:manualLayout>
          <c:xMode val="edge"/>
          <c:yMode val="edge"/>
          <c:x val="0.0666052180370658"/>
          <c:y val="0.0261780104712042"/>
          <c:w val="0.883394891172584"/>
          <c:h val="0.07575422454215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6285293976643"/>
          <c:w val="0.931162239562145"/>
          <c:h val="0.753799728282103"/>
        </c:manualLayout>
      </c:layout>
      <c:barChart>
        <c:barDir val="col"/>
        <c:grouping val="percentStacked"/>
        <c:varyColors val="0"/>
        <c:ser>
          <c:idx val="0"/>
          <c:order val="0"/>
          <c:tx>
            <c:strRef>
              <c:f>Part1!$B$116</c:f>
              <c:strCache>
                <c:ptCount val="1"/>
                <c:pt idx="0">
                  <c:v>SR20</c:v>
                </c:pt>
              </c:strCache>
            </c:strRef>
          </c:tx>
          <c:spPr>
            <a:solidFill>
              <a:srgbClr val="002060"/>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Part1!$C$116:$E$116</c:f>
              <c:numCache>
                <c:formatCode>General</c:formatCode>
                <c:ptCount val="3"/>
                <c:pt idx="0">
                  <c:v>42.618</c:v>
                </c:pt>
                <c:pt idx="1">
                  <c:v>57.049</c:v>
                </c:pt>
                <c:pt idx="2">
                  <c:v>69.69</c:v>
                </c:pt>
              </c:numCache>
            </c:numRef>
          </c:val>
        </c:ser>
        <c:ser>
          <c:idx val="1"/>
          <c:order val="1"/>
          <c:tx>
            <c:strRef>
              <c:f>Part1!$B$117</c:f>
              <c:strCache>
                <c:ptCount val="1"/>
                <c:pt idx="0">
                  <c:v>SR22</c:v>
                </c:pt>
              </c:strCache>
            </c:strRef>
          </c:tx>
          <c:spPr>
            <a:solidFill>
              <a:srgbClr val="E97132">
                <a:lumMod val="75000"/>
              </a:srgbClr>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142.772</c:v>
                </c:pt>
                <c:pt idx="2">
                  <c:v>138.667</c:v>
                </c:pt>
              </c:numCache>
            </c:numRef>
          </c:val>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c:v>
                </c:pt>
                <c:pt idx="2">
                  <c:v>404.983</c:v>
                </c:pt>
              </c:numCache>
            </c:numRef>
          </c:val>
        </c:ser>
        <c:ser>
          <c:idx val="3"/>
          <c:order val="3"/>
          <c:tx>
            <c:strRef>
              <c:f>Part1!$B$119</c:f>
              <c:strCache>
                <c:ptCount val="1"/>
                <c:pt idx="0">
                  <c:v>Vision Jet</c:v>
                </c:pt>
              </c:strCache>
            </c:strRef>
          </c:tx>
          <c:spPr>
            <a:solidFill>
              <a:srgbClr val="A5A5A5"/>
            </a:solidFill>
            <a:ln>
              <a:solidFill>
                <a:schemeClr val="bg1"/>
              </a:solidFill>
            </a:ln>
            <a:effectLst/>
          </c:spPr>
          <c:invertIfNegative val="0"/>
          <c:dLbls>
            <c:delete val="1"/>
          </c:dLbls>
          <c:cat>
            <c:numRef>
              <c:f>Part1!$C$115:$E$115</c:f>
              <c:numCache>
                <c:formatCode>General</c:formatCode>
                <c:ptCount val="3"/>
                <c:pt idx="0">
                  <c:v>2021</c:v>
                </c:pt>
                <c:pt idx="1">
                  <c:v>2022</c:v>
                </c:pt>
                <c:pt idx="2">
                  <c:v>2023</c:v>
                </c:pt>
              </c:numCache>
            </c:numRef>
          </c:cat>
          <c:val>
            <c:numRef>
              <c:f>Part1!$C$119:$E$119</c:f>
              <c:numCache>
                <c:formatCode>General</c:formatCode>
                <c:ptCount val="3"/>
                <c:pt idx="0">
                  <c:v>234.974</c:v>
                </c:pt>
                <c:pt idx="1">
                  <c:v>266.915</c:v>
                </c:pt>
                <c:pt idx="2">
                  <c:v>302.314</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76970277363978"/>
          <c:y val="0.0147791433298692"/>
          <c:w val="0.742834710157545"/>
          <c:h val="0.069320527837872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3941017789443"/>
          <c:w val="0.90411833529931"/>
          <c:h val="0.730675123942841"/>
        </c:manualLayout>
      </c:layout>
      <c:barChart>
        <c:barDir val="col"/>
        <c:grouping val="percentStacked"/>
        <c:varyColors val="0"/>
        <c:ser>
          <c:idx val="0"/>
          <c:order val="0"/>
          <c:tx>
            <c:strRef>
              <c:f>Part1!$B$129</c:f>
              <c:strCache>
                <c:ptCount val="1"/>
                <c:pt idx="0">
                  <c:v>SR20</c:v>
                </c:pt>
              </c:strCache>
            </c:strRef>
          </c:tx>
          <c:spPr>
            <a:solidFill>
              <a:srgbClr val="002060"/>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c:v>
                </c:pt>
                <c:pt idx="1">
                  <c:v>0.57049</c:v>
                </c:pt>
                <c:pt idx="2">
                  <c:v>0.606</c:v>
                </c:pt>
              </c:numCache>
            </c:numRef>
          </c:val>
        </c:ser>
        <c:ser>
          <c:idx val="1"/>
          <c:order val="1"/>
          <c:tx>
            <c:strRef>
              <c:f>Part1!$B$130</c:f>
              <c:strCache>
                <c:ptCount val="1"/>
                <c:pt idx="0">
                  <c:v>SR22</c:v>
                </c:pt>
              </c:strCache>
            </c:strRef>
          </c:tx>
          <c:spPr>
            <a:solidFill>
              <a:srgbClr val="E97132">
                <a:lumMod val="75000"/>
              </a:srgbClr>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0.897937106918239</c:v>
                </c:pt>
                <c:pt idx="2">
                  <c:v>0.976528169014085</c:v>
                </c:pt>
              </c:numCache>
            </c:numRef>
          </c:val>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1.0004347826087</c:v>
                </c:pt>
                <c:pt idx="1">
                  <c:v>1.04644285714286</c:v>
                </c:pt>
                <c:pt idx="2">
                  <c:v>1.14079718309859</c:v>
                </c:pt>
              </c:numCache>
            </c:numRef>
          </c:val>
        </c:ser>
        <c:ser>
          <c:idx val="3"/>
          <c:order val="3"/>
          <c:tx>
            <c:strRef>
              <c:f>Part1!$B$132</c:f>
              <c:strCache>
                <c:ptCount val="1"/>
                <c:pt idx="0">
                  <c:v>Vision Jet</c:v>
                </c:pt>
              </c:strCache>
            </c:strRef>
          </c:tx>
          <c:spPr>
            <a:solidFill>
              <a:srgbClr val="A5A5A5"/>
            </a:solidFill>
            <a:ln>
              <a:solidFill>
                <a:schemeClr val="bg1"/>
              </a:solidFill>
            </a:ln>
            <a:effectLst/>
          </c:spPr>
          <c:invertIfNegative val="0"/>
          <c:dLbls>
            <c:delete val="1"/>
          </c:dLbls>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2.73225581395349</c:v>
                </c:pt>
                <c:pt idx="1">
                  <c:v>2.96572222222222</c:v>
                </c:pt>
                <c:pt idx="2">
                  <c:v>3.14910416666667</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24691336348008"/>
          <c:y val="0.0152726742490522"/>
          <c:w val="0.72594753954965"/>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18364584167971"/>
          <c:y val="0.23674588301906"/>
          <c:w val="0.931162239562145"/>
          <c:h val="0.619563915385425"/>
        </c:manualLayout>
      </c:layout>
      <c:barChart>
        <c:barDir val="col"/>
        <c:grouping val="percentStacked"/>
        <c:varyColors val="0"/>
        <c:ser>
          <c:idx val="0"/>
          <c:order val="0"/>
          <c:tx>
            <c:strRef>
              <c:f>Part1!$B$144</c:f>
              <c:strCache>
                <c:ptCount val="1"/>
                <c:pt idx="0">
                  <c:v>售后配件/维护</c:v>
                </c:pt>
              </c:strCache>
            </c:strRef>
          </c:tx>
          <c:spPr>
            <a:solidFill>
              <a:srgbClr val="002060"/>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ser>
        <c:ser>
          <c:idx val="1"/>
          <c:order val="1"/>
          <c:tx>
            <c:strRef>
              <c:f>Part1!$B$145</c:f>
              <c:strCache>
                <c:ptCount val="1"/>
                <c:pt idx="0">
                  <c:v>培训</c:v>
                </c:pt>
              </c:strCache>
            </c:strRef>
          </c:tx>
          <c:spPr>
            <a:solidFill>
              <a:srgbClr val="E97132">
                <a:lumMod val="75000"/>
              </a:srgbClr>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ser>
        <c:ser>
          <c:idx val="2"/>
          <c:order val="2"/>
          <c:tx>
            <c:strRef>
              <c:f>Part1!$B$146</c:f>
              <c:strCache>
                <c:ptCount val="1"/>
                <c:pt idx="0">
                  <c:v>二手飞机</c:v>
                </c:pt>
              </c:strCache>
            </c:strRef>
          </c:tx>
          <c:spPr>
            <a:solidFill>
              <a:srgbClr val="E6B9B8"/>
            </a:solidFill>
            <a:ln>
              <a:noFill/>
            </a:ln>
            <a:effectLst/>
            <a:sp3d contourW="9525"/>
          </c:spPr>
          <c:invertIfNegative val="0"/>
          <c:dLbls>
            <c:delete val="1"/>
          </c:dLbls>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ser>
        <c:ser>
          <c:idx val="3"/>
          <c:order val="3"/>
          <c:tx>
            <c:strRef>
              <c:f>Part1!$B$147</c:f>
              <c:strCache>
                <c:ptCount val="1"/>
                <c:pt idx="0">
                  <c:v>其他</c:v>
                </c:pt>
              </c:strCache>
            </c:strRef>
          </c:tx>
          <c:spPr>
            <a:solidFill>
              <a:srgbClr val="A5A5A5"/>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72992782152231"/>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[西锐底稿.xlsx]Part1!$G$87</c:f>
              <c:strCache>
                <c:ptCount val="1"/>
                <c:pt idx="0">
                  <c:v>毛利润</c:v>
                </c:pt>
              </c:strCache>
            </c:strRef>
          </c:tx>
          <c:spPr>
            <a:solidFill>
              <a:srgbClr val="002060"/>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[西锐底稿.xlsx]Part1!$H$87:$L$87</c:f>
              <c:numCache>
                <c:formatCode>0.00</c:formatCode>
                <c:ptCount val="5"/>
                <c:pt idx="0">
                  <c:v>185.32136</c:v>
                </c:pt>
                <c:pt idx="1">
                  <c:v>242.254266</c:v>
                </c:pt>
                <c:pt idx="2">
                  <c:v>298.086272</c:v>
                </c:pt>
                <c:pt idx="3">
                  <c:v>364.729736</c:v>
                </c:pt>
                <c:pt idx="4">
                  <c:v>413.608415</c:v>
                </c:pt>
              </c:numCache>
            </c:numRef>
          </c:val>
        </c:ser>
        <c:ser>
          <c:idx val="2"/>
          <c:order val="2"/>
          <c:tx>
            <c:strRef>
              <c:f>[西锐底稿.xlsx]Part1!$G$89</c:f>
              <c:strCache>
                <c:ptCount val="1"/>
                <c:pt idx="0">
                  <c:v>净利润</c:v>
                </c:pt>
              </c:strCache>
            </c:strRef>
          </c:tx>
          <c:spPr>
            <a:solidFill>
              <a:srgbClr val="A5A5A5"/>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[西锐底稿.xlsx]Part1!$H$89:$L$89</c:f>
              <c:numCache>
                <c:formatCode>0.00</c:formatCode>
                <c:ptCount val="5"/>
                <c:pt idx="0">
                  <c:v>36.125936</c:v>
                </c:pt>
                <c:pt idx="1">
                  <c:v>72.410553</c:v>
                </c:pt>
                <c:pt idx="2">
                  <c:v>88.06688</c:v>
                </c:pt>
                <c:pt idx="3">
                  <c:v>91.182434</c:v>
                </c:pt>
                <c:pt idx="4">
                  <c:v>120.790417</c:v>
                </c:pt>
              </c:numCache>
            </c:numRef>
          </c:val>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[西锐底稿.xlsx]Part1!$G$88</c:f>
              <c:strCache>
                <c:ptCount val="1"/>
                <c:pt idx="0">
                  <c:v>yoy</c:v>
                </c:pt>
              </c:strCache>
            </c:strRef>
          </c:tx>
          <c:spPr>
            <a:ln w="28575" cap="rnd">
              <a:solidFill>
                <a:srgbClr val="002060"/>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[西锐底稿.xlsx]Part1!$H$88:$L$88</c:f>
              <c:numCache>
                <c:formatCode>General</c:formatCode>
                <c:ptCount val="5"/>
                <c:pt idx="1" c:formatCode="0.00%">
                  <c:v>0.307211786056394</c:v>
                </c:pt>
                <c:pt idx="2" c:formatCode="0.00%">
                  <c:v>0.230468618455619</c:v>
                </c:pt>
                <c:pt idx="3" c:formatCode="0.00%">
                  <c:v>0.223571060662599</c:v>
                </c:pt>
                <c:pt idx="4" c:formatCode="0.00%">
                  <c:v>0.134013419185542</c:v>
                </c:pt>
              </c:numCache>
            </c:numRef>
          </c:val>
          <c:smooth val="0"/>
        </c:ser>
        <c:ser>
          <c:idx val="3"/>
          <c:order val="3"/>
          <c:tx>
            <c:strRef>
              <c:f>[西锐底稿.xlsx]Part1!$G$90</c:f>
              <c:strCache>
                <c:ptCount val="1"/>
                <c:pt idx="0">
                  <c:v>yoy</c:v>
                </c:pt>
              </c:strCache>
            </c:strRef>
          </c:tx>
          <c:spPr>
            <a:ln w="28575" cap="rnd">
              <a:solidFill>
                <a:srgbClr val="A5A5A5"/>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[西锐底稿.xlsx]Part1!$H$90:$L$90</c:f>
              <c:numCache>
                <c:formatCode>General</c:formatCode>
                <c:ptCount val="5"/>
                <c:pt idx="1" c:formatCode="0.0%">
                  <c:v>1.00439243982495</c:v>
                </c:pt>
                <c:pt idx="2" c:formatCode="0.0%">
                  <c:v>0.216216094910917</c:v>
                </c:pt>
                <c:pt idx="3" c:formatCode="0.0%">
                  <c:v>0.0353771361038338</c:v>
                </c:pt>
                <c:pt idx="4" c:formatCode="0.0%">
                  <c:v>0.324711478967539</c:v>
                </c:pt>
              </c:numCache>
            </c:numRef>
          </c:val>
          <c:smooth val="0"/>
        </c:ser>
        <c:dLbls>
          <c:showLegendKey val="0"/>
          <c:showVal val="0"/>
          <c:showCatName val="0"/>
          <c:showSerName val="0"/>
          <c:showPercent val="0"/>
          <c:showBubbleSize val="0"/>
        </c:dLbls>
        <c:marker val="0"/>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73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75590354721999"/>
          <c:y val="0.158663874836293"/>
          <c:w val="0.9124409645278"/>
          <c:h val="0.751280547325263"/>
        </c:manualLayout>
      </c:layout>
      <c:barChart>
        <c:barDir val="col"/>
        <c:grouping val="clustered"/>
        <c:varyColors val="0"/>
        <c:ser>
          <c:idx val="0"/>
          <c:order val="0"/>
          <c:tx>
            <c:strRef>
              <c:f>[西锐底稿.xlsx]Part1!$G$82</c:f>
              <c:strCache>
                <c:ptCount val="1"/>
                <c:pt idx="0">
                  <c:v>毛利率</c:v>
                </c:pt>
              </c:strCache>
            </c:strRef>
          </c:tx>
          <c:spPr>
            <a:solidFill>
              <a:srgbClr val="002060"/>
            </a:solidFill>
            <a:ln w="25400">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[西锐底稿.xlsx]Part1!$H$82:$M$82</c:f>
              <c:numCache>
                <c:formatCode>0.00%</c:formatCode>
                <c:ptCount val="6"/>
                <c:pt idx="0">
                  <c:v>0.316</c:v>
                </c:pt>
                <c:pt idx="1">
                  <c:v>0.3282</c:v>
                </c:pt>
                <c:pt idx="2">
                  <c:v>0.3334</c:v>
                </c:pt>
                <c:pt idx="3">
                  <c:v>0.3416</c:v>
                </c:pt>
                <c:pt idx="4">
                  <c:v>0.3455</c:v>
                </c:pt>
                <c:pt idx="5">
                  <c:v>0.3617</c:v>
                </c:pt>
              </c:numCache>
            </c:numRef>
          </c:val>
        </c:ser>
        <c:ser>
          <c:idx val="1"/>
          <c:order val="1"/>
          <c:tx>
            <c:strRef>
              <c:f>[西锐底稿.xlsx]Part1!$G$83</c:f>
              <c:strCache>
                <c:ptCount val="1"/>
                <c:pt idx="0">
                  <c:v>净利率</c:v>
                </c:pt>
              </c:strCache>
            </c:strRef>
          </c:tx>
          <c:spPr>
            <a:solidFill>
              <a:srgbClr val="A5A5A5"/>
            </a:solidFill>
            <a:ln>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[西锐底稿.xlsx]Part1!$H$83:$M$83</c:f>
              <c:numCache>
                <c:formatCode>0.00%</c:formatCode>
                <c:ptCount val="6"/>
                <c:pt idx="0">
                  <c:v>0.0616</c:v>
                </c:pt>
                <c:pt idx="1">
                  <c:v>0.0981</c:v>
                </c:pt>
                <c:pt idx="2">
                  <c:v>0.0985</c:v>
                </c:pt>
                <c:pt idx="3">
                  <c:v>0.0854</c:v>
                </c:pt>
                <c:pt idx="4">
                  <c:v>0.1009</c:v>
                </c:pt>
                <c:pt idx="5">
                  <c:v>0.1093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236214639836687"/>
          <c:w val="0.883597112860892"/>
          <c:h val="0.67244276757072"/>
        </c:manualLayout>
      </c:layout>
      <c:barChart>
        <c:barDir val="col"/>
        <c:grouping val="clustered"/>
        <c:varyColors val="0"/>
        <c:ser>
          <c:idx val="0"/>
          <c:order val="0"/>
          <c:tx>
            <c:strRef>
              <c:f>[西锐底稿.xlsx]Part1!$G$96</c:f>
              <c:strCache>
                <c:ptCount val="1"/>
                <c:pt idx="0">
                  <c:v>销售费用比率</c:v>
                </c:pt>
              </c:strCache>
            </c:strRef>
          </c:tx>
          <c:spPr>
            <a:solidFill>
              <a:srgbClr val="002060"/>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[西锐底稿.xlsx]Part1!$H$96:$M$96</c:f>
              <c:numCache>
                <c:formatCode>0.00%</c:formatCode>
                <c:ptCount val="6"/>
                <c:pt idx="0">
                  <c:v>0.0950448453432459</c:v>
                </c:pt>
                <c:pt idx="1">
                  <c:v>0.089943505886497</c:v>
                </c:pt>
                <c:pt idx="2">
                  <c:v>0.0987495526127416</c:v>
                </c:pt>
                <c:pt idx="3">
                  <c:v>0.0999990634160961</c:v>
                </c:pt>
                <c:pt idx="4">
                  <c:v>0.103188459064596</c:v>
                </c:pt>
                <c:pt idx="5">
                  <c:v>0.106982455550135</c:v>
                </c:pt>
              </c:numCache>
            </c:numRef>
          </c:val>
        </c:ser>
        <c:ser>
          <c:idx val="1"/>
          <c:order val="1"/>
          <c:tx>
            <c:strRef>
              <c:f>[西锐底稿.xlsx]Part1!$G$97</c:f>
              <c:strCache>
                <c:ptCount val="1"/>
                <c:pt idx="0">
                  <c:v>管理费用比率</c:v>
                </c:pt>
              </c:strCache>
            </c:strRef>
          </c:tx>
          <c:spPr>
            <a:solidFill>
              <a:srgbClr val="A5A5A5"/>
            </a:solidFill>
            <a:ln>
              <a:noFill/>
            </a:ln>
            <a:effectLst/>
          </c:spPr>
          <c:invertIfNegative val="0"/>
          <c:dPt>
            <c:idx val="0"/>
            <c:invertIfNegative val="0"/>
            <c:bubble3D val="0"/>
            <c:spPr>
              <a:solidFill>
                <a:srgbClr val="A5A5A5"/>
              </a:solidFill>
              <a:ln>
                <a:noFill/>
              </a:ln>
              <a:effectLst/>
            </c:spPr>
          </c:dPt>
          <c:dPt>
            <c:idx val="1"/>
            <c:invertIfNegative val="0"/>
            <c:bubble3D val="0"/>
            <c:spPr>
              <a:solidFill>
                <a:srgbClr val="A5A5A5"/>
              </a:solidFill>
              <a:ln>
                <a:noFill/>
              </a:ln>
              <a:effectLst/>
            </c:spPr>
          </c:dPt>
          <c:dPt>
            <c:idx val="2"/>
            <c:invertIfNegative val="0"/>
            <c:bubble3D val="0"/>
            <c:spPr>
              <a:solidFill>
                <a:srgbClr val="A5A5A5"/>
              </a:solidFill>
              <a:ln>
                <a:noFill/>
              </a:ln>
              <a:effectLst/>
            </c:spPr>
          </c:dPt>
          <c:dPt>
            <c:idx val="3"/>
            <c:invertIfNegative val="0"/>
            <c:bubble3D val="0"/>
            <c:spPr>
              <a:solidFill>
                <a:srgbClr val="A5A5A5"/>
              </a:solidFill>
              <a:ln>
                <a:noFill/>
              </a:ln>
              <a:effectLst/>
            </c:spPr>
          </c:dPt>
          <c:dPt>
            <c:idx val="4"/>
            <c:invertIfNegative val="0"/>
            <c:bubble3D val="0"/>
            <c:spPr>
              <a:solidFill>
                <a:srgbClr val="A5A5A5"/>
              </a:solidFill>
              <a:ln>
                <a:noFill/>
              </a:ln>
              <a:effectLst/>
            </c:spPr>
          </c:dPt>
          <c:dPt>
            <c:idx val="5"/>
            <c:invertIfNegative val="0"/>
            <c:bubble3D val="0"/>
            <c:spPr>
              <a:solidFill>
                <a:srgbClr val="A5A5A5"/>
              </a:solidFill>
              <a:ln>
                <a:noFill/>
              </a:ln>
              <a:effectLst/>
            </c:spPr>
          </c:dPt>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[西锐底稿.xlsx]Part1!$H$97:$M$97</c:f>
              <c:numCache>
                <c:formatCode>0.00%</c:formatCode>
                <c:ptCount val="6"/>
                <c:pt idx="0">
                  <c:v>0.132950243835897</c:v>
                </c:pt>
                <c:pt idx="1">
                  <c:v>0.126888217522659</c:v>
                </c:pt>
                <c:pt idx="2">
                  <c:v>0.114631800286328</c:v>
                </c:pt>
                <c:pt idx="3">
                  <c:v>0.126607412125015</c:v>
                </c:pt>
                <c:pt idx="4">
                  <c:v>0.118015587279577</c:v>
                </c:pt>
                <c:pt idx="5">
                  <c:v>0.117747985668388</c:v>
                </c:pt>
              </c:numCache>
            </c:numRef>
          </c:val>
        </c:ser>
        <c:ser>
          <c:idx val="2"/>
          <c:order val="2"/>
          <c:tx>
            <c:strRef>
              <c:f>[西锐底稿.xlsx]Part1!$G$98</c:f>
              <c:strCache>
                <c:ptCount val="1"/>
                <c:pt idx="0">
                  <c:v>财务费用比率</c:v>
                </c:pt>
              </c:strCache>
            </c:strRef>
          </c:tx>
          <c:spPr>
            <a:solidFill>
              <a:srgbClr val="EBC3C3"/>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[西锐底稿.xlsx]Part1!$H$98:$M$98</c:f>
              <c:numCache>
                <c:formatCode>0.00%</c:formatCode>
                <c:ptCount val="6"/>
                <c:pt idx="0">
                  <c:v>0.0105207516284146</c:v>
                </c:pt>
                <c:pt idx="1">
                  <c:v>0.00475525991356536</c:v>
                </c:pt>
                <c:pt idx="2">
                  <c:v>0.00357909806728704</c:v>
                </c:pt>
                <c:pt idx="3">
                  <c:v>0.00517930898839573</c:v>
                </c:pt>
                <c:pt idx="4">
                  <c:v>0.00429360219859163</c:v>
                </c:pt>
                <c:pt idx="5">
                  <c:v>0.00331376473952463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'!$F$44</c:f>
              <c:strCache>
                <c:ptCount val="1"/>
                <c:pt idx="0">
                  <c:v>总交付量</c:v>
                </c:pt>
              </c:strCache>
            </c:strRef>
          </c:tx>
          <c:spPr>
            <a:solidFill>
              <a:srgbClr val="002060"/>
            </a:solidFill>
            <a:ln w="25400">
              <a:noFill/>
            </a:ln>
            <a:effectLst/>
          </c:spPr>
          <c:invertIfNegative val="0"/>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'!$G$44</c:f>
              <c:strCache>
                <c:ptCount val="1"/>
                <c:pt idx="0">
                  <c:v>yoy</c:v>
                </c:pt>
              </c:strCache>
            </c:strRef>
          </c:tx>
          <c:spPr>
            <a:ln w="28575" cap="rnd">
              <a:solidFill>
                <a:srgbClr val="A5A5A5"/>
              </a:solidFill>
              <a:round/>
            </a:ln>
            <a:effectLst/>
          </c:spPr>
          <c:marker>
            <c:symbol val="none"/>
          </c:marker>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'!$G$45:$G$54</c:f>
              <c:numCache>
                <c:formatCode>General</c:formatCode>
                <c:ptCount val="10"/>
                <c:pt idx="1" c:formatCode="0.00%">
                  <c:v>-0.0940910801656003</c:v>
                </c:pt>
                <c:pt idx="2" c:formatCode="0.00%">
                  <c:v>0.0992937266306606</c:v>
                </c:pt>
                <c:pt idx="3" c:formatCode="0.00%">
                  <c:v>0.0650037792894935</c:v>
                </c:pt>
                <c:pt idx="4" c:formatCode="0.00%">
                  <c:v>0.0823278921220725</c:v>
                </c:pt>
                <c:pt idx="5" c:formatCode="0.00%">
                  <c:v>-0.0265573770491804</c:v>
                </c:pt>
                <c:pt idx="6" c:formatCode="0.00%">
                  <c:v>0.0400808352980802</c:v>
                </c:pt>
                <c:pt idx="7" c:formatCode="0.00%">
                  <c:v>0.0625</c:v>
                </c:pt>
                <c:pt idx="8" c:formatCode="0.00%">
                  <c:v>0.074367570862542</c:v>
                </c:pt>
                <c:pt idx="9" c:formatCode="0.00%">
                  <c:v>0.0720567375886525</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'!$I$44</c:f>
              <c:strCache>
                <c:ptCount val="1"/>
                <c:pt idx="0">
                  <c:v>总交付价值 (十亿美元)</c:v>
                </c:pt>
              </c:strCache>
            </c:strRef>
          </c:tx>
          <c:spPr>
            <a:solidFill>
              <a:srgbClr val="002060"/>
            </a:solidFill>
            <a:ln w="25400">
              <a:noFill/>
            </a:ln>
            <a:effectLst/>
          </c:spPr>
          <c:invertIfNegative val="0"/>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'!$I$45:$I$54</c:f>
              <c:numCache>
                <c:formatCode>General</c:formatCode>
                <c:ptCount val="10"/>
                <c:pt idx="0">
                  <c:v>23.6</c:v>
                </c:pt>
                <c:pt idx="1">
                  <c:v>20.1</c:v>
                </c:pt>
                <c:pt idx="2">
                  <c:v>21.6</c:v>
                </c:pt>
                <c:pt idx="3">
                  <c:v>22.9</c:v>
                </c:pt>
                <c:pt idx="4">
                  <c:v>23.4</c:v>
                </c:pt>
                <c:pt idx="5">
                  <c:v>27</c:v>
                </c:pt>
                <c:pt idx="6">
                  <c:v>26.3</c:v>
                </c:pt>
                <c:pt idx="7">
                  <c:v>28.8</c:v>
                </c:pt>
                <c:pt idx="8">
                  <c:v>31.7</c:v>
                </c:pt>
                <c:pt idx="9">
                  <c:v>34.24</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'!$J$44</c:f>
              <c:strCache>
                <c:ptCount val="1"/>
                <c:pt idx="0">
                  <c:v>yoy</c:v>
                </c:pt>
              </c:strCache>
            </c:strRef>
          </c:tx>
          <c:spPr>
            <a:ln w="28575" cap="rnd">
              <a:solidFill>
                <a:srgbClr val="A5A5A5"/>
              </a:solidFill>
              <a:round/>
            </a:ln>
            <a:effectLst/>
          </c:spPr>
          <c:marker>
            <c:symbol val="none"/>
          </c:marker>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'!$J$45:$J$54</c:f>
              <c:numCache>
                <c:formatCode>General</c:formatCode>
                <c:ptCount val="10"/>
                <c:pt idx="1" c:formatCode="0.00%">
                  <c:v>-0.148305084745763</c:v>
                </c:pt>
                <c:pt idx="2" c:formatCode="0.00%">
                  <c:v>0.0746268656716418</c:v>
                </c:pt>
                <c:pt idx="3" c:formatCode="0.00%">
                  <c:v>0.0601851851851851</c:v>
                </c:pt>
                <c:pt idx="4" c:formatCode="0.00%">
                  <c:v>0.0218340611353711</c:v>
                </c:pt>
                <c:pt idx="5" c:formatCode="0.00%">
                  <c:v>0.153846153846154</c:v>
                </c:pt>
                <c:pt idx="6" c:formatCode="0.00%">
                  <c:v>-0.0259259259259259</c:v>
                </c:pt>
                <c:pt idx="7" c:formatCode="0.00%">
                  <c:v>0.0950570342205324</c:v>
                </c:pt>
                <c:pt idx="8" c:formatCode="0.00%">
                  <c:v>0.100694444444444</c:v>
                </c:pt>
                <c:pt idx="9" c:formatCode="0.00%">
                  <c:v>0.0801261829652997</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2407064654767"/>
          <c:w val="0.931162239562145"/>
          <c:h val="0.757678158756052"/>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'[西锐底稿.xlsx]Part2.1 '!$G$66</c:f>
              <c:strCache>
                <c:ptCount val="1"/>
                <c:pt idx="0">
                  <c:v>亚太地区</c:v>
                </c:pt>
              </c:strCache>
            </c:strRef>
          </c:tx>
          <c:spPr>
            <a:solidFill>
              <a:srgbClr val="666666"/>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'[西锐底稿.xlsx]Part2.1 '!$J$66</c:f>
              <c:strCache>
                <c:ptCount val="1"/>
                <c:pt idx="0">
                  <c:v>北美洲</c:v>
                </c:pt>
              </c:strCache>
            </c:strRef>
          </c:tx>
          <c:spPr>
            <a:solidFill>
              <a:srgbClr val="A5A5A5"/>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0379362670713202"/>
          <c:y val="0.0233429843055494"/>
          <c:w val="0.985204734723252"/>
          <c:h val="0.085614079116604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[西锐底稿.xlsx]Part2.2!$B$2</c:f>
              <c:strCache>
                <c:ptCount val="1"/>
                <c:pt idx="0">
                  <c:v>交付量</c:v>
                </c:pt>
              </c:strCache>
            </c:strRef>
          </c:tx>
          <c:spPr>
            <a:solidFill>
              <a:srgbClr val="002060"/>
            </a:solidFill>
            <a:ln>
              <a:noFill/>
            </a:ln>
            <a:effectLst/>
          </c:spPr>
          <c:invertIfNegative val="0"/>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[西锐底稿.xlsx]Part2.2!$C$2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[西锐底稿.xlsx]Part2.2!$F$2</c:f>
              <c:strCache>
                <c:ptCount val="1"/>
                <c:pt idx="0">
                  <c:v>交付价值（十亿美元）</c:v>
                </c:pt>
              </c:strCache>
            </c:strRef>
          </c:tx>
          <c:spPr>
            <a:solidFill>
              <a:srgbClr val="002060"/>
            </a:solidFill>
            <a:ln>
              <a:noFill/>
            </a:ln>
            <a:effectLst/>
          </c:spPr>
          <c:invertIfNegative val="0"/>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[西锐底稿.xlsx]Part2.2!$G$2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[西锐底稿.xlsx]Part2.2!$B$19</c:f>
              <c:strCache>
                <c:ptCount val="1"/>
                <c:pt idx="0">
                  <c:v>平均售卖价格（百万美元）</c:v>
                </c:pt>
              </c:strCache>
            </c:strRef>
          </c:tx>
          <c:spPr>
            <a:solidFill>
              <a:srgbClr val="002060"/>
            </a:solidFill>
            <a:ln>
              <a:noFill/>
            </a:ln>
            <a:effectLst/>
          </c:spPr>
          <c:invertIfNegative val="0"/>
          <c:dLbls>
            <c:delete val="1"/>
          </c:dLbls>
          <c:cat>
            <c:numRef>
              <c:f>[西锐底稿.xlsx]Part2.2!$A$20:$A$25</c:f>
              <c:numCache>
                <c:formatCode>General</c:formatCode>
                <c:ptCount val="6"/>
                <c:pt idx="0">
                  <c:v>2018</c:v>
                </c:pt>
                <c:pt idx="1">
                  <c:v>2019</c:v>
                </c:pt>
                <c:pt idx="2">
                  <c:v>2020</c:v>
                </c:pt>
                <c:pt idx="3">
                  <c:v>2021</c:v>
                </c:pt>
                <c:pt idx="4">
                  <c:v>2022</c:v>
                </c:pt>
                <c:pt idx="5">
                  <c:v>2023</c:v>
                </c:pt>
              </c:numCache>
            </c:numRef>
          </c:cat>
          <c:val>
            <c:numRef>
              <c:f>[西锐底稿.xlsx]Part2.2!$B$20:$B$25</c:f>
              <c:numCache>
                <c:formatCode>General</c:formatCode>
                <c:ptCount val="6"/>
                <c:pt idx="0">
                  <c:v>1.43</c:v>
                </c:pt>
                <c:pt idx="1">
                  <c:v>1.43</c:v>
                </c:pt>
                <c:pt idx="2">
                  <c:v>1.38</c:v>
                </c:pt>
                <c:pt idx="3">
                  <c:v>1.5</c:v>
                </c:pt>
                <c:pt idx="4">
                  <c:v>1.51</c:v>
                </c:pt>
                <c:pt idx="5">
                  <c:v>1.67</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3.3'!$A$3</c:f>
              <c:strCache>
                <c:ptCount val="1"/>
                <c:pt idx="0">
                  <c:v>交付量（架）</c:v>
                </c:pt>
              </c:strCache>
            </c:strRef>
          </c:tx>
          <c:spPr>
            <a:solidFill>
              <a:srgbClr val="002060"/>
            </a:solidFill>
            <a:ln w="25400">
              <a:noFill/>
            </a:ln>
            <a:effectLst/>
          </c:spPr>
          <c:invertIfNegative val="0"/>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3.3'!$A$4</c:f>
              <c:strCache>
                <c:ptCount val="1"/>
                <c:pt idx="0">
                  <c:v>平均价格（百万美元）</c:v>
                </c:pt>
              </c:strCache>
            </c:strRef>
          </c:tx>
          <c:spPr>
            <a:ln w="28575" cap="rnd">
              <a:solidFill>
                <a:srgbClr val="A5A5A5"/>
              </a:solidFill>
              <a:round/>
            </a:ln>
            <a:effectLst/>
          </c:spPr>
          <c:marker>
            <c:symbol val="none"/>
          </c:marker>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3.3'!$B$4:$K$4</c:f>
              <c:numCache>
                <c:formatCode>"$"#,##0.00_);[Red]\("$"#,##0.00\)</c:formatCode>
                <c:ptCount val="10"/>
                <c:pt idx="0">
                  <c:v>0.7342766910299</c:v>
                </c:pt>
                <c:pt idx="1">
                  <c:v>0.7595329125</c:v>
                </c:pt>
                <c:pt idx="2">
                  <c:v>0.858616938992042</c:v>
                </c:pt>
                <c:pt idx="3">
                  <c:v>0.987250069977427</c:v>
                </c:pt>
                <c:pt idx="4">
                  <c:v>1.17707288387097</c:v>
                </c:pt>
                <c:pt idx="5">
                  <c:v>1.17083379761905</c:v>
                </c:pt>
                <c:pt idx="6">
                  <c:v>1.19868445833333</c:v>
                </c:pt>
                <c:pt idx="7">
                  <c:v>1.21687531796502</c:v>
                </c:pt>
                <c:pt idx="8">
                  <c:v>1.31374019491525</c:v>
                </c:pt>
                <c:pt idx="9">
                  <c:v>1.40243921751026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3.3'!$A$12</c:f>
              <c:strCache>
                <c:ptCount val="1"/>
                <c:pt idx="0">
                  <c:v>出货量（台）</c:v>
                </c:pt>
              </c:strCache>
            </c:strRef>
          </c:tx>
          <c:spPr>
            <a:solidFill>
              <a:srgbClr val="002060"/>
            </a:solidFill>
            <a:ln w="25400">
              <a:noFill/>
            </a:ln>
            <a:effectLst/>
          </c:spPr>
          <c:invertIfNegative val="0"/>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3.3'!$A$13</c:f>
              <c:strCache>
                <c:ptCount val="1"/>
                <c:pt idx="0">
                  <c:v>平均价格（百万英镑）</c:v>
                </c:pt>
              </c:strCache>
            </c:strRef>
          </c:tx>
          <c:spPr>
            <a:ln w="28575" cap="rnd">
              <a:solidFill>
                <a:srgbClr val="A5A5A5"/>
              </a:solidFill>
              <a:round/>
            </a:ln>
            <a:effectLst/>
          </c:spPr>
          <c:marker>
            <c:symbol val="none"/>
          </c:marker>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3.3'!$B$13:$K$13</c:f>
              <c:numCache>
                <c:formatCode>0.00</c:formatCode>
                <c:ptCount val="10"/>
                <c:pt idx="0">
                  <c:v>0.271398747390397</c:v>
                </c:pt>
                <c:pt idx="1">
                  <c:v>0.272023958073372</c:v>
                </c:pt>
                <c:pt idx="2">
                  <c:v>0.292450583472255</c:v>
                </c:pt>
                <c:pt idx="3">
                  <c:v>0.274024429791374</c:v>
                </c:pt>
                <c:pt idx="4">
                  <c:v>0.288816503800217</c:v>
                </c:pt>
                <c:pt idx="5">
                  <c:v>0.310889351902621</c:v>
                </c:pt>
                <c:pt idx="6">
                  <c:v>0.32030479605558</c:v>
                </c:pt>
                <c:pt idx="7">
                  <c:v>0.32834127524393</c:v>
                </c:pt>
                <c:pt idx="8">
                  <c:v>0.374661494547318</c:v>
                </c:pt>
                <c:pt idx="9">
                  <c:v>0.41652123327516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3.3'!$B$39</c:f>
              <c:strCache>
                <c:ptCount val="1"/>
                <c:pt idx="0">
                  <c:v>美国人均可支配收入</c:v>
                </c:pt>
              </c:strCache>
            </c:strRef>
          </c:tx>
          <c:spPr>
            <a:solidFill>
              <a:srgbClr val="002060"/>
            </a:solidFill>
            <a:ln>
              <a:noFill/>
            </a:ln>
            <a:effectLst/>
          </c:spPr>
          <c:invertIfNegative val="0"/>
          <c:dLbls>
            <c:delete val="1"/>
          </c:dLbls>
          <c:cat>
            <c:numRef>
              <c:f>'[西锐底稿.xlsx]Part 3.3'!$A$41:$A$50</c:f>
              <c:numCache>
                <c:formatCode>@</c:formatCode>
                <c:ptCount val="10"/>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numCache>
            </c:numRef>
          </c:cat>
          <c:val>
            <c:numRef>
              <c:f>'[西锐底稿.xlsx]Part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3.3'!$B$58</c:f>
              <c:strCache>
                <c:ptCount val="1"/>
                <c:pt idx="0">
                  <c:v>美国: CPI(1982-84=100)</c:v>
                </c:pt>
              </c:strCache>
            </c:strRef>
          </c:tx>
          <c:spPr>
            <a:solidFill>
              <a:srgbClr val="002060"/>
            </a:solidFill>
            <a:ln>
              <a:noFill/>
            </a:ln>
            <a:effectLst/>
          </c:spPr>
          <c:invertIfNegative val="0"/>
          <c:dLbls>
            <c:delete val="1"/>
          </c:dLbls>
          <c:cat>
            <c:numRef>
              <c:f>'[西锐底稿.xlsx]Part 3.3'!$A$59:$A$69</c:f>
              <c:numCache>
                <c:formatCode>@</c:formatCode>
                <c:ptCount val="11"/>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pt idx="10" c:formatCode="@">
                  <c:v>2025</c:v>
                </c:pt>
              </c:numCache>
            </c:numRef>
          </c:cat>
          <c:val>
            <c:numRef>
              <c:f>'[西锐底稿.xlsx]Part 3.3'!$B$59:$B$69</c:f>
              <c:numCache>
                <c:formatCode>#,##0.00_ </c:formatCode>
                <c:ptCount val="11"/>
                <c:pt idx="0">
                  <c:v>2844.204</c:v>
                </c:pt>
                <c:pt idx="1">
                  <c:v>2880.086</c:v>
                </c:pt>
                <c:pt idx="2">
                  <c:v>2941.435</c:v>
                </c:pt>
                <c:pt idx="3">
                  <c:v>3013.282</c:v>
                </c:pt>
                <c:pt idx="4">
                  <c:v>3067.889</c:v>
                </c:pt>
                <c:pt idx="5">
                  <c:v>3105.734</c:v>
                </c:pt>
                <c:pt idx="6">
                  <c:v>3251.637</c:v>
                </c:pt>
                <c:pt idx="7">
                  <c:v>3511.859</c:v>
                </c:pt>
                <c:pt idx="8">
                  <c:v>3656.419</c:v>
                </c:pt>
                <c:pt idx="9">
                  <c:v>3764.266</c:v>
                </c:pt>
                <c:pt idx="10">
                  <c:v>3217.319</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4'!$A$2</c:f>
              <c:strCache>
                <c:ptCount val="1"/>
                <c:pt idx="0">
                  <c:v>Q1</c:v>
                </c:pt>
              </c:strCache>
            </c:strRef>
          </c:tx>
          <c:spPr>
            <a:solidFill>
              <a:srgbClr val="002060"/>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ser>
        <c:ser>
          <c:idx val="1"/>
          <c:order val="1"/>
          <c:tx>
            <c:strRef>
              <c:f>'Part 4'!$A$3</c:f>
              <c:strCache>
                <c:ptCount val="1"/>
                <c:pt idx="0">
                  <c:v>Q2</c:v>
                </c:pt>
              </c:strCache>
            </c:strRef>
          </c:tx>
          <c:spPr>
            <a:solidFill>
              <a:srgbClr val="A5A5A5"/>
            </a:solidFill>
            <a:ln>
              <a:solidFill>
                <a:srgbClr val="A5A5A5"/>
              </a:solid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ser>
        <c:ser>
          <c:idx val="2"/>
          <c:order val="2"/>
          <c:tx>
            <c:strRef>
              <c:f>'Part 4'!$A$4</c:f>
              <c:strCache>
                <c:ptCount val="1"/>
                <c:pt idx="0">
                  <c:v>Q3</c:v>
                </c:pt>
              </c:strCache>
            </c:strRef>
          </c:tx>
          <c:spPr>
            <a:solidFill>
              <a:srgbClr val="A5A5A5">
                <a:lumMod val="75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ser>
        <c:ser>
          <c:idx val="3"/>
          <c:order val="3"/>
          <c:tx>
            <c:strRef>
              <c:f>'Part 4'!$A$5</c:f>
              <c:strCache>
                <c:ptCount val="1"/>
                <c:pt idx="0">
                  <c:v>Q4</c:v>
                </c:pt>
              </c:strCache>
            </c:strRef>
          </c:tx>
          <c:spPr>
            <a:solidFill>
              <a:srgbClr val="5B9BD5">
                <a:lumMod val="20000"/>
                <a:lumOff val="80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4'!$A$60</c:f>
              <c:strCache>
                <c:ptCount val="1"/>
                <c:pt idx="0">
                  <c:v>售后服务收入占比</c:v>
                </c:pt>
              </c:strCache>
            </c:strRef>
          </c:tx>
          <c:spPr>
            <a:solidFill>
              <a:srgbClr val="002060"/>
            </a:solidFill>
            <a:ln>
              <a:noFill/>
            </a:ln>
            <a:effectLst/>
          </c:spPr>
          <c:invertIfNegative val="0"/>
          <c:dLbls>
            <c:delete val="1"/>
          </c:dLbls>
          <c:cat>
            <c:strRef>
              <c:f>'[西锐底稿.xlsx]Part 4'!$B$59:$G$59</c:f>
              <c:strCache>
                <c:ptCount val="6"/>
                <c:pt idx="0">
                  <c:v>2020</c:v>
                </c:pt>
                <c:pt idx="1">
                  <c:v>2021</c:v>
                </c:pt>
                <c:pt idx="2">
                  <c:v>2022</c:v>
                </c:pt>
                <c:pt idx="3">
                  <c:v>2023</c:v>
                </c:pt>
                <c:pt idx="4">
                  <c:v>2024</c:v>
                </c:pt>
                <c:pt idx="5">
                  <c:v>2025H1</c:v>
                </c:pt>
              </c:strCache>
            </c:strRef>
          </c:cat>
          <c:val>
            <c:numRef>
              <c:f>'[西锐底稿.xlsx]Part 4'!$B$60:$G$60</c:f>
              <c:numCache>
                <c:formatCode>0.00%</c:formatCode>
                <c:ptCount val="6"/>
                <c:pt idx="0">
                  <c:v>0.1674</c:v>
                </c:pt>
                <c:pt idx="1">
                  <c:v>0.1606</c:v>
                </c:pt>
                <c:pt idx="2">
                  <c:v>0.1503</c:v>
                </c:pt>
                <c:pt idx="3">
                  <c:v>0.1424</c:v>
                </c:pt>
                <c:pt idx="4">
                  <c:v>0.1447</c:v>
                </c:pt>
                <c:pt idx="5">
                  <c:v>0.1618</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
          <c:w val="0.736598905506848"/>
          <c:h val="0.715094978907071"/>
        </c:manualLayout>
      </c:layout>
      <c:barChart>
        <c:barDir val="col"/>
        <c:grouping val="clustered"/>
        <c:varyColors val="0"/>
        <c:ser>
          <c:idx val="0"/>
          <c:order val="0"/>
          <c:tx>
            <c:strRef>
              <c:f>[西锐底稿.xlsx]Part1!$H$43</c:f>
              <c:strCache>
                <c:ptCount val="1"/>
                <c:pt idx="0">
                  <c:v>营业总收入</c:v>
                </c:pt>
              </c:strCache>
            </c:strRef>
          </c:tx>
          <c:spPr>
            <a:solidFill>
              <a:srgbClr val="00206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[西锐底稿.xlsx]Part1!$G$44:$G$49</c:f>
              <c:numCache>
                <c:formatCode>General</c:formatCode>
                <c:ptCount val="5"/>
                <c:pt idx="0">
                  <c:v>2020</c:v>
                </c:pt>
                <c:pt idx="1">
                  <c:v>2021</c:v>
                </c:pt>
                <c:pt idx="2">
                  <c:v>2022</c:v>
                </c:pt>
                <c:pt idx="3">
                  <c:v>2023</c:v>
                </c:pt>
                <c:pt idx="4">
                  <c:v>2024</c:v>
                </c:pt>
              </c:numCache>
            </c:numRef>
          </c:cat>
          <c:val>
            <c:numRef>
              <c:f>Part1!$H$44:$H$49</c:f>
              <c:numCache>
                <c:formatCode>#,##0.00</c:formatCode>
                <c:ptCount val="5"/>
                <c:pt idx="0">
                  <c:v>586.46</c:v>
                </c:pt>
                <c:pt idx="1">
                  <c:v>738.13</c:v>
                </c:pt>
                <c:pt idx="2">
                  <c:v>894.08</c:v>
                </c:pt>
                <c:pt idx="3">
                  <c:v>1067.71</c:v>
                </c:pt>
                <c:pt idx="4">
                  <c:v>1197.13</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[西锐底稿.xlsx]Part1!$I$43</c:f>
              <c:strCache>
                <c:ptCount val="1"/>
                <c:pt idx="0">
                  <c:v>yoy</c:v>
                </c:pt>
              </c:strCache>
            </c:strRef>
          </c:tx>
          <c:spPr>
            <a:ln w="28575" cap="rnd">
              <a:solidFill>
                <a:srgbClr val="A5A5A5"/>
              </a:solidFill>
              <a:round/>
            </a:ln>
            <a:effectLst/>
          </c:spPr>
          <c:marker>
            <c:symbol val="none"/>
          </c:marker>
          <c:dLbls>
            <c:delete val="1"/>
          </c:dLbls>
          <c:cat>
            <c:numRef>
              <c:f>[西锐底稿.xlsx]Part1!$G$44:$G$49</c:f>
              <c:numCache>
                <c:formatCode>General</c:formatCode>
                <c:ptCount val="5"/>
                <c:pt idx="0">
                  <c:v>2020</c:v>
                </c:pt>
                <c:pt idx="1">
                  <c:v>2021</c:v>
                </c:pt>
                <c:pt idx="2">
                  <c:v>2022</c:v>
                </c:pt>
                <c:pt idx="3">
                  <c:v>2023</c:v>
                </c:pt>
                <c:pt idx="4">
                  <c:v>2024</c:v>
                </c:pt>
              </c:numCache>
            </c:numRef>
          </c:cat>
          <c:val>
            <c:numRef>
              <c:f>Part1!$I$44:$I$49</c:f>
              <c:numCache>
                <c:formatCode>General</c:formatCode>
                <c:ptCount val="5"/>
                <c:pt idx="1" c:formatCode="0.00%">
                  <c:v>0.258619513692323</c:v>
                </c:pt>
                <c:pt idx="2" c:formatCode="0.00%">
                  <c:v>0.211277146302142</c:v>
                </c:pt>
                <c:pt idx="3" c:formatCode="0.00%">
                  <c:v>0.194199624194703</c:v>
                </c:pt>
                <c:pt idx="4" c:formatCode="0.00%">
                  <c:v>0.12121268883873</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
          <c:y val="0.119168487446923"/>
          <c:w val="0.895941719196458"/>
          <c:h val="0.823239889516428"/>
        </c:manualLayout>
      </c:layout>
      <c:barChart>
        <c:barDir val="col"/>
        <c:grouping val="stacked"/>
        <c:varyColors val="0"/>
        <c:ser>
          <c:idx val="1"/>
          <c:order val="0"/>
          <c:tx>
            <c:strRef>
              <c:f>Part1!$G$68</c:f>
              <c:strCache>
                <c:ptCount val="1"/>
                <c:pt idx="0">
                  <c:v>飞机业务</c:v>
                </c:pt>
              </c:strCache>
            </c:strRef>
          </c:tx>
          <c:spPr>
            <a:solidFill>
              <a:srgbClr val="002060"/>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ser>
        <c:ser>
          <c:idx val="3"/>
          <c:order val="2"/>
          <c:tx>
            <c:strRef>
              <c:f>Part1!$G$70</c:f>
              <c:strCache>
                <c:ptCount val="1"/>
                <c:pt idx="0">
                  <c:v>服务业务</c:v>
                </c:pt>
              </c:strCache>
            </c:strRef>
          </c:tx>
          <c:spPr>
            <a:solidFill>
              <a:sysClr val="window" lastClr="FFFFFF">
                <a:lumMod val="75000"/>
              </a:sysClr>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c:v>
                </c:pt>
                <c:pt idx="4">
                  <c:v>173.22</c:v>
                </c:pt>
              </c:numCache>
            </c:numRef>
          </c:val>
        </c:ser>
        <c:dLbls>
          <c:showLegendKey val="0"/>
          <c:showVal val="0"/>
          <c:showCatName val="0"/>
          <c:showSerName val="0"/>
          <c:showPercent val="0"/>
          <c:showBubbleSize val="0"/>
        </c:dLbls>
        <c:gapWidth val="150"/>
        <c:overlap val="100"/>
        <c:axId val="1162810192"/>
        <c:axId val="1162808272"/>
      </c:barChart>
      <c:lineChart>
        <c:grouping val="standard"/>
        <c:varyColors val="0"/>
        <c:ser>
          <c:idx val="2"/>
          <c:order val="1"/>
          <c:tx>
            <c:strRef>
              <c:f>Part1!$G$69</c:f>
              <c:strCache>
                <c:ptCount val="1"/>
                <c:pt idx="0">
                  <c:v>yoy</c:v>
                </c:pt>
              </c:strCache>
            </c:strRef>
          </c:tx>
          <c:spPr>
            <a:ln w="28575" cap="rnd">
              <a:solidFill>
                <a:srgbClr val="002060"/>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Part1!$H$69:$L$69</c:f>
              <c:numCache>
                <c:formatCode>General</c:formatCode>
                <c:ptCount val="5"/>
                <c:pt idx="1" c:formatCode="0.00%">
                  <c:v>0.268938540621352</c:v>
                </c:pt>
                <c:pt idx="2" c:formatCode="0.00%">
                  <c:v>0.226158389954972</c:v>
                </c:pt>
                <c:pt idx="3" c:formatCode="0.00%">
                  <c:v>0.205214941953826</c:v>
                </c:pt>
                <c:pt idx="4" c:formatCode="0.00%">
                  <c:v>0.11823294927101</c:v>
                </c:pt>
              </c:numCache>
            </c:numRef>
          </c:val>
          <c:smooth val="0"/>
        </c:ser>
        <c:ser>
          <c:idx val="4"/>
          <c:order val="3"/>
          <c:tx>
            <c:strRef>
              <c:f>Part1!$G$71</c:f>
              <c:strCache>
                <c:ptCount val="1"/>
                <c:pt idx="0">
                  <c:v>yoy</c:v>
                </c:pt>
              </c:strCache>
            </c:strRef>
          </c:tx>
          <c:spPr>
            <a:ln w="28575" cap="rnd">
              <a:solidFill>
                <a:sysClr val="window" lastClr="FFFFFF">
                  <a:lumMod val="85000"/>
                </a:sysClr>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Part1!$H$71:$L$71</c:f>
              <c:numCache>
                <c:formatCode>General</c:formatCode>
                <c:ptCount val="5"/>
                <c:pt idx="1" c:formatCode="0.00%">
                  <c:v>0.207293470510339</c:v>
                </c:pt>
                <c:pt idx="2" c:formatCode="0.00%">
                  <c:v>0.133479581505231</c:v>
                </c:pt>
                <c:pt idx="3" c:formatCode="0.00%">
                  <c:v>0.131829685871669</c:v>
                </c:pt>
                <c:pt idx="4" c:formatCode="0.00%">
                  <c:v>0.13923051627754</c:v>
                </c:pt>
              </c:numCache>
            </c:numRef>
          </c:val>
          <c:smooth val="0"/>
        </c:ser>
        <c:dLbls>
          <c:showLegendKey val="0"/>
          <c:showVal val="0"/>
          <c:showCatName val="0"/>
          <c:showSerName val="0"/>
          <c:showPercent val="0"/>
          <c:showBubbleSize val="0"/>
        </c:dLbls>
        <c:marker val="0"/>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7356528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1439"/>
        <c:crosses val="autoZero"/>
        <c:auto val="1"/>
        <c:lblAlgn val="ctr"/>
        <c:lblOffset val="100"/>
        <c:noMultiLvlLbl val="0"/>
      </c:catAx>
      <c:valAx>
        <c:axId val="73565143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735652879"/>
        <c:crosses val="max"/>
        <c:crossBetween val="between"/>
      </c:valAx>
      <c:spPr>
        <a:noFill/>
        <a:ln>
          <a:noFill/>
        </a:ln>
        <a:effectLst/>
      </c:spPr>
    </c:plotArea>
    <c:legend>
      <c:legendPos val="t"/>
      <c:layout>
        <c:manualLayout>
          <c:xMode val="edge"/>
          <c:yMode val="edge"/>
          <c:x val="0.0666052180370658"/>
          <c:y val="0.0261780104712042"/>
          <c:w val="0.883394891172584"/>
          <c:h val="0.07575422454215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6285293976643"/>
          <c:w val="0.931162239562145"/>
          <c:h val="0.753799728282103"/>
        </c:manualLayout>
      </c:layout>
      <c:barChart>
        <c:barDir val="col"/>
        <c:grouping val="percentStacked"/>
        <c:varyColors val="0"/>
        <c:ser>
          <c:idx val="0"/>
          <c:order val="0"/>
          <c:tx>
            <c:strRef>
              <c:f>Part1!$B$116</c:f>
              <c:strCache>
                <c:ptCount val="1"/>
                <c:pt idx="0">
                  <c:v>SR20</c:v>
                </c:pt>
              </c:strCache>
            </c:strRef>
          </c:tx>
          <c:spPr>
            <a:solidFill>
              <a:srgbClr val="002060"/>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Part1!$C$116:$E$116</c:f>
              <c:numCache>
                <c:formatCode>General</c:formatCode>
                <c:ptCount val="3"/>
                <c:pt idx="0">
                  <c:v>42.618</c:v>
                </c:pt>
                <c:pt idx="1">
                  <c:v>57.049</c:v>
                </c:pt>
                <c:pt idx="2">
                  <c:v>69.69</c:v>
                </c:pt>
              </c:numCache>
            </c:numRef>
          </c:val>
        </c:ser>
        <c:ser>
          <c:idx val="1"/>
          <c:order val="1"/>
          <c:tx>
            <c:strRef>
              <c:f>Part1!$B$117</c:f>
              <c:strCache>
                <c:ptCount val="1"/>
                <c:pt idx="0">
                  <c:v>SR22</c:v>
                </c:pt>
              </c:strCache>
            </c:strRef>
          </c:tx>
          <c:spPr>
            <a:solidFill>
              <a:srgbClr val="E97132">
                <a:lumMod val="75000"/>
              </a:srgbClr>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142.772</c:v>
                </c:pt>
                <c:pt idx="2">
                  <c:v>138.667</c:v>
                </c:pt>
              </c:numCache>
            </c:numRef>
          </c:val>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c:v>
                </c:pt>
                <c:pt idx="2">
                  <c:v>404.983</c:v>
                </c:pt>
              </c:numCache>
            </c:numRef>
          </c:val>
        </c:ser>
        <c:ser>
          <c:idx val="3"/>
          <c:order val="3"/>
          <c:tx>
            <c:strRef>
              <c:f>Part1!$B$119</c:f>
              <c:strCache>
                <c:ptCount val="1"/>
                <c:pt idx="0">
                  <c:v>Vision Jet</c:v>
                </c:pt>
              </c:strCache>
            </c:strRef>
          </c:tx>
          <c:spPr>
            <a:solidFill>
              <a:srgbClr val="A5A5A5"/>
            </a:solidFill>
            <a:ln>
              <a:solidFill>
                <a:schemeClr val="bg1"/>
              </a:solidFill>
            </a:ln>
            <a:effectLst/>
          </c:spPr>
          <c:invertIfNegative val="0"/>
          <c:dLbls>
            <c:delete val="1"/>
          </c:dLbls>
          <c:cat>
            <c:numRef>
              <c:f>Part1!$C$115:$E$115</c:f>
              <c:numCache>
                <c:formatCode>General</c:formatCode>
                <c:ptCount val="3"/>
                <c:pt idx="0">
                  <c:v>2021</c:v>
                </c:pt>
                <c:pt idx="1">
                  <c:v>2022</c:v>
                </c:pt>
                <c:pt idx="2">
                  <c:v>2023</c:v>
                </c:pt>
              </c:numCache>
            </c:numRef>
          </c:cat>
          <c:val>
            <c:numRef>
              <c:f>Part1!$C$119:$E$119</c:f>
              <c:numCache>
                <c:formatCode>General</c:formatCode>
                <c:ptCount val="3"/>
                <c:pt idx="0">
                  <c:v>234.974</c:v>
                </c:pt>
                <c:pt idx="1">
                  <c:v>266.915</c:v>
                </c:pt>
                <c:pt idx="2">
                  <c:v>302.314</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76970277363978"/>
          <c:y val="0.0147791433298692"/>
          <c:w val="0.742834710157545"/>
          <c:h val="0.069320527837872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3941017789443"/>
          <c:w val="0.90411833529931"/>
          <c:h val="0.730675123942841"/>
        </c:manualLayout>
      </c:layout>
      <c:barChart>
        <c:barDir val="col"/>
        <c:grouping val="percentStacked"/>
        <c:varyColors val="0"/>
        <c:ser>
          <c:idx val="0"/>
          <c:order val="0"/>
          <c:tx>
            <c:strRef>
              <c:f>Part1!$B$129</c:f>
              <c:strCache>
                <c:ptCount val="1"/>
                <c:pt idx="0">
                  <c:v>SR20</c:v>
                </c:pt>
              </c:strCache>
            </c:strRef>
          </c:tx>
          <c:spPr>
            <a:solidFill>
              <a:srgbClr val="002060"/>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c:v>
                </c:pt>
                <c:pt idx="1">
                  <c:v>0.57049</c:v>
                </c:pt>
                <c:pt idx="2">
                  <c:v>0.606</c:v>
                </c:pt>
              </c:numCache>
            </c:numRef>
          </c:val>
        </c:ser>
        <c:ser>
          <c:idx val="1"/>
          <c:order val="1"/>
          <c:tx>
            <c:strRef>
              <c:f>Part1!$B$130</c:f>
              <c:strCache>
                <c:ptCount val="1"/>
                <c:pt idx="0">
                  <c:v>SR22</c:v>
                </c:pt>
              </c:strCache>
            </c:strRef>
          </c:tx>
          <c:spPr>
            <a:solidFill>
              <a:srgbClr val="E97132">
                <a:lumMod val="75000"/>
              </a:srgbClr>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0.897937106918239</c:v>
                </c:pt>
                <c:pt idx="2">
                  <c:v>0.976528169014085</c:v>
                </c:pt>
              </c:numCache>
            </c:numRef>
          </c:val>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1.0004347826087</c:v>
                </c:pt>
                <c:pt idx="1">
                  <c:v>1.04644285714286</c:v>
                </c:pt>
                <c:pt idx="2">
                  <c:v>1.14079718309859</c:v>
                </c:pt>
              </c:numCache>
            </c:numRef>
          </c:val>
        </c:ser>
        <c:ser>
          <c:idx val="3"/>
          <c:order val="3"/>
          <c:tx>
            <c:strRef>
              <c:f>Part1!$B$132</c:f>
              <c:strCache>
                <c:ptCount val="1"/>
                <c:pt idx="0">
                  <c:v>Vision Jet</c:v>
                </c:pt>
              </c:strCache>
            </c:strRef>
          </c:tx>
          <c:spPr>
            <a:solidFill>
              <a:srgbClr val="A5A5A5"/>
            </a:solidFill>
            <a:ln>
              <a:solidFill>
                <a:schemeClr val="bg1"/>
              </a:solidFill>
            </a:ln>
            <a:effectLst/>
          </c:spPr>
          <c:invertIfNegative val="0"/>
          <c:dLbls>
            <c:delete val="1"/>
          </c:dLbls>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2.73225581395349</c:v>
                </c:pt>
                <c:pt idx="1">
                  <c:v>2.96572222222222</c:v>
                </c:pt>
                <c:pt idx="2">
                  <c:v>3.14910416666667</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24691336348008"/>
          <c:y val="0.0152726742490522"/>
          <c:w val="0.72594753954965"/>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18364584167971"/>
          <c:y val="0.23674588301906"/>
          <c:w val="0.931162239562145"/>
          <c:h val="0.619563915385425"/>
        </c:manualLayout>
      </c:layout>
      <c:barChart>
        <c:barDir val="col"/>
        <c:grouping val="percentStacked"/>
        <c:varyColors val="0"/>
        <c:ser>
          <c:idx val="0"/>
          <c:order val="0"/>
          <c:tx>
            <c:strRef>
              <c:f>Part1!$B$144</c:f>
              <c:strCache>
                <c:ptCount val="1"/>
                <c:pt idx="0">
                  <c:v>售后配件/维护</c:v>
                </c:pt>
              </c:strCache>
            </c:strRef>
          </c:tx>
          <c:spPr>
            <a:solidFill>
              <a:srgbClr val="002060"/>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ser>
        <c:ser>
          <c:idx val="1"/>
          <c:order val="1"/>
          <c:tx>
            <c:strRef>
              <c:f>Part1!$B$145</c:f>
              <c:strCache>
                <c:ptCount val="1"/>
                <c:pt idx="0">
                  <c:v>培训</c:v>
                </c:pt>
              </c:strCache>
            </c:strRef>
          </c:tx>
          <c:spPr>
            <a:solidFill>
              <a:srgbClr val="E97132">
                <a:lumMod val="75000"/>
              </a:srgbClr>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ser>
        <c:ser>
          <c:idx val="2"/>
          <c:order val="2"/>
          <c:tx>
            <c:strRef>
              <c:f>Part1!$B$146</c:f>
              <c:strCache>
                <c:ptCount val="1"/>
                <c:pt idx="0">
                  <c:v>二手飞机</c:v>
                </c:pt>
              </c:strCache>
            </c:strRef>
          </c:tx>
          <c:spPr>
            <a:solidFill>
              <a:srgbClr val="E6B9B8"/>
            </a:solidFill>
            <a:ln>
              <a:noFill/>
            </a:ln>
            <a:effectLst/>
            <a:sp3d contourW="9525"/>
          </c:spPr>
          <c:invertIfNegative val="0"/>
          <c:dLbls>
            <c:delete val="1"/>
          </c:dLbls>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ser>
        <c:ser>
          <c:idx val="3"/>
          <c:order val="3"/>
          <c:tx>
            <c:strRef>
              <c:f>Part1!$B$147</c:f>
              <c:strCache>
                <c:ptCount val="1"/>
                <c:pt idx="0">
                  <c:v>其他</c:v>
                </c:pt>
              </c:strCache>
            </c:strRef>
          </c:tx>
          <c:spPr>
            <a:solidFill>
              <a:srgbClr val="A5A5A5"/>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72992782152231"/>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[西锐底稿.xlsx]Part1!$G$87</c:f>
              <c:strCache>
                <c:ptCount val="1"/>
                <c:pt idx="0">
                  <c:v>毛利润</c:v>
                </c:pt>
              </c:strCache>
            </c:strRef>
          </c:tx>
          <c:spPr>
            <a:solidFill>
              <a:srgbClr val="002060"/>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[西锐底稿.xlsx]Part1!$H$87:$L$87</c:f>
              <c:numCache>
                <c:formatCode>0.00</c:formatCode>
                <c:ptCount val="5"/>
                <c:pt idx="0">
                  <c:v>185.32136</c:v>
                </c:pt>
                <c:pt idx="1">
                  <c:v>242.254266</c:v>
                </c:pt>
                <c:pt idx="2">
                  <c:v>298.086272</c:v>
                </c:pt>
                <c:pt idx="3">
                  <c:v>364.729736</c:v>
                </c:pt>
                <c:pt idx="4">
                  <c:v>413.608415</c:v>
                </c:pt>
              </c:numCache>
            </c:numRef>
          </c:val>
        </c:ser>
        <c:ser>
          <c:idx val="2"/>
          <c:order val="2"/>
          <c:tx>
            <c:strRef>
              <c:f>[西锐底稿.xlsx]Part1!$G$89</c:f>
              <c:strCache>
                <c:ptCount val="1"/>
                <c:pt idx="0">
                  <c:v>净利润</c:v>
                </c:pt>
              </c:strCache>
            </c:strRef>
          </c:tx>
          <c:spPr>
            <a:solidFill>
              <a:srgbClr val="A5A5A5"/>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[西锐底稿.xlsx]Part1!$H$89:$L$89</c:f>
              <c:numCache>
                <c:formatCode>0.00</c:formatCode>
                <c:ptCount val="5"/>
                <c:pt idx="0">
                  <c:v>36.125936</c:v>
                </c:pt>
                <c:pt idx="1">
                  <c:v>72.410553</c:v>
                </c:pt>
                <c:pt idx="2">
                  <c:v>88.06688</c:v>
                </c:pt>
                <c:pt idx="3">
                  <c:v>91.182434</c:v>
                </c:pt>
                <c:pt idx="4">
                  <c:v>120.790417</c:v>
                </c:pt>
              </c:numCache>
            </c:numRef>
          </c:val>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[西锐底稿.xlsx]Part1!$G$88</c:f>
              <c:strCache>
                <c:ptCount val="1"/>
                <c:pt idx="0">
                  <c:v>yoy</c:v>
                </c:pt>
              </c:strCache>
            </c:strRef>
          </c:tx>
          <c:spPr>
            <a:ln w="28575" cap="rnd">
              <a:solidFill>
                <a:srgbClr val="002060"/>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[西锐底稿.xlsx]Part1!$H$88:$L$88</c:f>
              <c:numCache>
                <c:formatCode>General</c:formatCode>
                <c:ptCount val="5"/>
                <c:pt idx="1" c:formatCode="0.00%">
                  <c:v>0.307211786056394</c:v>
                </c:pt>
                <c:pt idx="2" c:formatCode="0.00%">
                  <c:v>0.230468618455619</c:v>
                </c:pt>
                <c:pt idx="3" c:formatCode="0.00%">
                  <c:v>0.223571060662599</c:v>
                </c:pt>
                <c:pt idx="4" c:formatCode="0.00%">
                  <c:v>0.134013419185542</c:v>
                </c:pt>
              </c:numCache>
            </c:numRef>
          </c:val>
          <c:smooth val="0"/>
        </c:ser>
        <c:ser>
          <c:idx val="3"/>
          <c:order val="3"/>
          <c:tx>
            <c:strRef>
              <c:f>[西锐底稿.xlsx]Part1!$G$90</c:f>
              <c:strCache>
                <c:ptCount val="1"/>
                <c:pt idx="0">
                  <c:v>yoy</c:v>
                </c:pt>
              </c:strCache>
            </c:strRef>
          </c:tx>
          <c:spPr>
            <a:ln w="28575" cap="rnd">
              <a:solidFill>
                <a:srgbClr val="A5A5A5"/>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[西锐底稿.xlsx]Part1!$H$90:$L$90</c:f>
              <c:numCache>
                <c:formatCode>General</c:formatCode>
                <c:ptCount val="5"/>
                <c:pt idx="1" c:formatCode="0.0%">
                  <c:v>1.00439243982495</c:v>
                </c:pt>
                <c:pt idx="2" c:formatCode="0.0%">
                  <c:v>0.216216094910917</c:v>
                </c:pt>
                <c:pt idx="3" c:formatCode="0.0%">
                  <c:v>0.0353771361038338</c:v>
                </c:pt>
                <c:pt idx="4" c:formatCode="0.0%">
                  <c:v>0.324711478967539</c:v>
                </c:pt>
              </c:numCache>
            </c:numRef>
          </c:val>
          <c:smooth val="0"/>
        </c:ser>
        <c:dLbls>
          <c:showLegendKey val="0"/>
          <c:showVal val="0"/>
          <c:showCatName val="0"/>
          <c:showSerName val="0"/>
          <c:showPercent val="0"/>
          <c:showBubbleSize val="0"/>
        </c:dLbls>
        <c:marker val="0"/>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73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75590354721999"/>
          <c:y val="0.158663874836293"/>
          <c:w val="0.9124409645278"/>
          <c:h val="0.751280547325263"/>
        </c:manualLayout>
      </c:layout>
      <c:barChart>
        <c:barDir val="col"/>
        <c:grouping val="clustered"/>
        <c:varyColors val="0"/>
        <c:ser>
          <c:idx val="0"/>
          <c:order val="0"/>
          <c:tx>
            <c:strRef>
              <c:f>[西锐底稿.xlsx]Part1!$G$82</c:f>
              <c:strCache>
                <c:ptCount val="1"/>
                <c:pt idx="0">
                  <c:v>毛利率</c:v>
                </c:pt>
              </c:strCache>
            </c:strRef>
          </c:tx>
          <c:spPr>
            <a:solidFill>
              <a:srgbClr val="002060"/>
            </a:solidFill>
            <a:ln w="25400">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[西锐底稿.xlsx]Part1!$H$82:$M$82</c:f>
              <c:numCache>
                <c:formatCode>0.00%</c:formatCode>
                <c:ptCount val="6"/>
                <c:pt idx="0">
                  <c:v>0.316</c:v>
                </c:pt>
                <c:pt idx="1">
                  <c:v>0.3282</c:v>
                </c:pt>
                <c:pt idx="2">
                  <c:v>0.3334</c:v>
                </c:pt>
                <c:pt idx="3">
                  <c:v>0.3416</c:v>
                </c:pt>
                <c:pt idx="4">
                  <c:v>0.3455</c:v>
                </c:pt>
                <c:pt idx="5">
                  <c:v>0.3617</c:v>
                </c:pt>
              </c:numCache>
            </c:numRef>
          </c:val>
        </c:ser>
        <c:ser>
          <c:idx val="1"/>
          <c:order val="1"/>
          <c:tx>
            <c:strRef>
              <c:f>[西锐底稿.xlsx]Part1!$G$83</c:f>
              <c:strCache>
                <c:ptCount val="1"/>
                <c:pt idx="0">
                  <c:v>净利率</c:v>
                </c:pt>
              </c:strCache>
            </c:strRef>
          </c:tx>
          <c:spPr>
            <a:solidFill>
              <a:srgbClr val="A5A5A5"/>
            </a:solidFill>
            <a:ln>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[西锐底稿.xlsx]Part1!$H$83:$M$83</c:f>
              <c:numCache>
                <c:formatCode>0.00%</c:formatCode>
                <c:ptCount val="6"/>
                <c:pt idx="0">
                  <c:v>0.0616</c:v>
                </c:pt>
                <c:pt idx="1">
                  <c:v>0.0981</c:v>
                </c:pt>
                <c:pt idx="2">
                  <c:v>0.0985</c:v>
                </c:pt>
                <c:pt idx="3">
                  <c:v>0.0854</c:v>
                </c:pt>
                <c:pt idx="4">
                  <c:v>0.1009</c:v>
                </c:pt>
                <c:pt idx="5">
                  <c:v>0.1093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236214639836687"/>
          <c:w val="0.883597112860892"/>
          <c:h val="0.67244276757072"/>
        </c:manualLayout>
      </c:layout>
      <c:barChart>
        <c:barDir val="col"/>
        <c:grouping val="clustered"/>
        <c:varyColors val="0"/>
        <c:ser>
          <c:idx val="0"/>
          <c:order val="0"/>
          <c:tx>
            <c:strRef>
              <c:f>[西锐底稿.xlsx]Part1!$G$96</c:f>
              <c:strCache>
                <c:ptCount val="1"/>
                <c:pt idx="0">
                  <c:v>销售费用比率</c:v>
                </c:pt>
              </c:strCache>
            </c:strRef>
          </c:tx>
          <c:spPr>
            <a:solidFill>
              <a:srgbClr val="002060"/>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[西锐底稿.xlsx]Part1!$H$96:$M$96</c:f>
              <c:numCache>
                <c:formatCode>0.00%</c:formatCode>
                <c:ptCount val="6"/>
                <c:pt idx="0">
                  <c:v>0.0950448453432459</c:v>
                </c:pt>
                <c:pt idx="1">
                  <c:v>0.089943505886497</c:v>
                </c:pt>
                <c:pt idx="2">
                  <c:v>0.0987495526127416</c:v>
                </c:pt>
                <c:pt idx="3">
                  <c:v>0.0999990634160961</c:v>
                </c:pt>
                <c:pt idx="4">
                  <c:v>0.103188459064596</c:v>
                </c:pt>
                <c:pt idx="5">
                  <c:v>0.106982455550135</c:v>
                </c:pt>
              </c:numCache>
            </c:numRef>
          </c:val>
        </c:ser>
        <c:ser>
          <c:idx val="1"/>
          <c:order val="1"/>
          <c:tx>
            <c:strRef>
              <c:f>[西锐底稿.xlsx]Part1!$G$97</c:f>
              <c:strCache>
                <c:ptCount val="1"/>
                <c:pt idx="0">
                  <c:v>管理费用比率</c:v>
                </c:pt>
              </c:strCache>
            </c:strRef>
          </c:tx>
          <c:spPr>
            <a:solidFill>
              <a:srgbClr val="A5A5A5"/>
            </a:solidFill>
            <a:ln>
              <a:noFill/>
            </a:ln>
            <a:effectLst/>
          </c:spPr>
          <c:invertIfNegative val="0"/>
          <c:dPt>
            <c:idx val="0"/>
            <c:invertIfNegative val="0"/>
            <c:bubble3D val="0"/>
            <c:spPr>
              <a:solidFill>
                <a:srgbClr val="A5A5A5"/>
              </a:solidFill>
              <a:ln>
                <a:noFill/>
              </a:ln>
              <a:effectLst/>
            </c:spPr>
          </c:dPt>
          <c:dPt>
            <c:idx val="1"/>
            <c:invertIfNegative val="0"/>
            <c:bubble3D val="0"/>
            <c:spPr>
              <a:solidFill>
                <a:srgbClr val="A5A5A5"/>
              </a:solidFill>
              <a:ln>
                <a:noFill/>
              </a:ln>
              <a:effectLst/>
            </c:spPr>
          </c:dPt>
          <c:dPt>
            <c:idx val="2"/>
            <c:invertIfNegative val="0"/>
            <c:bubble3D val="0"/>
            <c:spPr>
              <a:solidFill>
                <a:srgbClr val="A5A5A5"/>
              </a:solidFill>
              <a:ln>
                <a:noFill/>
              </a:ln>
              <a:effectLst/>
            </c:spPr>
          </c:dPt>
          <c:dPt>
            <c:idx val="3"/>
            <c:invertIfNegative val="0"/>
            <c:bubble3D val="0"/>
            <c:spPr>
              <a:solidFill>
                <a:srgbClr val="A5A5A5"/>
              </a:solidFill>
              <a:ln>
                <a:noFill/>
              </a:ln>
              <a:effectLst/>
            </c:spPr>
          </c:dPt>
          <c:dPt>
            <c:idx val="4"/>
            <c:invertIfNegative val="0"/>
            <c:bubble3D val="0"/>
            <c:spPr>
              <a:solidFill>
                <a:srgbClr val="A5A5A5"/>
              </a:solidFill>
              <a:ln>
                <a:noFill/>
              </a:ln>
              <a:effectLst/>
            </c:spPr>
          </c:dPt>
          <c:dPt>
            <c:idx val="5"/>
            <c:invertIfNegative val="0"/>
            <c:bubble3D val="0"/>
            <c:spPr>
              <a:solidFill>
                <a:srgbClr val="A5A5A5"/>
              </a:solidFill>
              <a:ln>
                <a:noFill/>
              </a:ln>
              <a:effectLst/>
            </c:spPr>
          </c:dPt>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[西锐底稿.xlsx]Part1!$H$97:$M$97</c:f>
              <c:numCache>
                <c:formatCode>0.00%</c:formatCode>
                <c:ptCount val="6"/>
                <c:pt idx="0">
                  <c:v>0.132950243835897</c:v>
                </c:pt>
                <c:pt idx="1">
                  <c:v>0.126888217522659</c:v>
                </c:pt>
                <c:pt idx="2">
                  <c:v>0.114631800286328</c:v>
                </c:pt>
                <c:pt idx="3">
                  <c:v>0.126607412125015</c:v>
                </c:pt>
                <c:pt idx="4">
                  <c:v>0.118015587279577</c:v>
                </c:pt>
                <c:pt idx="5">
                  <c:v>0.117747985668388</c:v>
                </c:pt>
              </c:numCache>
            </c:numRef>
          </c:val>
        </c:ser>
        <c:ser>
          <c:idx val="2"/>
          <c:order val="2"/>
          <c:tx>
            <c:strRef>
              <c:f>[西锐底稿.xlsx]Part1!$G$98</c:f>
              <c:strCache>
                <c:ptCount val="1"/>
                <c:pt idx="0">
                  <c:v>财务费用比率</c:v>
                </c:pt>
              </c:strCache>
            </c:strRef>
          </c:tx>
          <c:spPr>
            <a:solidFill>
              <a:srgbClr val="EBC3C3"/>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[西锐底稿.xlsx]Part1!$H$98:$M$98</c:f>
              <c:numCache>
                <c:formatCode>0.00%</c:formatCode>
                <c:ptCount val="6"/>
                <c:pt idx="0">
                  <c:v>0.0105207516284146</c:v>
                </c:pt>
                <c:pt idx="1">
                  <c:v>0.00475525991356536</c:v>
                </c:pt>
                <c:pt idx="2">
                  <c:v>0.00357909806728704</c:v>
                </c:pt>
                <c:pt idx="3">
                  <c:v>0.00517930898839573</c:v>
                </c:pt>
                <c:pt idx="4">
                  <c:v>0.00429360219859163</c:v>
                </c:pt>
                <c:pt idx="5">
                  <c:v>0.00331376473952463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'!$F$44</c:f>
              <c:strCache>
                <c:ptCount val="1"/>
                <c:pt idx="0">
                  <c:v>总交付量</c:v>
                </c:pt>
              </c:strCache>
            </c:strRef>
          </c:tx>
          <c:spPr>
            <a:solidFill>
              <a:srgbClr val="002060"/>
            </a:solidFill>
            <a:ln w="25400">
              <a:noFill/>
            </a:ln>
            <a:effectLst/>
          </c:spPr>
          <c:invertIfNegative val="0"/>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'!$G$44</c:f>
              <c:strCache>
                <c:ptCount val="1"/>
                <c:pt idx="0">
                  <c:v>yoy</c:v>
                </c:pt>
              </c:strCache>
            </c:strRef>
          </c:tx>
          <c:spPr>
            <a:ln w="28575" cap="rnd">
              <a:solidFill>
                <a:srgbClr val="A5A5A5"/>
              </a:solidFill>
              <a:round/>
            </a:ln>
            <a:effectLst/>
          </c:spPr>
          <c:marker>
            <c:symbol val="none"/>
          </c:marker>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'!$G$45:$G$54</c:f>
              <c:numCache>
                <c:formatCode>General</c:formatCode>
                <c:ptCount val="10"/>
                <c:pt idx="1" c:formatCode="0.00%">
                  <c:v>-0.0940910801656003</c:v>
                </c:pt>
                <c:pt idx="2" c:formatCode="0.00%">
                  <c:v>0.0992937266306606</c:v>
                </c:pt>
                <c:pt idx="3" c:formatCode="0.00%">
                  <c:v>0.0650037792894935</c:v>
                </c:pt>
                <c:pt idx="4" c:formatCode="0.00%">
                  <c:v>0.0823278921220725</c:v>
                </c:pt>
                <c:pt idx="5" c:formatCode="0.00%">
                  <c:v>-0.0265573770491804</c:v>
                </c:pt>
                <c:pt idx="6" c:formatCode="0.00%">
                  <c:v>0.0400808352980802</c:v>
                </c:pt>
                <c:pt idx="7" c:formatCode="0.00%">
                  <c:v>0.0625</c:v>
                </c:pt>
                <c:pt idx="8" c:formatCode="0.00%">
                  <c:v>0.074367570862542</c:v>
                </c:pt>
                <c:pt idx="9" c:formatCode="0.00%">
                  <c:v>0.0720567375886525</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'!$I$44</c:f>
              <c:strCache>
                <c:ptCount val="1"/>
                <c:pt idx="0">
                  <c:v>总交付价值 (十亿美元)</c:v>
                </c:pt>
              </c:strCache>
            </c:strRef>
          </c:tx>
          <c:spPr>
            <a:solidFill>
              <a:srgbClr val="002060"/>
            </a:solidFill>
            <a:ln w="25400">
              <a:noFill/>
            </a:ln>
            <a:effectLst/>
          </c:spPr>
          <c:invertIfNegative val="0"/>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'!$I$45:$I$54</c:f>
              <c:numCache>
                <c:formatCode>General</c:formatCode>
                <c:ptCount val="10"/>
                <c:pt idx="0">
                  <c:v>23.6</c:v>
                </c:pt>
                <c:pt idx="1">
                  <c:v>20.1</c:v>
                </c:pt>
                <c:pt idx="2">
                  <c:v>21.6</c:v>
                </c:pt>
                <c:pt idx="3">
                  <c:v>22.9</c:v>
                </c:pt>
                <c:pt idx="4">
                  <c:v>23.4</c:v>
                </c:pt>
                <c:pt idx="5">
                  <c:v>27</c:v>
                </c:pt>
                <c:pt idx="6">
                  <c:v>26.3</c:v>
                </c:pt>
                <c:pt idx="7">
                  <c:v>28.8</c:v>
                </c:pt>
                <c:pt idx="8">
                  <c:v>31.7</c:v>
                </c:pt>
                <c:pt idx="9">
                  <c:v>34.24</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'!$J$44</c:f>
              <c:strCache>
                <c:ptCount val="1"/>
                <c:pt idx="0">
                  <c:v>yoy</c:v>
                </c:pt>
              </c:strCache>
            </c:strRef>
          </c:tx>
          <c:spPr>
            <a:ln w="28575" cap="rnd">
              <a:solidFill>
                <a:srgbClr val="A5A5A5"/>
              </a:solidFill>
              <a:round/>
            </a:ln>
            <a:effectLst/>
          </c:spPr>
          <c:marker>
            <c:symbol val="none"/>
          </c:marker>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'!$J$45:$J$54</c:f>
              <c:numCache>
                <c:formatCode>General</c:formatCode>
                <c:ptCount val="10"/>
                <c:pt idx="1" c:formatCode="0.00%">
                  <c:v>-0.148305084745763</c:v>
                </c:pt>
                <c:pt idx="2" c:formatCode="0.00%">
                  <c:v>0.0746268656716418</c:v>
                </c:pt>
                <c:pt idx="3" c:formatCode="0.00%">
                  <c:v>0.0601851851851851</c:v>
                </c:pt>
                <c:pt idx="4" c:formatCode="0.00%">
                  <c:v>0.0218340611353711</c:v>
                </c:pt>
                <c:pt idx="5" c:formatCode="0.00%">
                  <c:v>0.153846153846154</c:v>
                </c:pt>
                <c:pt idx="6" c:formatCode="0.00%">
                  <c:v>-0.0259259259259259</c:v>
                </c:pt>
                <c:pt idx="7" c:formatCode="0.00%">
                  <c:v>0.0950570342205324</c:v>
                </c:pt>
                <c:pt idx="8" c:formatCode="0.00%">
                  <c:v>0.100694444444444</c:v>
                </c:pt>
                <c:pt idx="9" c:formatCode="0.00%">
                  <c:v>0.0801261829652997</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2407064654767"/>
          <c:w val="0.931162239562145"/>
          <c:h val="0.757678158756052"/>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'[西锐底稿.xlsx]Part2.1 '!$G$66</c:f>
              <c:strCache>
                <c:ptCount val="1"/>
                <c:pt idx="0">
                  <c:v>亚太地区</c:v>
                </c:pt>
              </c:strCache>
            </c:strRef>
          </c:tx>
          <c:spPr>
            <a:solidFill>
              <a:srgbClr val="666666"/>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'[西锐底稿.xlsx]Part2.1 '!$J$66</c:f>
              <c:strCache>
                <c:ptCount val="1"/>
                <c:pt idx="0">
                  <c:v>北美洲</c:v>
                </c:pt>
              </c:strCache>
            </c:strRef>
          </c:tx>
          <c:spPr>
            <a:solidFill>
              <a:srgbClr val="A5A5A5"/>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0379362670713202"/>
          <c:y val="0.0233429843055494"/>
          <c:w val="0.985204734723252"/>
          <c:h val="0.085614079116604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[西锐底稿.xlsx]Part2.2!$B$2</c:f>
              <c:strCache>
                <c:ptCount val="1"/>
                <c:pt idx="0">
                  <c:v>交付量</c:v>
                </c:pt>
              </c:strCache>
            </c:strRef>
          </c:tx>
          <c:spPr>
            <a:solidFill>
              <a:srgbClr val="002060"/>
            </a:solidFill>
            <a:ln>
              <a:noFill/>
            </a:ln>
            <a:effectLst/>
          </c:spPr>
          <c:invertIfNegative val="0"/>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[西锐底稿.xlsx]Part2.2!$C$2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[西锐底稿.xlsx]Part2.2!$F$2</c:f>
              <c:strCache>
                <c:ptCount val="1"/>
                <c:pt idx="0">
                  <c:v>交付价值（十亿美元）</c:v>
                </c:pt>
              </c:strCache>
            </c:strRef>
          </c:tx>
          <c:spPr>
            <a:solidFill>
              <a:srgbClr val="002060"/>
            </a:solidFill>
            <a:ln>
              <a:noFill/>
            </a:ln>
            <a:effectLst/>
          </c:spPr>
          <c:invertIfNegative val="0"/>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[西锐底稿.xlsx]Part2.2!$G$2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[西锐底稿.xlsx]Part2.2!$B$19</c:f>
              <c:strCache>
                <c:ptCount val="1"/>
                <c:pt idx="0">
                  <c:v>平均售卖价格（百万美元）</c:v>
                </c:pt>
              </c:strCache>
            </c:strRef>
          </c:tx>
          <c:spPr>
            <a:solidFill>
              <a:srgbClr val="002060"/>
            </a:solidFill>
            <a:ln>
              <a:noFill/>
            </a:ln>
            <a:effectLst/>
          </c:spPr>
          <c:invertIfNegative val="0"/>
          <c:dLbls>
            <c:delete val="1"/>
          </c:dLbls>
          <c:cat>
            <c:numRef>
              <c:f>[西锐底稿.xlsx]Part2.2!$A$20:$A$25</c:f>
              <c:numCache>
                <c:formatCode>General</c:formatCode>
                <c:ptCount val="6"/>
                <c:pt idx="0">
                  <c:v>2018</c:v>
                </c:pt>
                <c:pt idx="1">
                  <c:v>2019</c:v>
                </c:pt>
                <c:pt idx="2">
                  <c:v>2020</c:v>
                </c:pt>
                <c:pt idx="3">
                  <c:v>2021</c:v>
                </c:pt>
                <c:pt idx="4">
                  <c:v>2022</c:v>
                </c:pt>
                <c:pt idx="5">
                  <c:v>2023</c:v>
                </c:pt>
              </c:numCache>
            </c:numRef>
          </c:cat>
          <c:val>
            <c:numRef>
              <c:f>[西锐底稿.xlsx]Part2.2!$B$20:$B$25</c:f>
              <c:numCache>
                <c:formatCode>General</c:formatCode>
                <c:ptCount val="6"/>
                <c:pt idx="0">
                  <c:v>1.43</c:v>
                </c:pt>
                <c:pt idx="1">
                  <c:v>1.43</c:v>
                </c:pt>
                <c:pt idx="2">
                  <c:v>1.38</c:v>
                </c:pt>
                <c:pt idx="3">
                  <c:v>1.5</c:v>
                </c:pt>
                <c:pt idx="4">
                  <c:v>1.51</c:v>
                </c:pt>
                <c:pt idx="5">
                  <c:v>1.67</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3.3'!$A$3</c:f>
              <c:strCache>
                <c:ptCount val="1"/>
                <c:pt idx="0">
                  <c:v>交付量（架）</c:v>
                </c:pt>
              </c:strCache>
            </c:strRef>
          </c:tx>
          <c:spPr>
            <a:solidFill>
              <a:srgbClr val="002060"/>
            </a:solidFill>
            <a:ln w="25400">
              <a:noFill/>
            </a:ln>
            <a:effectLst/>
          </c:spPr>
          <c:invertIfNegative val="0"/>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3.3'!$A$4</c:f>
              <c:strCache>
                <c:ptCount val="1"/>
                <c:pt idx="0">
                  <c:v>平均价格（百万美元）</c:v>
                </c:pt>
              </c:strCache>
            </c:strRef>
          </c:tx>
          <c:spPr>
            <a:ln w="28575" cap="rnd">
              <a:solidFill>
                <a:srgbClr val="A5A5A5"/>
              </a:solidFill>
              <a:round/>
            </a:ln>
            <a:effectLst/>
          </c:spPr>
          <c:marker>
            <c:symbol val="none"/>
          </c:marker>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3.3'!$B$4:$K$4</c:f>
              <c:numCache>
                <c:formatCode>"$"#,##0.00_);[Red]\("$"#,##0.00\)</c:formatCode>
                <c:ptCount val="10"/>
                <c:pt idx="0">
                  <c:v>0.7342766910299</c:v>
                </c:pt>
                <c:pt idx="1">
                  <c:v>0.7595329125</c:v>
                </c:pt>
                <c:pt idx="2">
                  <c:v>0.858616938992042</c:v>
                </c:pt>
                <c:pt idx="3">
                  <c:v>0.987250069977427</c:v>
                </c:pt>
                <c:pt idx="4">
                  <c:v>1.17707288387097</c:v>
                </c:pt>
                <c:pt idx="5">
                  <c:v>1.17083379761905</c:v>
                </c:pt>
                <c:pt idx="6">
                  <c:v>1.19868445833333</c:v>
                </c:pt>
                <c:pt idx="7">
                  <c:v>1.21687531796502</c:v>
                </c:pt>
                <c:pt idx="8">
                  <c:v>1.31374019491525</c:v>
                </c:pt>
                <c:pt idx="9">
                  <c:v>1.40243921751026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3.3'!$A$12</c:f>
              <c:strCache>
                <c:ptCount val="1"/>
                <c:pt idx="0">
                  <c:v>出货量（台）</c:v>
                </c:pt>
              </c:strCache>
            </c:strRef>
          </c:tx>
          <c:spPr>
            <a:solidFill>
              <a:srgbClr val="002060"/>
            </a:solidFill>
            <a:ln w="25400">
              <a:noFill/>
            </a:ln>
            <a:effectLst/>
          </c:spPr>
          <c:invertIfNegative val="0"/>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3.3'!$A$13</c:f>
              <c:strCache>
                <c:ptCount val="1"/>
                <c:pt idx="0">
                  <c:v>平均价格（百万英镑）</c:v>
                </c:pt>
              </c:strCache>
            </c:strRef>
          </c:tx>
          <c:spPr>
            <a:ln w="28575" cap="rnd">
              <a:solidFill>
                <a:srgbClr val="A5A5A5"/>
              </a:solidFill>
              <a:round/>
            </a:ln>
            <a:effectLst/>
          </c:spPr>
          <c:marker>
            <c:symbol val="none"/>
          </c:marker>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3.3'!$B$13:$K$13</c:f>
              <c:numCache>
                <c:formatCode>0.00</c:formatCode>
                <c:ptCount val="10"/>
                <c:pt idx="0">
                  <c:v>0.271398747390397</c:v>
                </c:pt>
                <c:pt idx="1">
                  <c:v>0.272023958073372</c:v>
                </c:pt>
                <c:pt idx="2">
                  <c:v>0.292450583472255</c:v>
                </c:pt>
                <c:pt idx="3">
                  <c:v>0.274024429791374</c:v>
                </c:pt>
                <c:pt idx="4">
                  <c:v>0.288816503800217</c:v>
                </c:pt>
                <c:pt idx="5">
                  <c:v>0.310889351902621</c:v>
                </c:pt>
                <c:pt idx="6">
                  <c:v>0.32030479605558</c:v>
                </c:pt>
                <c:pt idx="7">
                  <c:v>0.32834127524393</c:v>
                </c:pt>
                <c:pt idx="8">
                  <c:v>0.374661494547318</c:v>
                </c:pt>
                <c:pt idx="9">
                  <c:v>0.41652123327516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3.3'!$B$39</c:f>
              <c:strCache>
                <c:ptCount val="1"/>
                <c:pt idx="0">
                  <c:v>美国人均可支配收入</c:v>
                </c:pt>
              </c:strCache>
            </c:strRef>
          </c:tx>
          <c:spPr>
            <a:solidFill>
              <a:srgbClr val="002060"/>
            </a:solidFill>
            <a:ln>
              <a:noFill/>
            </a:ln>
            <a:effectLst/>
          </c:spPr>
          <c:invertIfNegative val="0"/>
          <c:dLbls>
            <c:delete val="1"/>
          </c:dLbls>
          <c:cat>
            <c:numRef>
              <c:f>'[西锐底稿.xlsx]Part 3.3'!$A$41:$A$50</c:f>
              <c:numCache>
                <c:formatCode>@</c:formatCode>
                <c:ptCount val="10"/>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numCache>
            </c:numRef>
          </c:cat>
          <c:val>
            <c:numRef>
              <c:f>'[西锐底稿.xlsx]Part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3.3'!$B$58</c:f>
              <c:strCache>
                <c:ptCount val="1"/>
                <c:pt idx="0">
                  <c:v>美国: CPI(1982-84=100)</c:v>
                </c:pt>
              </c:strCache>
            </c:strRef>
          </c:tx>
          <c:spPr>
            <a:solidFill>
              <a:srgbClr val="002060"/>
            </a:solidFill>
            <a:ln>
              <a:noFill/>
            </a:ln>
            <a:effectLst/>
          </c:spPr>
          <c:invertIfNegative val="0"/>
          <c:dLbls>
            <c:delete val="1"/>
          </c:dLbls>
          <c:cat>
            <c:numRef>
              <c:f>'[西锐底稿.xlsx]Part 3.3'!$A$59:$A$69</c:f>
              <c:numCache>
                <c:formatCode>@</c:formatCode>
                <c:ptCount val="11"/>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pt idx="10" c:formatCode="@">
                  <c:v>2025</c:v>
                </c:pt>
              </c:numCache>
            </c:numRef>
          </c:cat>
          <c:val>
            <c:numRef>
              <c:f>'[西锐底稿.xlsx]Part 3.3'!$B$59:$B$69</c:f>
              <c:numCache>
                <c:formatCode>#,##0.00_ </c:formatCode>
                <c:ptCount val="11"/>
                <c:pt idx="0">
                  <c:v>2844.204</c:v>
                </c:pt>
                <c:pt idx="1">
                  <c:v>2880.086</c:v>
                </c:pt>
                <c:pt idx="2">
                  <c:v>2941.435</c:v>
                </c:pt>
                <c:pt idx="3">
                  <c:v>3013.282</c:v>
                </c:pt>
                <c:pt idx="4">
                  <c:v>3067.889</c:v>
                </c:pt>
                <c:pt idx="5">
                  <c:v>3105.734</c:v>
                </c:pt>
                <c:pt idx="6">
                  <c:v>3251.637</c:v>
                </c:pt>
                <c:pt idx="7">
                  <c:v>3511.859</c:v>
                </c:pt>
                <c:pt idx="8">
                  <c:v>3656.419</c:v>
                </c:pt>
                <c:pt idx="9">
                  <c:v>3764.266</c:v>
                </c:pt>
                <c:pt idx="10">
                  <c:v>3217.319</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4'!$A$2</c:f>
              <c:strCache>
                <c:ptCount val="1"/>
                <c:pt idx="0">
                  <c:v>Q1</c:v>
                </c:pt>
              </c:strCache>
            </c:strRef>
          </c:tx>
          <c:spPr>
            <a:solidFill>
              <a:srgbClr val="002060"/>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ser>
        <c:ser>
          <c:idx val="1"/>
          <c:order val="1"/>
          <c:tx>
            <c:strRef>
              <c:f>'Part 4'!$A$3</c:f>
              <c:strCache>
                <c:ptCount val="1"/>
                <c:pt idx="0">
                  <c:v>Q2</c:v>
                </c:pt>
              </c:strCache>
            </c:strRef>
          </c:tx>
          <c:spPr>
            <a:solidFill>
              <a:srgbClr val="A5A5A5"/>
            </a:solidFill>
            <a:ln>
              <a:solidFill>
                <a:srgbClr val="A5A5A5"/>
              </a:solid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ser>
        <c:ser>
          <c:idx val="2"/>
          <c:order val="2"/>
          <c:tx>
            <c:strRef>
              <c:f>'Part 4'!$A$4</c:f>
              <c:strCache>
                <c:ptCount val="1"/>
                <c:pt idx="0">
                  <c:v>Q3</c:v>
                </c:pt>
              </c:strCache>
            </c:strRef>
          </c:tx>
          <c:spPr>
            <a:solidFill>
              <a:srgbClr val="A5A5A5">
                <a:lumMod val="75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ser>
        <c:ser>
          <c:idx val="3"/>
          <c:order val="3"/>
          <c:tx>
            <c:strRef>
              <c:f>'Part 4'!$A$5</c:f>
              <c:strCache>
                <c:ptCount val="1"/>
                <c:pt idx="0">
                  <c:v>Q4</c:v>
                </c:pt>
              </c:strCache>
            </c:strRef>
          </c:tx>
          <c:spPr>
            <a:solidFill>
              <a:srgbClr val="5B9BD5">
                <a:lumMod val="20000"/>
                <a:lumOff val="80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4'!$A$60</c:f>
              <c:strCache>
                <c:ptCount val="1"/>
                <c:pt idx="0">
                  <c:v>售后服务收入占比</c:v>
                </c:pt>
              </c:strCache>
            </c:strRef>
          </c:tx>
          <c:spPr>
            <a:solidFill>
              <a:srgbClr val="002060"/>
            </a:solidFill>
            <a:ln>
              <a:noFill/>
            </a:ln>
            <a:effectLst/>
          </c:spPr>
          <c:invertIfNegative val="0"/>
          <c:dLbls>
            <c:delete val="1"/>
          </c:dLbls>
          <c:cat>
            <c:strRef>
              <c:f>'[西锐底稿.xlsx]Part 4'!$B$59:$G$59</c:f>
              <c:strCache>
                <c:ptCount val="6"/>
                <c:pt idx="0">
                  <c:v>2020</c:v>
                </c:pt>
                <c:pt idx="1">
                  <c:v>2021</c:v>
                </c:pt>
                <c:pt idx="2">
                  <c:v>2022</c:v>
                </c:pt>
                <c:pt idx="3">
                  <c:v>2023</c:v>
                </c:pt>
                <c:pt idx="4">
                  <c:v>2024</c:v>
                </c:pt>
                <c:pt idx="5">
                  <c:v>2025H1</c:v>
                </c:pt>
              </c:strCache>
            </c:strRef>
          </c:cat>
          <c:val>
            <c:numRef>
              <c:f>'[西锐底稿.xlsx]Part 4'!$B$60:$G$60</c:f>
              <c:numCache>
                <c:formatCode>0.00%</c:formatCode>
                <c:ptCount val="6"/>
                <c:pt idx="0">
                  <c:v>0.1674</c:v>
                </c:pt>
                <c:pt idx="1">
                  <c:v>0.1606</c:v>
                </c:pt>
                <c:pt idx="2">
                  <c:v>0.1503</c:v>
                </c:pt>
                <c:pt idx="3">
                  <c:v>0.1424</c:v>
                </c:pt>
                <c:pt idx="4">
                  <c:v>0.1447</c:v>
                </c:pt>
                <c:pt idx="5">
                  <c:v>0.1618</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withinLinear" id="18">
  <a:schemeClr val="accent5"/>
</cs:colorStyle>
</file>

<file path=word/charts/colors16.xml><?xml version="1.0" encoding="utf-8"?>
<cs:colorStyle xmlns:cs="http://schemas.microsoft.com/office/drawing/2012/chartStyle" xmlns:a="http://schemas.openxmlformats.org/drawingml/2006/main" meth="withinLinear" id="18">
  <a:schemeClr val="accent5"/>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withinLinear" id="18">
  <a:schemeClr val="accent5"/>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withinLinear" id="18">
  <a:schemeClr val="accent5"/>
</cs:colorStyle>
</file>

<file path=word/charts/colors22.xml><?xml version="1.0" encoding="utf-8"?>
<cs:colorStyle xmlns:cs="http://schemas.microsoft.com/office/drawing/2012/chartStyle" xmlns:a="http://schemas.openxmlformats.org/drawingml/2006/main" meth="withinLinear" id="18">
  <a:schemeClr val="accent5"/>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withinLinear" id="18">
  <a:schemeClr val="accent5"/>
</cs:colorStyle>
</file>

<file path=word/charts/colors35.xml><?xml version="1.0" encoding="utf-8"?>
<cs:colorStyle xmlns:cs="http://schemas.microsoft.com/office/drawing/2012/chartStyle" xmlns:a="http://schemas.openxmlformats.org/drawingml/2006/main" meth="withinLinear" id="18">
  <a:schemeClr val="accent5"/>
</cs:colorStyle>
</file>

<file path=word/charts/colors36.xml><?xml version="1.0" encoding="utf-8"?>
<cs:colorStyle xmlns:cs="http://schemas.microsoft.com/office/drawing/2012/chartStyle" xmlns:a="http://schemas.openxmlformats.org/drawingml/2006/main" meth="withinLinear" id="18">
  <a:schemeClr val="accent5"/>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1.xml><?xml version="1.0" encoding="utf-8"?>
<cs:colorStyle xmlns:cs="http://schemas.microsoft.com/office/drawing/2012/chartStyle" xmlns:a="http://schemas.openxmlformats.org/drawingml/2006/main" meth="withinLinear" id="18">
  <a:schemeClr val="accent5"/>
</cs:colorStyle>
</file>

<file path=word/charts/colors42.xml><?xml version="1.0" encoding="utf-8"?>
<cs:colorStyle xmlns:cs="http://schemas.microsoft.com/office/drawing/2012/chartStyle" xmlns:a="http://schemas.openxmlformats.org/drawingml/2006/main" meth="withinLinear" id="18">
  <a:schemeClr val="accent5"/>
</cs:colorStyle>
</file>

<file path=word/charts/colors43.xml><?xml version="1.0" encoding="utf-8"?>
<cs:colorStyle xmlns:cs="http://schemas.microsoft.com/office/drawing/2012/chartStyle" xmlns:a="http://schemas.openxmlformats.org/drawingml/2006/main" meth="withinLinear" id="18">
  <a:schemeClr val="accent5"/>
</cs:colorStyle>
</file>

<file path=word/charts/colors44.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7.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7.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pPr>
            <w:pStyle w:val="4"/>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61815"/>
    <w:rsid w:val="00096427"/>
    <w:rsid w:val="000C513D"/>
    <w:rsid w:val="00176706"/>
    <w:rsid w:val="00176D52"/>
    <w:rsid w:val="00196F29"/>
    <w:rsid w:val="001A6A8F"/>
    <w:rsid w:val="001D5A22"/>
    <w:rsid w:val="001D7381"/>
    <w:rsid w:val="001E0203"/>
    <w:rsid w:val="00262310"/>
    <w:rsid w:val="002A0007"/>
    <w:rsid w:val="002B6266"/>
    <w:rsid w:val="002D795F"/>
    <w:rsid w:val="003108EF"/>
    <w:rsid w:val="00341C85"/>
    <w:rsid w:val="003E4F87"/>
    <w:rsid w:val="00414D3F"/>
    <w:rsid w:val="00433488"/>
    <w:rsid w:val="004653EA"/>
    <w:rsid w:val="004A77A0"/>
    <w:rsid w:val="00532462"/>
    <w:rsid w:val="00585FEA"/>
    <w:rsid w:val="005B3912"/>
    <w:rsid w:val="005C7598"/>
    <w:rsid w:val="006206E5"/>
    <w:rsid w:val="0062713A"/>
    <w:rsid w:val="006A0886"/>
    <w:rsid w:val="006A2C06"/>
    <w:rsid w:val="006B39BB"/>
    <w:rsid w:val="007064AC"/>
    <w:rsid w:val="00731DBD"/>
    <w:rsid w:val="00732BE6"/>
    <w:rsid w:val="00744DA6"/>
    <w:rsid w:val="00757BB2"/>
    <w:rsid w:val="007B330D"/>
    <w:rsid w:val="007C609E"/>
    <w:rsid w:val="008D5780"/>
    <w:rsid w:val="008F1387"/>
    <w:rsid w:val="00912C77"/>
    <w:rsid w:val="009255EC"/>
    <w:rsid w:val="00936C11"/>
    <w:rsid w:val="00955955"/>
    <w:rsid w:val="00976834"/>
    <w:rsid w:val="00996501"/>
    <w:rsid w:val="009D5877"/>
    <w:rsid w:val="00A354E2"/>
    <w:rsid w:val="00A4142A"/>
    <w:rsid w:val="00AC1224"/>
    <w:rsid w:val="00B542A3"/>
    <w:rsid w:val="00B61A81"/>
    <w:rsid w:val="00B70510"/>
    <w:rsid w:val="00BF7880"/>
    <w:rsid w:val="00C46ABE"/>
    <w:rsid w:val="00CE6729"/>
    <w:rsid w:val="00CE76D0"/>
    <w:rsid w:val="00CF7F45"/>
    <w:rsid w:val="00D12B3B"/>
    <w:rsid w:val="00D15E10"/>
    <w:rsid w:val="00D52466"/>
    <w:rsid w:val="00D715ED"/>
    <w:rsid w:val="00D81B9A"/>
    <w:rsid w:val="00D92F8D"/>
    <w:rsid w:val="00DB417A"/>
    <w:rsid w:val="00DD0428"/>
    <w:rsid w:val="00DD421F"/>
    <w:rsid w:val="00E9250A"/>
    <w:rsid w:val="00F1146A"/>
    <w:rsid w:val="00F613D7"/>
    <w:rsid w:val="00F80B9B"/>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3.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9.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0.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9.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0.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4</TotalTime>
  <ScaleCrop>false</ScaleCrop>
  <LinksUpToDate>false</LinksUpToDate>
  <CharactersWithSpaces>22716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Etein.</cp:lastModifiedBy>
  <dcterms:modified xsi:type="dcterms:W3CDTF">2026-03-25T07:39:43Z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2052-12.1.0.16250</vt:lpwstr>
  </property>
  <property fmtid="{D5CDD505-2E9C-101B-9397-08002B2CF9AE}" pid="4" name="ICV">
    <vt:lpwstr>5770013363A24D63A9998D7439416111_13</vt:lpwstr>
  </property>
</Properties>
</file>