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glossary/document.xml" ContentType="application/vnd.openxmlformats-officedocument.wordprocessingml.document.glossary+xml"/>
  <Override PartName="/word/glossary/endnotes.xml" ContentType="application/vnd.openxmlformats-officedocument.wordprocessingml.endnotes+xml"/>
  <Override PartName="/word/glossary/fontTable.xml" ContentType="application/vnd.openxmlformats-officedocument.wordprocessingml.fontTable+xml"/>
  <Override PartName="/word/glossary/footnotes.xml" ContentType="application/vnd.openxmlformats-officedocument.wordprocessingml.footnotes+xml"/>
  <Override PartName="/word/glossary/settings.xml" ContentType="application/vnd.openxmlformats-officedocument.wordprocessingml.settings+xml"/>
  <Override PartName="/word/glossary/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10.xml" ContentType="application/vnd.openxmlformats-officedocument.themeOverride+xml"/>
  <Override PartName="/word/theme/themeOverride11.xml" ContentType="application/vnd.openxmlformats-officedocument.themeOverride+xml"/>
  <Override PartName="/word/theme/themeOverride12.xml" ContentType="application/vnd.openxmlformats-officedocument.themeOverride+xml"/>
  <Override PartName="/word/theme/themeOverride13.xml" ContentType="application/vnd.openxmlformats-officedocument.themeOverride+xml"/>
  <Override PartName="/word/theme/themeOverride14.xml" ContentType="application/vnd.openxmlformats-officedocument.themeOverride+xml"/>
  <Override PartName="/word/theme/themeOverride15.xml" ContentType="application/vnd.openxmlformats-officedocument.themeOverride+xml"/>
  <Override PartName="/word/theme/themeOverride16.xml" ContentType="application/vnd.openxmlformats-officedocument.themeOverride+xml"/>
  <Override PartName="/word/theme/themeOverride17.xml" ContentType="application/vnd.openxmlformats-officedocument.themeOverride+xml"/>
  <Override PartName="/word/theme/themeOverride18.xml" ContentType="application/vnd.openxmlformats-officedocument.themeOverride+xml"/>
  <Override PartName="/word/theme/themeOverride19.xml" ContentType="application/vnd.openxmlformats-officedocument.themeOverride+xml"/>
  <Override PartName="/word/theme/themeOverride2.xml" ContentType="application/vnd.openxmlformats-officedocument.themeOverride+xml"/>
  <Override PartName="/word/theme/themeOverride20.xml" ContentType="application/vnd.openxmlformats-officedocument.themeOverride+xml"/>
  <Override PartName="/word/theme/themeOverride21.xml" ContentType="application/vnd.openxmlformats-officedocument.themeOverride+xml"/>
  <Override PartName="/word/theme/themeOverride2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Override PartName="/word/theme/themeOverride6.xml" ContentType="application/vnd.openxmlformats-officedocument.themeOverride+xml"/>
  <Override PartName="/word/theme/themeOverride7.xml" ContentType="application/vnd.openxmlformats-officedocument.themeOverride+xml"/>
  <Override PartName="/word/theme/themeOverride8.xml" ContentType="application/vnd.openxmlformats-officedocument.themeOverride+xml"/>
  <Override PartName="/word/theme/themeOverride9.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20"/>
        <w:tblpPr w:leftFromText="180" w:rightFromText="180" w:vertAnchor="text" w:tblpXSpec="right" w:tblpY="1"/>
        <w:tblOverlap w:val="never"/>
        <w:tblW w:w="10774" w:type="dxa"/>
        <w:tblCaption w:val="[Table_Main]"/>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30" w:type="dxa"/>
          <w:bottom w:w="0" w:type="dxa"/>
          <w:right w:w="40" w:type="dxa"/>
        </w:tblCellMar>
      </w:tblPr>
      <w:tblGrid>
        <w:gridCol w:w="125"/>
        <w:gridCol w:w="4269"/>
        <w:gridCol w:w="2037"/>
        <w:gridCol w:w="1218"/>
        <w:gridCol w:w="3062"/>
        <w:gridCol w:w="12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3" w:hRule="exact"/>
        </w:trPr>
        <w:tc>
          <w:tcPr>
            <w:tcW w:w="6470" w:type="dxa"/>
            <w:gridSpan w:val="3"/>
            <w:tcMar>
              <w:top w:w="60" w:type="dxa"/>
              <w:left w:w="120" w:type="dxa"/>
            </w:tcMar>
          </w:tcPr>
          <w:p>
            <w:pPr>
              <w:pStyle w:val="60"/>
              <w:rPr>
                <w:rFonts w:eastAsia="楷体_GB2312" w:cs="Calibri"/>
                <w:color w:val="FFFFFF" w:themeColor="background1"/>
                <w:sz w:val="21"/>
                <w:szCs w:val="21"/>
                <w:lang w:eastAsia="zh-CN"/>
                <w14:textFill>
                  <w14:solidFill>
                    <w14:schemeClr w14:val="bg1"/>
                  </w14:solidFill>
                </w14:textFill>
              </w:rPr>
            </w:pPr>
            <w:r>
              <w:rPr>
                <w:rFonts w:hint="eastAsia" w:eastAsia="楷体_GB2312" w:cs="Calibri"/>
                <w:color w:val="FFFFFF" w:themeColor="background1"/>
                <w:sz w:val="21"/>
                <w:szCs w:val="21"/>
                <w:lang w:eastAsia="zh-CN"/>
                <w14:textFill>
                  <w14:solidFill>
                    <w14:schemeClr w14:val="bg1"/>
                  </w14:solidFill>
                </w14:textFill>
              </w:rPr>
              <w:t>0；【】跑不过【M</w:t>
            </w:r>
            <w:r>
              <w:rPr>
                <w:rFonts w:eastAsia="楷体_GB2312" w:cs="Calibri"/>
                <w:color w:val="FFFFFF" w:themeColor="background1"/>
                <w:sz w:val="21"/>
                <w:szCs w:val="21"/>
                <w:lang w:eastAsia="zh-CN"/>
                <w14:textFill>
                  <w14:solidFill>
                    <w14:schemeClr w14:val="bg1"/>
                  </w14:solidFill>
                </w14:textFill>
              </w:rPr>
              <w:t>[Table_Main]</w:t>
            </w:r>
          </w:p>
        </w:tc>
        <w:tc>
          <w:tcPr>
            <w:tcW w:w="1224" w:type="dxa"/>
            <w:vAlign w:val="center"/>
          </w:tcPr>
          <w:p>
            <w:pPr>
              <w:pStyle w:val="46"/>
              <w:framePr w:wrap="auto" w:vAnchor="margin" w:hAnchor="text" w:xAlign="left" w:yAlign="inline"/>
              <w:rPr>
                <w:rFonts w:eastAsia="楷体_GB2312" w:cs="Calibri"/>
                <w:highlight w:val="yellow"/>
              </w:rPr>
            </w:pPr>
          </w:p>
        </w:tc>
        <w:tc>
          <w:tcPr>
            <w:tcW w:w="3080" w:type="dxa"/>
          </w:tcPr>
          <w:p>
            <w:pPr>
              <w:pStyle w:val="45"/>
              <w:framePr w:wrap="auto" w:vAnchor="margin" w:hAnchor="text" w:xAlign="left" w:yAlign="inline"/>
              <w:rPr>
                <w:rFonts w:eastAsia="楷体_GB2312" w:cs="Calibri"/>
                <w:highlight w:val="yellow"/>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318"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16"/>
                <w:lang w:eastAsia="zh-CN"/>
              </w:rPr>
            </w:pPr>
            <w:r>
              <w:rPr>
                <w:rFonts w:eastAsia="楷体_GB2312" w:cs="Calibri"/>
                <w:b w:val="0"/>
                <w:sz w:val="16"/>
                <w:lang w:eastAsia="zh-CN"/>
              </w:rPr>
              <w:t>研究报告Research Report</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276" w:hRule="exact"/>
        </w:trPr>
        <w:tc>
          <w:tcPr>
            <w:tcW w:w="6470" w:type="dxa"/>
            <w:gridSpan w:val="3"/>
            <w:tcMar>
              <w:top w:w="60" w:type="dxa"/>
              <w:left w:w="119" w:type="dxa"/>
              <w:right w:w="0" w:type="dxa"/>
            </w:tcMar>
            <w:vAlign w:val="center"/>
          </w:tcPr>
          <w:p>
            <w:pPr>
              <w:pStyle w:val="46"/>
              <w:framePr w:wrap="auto" w:vAnchor="margin" w:hAnchor="text" w:xAlign="left" w:yAlign="inline"/>
              <w:rPr>
                <w:rFonts w:eastAsia="楷体_GB2312" w:cs="Calibri"/>
                <w:b w:val="0"/>
                <w:sz w:val="20"/>
                <w:szCs w:val="20"/>
              </w:rPr>
            </w:pPr>
            <w:r>
              <w:rPr>
                <w:rFonts w:eastAsia="楷体_GB2312" w:cs="Calibri"/>
                <w:b w:val="0"/>
                <w:sz w:val="20"/>
                <w:szCs w:val="20"/>
              </w:rPr>
              <w:t>{{ report_date }}</w:t>
            </w:r>
          </w:p>
        </w:tc>
        <w:tc>
          <w:tcPr>
            <w:tcW w:w="4304" w:type="dxa"/>
            <w:gridSpan w:val="2"/>
          </w:tcPr>
          <w:p>
            <w:pPr>
              <w:pStyle w:val="60"/>
              <w:rPr>
                <w:rFonts w:eastAsia="楷体_GB2312" w:cs="Calibri"/>
                <w:color w:val="A7242B"/>
                <w:sz w:val="16"/>
                <w:szCs w:val="16"/>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57"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601" w:hRule="exact"/>
        </w:trPr>
        <w:tc>
          <w:tcPr>
            <w:tcW w:w="10774" w:type="dxa"/>
            <w:gridSpan w:val="5"/>
            <w:tcMar>
              <w:top w:w="60" w:type="dxa"/>
              <w:left w:w="119" w:type="dxa"/>
              <w:right w:w="0" w:type="dxa"/>
            </w:tcMar>
          </w:tcPr>
          <w:p>
            <w:pPr>
              <w:pStyle w:val="45"/>
              <w:framePr w:wrap="auto" w:vAnchor="margin" w:hAnchor="text" w:xAlign="left" w:yAlign="inline"/>
              <w:jc w:val="left"/>
              <w:rPr>
                <w:rFonts w:eastAsia="楷体_GB2312" w:cs="Calibri"/>
                <w:sz w:val="40"/>
                <w:szCs w:val="40"/>
                <w:lang w:eastAsia="zh-CN"/>
              </w:rPr>
            </w:pPr>
            <w:r>
              <w:rPr>
                <w:rFonts w:hint="eastAsia" w:eastAsia="楷体_GB2312" w:cs="Calibri"/>
                <w:sz w:val="40"/>
                <w:szCs w:val="40"/>
                <w:lang w:eastAsia="zh-CN"/>
              </w:rPr>
              <w:t>{{ company }} ({{ ticker }})</w:t>
            </w:r>
            <w:r>
              <w:rPr>
                <w:rFonts w:eastAsia="楷体_GB2312" w:cs="Calibri"/>
                <w:sz w:val="40"/>
                <w:szCs w:val="40"/>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851" w:hRule="exact"/>
        </w:trPr>
        <w:tc>
          <w:tcPr>
            <w:tcW w:w="10774" w:type="dxa"/>
            <w:gridSpan w:val="5"/>
            <w:tcMar>
              <w:top w:w="60" w:type="dxa"/>
              <w:left w:w="119" w:type="dxa"/>
              <w:right w:w="0" w:type="dxa"/>
            </w:tcMar>
          </w:tcPr>
          <w:p>
            <w:pPr>
              <w:pStyle w:val="60"/>
              <w:rPr>
                <w:rFonts w:eastAsia="楷体_GB2312" w:cs="Calibri"/>
                <w:b w:val="0"/>
                <w:color w:val="23558C"/>
                <w:lang w:eastAsia="zh-CN"/>
              </w:rPr>
            </w:pPr>
            <w:r>
              <w:rPr>
                <w:rFonts w:hint="eastAsia" w:eastAsia="楷体_GB2312" w:cs="Calibri"/>
                <w:b w:val="0"/>
                <w:color w:val="23558C"/>
                <w:lang w:eastAsia="zh-CN"/>
              </w:rPr>
              <w:t>{{ title }}</w:t>
            </w:r>
            <w:r>
              <w:rPr>
                <w:rFonts w:eastAsia="楷体_GB2312" w:cs="Calibri"/>
                <w:b w:val="0"/>
                <w:color w:val="23558C"/>
                <w:lang w:eastAsia="zh-CN"/>
              </w:rPr>
            </w:r>
            <w:r>
              <w:rPr>
                <w:rFonts w:hint="eastAsia" w:eastAsia="楷体_GB2312" w:cs="Calibri"/>
                <w:b w:val="0"/>
                <w:color w:val="23558C"/>
                <w:lang w:eastAsia="zh-CN"/>
              </w:rPr>
            </w:r>
            <w:r>
              <w:rPr>
                <w:rFonts w:hint="eastAsia" w:eastAsia="楷体_GB2312" w:cs="Calibri"/>
                <w:b w:val="0"/>
                <w:color w:val="23558C"/>
              </w:rPr>
            </w:r>
            <w:r>
              <w:rPr>
                <w:rFonts w:hint="eastAsia" w:eastAsia="楷体_GB2312" w:cs="Calibri"/>
                <w:b w:val="0"/>
                <w:color w:val="23558C"/>
                <w:lang w:eastAsia="zh-CN"/>
              </w:rPr>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78" w:hRule="atLeast"/>
        </w:trPr>
        <w:tc>
          <w:tcPr>
            <w:tcW w:w="10774" w:type="dxa"/>
            <w:gridSpan w:val="5"/>
            <w:tcMar>
              <w:top w:w="60" w:type="dxa"/>
              <w:left w:w="119" w:type="dxa"/>
              <w:right w:w="0" w:type="dxa"/>
            </w:tcMar>
          </w:tcPr>
          <w:p>
            <w:pPr>
              <w:pStyle w:val="45"/>
              <w:framePr w:wrap="auto" w:vAnchor="margin" w:hAnchor="text" w:xAlign="left" w:yAlign="inline"/>
              <w:rPr>
                <w:rFonts w:eastAsia="楷体_GB2312" w:cs="Calibri"/>
                <w:szCs w:val="24"/>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3" w:hRule="exact"/>
        </w:trPr>
        <w:tc>
          <w:tcPr>
            <w:tcW w:w="10774" w:type="dxa"/>
            <w:gridSpan w:val="5"/>
            <w:tcMar>
              <w:left w:w="119" w:type="dxa"/>
            </w:tcMar>
          </w:tcPr>
          <w:p>
            <w:pPr>
              <w:pStyle w:val="45"/>
              <w:framePr w:wrap="auto" w:vAnchor="margin" w:hAnchor="text" w:xAlign="left" w:yAlign="inline"/>
              <w:rPr>
                <w:rFonts w:eastAsia="楷体_GB2312" w:cs="Calibri"/>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Before w:val="1"/>
          <w:wBefore w:w="63" w:type="dxa"/>
          <w:trHeight w:val="227" w:hRule="atLeast"/>
        </w:trPr>
        <w:tc>
          <w:tcPr>
            <w:tcW w:w="4294" w:type="dxa"/>
            <w:tcMar>
              <w:left w:w="57" w:type="dxa"/>
            </w:tcMar>
          </w:tcPr>
          <w:tbl>
            <w:tblPr>
              <w:tblStyle w:val="20"/>
              <w:tblW w:w="4071" w:type="dxa"/>
              <w:tblCaption w:val="[Table_Info]"/>
              <w:tblDescription w:val="表格隐藏唯一标识（请勿删除或修改）"/>
              <w:tblInd w:w="0" w:type="dxa"/>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Layout w:type="fixed"/>
              <w:tblCellMar>
                <w:top w:w="0" w:type="dxa"/>
                <w:left w:w="0" w:type="dxa"/>
                <w:bottom w:w="0" w:type="dxa"/>
                <w:right w:w="0" w:type="dxa"/>
              </w:tblCellMar>
            </w:tblPr>
            <w:tblGrid>
              <w:gridCol w:w="1724"/>
              <w:gridCol w:w="2347"/>
            </w:tblGrid>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 w:hRule="exact"/>
              </w:trPr>
              <w:tc>
                <w:tcPr>
                  <w:tcW w:w="4071" w:type="dxa"/>
                  <w:gridSpan w:val="2"/>
                  <w:tcBorders>
                    <w:top w:val="nil"/>
                    <w:left w:val="nil"/>
                    <w:bottom w:val="nil"/>
                    <w:right w:val="nil"/>
                  </w:tcBorders>
                </w:tcPr>
                <w:p>
                  <w:pPr>
                    <w:pStyle w:val="50"/>
                    <w:framePr w:w="0" w:hRule="auto" w:hSpace="0" w:wrap="auto" w:vAnchor="margin" w:hAnchor="text" w:xAlign="left" w:yAlign="inline"/>
                    <w:rPr>
                      <w:rFonts w:eastAsia="楷体_GB2312" w:cs="Calibri"/>
                      <w:sz w:val="21"/>
                      <w:szCs w:val="21"/>
                    </w:rPr>
                  </w:pPr>
                  <w:r>
                    <w:rPr>
                      <w:rFonts w:eastAsia="楷体_GB2312" w:cs="Calibri"/>
                      <w:color w:val="FFFFFF" w:themeColor="background1"/>
                      <w:sz w:val="21"/>
                      <w:szCs w:val="21"/>
                      <w14:textFill>
                        <w14:solidFill>
                          <w14:schemeClr w14:val="bg1"/>
                        </w14:solidFill>
                      </w14:textFill>
                    </w:rPr>
                    <w:t>[Table_Info]</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84" w:hRule="exact"/>
              </w:trPr>
              <w:tc>
                <w:tcPr>
                  <w:tcW w:w="4071" w:type="dxa"/>
                  <w:gridSpan w:val="2"/>
                  <w:tcBorders>
                    <w:top w:val="nil"/>
                  </w:tcBorders>
                  <w:shd w:val="clear" w:color="auto" w:fill="23558C"/>
                  <w:tcMar>
                    <w:left w:w="0" w:type="dxa"/>
                  </w:tcMar>
                </w:tcPr>
                <w:p>
                  <w:pPr>
                    <w:pStyle w:val="49"/>
                    <w:framePr w:w="0" w:hRule="auto" w:hSpace="0" w:wrap="auto" w:vAnchor="margin" w:hAnchor="text" w:xAlign="left" w:yAlign="inline"/>
                    <w:ind w:right="85" w:firstLine="85"/>
                    <w:jc w:val="center"/>
                    <w:rPr>
                      <w:rFonts w:eastAsia="楷体_GB2312" w:cs="Calibri"/>
                      <w:i/>
                      <w:sz w:val="22"/>
                      <w:szCs w:val="22"/>
                    </w:rPr>
                  </w:pPr>
                  <w:r>
                    <w:rPr>
                      <w:rFonts w:hint="eastAsia" w:eastAsia="楷体_GB2312" w:cs="Calibri"/>
                      <w:i/>
                      <w:color w:val="FFFFFF" w:themeColor="background1"/>
                      <w:sz w:val="22"/>
                      <w:szCs w:val="22"/>
                      <w14:textFill>
                        <w14:solidFill>
                          <w14:schemeClr w14:val="bg1"/>
                        </w14:solidFill>
                      </w14:textFill>
                    </w:rPr>
                    <w:t>评级调整</w:t>
                  </w:r>
                  <w:r>
                    <w:rPr>
                      <w:rFonts w:eastAsia="楷体_GB2312" w:cs="Calibri"/>
                      <w:i/>
                      <w:color w:val="FFFFFF" w:themeColor="background1"/>
                      <w:sz w:val="22"/>
                      <w:szCs w:val="22"/>
                      <w14:textFill>
                        <w14:solidFill>
                          <w14:schemeClr w14:val="bg1"/>
                        </w14:solidFill>
                      </w14:textFill>
                    </w:rPr>
                    <w:t>Rating adjustment</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70" w:hRule="exact"/>
              </w:trPr>
              <w:tc>
                <w:tcPr>
                  <w:tcW w:w="4071" w:type="dxa"/>
                  <w:gridSpan w:val="2"/>
                  <w:tcMar>
                    <w:left w:w="0" w:type="dxa"/>
                  </w:tcMar>
                </w:tcPr>
                <w:p>
                  <w:pPr>
                    <w:pStyle w:val="49"/>
                    <w:framePr w:w="0" w:hRule="auto" w:hSpace="0" w:wrap="auto" w:vAnchor="margin" w:hAnchor="text" w:xAlign="left" w:yAlign="inline"/>
                    <w:ind w:right="85" w:firstLine="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评级</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rating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现价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current_price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目标价</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target_price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市值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market_cap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发行股票数目</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shares_in_issue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40" w:hRule="exact"/>
              </w:trPr>
              <w:tc>
                <w:tcPr>
                  <w:tcW w:w="1724" w:type="dxa"/>
                </w:tcPr>
                <w:p>
                  <w:pPr>
                    <w:pStyle w:val="49"/>
                    <w:framePr w:w="0" w:hRule="auto" w:hSpace="0" w:wrap="auto" w:vAnchor="margin" w:hAnchor="text" w:xAlign="left" w:yAlign="inline"/>
                    <w:ind w:right="85" w:firstLine="85"/>
                    <w:rPr>
                      <w:rFonts w:eastAsia="楷体_GB2312" w:cs="Calibri"/>
                      <w:b w:val="0"/>
                    </w:rPr>
                  </w:pPr>
                  <w:r>
                    <w:rPr>
                      <w:rFonts w:eastAsia="楷体_GB2312" w:cs="Calibri"/>
                      <w:b w:val="0"/>
                    </w:rPr>
                    <w:t>1年股价最高最低值</w:t>
                  </w:r>
                </w:p>
              </w:tc>
              <w:tc>
                <w:tcPr>
                  <w:tcW w:w="2347" w:type="dxa"/>
                </w:tcPr>
                <w:p>
                  <w:pPr>
                    <w:keepNext w:val="0"/>
                    <w:keepLines w:val="0"/>
                    <w:widowControl/>
                    <w:suppressLineNumbers w:val="0"/>
                    <w:jc w:val="right"/>
                  </w:pPr>
                  <w:r>
                    <w:rPr>
                      <w:rFonts w:ascii="Calibri" w:hAnsi="Calibri" w:eastAsia="宋体" w:cs="Calibri"/>
                      <w:snapToGrid w:val="0"/>
                      <w:color w:val="215E99"/>
                      <w:kern w:val="0"/>
                      <w:sz w:val="16"/>
                      <w:szCs w:val="16"/>
                      <w:lang w:val="en-US" w:eastAsia="zh-CN" w:bidi="ar"/>
                    </w:rPr>
                    <w:t>{{ one_year_high }}-{{ one_year_low }}</w:t>
                  </w:r>
                </w:p>
                <w:p>
                  <w:pPr>
                    <w:pStyle w:val="48"/>
                    <w:framePr w:w="0" w:hRule="auto" w:hSpace="0" w:wrap="auto" w:vAnchor="margin" w:hAnchor="text" w:xAlign="left" w:yAlign="inline"/>
                    <w:ind w:right="85" w:firstLine="85"/>
                    <w:jc w:val="right"/>
                    <w:rPr>
                      <w:rFonts w:eastAsia="楷体_GB2312" w:cs="Calibri"/>
                      <w:color w:val="C8242B"/>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i/>
                      <w:iCs/>
                    </w:rPr>
                  </w:pPr>
                  <w:r>
                    <w:rPr>
                      <w:rFonts w:hint="eastAsia" w:eastAsia="楷体_GB2312" w:cs="Calibri"/>
                      <w:i/>
                      <w:iCs/>
                    </w:rPr>
                    <w:t>注：现价{{ current_price }}为{{ current_price_date }}收盘价</w:t>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38" w:hRule="exact"/>
              </w:trPr>
              <w:tc>
                <w:tcPr>
                  <w:tcW w:w="4071" w:type="dxa"/>
                  <w:gridSpan w:val="2"/>
                </w:tcPr>
                <w:p>
                  <w:pPr>
                    <w:pStyle w:val="50"/>
                    <w:framePr w:w="0" w:hRule="auto" w:hSpace="0" w:wrap="auto" w:vAnchor="margin" w:hAnchor="text" w:xAlign="left" w:yAlign="inline"/>
                    <w:ind w:left="85"/>
                    <w:rPr>
                      <w:rFonts w:eastAsia="楷体_GB2312" w:cs="Calibri"/>
                    </w:rPr>
                  </w:pP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1016000"/>
                        <wp:effectExtent l="0" t="0" r="0" b="0"/>
                        <wp:docPr id="2" name="Drawing 2" descr="/data/deploy/attachments/htgj/temp/202512/1765635024827_RRjq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2" descr="/data/deploy/attachments/htgj/temp/202512/1765635024827_RRjqS.png"/>
                                <pic:cNvPicPr>
                                  <a:picLocks noChangeAspect="1"/>
                                </pic:cNvPicPr>
                              </pic:nvPicPr>
                              <pic:blipFill>
                                <a:blip r:embed="rId18"/>
                                <a:stretch>
                                  <a:fillRect/>
                                </a:stretch>
                              </pic:blipFill>
                              <pic:spPr>
                                <a:xfrm>
                                  <a:off x="0" y="0"/>
                                  <a:ext cx="2286000" cy="101600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729" w:hRule="atLeast"/>
              </w:trPr>
              <w:tc>
                <w:tcPr>
                  <w:tcW w:w="4071" w:type="dxa"/>
                  <w:gridSpan w:val="2"/>
                  <w:vAlign w:val="center"/>
                </w:tcPr>
                <w:p>
                  <w:pPr>
                    <w:jc w:val="center"/>
                    <w:rPr>
                      <w:rFonts w:eastAsia="楷体_GB2312" w:cs="Calibri"/>
                    </w:rPr>
                  </w:pPr>
                  <w:r>
                    <w:rPr>
                      <w:rFonts w:eastAsia="楷体_GB2312" w:cs="等线"/>
                    </w:rPr>
                    <w:drawing>
                      <wp:inline distT="0" distB="0" distL="0" distR="0">
                        <wp:extent cx="2286000" cy="624840"/>
                        <wp:effectExtent l="0" t="0" r="0" b="3810"/>
                        <wp:docPr id="3" name="Drawing 3" descr="/data/deploy/attachments/htgj/temp/202512/1765635025256_VSNo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3" descr="/data/deploy/attachments/htgj/temp/202512/1765635025256_VSNoQ.png"/>
                                <pic:cNvPicPr>
                                  <a:picLocks noChangeAspect="1"/>
                                </pic:cNvPicPr>
                              </pic:nvPicPr>
                              <pic:blipFill>
                                <a:blip r:embed="rId19"/>
                                <a:stretch>
                                  <a:fillRect/>
                                </a:stretch>
                              </pic:blipFill>
                              <pic:spPr>
                                <a:xfrm>
                                  <a:off x="0" y="0"/>
                                  <a:ext cx="2286000" cy="624840"/>
                                </a:xfrm>
                                <a:prstGeom prst="rect">
                                  <a:avLst/>
                                </a:prstGeom>
                              </pic:spPr>
                            </pic:pic>
                          </a:graphicData>
                        </a:graphic>
                      </wp:inline>
                    </w:drawing>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180" w:hRule="exact"/>
              </w:trPr>
              <w:tc>
                <w:tcPr>
                  <w:tcW w:w="4071" w:type="dxa"/>
                  <w:gridSpan w:val="2"/>
                </w:tcPr>
                <w:p>
                  <w:pPr>
                    <w:pStyle w:val="51"/>
                    <w:framePr w:wrap="auto" w:vAnchor="margin" w:hAnchor="text" w:yAlign="inline"/>
                    <w:ind w:right="85" w:firstLine="85"/>
                    <w:rPr>
                      <w:rFonts w:eastAsia="楷体_GB2312" w:cs="Calibri"/>
                      <w:i/>
                      <w:iCs/>
                    </w:rPr>
                  </w:pPr>
                  <w:r>
                    <w:rPr>
                      <w:rFonts w:eastAsia="楷体_GB2312" w:cs="Calibri"/>
                      <w:i/>
                      <w:iCs/>
                    </w:rPr>
                    <w:t>资料来源： {{ source }}</w:t>
                  </w:r>
                  <w:r>
                    <w:rPr>
                      <w:rFonts w:hint="eastAsia" w:eastAsia="楷体_GB2312" w:cs="Calibri"/>
                      <w:i/>
                      <w:iCs/>
                    </w:rPr>
                  </w:r>
                </w:p>
              </w:tc>
            </w:tr>
            <w:tr>
              <w:tblPrEx>
                <w:tblBorders>
                  <w:top w:val="single" w:color="23558C" w:sz="12" w:space="0"/>
                  <w:left w:val="single" w:color="23558C" w:sz="4" w:space="0"/>
                  <w:bottom w:val="none" w:color="auto" w:sz="0" w:space="0"/>
                  <w:right w:val="single" w:color="23558C" w:sz="4" w:space="0"/>
                  <w:insideH w:val="none" w:color="auto" w:sz="0" w:space="0"/>
                  <w:insideV w:val="none" w:color="auto" w:sz="0" w:space="0"/>
                </w:tblBorders>
                <w:tblCellMar>
                  <w:top w:w="0" w:type="dxa"/>
                  <w:left w:w="0" w:type="dxa"/>
                  <w:bottom w:w="0" w:type="dxa"/>
                  <w:right w:w="0" w:type="dxa"/>
                </w:tblCellMar>
              </w:tblPrEx>
              <w:trPr>
                <w:trHeight w:val="227" w:hRule="exact"/>
              </w:trPr>
              <w:tc>
                <w:tcPr>
                  <w:tcW w:w="4071" w:type="dxa"/>
                  <w:gridSpan w:val="2"/>
                  <w:tcMar>
                    <w:top w:w="0" w:type="dxa"/>
                    <w:left w:w="0" w:type="dxa"/>
                  </w:tcMar>
                </w:tcPr>
                <w:p>
                  <w:pPr>
                    <w:pStyle w:val="50"/>
                    <w:framePr w:w="0" w:hRule="auto" w:hSpace="0" w:wrap="auto" w:vAnchor="margin" w:hAnchor="text" w:xAlign="left" w:yAlign="inline"/>
                    <w:ind w:right="85" w:firstLine="85"/>
                    <w:rPr>
                      <w:rFonts w:eastAsia="楷体_GB2312" w:cs="Calibri"/>
                    </w:rPr>
                  </w:pPr>
                </w:p>
              </w:tc>
            </w:tr>
          </w:tbl>
          <w:p>
            <w:pPr>
              <w:tabs>
                <w:tab w:val="left" w:pos="2845"/>
              </w:tabs>
              <w:rPr>
                <w:rFonts w:cs="等线" w:eastAsiaTheme="minorEastAsia"/>
              </w:rPr>
            </w:pPr>
          </w:p>
        </w:tc>
        <w:tc>
          <w:tcPr>
            <w:tcW w:w="6480" w:type="dxa"/>
            <w:gridSpan w:val="4"/>
          </w:tcPr>
          <w:p>
            <w:pPr>
              <w:pStyle w:val="56"/>
              <w:jc w:val="both"/>
              <w:rPr>
                <w:rFonts w:hint="eastAsia" w:ascii="楷体" w:hAnsi="楷体" w:eastAsia="楷体" w:cs="Calibri"/>
                <w:lang w:eastAsia="zh-CN"/>
              </w:rPr>
            </w:pPr>
            <w:r>
              <w:rPr>
                <w:rFonts w:hint="eastAsia" w:eastAsia="楷体" w:asciiTheme="minorHAnsi" w:hAnsiTheme="minorHAnsi" w:cstheme="minorHAnsi"/>
                <w:b/>
                <w:snapToGrid w:val="0"/>
                <w:color w:val="23558C"/>
                <w:lang w:eastAsia="zh-CN"/>
              </w:rPr>
              <w:t>{{ abstract }}</w:t>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p>
          <w:p>
            <w:pPr>
              <w:pStyle w:val="56"/>
              <w:jc w:val="both"/>
              <w:rPr>
                <w:rFonts w:hint="eastAsia" w:ascii="楷体" w:hAnsi="楷体" w:eastAsia="楷体" w:cs="Calibri"/>
                <w:lang w:eastAsia="zh-CN"/>
              </w:rPr>
            </w:pPr>
            <w:r>
              <w:rPr>
                <w:rFonts w:hint="eastAsia" w:ascii="楷体" w:hAnsi="楷体" w:eastAsia="楷体" w:cs="Calibri"/>
                <w:b/>
                <w:bCs/>
                <w:color w:val="23558C"/>
                <w:lang w:eastAsia="zh-CN"/>
              </w:rPr>
            </w:r>
            <w:r>
              <w:rPr>
                <w:rFonts w:ascii="楷体" w:hAnsi="楷体" w:eastAsia="楷体" w:cs="Calibri"/>
                <w:b/>
                <w:bCs/>
                <w:color w:val="23558C"/>
                <w:lang w:eastAsia="zh-CN"/>
              </w:rPr>
            </w:r>
            <w:r>
              <w:rPr>
                <w:rFonts w:hint="eastAsia" w:ascii="楷体" w:hAnsi="楷体" w:eastAsia="楷体" w:cs="Calibri"/>
                <w:b/>
                <w:bCs/>
                <w:color w:val="23558C"/>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r>
              <w:rPr>
                <w:rFonts w:hint="eastAsia" w:ascii="楷体" w:hAnsi="楷体" w:eastAsia="楷体" w:cs="Calibri"/>
                <w:lang w:eastAsia="zh-CN"/>
              </w:rPr>
            </w:r>
            <w:r>
              <w:rPr>
                <w:rFonts w:ascii="楷体" w:hAnsi="楷体" w:eastAsia="楷体" w:cs="Calibri"/>
                <w:lang w:eastAsia="zh-CN"/>
              </w:rPr>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r>
          </w:p>
          <w:p>
            <w:pPr>
              <w:pStyle w:val="44"/>
              <w:jc w:val="both"/>
              <w:rPr>
                <w:rFonts w:hint="eastAsia" w:ascii="楷体" w:hAnsi="楷体" w:eastAsia="楷体" w:cs="Calibri"/>
                <w:snapToGrid/>
                <w:szCs w:val="20"/>
                <w:lang w:eastAsia="zh-CN"/>
              </w:rPr>
            </w:pP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r>
              <w:rPr>
                <w:rFonts w:ascii="楷体" w:hAnsi="楷体" w:eastAsia="楷体" w:cs="Calibri"/>
                <w:snapToGrid/>
                <w:szCs w:val="20"/>
                <w:lang w:eastAsia="zh-CN"/>
              </w:rPr>
            </w:r>
            <w:r>
              <w:rPr>
                <w:rFonts w:hint="eastAsia" w:ascii="楷体" w:hAnsi="楷体" w:eastAsia="楷体" w:cs="Calibri"/>
                <w:snapToGrid/>
                <w:szCs w:val="20"/>
                <w:lang w:eastAsia="zh-CN"/>
              </w:rPr>
            </w:r>
          </w:p>
          <w:p>
            <w:pPr>
              <w:pStyle w:val="56"/>
              <w:jc w:val="both"/>
              <w:rPr>
                <w:rFonts w:hint="eastAsia" w:ascii="楷体" w:hAnsi="楷体" w:eastAsia="楷体" w:cs="Calibri"/>
                <w:b/>
                <w:bCs/>
                <w:color w:val="23558C"/>
                <w:lang w:eastAsia="zh-CN"/>
              </w:rPr>
            </w:pPr>
            <w:r>
              <w:rPr>
                <w:rFonts w:hint="eastAsia" w:ascii="楷体" w:hAnsi="楷体" w:eastAsia="楷体" w:cs="Calibri"/>
                <w:b/>
                <w:bCs/>
                <w:color w:val="23558C"/>
                <w:lang w:eastAsia="zh-CN"/>
              </w:rPr>
            </w:r>
          </w:p>
          <w:p>
            <w:pPr>
              <w:pStyle w:val="55"/>
              <w:jc w:val="both"/>
              <w:rPr>
                <w:rFonts w:hint="default" w:ascii="楷体" w:hAnsi="楷体" w:eastAsia="楷体" w:cs="Calibri"/>
                <w:snapToGrid/>
                <w:sz w:val="20"/>
                <w:szCs w:val="20"/>
                <w:lang w:val="en-IE" w:eastAsia="zh-CN"/>
              </w:rPr>
            </w:pPr>
            <w:r>
              <w:rPr>
                <w:rFonts w:ascii="楷体" w:hAnsi="楷体" w:eastAsia="楷体" w:cs="Calibri"/>
                <w:snapToGrid/>
                <w:sz w:val="20"/>
                <w:szCs w:val="20"/>
              </w:rPr>
            </w:r>
          </w:p>
          <w:p>
            <w:pPr>
              <w:pStyle w:val="56"/>
              <w:jc w:val="both"/>
              <w:rPr>
                <w:rFonts w:hint="eastAsia" w:ascii="楷体" w:hAnsi="楷体" w:eastAsia="楷体" w:cs="Calibri"/>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30" w:type="dxa"/>
            <w:bottom w:w="0" w:type="dxa"/>
            <w:right w:w="40" w:type="dxa"/>
          </w:tblCellMar>
        </w:tblPrEx>
        <w:trPr>
          <w:gridAfter w:val="1"/>
          <w:wAfter w:w="63" w:type="dxa"/>
          <w:trHeight w:val="1112" w:hRule="atLeast"/>
        </w:trPr>
        <w:tc>
          <w:tcPr>
            <w:tcW w:w="10774" w:type="dxa"/>
            <w:gridSpan w:val="5"/>
            <w:tcMar>
              <w:left w:w="57" w:type="dxa"/>
            </w:tcMar>
          </w:tcPr>
          <w:p>
            <w:pPr>
              <w:pStyle w:val="56"/>
              <w:spacing w:after="0"/>
              <w:jc w:val="both"/>
              <w:rPr>
                <w:rFonts w:eastAsia="楷体_GB2312" w:cs="Calibri"/>
                <w:bCs/>
                <w:kern w:val="28"/>
                <w:lang w:eastAsia="zh-CN"/>
              </w:rPr>
            </w:pPr>
          </w:p>
          <w:tbl>
            <w:tblPr>
              <w:tblStyle w:val="20"/>
              <w:tblW w:w="0" w:type="auto"/>
              <w:tblCaption w:val="[Table_Author]"/>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0" w:type="dxa"/>
                <w:bottom w:w="0" w:type="dxa"/>
                <w:right w:w="0" w:type="dxa"/>
              </w:tblCellMar>
            </w:tblPr>
            <w:tblGrid>
              <w:gridCol w:w="2694"/>
              <w:gridCol w:w="2551"/>
              <w:gridCol w:w="2693"/>
              <w:gridCol w:w="26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23" w:hRule="exact"/>
              </w:trPr>
              <w:tc>
                <w:tcPr>
                  <w:tcW w:w="2694" w:type="dxa"/>
                  <w:tcMar>
                    <w:right w:w="60" w:type="dxa"/>
                  </w:tcMar>
                </w:tcPr>
                <w:p>
                  <w:pPr>
                    <w:pStyle w:val="53"/>
                    <w:framePr w:wrap="auto" w:vAnchor="margin" w:hAnchor="text" w:yAlign="inline"/>
                    <w:rPr>
                      <w:rFonts w:eastAsia="宋体" w:cs="等线"/>
                      <w:color w:val="FFFFFF" w:themeColor="background1"/>
                      <w14:textFill>
                        <w14:solidFill>
                          <w14:schemeClr w14:val="bg1"/>
                        </w14:solidFill>
                      </w14:textFill>
                    </w:rPr>
                  </w:pPr>
                  <w:r>
                    <w:rPr>
                      <w:rFonts w:hint="eastAsia" w:eastAsia="宋体" w:cs="等线"/>
                      <w:color w:val="FFFFFF" w:themeColor="background1"/>
                      <w14:textFill>
                        <w14:solidFill>
                          <w14:schemeClr w14:val="bg1"/>
                        </w14:solidFill>
                      </w14:textFill>
                    </w:rPr>
                    <w:t>[</w:t>
                  </w:r>
                  <w:r>
                    <w:rPr>
                      <w:rFonts w:eastAsia="宋体" w:cs="等线"/>
                      <w:color w:val="FFFFFF" w:themeColor="background1"/>
                      <w14:textFill>
                        <w14:solidFill>
                          <w14:schemeClr w14:val="bg1"/>
                        </w14:solidFill>
                      </w14:textFill>
                    </w:rPr>
                    <w:t>Table_Author]</w:t>
                  </w:r>
                </w:p>
              </w:tc>
              <w:tc>
                <w:tcPr>
                  <w:tcW w:w="2551"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3" w:type="dxa"/>
                </w:tcPr>
                <w:p>
                  <w:pPr>
                    <w:pStyle w:val="53"/>
                    <w:framePr w:wrap="auto" w:vAnchor="margin" w:hAnchor="text" w:yAlign="inline"/>
                    <w:rPr>
                      <w:rFonts w:eastAsia="MS Gothic" w:cs="等线"/>
                      <w:color w:val="FFFFFF" w:themeColor="background1"/>
                      <w14:textFill>
                        <w14:solidFill>
                          <w14:schemeClr w14:val="bg1"/>
                        </w14:solidFill>
                      </w14:textFill>
                    </w:rPr>
                  </w:pPr>
                </w:p>
              </w:tc>
              <w:tc>
                <w:tcPr>
                  <w:tcW w:w="2694" w:type="dxa"/>
                </w:tcPr>
                <w:p>
                  <w:pPr>
                    <w:pStyle w:val="53"/>
                    <w:framePr w:wrap="auto" w:vAnchor="margin" w:hAnchor="text" w:yAlign="inline"/>
                    <w:rPr>
                      <w:rFonts w:eastAsia="MS Gothic" w:cs="等线"/>
                      <w:color w:val="FFFFFF" w:themeColor="background1"/>
                      <w14:textFill>
                        <w14:solidFill>
                          <w14:schemeClr w14:val="bg1"/>
                        </w14:solidFill>
                      </w14:textFill>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keepNext w:val="0"/>
                    <w:keepLines w:val="0"/>
                    <w:widowControl/>
                    <w:suppressLineNumbers w:val="0"/>
                    <w:jc w:val="left"/>
                    <w:rPr>
                      <w:rFonts w:hint="default" w:ascii="Calibri" w:hAnsi="Calibri" w:eastAsia="楷体_GB2312" w:cs="Calibri"/>
                    </w:rPr>
                  </w:pPr>
                  <w:r>
                    <w:rPr>
                      <w:rFonts w:hint="default" w:ascii="Calibri" w:hAnsi="Calibri" w:eastAsia="楷体_GB2312" w:cs="Calibri"/>
                      <w:b/>
                      <w:bCs/>
                      <w:snapToGrid w:val="0"/>
                      <w:color w:val="333333"/>
                      <w:kern w:val="0"/>
                      <w:sz w:val="16"/>
                      <w:szCs w:val="16"/>
                      <w:lang w:val="en-US" w:eastAsia="zh-CN" w:bidi="ar"/>
                    </w:rPr>
                    <w:t>{{ a1_cn }} {{ a1_en }}], SFC:{{ a1_sfc }}</w:t>
                  </w:r>
                  <w:r>
                    <w:rPr>
                      <w:rFonts w:hint="eastAsia" w:eastAsia="楷体_GB2312" w:cs="Calibri"/>
                      <w:b/>
                      <w:bCs/>
                      <w:snapToGrid w:val="0"/>
                      <w:color w:val="333333"/>
                      <w:kern w:val="0"/>
                      <w:sz w:val="16"/>
                      <w:szCs w:val="16"/>
                      <w:lang w:val="en-US" w:eastAsia="zh-CN" w:bidi="ar"/>
                    </w:rPr>
                  </w:r>
                  <w:r>
                    <w:rPr>
                      <w:rFonts w:hint="default" w:ascii="Calibri" w:hAnsi="Calibri" w:eastAsia="宋体" w:cs="Calibri"/>
                      <w:snapToGrid w:val="0"/>
                      <w:color w:val="FFFFFF"/>
                      <w:kern w:val="0"/>
                      <w:sz w:val="16"/>
                      <w:szCs w:val="16"/>
                      <w:lang w:val="en-US" w:eastAsia="zh-CN" w:bidi="ar"/>
                    </w:rPr>
                  </w:r>
                  <w:r>
                    <w:rPr>
                      <w:rFonts w:hint="default" w:ascii="Calibri" w:hAnsi="Calibri" w:eastAsia="宋体" w:cs="Calibri"/>
                      <w:b/>
                      <w:bCs/>
                      <w:snapToGrid w:val="0"/>
                      <w:color w:val="000000"/>
                      <w:kern w:val="0"/>
                      <w:sz w:val="16"/>
                      <w:szCs w:val="16"/>
                      <w:lang w:val="en-US" w:eastAsia="zh-CN" w:bidi="ar"/>
                    </w:rPr>
                  </w:r>
                </w:p>
              </w:tc>
              <w:tc>
                <w:tcPr>
                  <w:tcW w:w="2551" w:type="dxa"/>
                </w:tcPr>
                <w:p>
                  <w:pPr>
                    <w:pStyle w:val="52"/>
                    <w:framePr w:wrap="auto" w:vAnchor="margin" w:hAnchor="text" w:yAlign="inline"/>
                    <w:rPr>
                      <w:rFonts w:eastAsia="楷体_GB2312" w:cs="等线"/>
                    </w:rPr>
                  </w:pPr>
                  <w:r>
                    <w:t>{{ a2_cn }} {{ a2_en }}], SFC:{{ a2_sfc }}</w:t>
                  </w:r>
                </w:p>
              </w:tc>
              <w:tc>
                <w:tcPr>
                  <w:tcW w:w="2693" w:type="dxa"/>
                </w:tcPr>
                <w:p>
                  <w:pPr>
                    <w:pStyle w:val="52"/>
                    <w:framePr w:wrap="auto" w:vAnchor="margin" w:hAnchor="text" w:yAlign="inline"/>
                    <w:rPr>
                      <w:rFonts w:eastAsia="楷体_GB2312" w:cs="等线"/>
                    </w:rPr>
                  </w:pPr>
                  <w:r>
                    <w:t>{{ a3_cn }} {{ a3_en }}], SFC:{{ a3_sfc }}</w:t>
                  </w:r>
                </w:p>
              </w:tc>
              <w:tc>
                <w:tcPr>
                  <w:tcW w:w="2694" w:type="dxa"/>
                </w:tcPr>
                <w:p>
                  <w:pPr>
                    <w:pStyle w:val="52"/>
                    <w:framePr w:wrap="auto" w:vAnchor="margin" w:hAnchor="text" w:yAlign="inline"/>
                    <w:rPr>
                      <w:rFonts w:eastAsia="楷体_GB2312" w:cs="等线"/>
                    </w:rPr>
                  </w:pPr>
                  <w:r>
                    <w:t>{{ a4_cn }} {{ a4_en }}], SFC:{{ a4_sfc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84" w:hRule="atLeast"/>
              </w:trPr>
              <w:tc>
                <w:tcPr>
                  <w:tcW w:w="2694" w:type="dxa"/>
                </w:tcPr>
                <w:p>
                  <w:pPr>
                    <w:pStyle w:val="52"/>
                    <w:framePr w:wrap="auto" w:vAnchor="margin" w:hAnchor="text" w:yAlign="inline"/>
                    <w:rPr>
                      <w:rFonts w:eastAsia="楷体_GB2312" w:cs="等线"/>
                      <w:b w:val="0"/>
                    </w:rPr>
                  </w:pPr>
                  <w:r>
                    <w:rPr>
                      <w:rFonts w:hint="eastAsia" w:eastAsia="楷体_GB2312" w:cs="等线"/>
                      <w:b w:val="0"/>
                    </w:rPr>
                    <w:t>{{ a1_email }}</w:t>
                  </w:r>
                  <w:r>
                    <w:rPr>
                      <w:rFonts w:eastAsia="楷体_GB2312" w:cs="等线"/>
                      <w:b w:val="0"/>
                    </w:rPr>
                  </w:r>
                  <w:r>
                    <w:rPr>
                      <w:rFonts w:hint="eastAsia" w:eastAsia="楷体_GB2312" w:cs="等线"/>
                      <w:b w:val="0"/>
                    </w:rPr>
                  </w:r>
                  <w:r>
                    <w:rPr>
                      <w:rFonts w:eastAsia="楷体_GB2312" w:cs="等线"/>
                      <w:b w:val="0"/>
                    </w:rPr>
                  </w:r>
                  <w:r>
                    <w:rPr>
                      <w:rFonts w:hint="eastAsia" w:eastAsia="楷体_GB2312" w:cs="等线"/>
                      <w:b w:val="0"/>
                    </w:rPr>
                  </w:r>
                </w:p>
              </w:tc>
              <w:tc>
                <w:tcPr>
                  <w:tcW w:w="2551" w:type="dxa"/>
                </w:tcPr>
                <w:p>
                  <w:pPr>
                    <w:pStyle w:val="52"/>
                    <w:framePr w:wrap="auto" w:vAnchor="margin" w:hAnchor="text" w:yAlign="inline"/>
                    <w:rPr>
                      <w:rFonts w:eastAsia="楷体_GB2312" w:cs="等线"/>
                      <w:b w:val="0"/>
                    </w:rPr>
                  </w:pPr>
                  <w:r>
                    <w:t>{{ a2_email }}</w:t>
                  </w:r>
                </w:p>
              </w:tc>
              <w:tc>
                <w:tcPr>
                  <w:tcW w:w="2693" w:type="dxa"/>
                </w:tcPr>
                <w:p>
                  <w:pPr>
                    <w:pStyle w:val="52"/>
                    <w:framePr w:wrap="auto" w:vAnchor="margin" w:hAnchor="text" w:yAlign="inline"/>
                    <w:rPr>
                      <w:rFonts w:eastAsia="楷体_GB2312" w:cs="等线"/>
                      <w:b w:val="0"/>
                    </w:rPr>
                  </w:pPr>
                  <w:r>
                    <w:t>{{ a3_email }}</w:t>
                  </w:r>
                </w:p>
              </w:tc>
              <w:tc>
                <w:tcPr>
                  <w:tcW w:w="2694" w:type="dxa"/>
                </w:tcPr>
                <w:p>
                  <w:pPr>
                    <w:pStyle w:val="52"/>
                    <w:framePr w:wrap="auto" w:vAnchor="margin" w:hAnchor="text" w:yAlign="inline"/>
                    <w:rPr>
                      <w:rFonts w:eastAsia="楷体_GB2312" w:cs="等线"/>
                      <w:b w:val="0"/>
                    </w:rPr>
                  </w:pPr>
                  <w:r>
                    <w:t>{{ a4_email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r>
                    <w:t>{{ a5_cn }} {{ a5_en }}], SFC:{{ a5_sfc }}</w:t>
                  </w:r>
                </w:p>
              </w:tc>
              <w:tc>
                <w:tcPr>
                  <w:tcW w:w="2551" w:type="dxa"/>
                </w:tcPr>
                <w:p>
                  <w:pPr>
                    <w:pStyle w:val="52"/>
                    <w:framePr w:wrap="auto" w:vAnchor="margin" w:hAnchor="text" w:yAlign="inline"/>
                    <w:rPr>
                      <w:rFonts w:eastAsia="楷体_GB2312" w:cs="等线"/>
                      <w:b w:val="0"/>
                    </w:rPr>
                  </w:pPr>
                  <w:r>
                    <w:t>{{ a6_cn }} {{ a6_en }}], SFC:{{ a6_sfc }}</w:t>
                  </w:r>
                </w:p>
              </w:tc>
              <w:tc>
                <w:tcPr>
                  <w:tcW w:w="2693" w:type="dxa"/>
                </w:tcPr>
                <w:p>
                  <w:pPr>
                    <w:pStyle w:val="52"/>
                    <w:framePr w:wrap="auto" w:vAnchor="margin" w:hAnchor="text" w:yAlign="inline"/>
                    <w:rPr>
                      <w:rFonts w:eastAsia="楷体_GB2312" w:cs="等线"/>
                      <w:b w:val="0"/>
                    </w:rPr>
                  </w:pPr>
                  <w:r>
                    <w:t>{{ a7_cn }} {{ a7_en }}], SFC:{{ a7_sfc }}</w:t>
                  </w:r>
                </w:p>
              </w:tc>
              <w:tc>
                <w:tcPr>
                  <w:tcW w:w="2694" w:type="dxa"/>
                </w:tcPr>
                <w:p>
                  <w:pPr>
                    <w:pStyle w:val="52"/>
                    <w:framePr w:wrap="auto" w:vAnchor="margin" w:hAnchor="text" w:yAlign="inline"/>
                    <w:rPr>
                      <w:rFonts w:eastAsia="楷体_GB2312" w:cs="等线"/>
                      <w:b w:val="0"/>
                    </w:rPr>
                  </w:pPr>
                  <w:r>
                    <w:t>{{ a8_cn }} {{ a8_en }}], SFC:{{ a8_sfc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cantSplit/>
                <w:trHeight w:val="119" w:hRule="atLeast"/>
              </w:trPr>
              <w:tc>
                <w:tcPr>
                  <w:tcW w:w="2694" w:type="dxa"/>
                </w:tcPr>
                <w:p>
                  <w:pPr>
                    <w:pStyle w:val="52"/>
                    <w:framePr w:wrap="auto" w:vAnchor="margin" w:hAnchor="text" w:yAlign="inline"/>
                    <w:rPr>
                      <w:rFonts w:eastAsia="楷体_GB2312" w:cs="等线"/>
                      <w:b w:val="0"/>
                    </w:rPr>
                  </w:pPr>
                  <w:r>
                    <w:t>{{ a5_email }}</w:t>
                  </w:r>
                </w:p>
              </w:tc>
              <w:tc>
                <w:tcPr>
                  <w:tcW w:w="2551" w:type="dxa"/>
                </w:tcPr>
                <w:p>
                  <w:pPr>
                    <w:pStyle w:val="52"/>
                    <w:framePr w:wrap="auto" w:vAnchor="margin" w:hAnchor="text" w:yAlign="inline"/>
                    <w:rPr>
                      <w:rFonts w:eastAsia="楷体_GB2312" w:cs="等线"/>
                      <w:b w:val="0"/>
                    </w:rPr>
                  </w:pPr>
                  <w:r>
                    <w:t>{{ a6_email }}</w:t>
                  </w:r>
                </w:p>
              </w:tc>
              <w:tc>
                <w:tcPr>
                  <w:tcW w:w="2693" w:type="dxa"/>
                </w:tcPr>
                <w:p>
                  <w:pPr>
                    <w:pStyle w:val="52"/>
                    <w:framePr w:wrap="auto" w:vAnchor="margin" w:hAnchor="text" w:yAlign="inline"/>
                    <w:rPr>
                      <w:rFonts w:eastAsia="楷体_GB2312" w:cs="等线"/>
                      <w:b w:val="0"/>
                    </w:rPr>
                  </w:pPr>
                  <w:r>
                    <w:t>{{ a7_email }}</w:t>
                  </w:r>
                </w:p>
              </w:tc>
              <w:tc>
                <w:tcPr>
                  <w:tcW w:w="2694" w:type="dxa"/>
                </w:tcPr>
                <w:p>
                  <w:pPr>
                    <w:pStyle w:val="52"/>
                    <w:framePr w:wrap="auto" w:vAnchor="margin" w:hAnchor="text" w:yAlign="inline"/>
                    <w:rPr>
                      <w:rFonts w:eastAsia="楷体_GB2312" w:cs="等线"/>
                      <w:b w:val="0"/>
                    </w:rPr>
                  </w:pPr>
                  <w:r>
                    <w:t>{{ a8_email }}</w:t>
                  </w:r>
                </w:p>
              </w:tc>
            </w:tr>
          </w:tbl>
          <w:p>
            <w:pPr>
              <w:pStyle w:val="56"/>
              <w:spacing w:after="0"/>
              <w:jc w:val="both"/>
              <w:rPr>
                <w:rFonts w:eastAsia="楷体_GB2312" w:cs="Calibri"/>
                <w:bCs/>
                <w:kern w:val="28"/>
                <w:lang w:eastAsia="zh-CN"/>
              </w:rPr>
            </w:pPr>
          </w:p>
        </w:tc>
      </w:tr>
    </w:tbl>
    <w:p>
      <w:pPr>
        <w:rPr>
          <w:rFonts w:eastAsiaTheme="minorEastAsia"/>
        </w:rPr>
        <w:sectPr>
          <w:headerReference r:id="rId5" w:type="first"/>
          <w:footerReference r:id="rId8" w:type="first"/>
          <w:headerReference r:id="rId3" w:type="default"/>
          <w:footerReference r:id="rId6" w:type="default"/>
          <w:headerReference r:id="rId4" w:type="even"/>
          <w:footerReference r:id="rId7" w:type="even"/>
          <w:type w:val="continuous"/>
          <w:pgSz w:w="11910" w:h="16840"/>
          <w:pgMar w:top="567" w:right="567" w:bottom="1021" w:left="567" w:header="567" w:footer="918" w:gutter="0"/>
          <w:cols w:space="425" w:num="1"/>
          <w:docGrid w:linePitch="299" w:charSpace="0"/>
        </w:sectPr>
      </w:pPr>
    </w:p>
    <w:p>
      <w:pPr>
        <w:pStyle w:val="44"/>
        <w:rPr>
          <w:rFonts w:eastAsia="宋体" w:cs="Calibri"/>
          <w:lang w:eastAsia="zh-CN"/>
        </w:rPr>
        <w:sectPr>
          <w:headerReference r:id="rId12" w:type="first"/>
          <w:headerReference r:id="rId11" w:type="default"/>
          <w:footerReference r:id="rId13" w:type="default"/>
          <w:pgSz w:w="11910" w:h="16840"/>
          <w:pgMar w:top="567" w:right="567" w:bottom="1021" w:left="3600" w:header="567" w:footer="919" w:gutter="0"/>
          <w:cols w:space="425" w:num="1"/>
          <w:titlePg/>
          <w:docGrid w:linePitch="299" w:charSpace="0"/>
        </w:sectPr>
      </w:pPr>
      <w:r>
        <w:t>{{ body }}</w:t>
      </w:r>
    </w:p>
    <w:bookmarkEnd w:id="22"/>
    <w:bookmarkEnd w:id="6"/>
    <w:bookmarkEnd w:id="7"/>
    <w:bookmarkEnd w:id="9"/>
    <w:tbl>
      <w:tblPr>
        <w:tblStyle w:val="20"/>
        <w:tblW w:w="10773" w:type="dxa"/>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tbl>
            <w:tblPr>
              <w:tblStyle w:val="20"/>
              <w:tblW w:w="10773" w:type="dxa"/>
              <w:tblCaption w:val="[Table_disclaimer]"/>
              <w:tblDescription w:val="表格隐藏唯一标识（请勿删除和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28" w:type="dxa"/>
                <w:bottom w:w="0" w:type="dxa"/>
                <w:right w:w="28"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23" w:hRule="exact"/>
              </w:trPr>
              <w:tc>
                <w:tcPr>
                  <w:tcW w:w="10773" w:type="dxa"/>
                  <w:tcBorders>
                    <w:top w:val="nil"/>
                    <w:bottom w:val="single" w:color="C0C0C0" w:sz="4" w:space="0"/>
                  </w:tcBorders>
                </w:tcPr>
                <w:p>
                  <w:pPr>
                    <w:pStyle w:val="71"/>
                    <w:spacing w:after="60"/>
                    <w:rPr>
                      <w:rFonts w:eastAsia="楷体_GB2312" w:cs="Calibri"/>
                      <w:b/>
                      <w:bCs/>
                      <w:w w:val="70"/>
                      <w:sz w:val="22"/>
                      <w:szCs w:val="22"/>
                    </w:rPr>
                  </w:pPr>
                  <w:r>
                    <w:rPr>
                      <w:rFonts w:eastAsia="楷体_GB2312" w:cs="Calibri"/>
                      <w:b/>
                      <w:bCs/>
                      <w:color w:val="FFFFFF" w:themeColor="background1"/>
                      <w:w w:val="70"/>
                      <w:sz w:val="22"/>
                      <w:szCs w:val="22"/>
                      <w14:textFill>
                        <w14:solidFill>
                          <w14:schemeClr w14:val="bg1"/>
                        </w14:solidFill>
                      </w14:textFill>
                    </w:rPr>
                    <w:t xml:space="preserve"> [Table_disclaimer]</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24" w:space="0"/>
                  </w:tcBorders>
                </w:tcPr>
                <w:p>
                  <w:pPr>
                    <w:pStyle w:val="71"/>
                    <w:spacing w:after="60"/>
                    <w:rPr>
                      <w:rFonts w:eastAsia="楷体_GB2312" w:cs="Calibri"/>
                      <w:b/>
                      <w:bCs/>
                      <w:w w:val="70"/>
                      <w:sz w:val="22"/>
                      <w:szCs w:val="22"/>
                      <w:lang w:eastAsia="zh-CN"/>
                    </w:rPr>
                  </w:pPr>
                  <w:r>
                    <w:rPr>
                      <w:rFonts w:eastAsia="楷体_GB2312" w:cs="Calibri"/>
                      <w:b/>
                      <w:bCs/>
                      <w:w w:val="70"/>
                      <w:sz w:val="22"/>
                      <w:szCs w:val="22"/>
                    </w:rPr>
                    <w:t>附录APPENDIX</w:t>
                  </w:r>
                </w:p>
                <w:p>
                  <w:pPr>
                    <w:pStyle w:val="71"/>
                    <w:rPr>
                      <w:rFonts w:eastAsia="楷体_GB2312" w:cs="Calibri"/>
                      <w:b/>
                      <w:w w:val="70"/>
                      <w:sz w:val="20"/>
                      <w:szCs w:val="20"/>
                    </w:rPr>
                  </w:pPr>
                  <w:r>
                    <w:rPr>
                      <w:rFonts w:eastAsia="楷体_GB2312" w:cs="Calibri"/>
                      <w:b/>
                      <w:w w:val="70"/>
                      <w:sz w:val="20"/>
                      <w:szCs w:val="20"/>
                    </w:rPr>
                    <w:t>重要信息披露</w:t>
                  </w:r>
                </w:p>
                <w:p>
                  <w:pPr>
                    <w:pStyle w:val="71"/>
                    <w:rPr>
                      <w:rFonts w:eastAsia="楷体_GB2312" w:cs="Calibri"/>
                      <w:w w:val="70"/>
                      <w:sz w:val="20"/>
                      <w:szCs w:val="20"/>
                      <w:lang w:eastAsia="zh-CN"/>
                    </w:rPr>
                  </w:pPr>
                  <w:r>
                    <w:rPr>
                      <w:rFonts w:eastAsia="楷体_GB2312" w:cs="Calibri"/>
                      <w:w w:val="70"/>
                      <w:sz w:val="20"/>
                      <w:szCs w:val="20"/>
                    </w:rPr>
                    <w:t>本研究报告由</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（香港）金融控股有限公司（下称华福国际）</w:t>
                  </w:r>
                  <w:r>
                    <w:rPr>
                      <w:rFonts w:eastAsia="楷体_GB2312" w:cs="Calibri"/>
                      <w:w w:val="70"/>
                      <w:sz w:val="20"/>
                      <w:szCs w:val="20"/>
                    </w:rPr>
                    <w:t>分销</w:t>
                  </w:r>
                  <w:r>
                    <w:rPr>
                      <w:rFonts w:hint="eastAsia" w:eastAsia="楷体_GB2312" w:cs="Calibri"/>
                      <w:w w:val="70"/>
                      <w:sz w:val="20"/>
                      <w:szCs w:val="20"/>
                      <w:lang w:eastAsia="zh-CN"/>
                    </w:rPr>
                    <w:t>，</w:t>
                  </w:r>
                  <w:r>
                    <w:rPr>
                      <w:rFonts w:eastAsia="楷体_GB2312" w:cs="Calibri"/>
                      <w:w w:val="70"/>
                      <w:sz w:val="20"/>
                      <w:szCs w:val="20"/>
                    </w:rPr>
                    <w:t>在其许可的司法管辖区内从事证券活动。</w:t>
                  </w:r>
                </w:p>
                <w:p>
                  <w:pPr>
                    <w:pStyle w:val="71"/>
                    <w:rPr>
                      <w:rFonts w:eastAsia="楷体_GB2312" w:cs="Calibri"/>
                      <w:b/>
                      <w:bCs/>
                      <w:w w:val="70"/>
                      <w:sz w:val="20"/>
                      <w:szCs w:val="20"/>
                    </w:rPr>
                  </w:pPr>
                  <w:r>
                    <w:rPr>
                      <w:rFonts w:eastAsia="楷体_GB2312" w:cs="Calibri"/>
                      <w:b/>
                      <w:bCs/>
                      <w:w w:val="70"/>
                      <w:sz w:val="20"/>
                      <w:szCs w:val="20"/>
                    </w:rPr>
                    <w:t>IMPORTANT DISCLOSURES</w:t>
                  </w:r>
                </w:p>
                <w:p>
                  <w:pPr>
                    <w:pStyle w:val="71"/>
                    <w:spacing w:after="60"/>
                    <w:rPr>
                      <w:rFonts w:eastAsia="楷体_GB2312" w:cs="Calibri"/>
                      <w:lang w:eastAsia="zh-CN"/>
                    </w:rPr>
                  </w:pPr>
                  <w:r>
                    <w:rPr>
                      <w:rFonts w:eastAsia="楷体_GB2312" w:cs="Calibri"/>
                      <w:w w:val="70"/>
                      <w:sz w:val="20"/>
                      <w:szCs w:val="20"/>
                    </w:rPr>
                    <w:t xml:space="preserve">This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(HK) Financial Holdings Limited (referred as HuaFu International below)</w:t>
                  </w:r>
                  <w:r>
                    <w:rPr>
                      <w:rFonts w:eastAsia="楷体_GB2312" w:cs="Calibri"/>
                      <w:w w:val="70"/>
                      <w:sz w:val="20"/>
                      <w:szCs w:val="20"/>
                    </w:rPr>
                    <w:t xml:space="preserve">, </w:t>
                  </w:r>
                  <w:r>
                    <w:rPr>
                      <w:rFonts w:hint="eastAsia" w:eastAsia="楷体_GB2312" w:cs="Calibri"/>
                      <w:w w:val="70"/>
                      <w:sz w:val="20"/>
                      <w:szCs w:val="20"/>
                      <w:lang w:eastAsia="zh-CN"/>
                    </w:rPr>
                    <w:t>which</w:t>
                  </w:r>
                  <w:r>
                    <w:rPr>
                      <w:rFonts w:eastAsia="楷体_GB2312" w:cs="Calibri"/>
                      <w:w w:val="70"/>
                      <w:sz w:val="20"/>
                      <w:szCs w:val="20"/>
                    </w:rPr>
                    <w:t xml:space="preserve"> </w:t>
                  </w:r>
                  <w:r>
                    <w:rPr>
                      <w:rFonts w:hint="eastAsia" w:eastAsia="楷体_GB2312" w:cs="Calibri"/>
                      <w:w w:val="70"/>
                      <w:sz w:val="20"/>
                      <w:szCs w:val="20"/>
                      <w:lang w:eastAsia="zh-CN"/>
                    </w:rPr>
                    <w:t xml:space="preserve">is </w:t>
                  </w:r>
                  <w:r>
                    <w:rPr>
                      <w:rFonts w:eastAsia="楷体_GB2312" w:cs="Calibri"/>
                      <w:w w:val="70"/>
                      <w:sz w:val="20"/>
                      <w:szCs w:val="20"/>
                    </w:rPr>
                    <w:t>authorized to engage in securities activities in its respective jurisdiction.</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tcBorders>
                </w:tcPr>
                <w:p>
                  <w:pPr>
                    <w:pStyle w:val="71"/>
                    <w:spacing w:after="48" w:afterLines="20"/>
                    <w:rPr>
                      <w:rFonts w:eastAsia="楷体_GB2312" w:cs="Calibri"/>
                      <w:w w:val="70"/>
                      <w:sz w:val="20"/>
                      <w:szCs w:val="20"/>
                    </w:rPr>
                  </w:pPr>
                  <w:r>
                    <w:rPr>
                      <w:rFonts w:eastAsia="楷体_GB2312" w:cs="Calibri"/>
                      <w:b/>
                      <w:w w:val="70"/>
                      <w:sz w:val="20"/>
                      <w:szCs w:val="20"/>
                    </w:rPr>
                    <w:t>分析师认证Analyst Certification</w:t>
                  </w:r>
                  <w:r>
                    <w:rPr>
                      <w:rFonts w:eastAsia="楷体_GB2312" w:cs="Calibri"/>
                      <w:w w:val="70"/>
                      <w:sz w:val="20"/>
                      <w:szCs w:val="20"/>
                    </w:rPr>
                    <w: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bottom w:val="single" w:color="C0C0C0" w:sz="24" w:space="0"/>
                  </w:tcBorders>
                </w:tcPr>
                <w:p>
                  <w:pPr>
                    <w:rPr>
                      <w:rFonts w:eastAsia="楷体_GB2312" w:cs="Calibri"/>
                      <w:w w:val="70"/>
                      <w:sz w:val="20"/>
                      <w:szCs w:val="20"/>
                    </w:rPr>
                  </w:pPr>
                  <w:r>
                    <w:rPr>
                      <w:rFonts w:hint="eastAsia" w:eastAsia="楷体_GB2312" w:cs="Calibri"/>
                      <w:w w:val="70"/>
                      <w:sz w:val="20"/>
                      <w:szCs w:val="20"/>
                    </w:rPr>
                    <w:t>我， {{ source }}x，在此保证（i）本研究报告中的意见准确反映了我们对本研究中提及的任何或所有目标公司或上市公司的个人观点，并且（ii）我的报酬中没有任何部分与本研究报告中表达的具体建议或观点直接或间接相关；及就此报告中所讨论目标公司的证券，我们（包括我们的家属）在其中均不持有任何财务利益。I, {{ source }}x, certify that (i) the views expressed in this research report accurately reflect my personal views about any or all of the subject companies or issuers referred to in this research and (ii) no part of my compensation was, is or will be directly or indirectly related to the specific recommendations or views expressed in this research report; and that I (including members of my household) have no financial interest in the security or securities of the subject companies discussed.</w:t>
                  </w:r>
                  <w:r>
                    <w:rPr>
                      <w:rFonts w:eastAsia="楷体_GB2312" w:cs="Calibri"/>
                      <w:w w:val="70"/>
                      <w:sz w:val="20"/>
                      <w:szCs w:val="20"/>
                    </w:rPr>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24" w:space="0"/>
                    <w:bottom w:val="nil"/>
                  </w:tcBorders>
                </w:tcPr>
                <w:p>
                  <w:pPr>
                    <w:pStyle w:val="71"/>
                    <w:spacing w:after="48" w:afterLines="20"/>
                    <w:rPr>
                      <w:rFonts w:eastAsia="楷体_GB2312" w:cs="Calibri"/>
                      <w:b/>
                      <w:bCs/>
                      <w:w w:val="70"/>
                      <w:sz w:val="20"/>
                      <w:szCs w:val="20"/>
                    </w:rPr>
                  </w:pPr>
                  <w:r>
                    <w:rPr>
                      <w:rFonts w:eastAsia="楷体_GB2312" w:cs="Calibri"/>
                      <w:b/>
                      <w:bCs/>
                      <w:w w:val="70"/>
                      <w:sz w:val="20"/>
                      <w:szCs w:val="20"/>
                    </w:rPr>
                    <w:t>利益冲突披露Conflict of Interest Disclosures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nil"/>
                    <w:bottom w:val="single" w:color="C0C0C0" w:sz="4" w:space="0"/>
                  </w:tcBorders>
                </w:tcPr>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国际及其某些关联公司可从事投资银行业务和/或对本研究中的特定股票或公司进行做市或持有自营头寸。就本研究报告而言，如需了解</w:t>
                  </w:r>
                  <w:r>
                    <w:rPr>
                      <w:rFonts w:hint="eastAsia" w:eastAsia="楷体_GB2312" w:cs="Calibri"/>
                      <w:w w:val="70"/>
                      <w:sz w:val="20"/>
                      <w:szCs w:val="20"/>
                    </w:rPr>
                    <w:t>其中提到的某一公司</w:t>
                  </w:r>
                  <w:r>
                    <w:rPr>
                      <w:rFonts w:eastAsia="楷体_GB2312" w:cs="Calibri"/>
                      <w:w w:val="70"/>
                      <w:sz w:val="20"/>
                      <w:szCs w:val="20"/>
                    </w:rPr>
                    <w:t>信息，</w:t>
                  </w:r>
                  <w:r>
                    <w:fldChar w:fldCharType="begin"/>
                  </w:r>
                  <w:r>
                    <w:instrText xml:space="preserve"> HYPERLINK "mailto:请发邮件至ERD-Disclosure@htisec.com" </w:instrText>
                  </w:r>
                  <w:r>
                    <w:fldChar w:fldCharType="separate"/>
                  </w:r>
                  <w:r>
                    <w:rPr>
                      <w:rStyle w:val="23"/>
                      <w:rFonts w:eastAsia="楷体_GB2312" w:cs="Calibri"/>
                      <w:color w:val="000000" w:themeColor="text1"/>
                      <w:w w:val="70"/>
                      <w:sz w:val="20"/>
                      <w:szCs w:val="20"/>
                      <w14:textFill>
                        <w14:solidFill>
                          <w14:schemeClr w14:val="tx1"/>
                        </w14:solidFill>
                      </w14:textFill>
                    </w:rPr>
                    <w:t>请发邮件至</w:t>
                  </w:r>
                  <w:r>
                    <w:rPr>
                      <w:rStyle w:val="23"/>
                      <w:rFonts w:hint="eastAsia" w:eastAsia="楷体_GB2312" w:cs="Calibri"/>
                      <w:color w:val="000000" w:themeColor="text1"/>
                      <w:w w:val="70"/>
                      <w:sz w:val="20"/>
                      <w:szCs w:val="20"/>
                      <w14:textFill>
                        <w14:solidFill>
                          <w14:schemeClr w14:val="tx1"/>
                        </w14:solidFill>
                      </w14:textFill>
                    </w:rPr>
                    <w:t>lcd</w:t>
                  </w:r>
                  <w:r>
                    <w:rPr>
                      <w:rStyle w:val="23"/>
                      <w:rFonts w:eastAsia="楷体_GB2312" w:cs="Calibri"/>
                      <w:color w:val="000000" w:themeColor="text1"/>
                      <w:w w:val="70"/>
                      <w:sz w:val="20"/>
                      <w:szCs w:val="20"/>
                      <w14:textFill>
                        <w14:solidFill>
                          <w14:schemeClr w14:val="tx1"/>
                        </w14:solidFill>
                      </w14:textFill>
                    </w:rPr>
                    <w:t>@</w:t>
                  </w:r>
                  <w:r>
                    <w:rPr>
                      <w:rStyle w:val="23"/>
                      <w:rFonts w:hint="eastAsia" w:eastAsia="楷体_GB2312" w:cs="Calibri"/>
                      <w:color w:val="000000" w:themeColor="text1"/>
                      <w:w w:val="70"/>
                      <w:sz w:val="20"/>
                      <w:szCs w:val="20"/>
                      <w14:textFill>
                        <w14:solidFill>
                          <w14:schemeClr w14:val="tx1"/>
                        </w14:solidFill>
                      </w14:textFill>
                    </w:rPr>
                    <w:t>hfisec</w:t>
                  </w:r>
                  <w:r>
                    <w:rPr>
                      <w:rStyle w:val="23"/>
                      <w:rFonts w:eastAsia="楷体_GB2312" w:cs="Calibri"/>
                      <w:color w:val="000000" w:themeColor="text1"/>
                      <w:w w:val="70"/>
                      <w:sz w:val="20"/>
                      <w:szCs w:val="20"/>
                      <w14:textFill>
                        <w14:solidFill>
                          <w14:schemeClr w14:val="tx1"/>
                        </w14:solidFill>
                      </w14:textFill>
                    </w:rPr>
                    <w:t>.com</w:t>
                  </w:r>
                  <w:r>
                    <w:rPr>
                      <w:rStyle w:val="23"/>
                      <w:rFonts w:eastAsia="楷体_GB2312" w:cs="Calibri"/>
                      <w:color w:val="000000" w:themeColor="text1"/>
                      <w:w w:val="70"/>
                      <w:sz w:val="20"/>
                      <w:szCs w:val="20"/>
                      <w14:textFill>
                        <w14:solidFill>
                          <w14:schemeClr w14:val="tx1"/>
                        </w14:solidFill>
                      </w14:textFill>
                    </w:rPr>
                    <w:fldChar w:fldCharType="end"/>
                  </w:r>
                  <w:r>
                    <w:rPr>
                      <w:rFonts w:hint="eastAsia" w:eastAsia="宋体" w:cs="等线"/>
                      <w:u w:val="single"/>
                    </w:rPr>
                    <w:t>.hk</w:t>
                  </w:r>
                  <w:r>
                    <w:rPr>
                      <w:rFonts w:eastAsia="楷体_GB2312" w:cs="Calibri"/>
                      <w:w w:val="70"/>
                      <w:sz w:val="20"/>
                      <w:szCs w:val="20"/>
                    </w:rPr>
                    <w:t>）</w:t>
                  </w:r>
                </w:p>
                <w:p>
                  <w:pPr>
                    <w:pStyle w:val="71"/>
                    <w:rPr>
                      <w:rFonts w:eastAsia="楷体_GB2312" w:cs="Calibri"/>
                      <w:b/>
                      <w:bCs/>
                      <w:w w:val="70"/>
                      <w:sz w:val="20"/>
                      <w:szCs w:val="20"/>
                      <w:lang w:eastAsia="zh-CN"/>
                    </w:rPr>
                  </w:pPr>
                  <w:r>
                    <w:rPr>
                      <w:rFonts w:hint="eastAsia" w:eastAsia="楷体_GB2312" w:cs="Calibri"/>
                      <w:w w:val="70"/>
                      <w:sz w:val="20"/>
                      <w:szCs w:val="20"/>
                      <w:lang w:eastAsia="zh-CN"/>
                    </w:rPr>
                    <w:t>HuaFu International</w:t>
                  </w:r>
                  <w:r>
                    <w:rPr>
                      <w:rFonts w:eastAsia="楷体_GB2312" w:cs="Calibri"/>
                      <w:w w:val="70"/>
                      <w:sz w:val="20"/>
                      <w:szCs w:val="20"/>
                    </w:rPr>
                    <w:t xml:space="preserve"> and some of its affiliates may engage in investment banking and / or serve as a market maker or hold proprietary trading positions of certain stocks or companies in this research report. As far as this research report is concerned, </w:t>
                  </w:r>
                  <w:r>
                    <w:rPr>
                      <w:rFonts w:eastAsia="楷体_GB2312" w:cs="Calibri"/>
                      <w:color w:val="000000" w:themeColor="text1"/>
                      <w:w w:val="70"/>
                      <w:sz w:val="20"/>
                      <w:szCs w:val="20"/>
                      <w14:textFill>
                        <w14:solidFill>
                          <w14:schemeClr w14:val="tx1"/>
                        </w14:solidFill>
                      </w14:textFill>
                    </w:rPr>
                    <w:t xml:space="preserve">please send an email to </w:t>
                  </w:r>
                  <w:r>
                    <w:rPr>
                      <w:rFonts w:hint="eastAsia" w:eastAsia="楷体_GB2312" w:cs="Calibri"/>
                      <w:color w:val="000000" w:themeColor="text1"/>
                      <w:w w:val="70"/>
                      <w:sz w:val="20"/>
                      <w:szCs w:val="20"/>
                      <w:lang w:eastAsia="zh-CN"/>
                      <w14:textFill>
                        <w14:solidFill>
                          <w14:schemeClr w14:val="tx1"/>
                        </w14:solidFill>
                      </w14:textFill>
                    </w:rPr>
                    <w:t>lcd</w:t>
                  </w:r>
                  <w:r>
                    <w:rPr>
                      <w:rFonts w:eastAsia="楷体_GB2312" w:cs="Calibri"/>
                      <w:color w:val="000000" w:themeColor="text1"/>
                      <w:w w:val="70"/>
                      <w:sz w:val="20"/>
                      <w:szCs w:val="20"/>
                      <w14:textFill>
                        <w14:solidFill>
                          <w14:schemeClr w14:val="tx1"/>
                        </w14:solidFill>
                      </w14:textFill>
                    </w:rPr>
                    <w:t>@</w:t>
                  </w:r>
                  <w:r>
                    <w:rPr>
                      <w:rFonts w:hint="eastAsia" w:eastAsia="楷体_GB2312" w:cs="Calibri"/>
                      <w:color w:val="000000" w:themeColor="text1"/>
                      <w:w w:val="70"/>
                      <w:sz w:val="20"/>
                      <w:szCs w:val="20"/>
                      <w:lang w:eastAsia="zh-CN"/>
                      <w14:textFill>
                        <w14:solidFill>
                          <w14:schemeClr w14:val="tx1"/>
                        </w14:solidFill>
                      </w14:textFill>
                    </w:rPr>
                    <w:t>hfisec</w:t>
                  </w:r>
                  <w:r>
                    <w:rPr>
                      <w:rFonts w:eastAsia="楷体_GB2312" w:cs="Calibri"/>
                      <w:color w:val="000000" w:themeColor="text1"/>
                      <w:w w:val="70"/>
                      <w:sz w:val="20"/>
                      <w:szCs w:val="20"/>
                      <w14:textFill>
                        <w14:solidFill>
                          <w14:schemeClr w14:val="tx1"/>
                        </w14:solidFill>
                      </w14:textFill>
                    </w:rPr>
                    <w:t>.com</w:t>
                  </w:r>
                  <w:r>
                    <w:rPr>
                      <w:rFonts w:hint="eastAsia" w:eastAsia="楷体_GB2312" w:cs="Calibri"/>
                      <w:color w:val="000000" w:themeColor="text1"/>
                      <w:w w:val="70"/>
                      <w:sz w:val="20"/>
                      <w:szCs w:val="20"/>
                      <w:lang w:eastAsia="zh-CN"/>
                      <w14:textFill>
                        <w14:solidFill>
                          <w14:schemeClr w14:val="tx1"/>
                        </w14:solidFill>
                      </w14:textFill>
                    </w:rPr>
                    <w:t>.hk</w:t>
                  </w:r>
                  <w:r>
                    <w:rPr>
                      <w:rFonts w:eastAsia="楷体_GB2312" w:cs="Calibri"/>
                      <w:color w:val="000000" w:themeColor="text1"/>
                      <w:w w:val="70"/>
                      <w:sz w:val="20"/>
                      <w:szCs w:val="20"/>
                      <w14:textFill>
                        <w14:solidFill>
                          <w14:schemeClr w14:val="tx1"/>
                        </w14:solidFill>
                      </w14:textFill>
                    </w:rPr>
                    <w:t xml:space="preserve"> if </w:t>
                  </w:r>
                  <w:r>
                    <w:rPr>
                      <w:rFonts w:hint="eastAsia" w:eastAsia="楷体_GB2312" w:cs="Calibri"/>
                      <w:color w:val="000000" w:themeColor="text1"/>
                      <w:w w:val="70"/>
                      <w:sz w:val="20"/>
                      <w:szCs w:val="20"/>
                      <w:lang w:eastAsia="zh-CN"/>
                      <w14:textFill>
                        <w14:solidFill>
                          <w14:schemeClr w14:val="tx1"/>
                        </w14:solidFill>
                      </w14:textFill>
                    </w:rPr>
                    <w:t>the</w:t>
                  </w:r>
                  <w:r>
                    <w:rPr>
                      <w:rFonts w:eastAsia="楷体_GB2312" w:cs="Calibri"/>
                      <w:color w:val="000000" w:themeColor="text1"/>
                      <w:w w:val="70"/>
                      <w:sz w:val="20"/>
                      <w:szCs w:val="20"/>
                      <w14:textFill>
                        <w14:solidFill>
                          <w14:schemeClr w14:val="tx1"/>
                        </w14:solidFill>
                      </w14:textFill>
                    </w:rPr>
                    <w:t xml:space="preserve"> information </w:t>
                  </w:r>
                  <w:r>
                    <w:rPr>
                      <w:rFonts w:hint="eastAsia" w:eastAsia="楷体_GB2312" w:cs="Calibri"/>
                      <w:color w:val="000000" w:themeColor="text1"/>
                      <w:w w:val="70"/>
                      <w:sz w:val="20"/>
                      <w:szCs w:val="20"/>
                      <w:lang w:eastAsia="zh-CN"/>
                      <w14:textFill>
                        <w14:solidFill>
                          <w14:schemeClr w14:val="tx1"/>
                        </w14:solidFill>
                      </w14:textFill>
                    </w:rPr>
                    <w:t xml:space="preserve">about any company mentioned in this report </w:t>
                  </w:r>
                  <w:r>
                    <w:rPr>
                      <w:rFonts w:eastAsia="楷体_GB2312" w:cs="Calibri"/>
                      <w:color w:val="000000" w:themeColor="text1"/>
                      <w:w w:val="70"/>
                      <w:sz w:val="20"/>
                      <w:szCs w:val="20"/>
                      <w14:textFill>
                        <w14:solidFill>
                          <w14:schemeClr w14:val="tx1"/>
                        </w14:solidFill>
                      </w14:textFill>
                    </w:rPr>
                    <w:t>is needed).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rPr>
                <w:trHeight w:val="5096" w:hRule="atLeast"/>
              </w:trPr>
              <w:tc>
                <w:tcPr>
                  <w:tcW w:w="10773" w:type="dxa"/>
                  <w:tcBorders>
                    <w:top w:val="single" w:color="C0C0C0" w:sz="4" w:space="0"/>
                  </w:tcBorders>
                </w:tcPr>
                <w:p>
                  <w:pPr>
                    <w:pStyle w:val="71"/>
                    <w:rPr>
                      <w:rFonts w:eastAsia="楷体_GB2312" w:cs="Calibri"/>
                      <w:b/>
                      <w:w w:val="70"/>
                      <w:sz w:val="20"/>
                      <w:szCs w:val="20"/>
                    </w:rPr>
                  </w:pPr>
                  <w:r>
                    <w:rPr>
                      <w:rFonts w:eastAsia="楷体_GB2312" w:cs="Calibri"/>
                      <w:b/>
                      <w:w w:val="70"/>
                      <w:sz w:val="20"/>
                      <w:szCs w:val="20"/>
                    </w:rPr>
                    <w:t>评级定义</w:t>
                  </w:r>
                  <w:r>
                    <w:rPr>
                      <w:rFonts w:eastAsia="楷体_GB2312" w:cs="Calibri"/>
                      <w:b/>
                      <w:w w:val="70"/>
                      <w:sz w:val="20"/>
                      <w:szCs w:val="20"/>
                      <w:lang w:eastAsia="zh-CN"/>
                    </w:rPr>
                    <w:t>（从2020年7月1日开始执行）</w:t>
                  </w:r>
                  <w:r>
                    <w:rPr>
                      <w:rFonts w:eastAsia="楷体_GB2312" w:cs="Calibri"/>
                      <w:b/>
                      <w:w w:val="70"/>
                      <w:sz w:val="20"/>
                      <w:szCs w:val="20"/>
                    </w:rPr>
                    <w:t>：</w:t>
                  </w:r>
                </w:p>
                <w:p>
                  <w:pPr>
                    <w:pStyle w:val="71"/>
                    <w:rPr>
                      <w:rFonts w:eastAsia="楷体_GB2312" w:cs="Calibri"/>
                      <w:w w:val="70"/>
                      <w:sz w:val="20"/>
                      <w:szCs w:val="20"/>
                    </w:rPr>
                  </w:pPr>
                  <w:r>
                    <w:rPr>
                      <w:rFonts w:hint="eastAsia" w:eastAsia="楷体_GB2312" w:cs="Calibri"/>
                      <w:w w:val="70"/>
                      <w:sz w:val="20"/>
                      <w:szCs w:val="20"/>
                      <w:lang w:eastAsia="zh-CN"/>
                    </w:rPr>
                    <w:t>华福</w:t>
                  </w:r>
                  <w:r>
                    <w:rPr>
                      <w:rFonts w:eastAsia="楷体_GB2312" w:cs="Calibri"/>
                      <w:w w:val="70"/>
                      <w:sz w:val="20"/>
                      <w:szCs w:val="20"/>
                    </w:rPr>
                    <w:t>国际采用相对评级系统</w:t>
                  </w:r>
                  <w:r>
                    <w:rPr>
                      <w:rFonts w:eastAsia="楷体_GB2312" w:cs="Calibri"/>
                      <w:w w:val="70"/>
                      <w:sz w:val="20"/>
                      <w:szCs w:val="20"/>
                      <w:lang w:eastAsia="zh-CN"/>
                    </w:rPr>
                    <w:t>来为投资者推荐我们覆盖的公司</w:t>
                  </w:r>
                  <w:r>
                    <w:rPr>
                      <w:rFonts w:eastAsia="楷体_GB2312" w:cs="Calibri"/>
                      <w:w w:val="70"/>
                      <w:sz w:val="20"/>
                      <w:szCs w:val="20"/>
                    </w:rPr>
                    <w:t>：</w:t>
                  </w:r>
                  <w:r>
                    <w:rPr>
                      <w:rFonts w:eastAsia="楷体_GB2312" w:cs="Calibri"/>
                      <w:w w:val="70"/>
                      <w:sz w:val="20"/>
                      <w:szCs w:val="20"/>
                      <w:lang w:eastAsia="zh-CN"/>
                    </w:rPr>
                    <w:t>优于大市</w:t>
                  </w:r>
                  <w:r>
                    <w:rPr>
                      <w:rFonts w:eastAsia="楷体_GB2312" w:cs="Calibri"/>
                      <w:w w:val="70"/>
                      <w:sz w:val="20"/>
                      <w:szCs w:val="20"/>
                    </w:rPr>
                    <w:t>、中性</w:t>
                  </w:r>
                  <w:r>
                    <w:rPr>
                      <w:rFonts w:eastAsia="楷体_GB2312" w:cs="Calibri"/>
                      <w:w w:val="70"/>
                      <w:sz w:val="20"/>
                      <w:szCs w:val="20"/>
                      <w:lang w:eastAsia="zh-CN"/>
                    </w:rPr>
                    <w:t>或弱于大市</w:t>
                  </w:r>
                  <w:r>
                    <w:rPr>
                      <w:rFonts w:eastAsia="楷体_GB2312" w:cs="Calibri"/>
                      <w:w w:val="70"/>
                      <w:sz w:val="20"/>
                      <w:szCs w:val="20"/>
                    </w:rPr>
                    <w:t>。</w:t>
                  </w:r>
                  <w:r>
                    <w:rPr>
                      <w:rFonts w:eastAsia="楷体_GB2312" w:cs="Calibri"/>
                      <w:w w:val="70"/>
                      <w:sz w:val="20"/>
                      <w:szCs w:val="20"/>
                      <w:lang w:eastAsia="zh-CN"/>
                    </w:rPr>
                    <w:t>投资者应仔细阅读</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的评级定义。并且</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发布分析师观点的完整信息，投资者应仔细阅读全文而非仅看评级。在任何情况下，分析师的评级和研究都不能作为投资建议。投资者的买卖股票的决策应基于各自情况（比如投资者的现有持仓）以及其他因素。</w:t>
                  </w:r>
                </w:p>
                <w:p>
                  <w:pPr>
                    <w:pStyle w:val="71"/>
                    <w:rPr>
                      <w:rFonts w:eastAsia="楷体_GB2312" w:cs="Calibri"/>
                      <w:b/>
                      <w:w w:val="70"/>
                      <w:sz w:val="20"/>
                      <w:szCs w:val="20"/>
                      <w:lang w:eastAsia="zh-CN"/>
                    </w:rPr>
                  </w:pPr>
                  <w:r>
                    <w:rPr>
                      <w:rFonts w:eastAsia="楷体_GB2312" w:cs="Calibri"/>
                      <w:b/>
                      <w:w w:val="70"/>
                      <w:sz w:val="20"/>
                      <w:szCs w:val="20"/>
                      <w:lang w:eastAsia="zh-CN"/>
                    </w:rPr>
                    <w:t>分析师股票评级</w:t>
                  </w:r>
                </w:p>
                <w:p>
                  <w:pPr>
                    <w:pStyle w:val="71"/>
                    <w:rPr>
                      <w:rFonts w:eastAsia="楷体_GB2312" w:cs="Calibri"/>
                      <w:w w:val="70"/>
                      <w:sz w:val="20"/>
                      <w:szCs w:val="20"/>
                      <w:lang w:eastAsia="zh-CN"/>
                    </w:rPr>
                  </w:pPr>
                  <w:r>
                    <w:rPr>
                      <w:rFonts w:eastAsia="楷体_GB2312" w:cs="Calibri"/>
                      <w:b/>
                      <w:w w:val="70"/>
                      <w:sz w:val="20"/>
                      <w:szCs w:val="20"/>
                    </w:rPr>
                    <w:t>优于大市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预期相对基准指数涨幅在10%以上，基准定义如下</w:t>
                  </w:r>
                </w:p>
                <w:p>
                  <w:pPr>
                    <w:pStyle w:val="71"/>
                    <w:rPr>
                      <w:rFonts w:eastAsia="楷体_GB2312" w:cs="Calibri"/>
                      <w:w w:val="70"/>
                      <w:sz w:val="20"/>
                      <w:szCs w:val="20"/>
                      <w:lang w:eastAsia="zh-CN"/>
                    </w:rPr>
                  </w:pPr>
                  <w:r>
                    <w:rPr>
                      <w:rFonts w:eastAsia="楷体_GB2312" w:cs="Calibri"/>
                      <w:b/>
                      <w:w w:val="70"/>
                      <w:sz w:val="20"/>
                      <w:szCs w:val="20"/>
                    </w:rPr>
                    <w:t>中性</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预期相对基准指数变化不大，基准定义如下</w:t>
                  </w:r>
                </w:p>
                <w:p>
                  <w:pPr>
                    <w:pStyle w:val="71"/>
                    <w:rPr>
                      <w:rFonts w:eastAsia="楷体_GB2312" w:cs="Calibri"/>
                      <w:w w:val="70"/>
                      <w:sz w:val="20"/>
                      <w:szCs w:val="20"/>
                    </w:rPr>
                  </w:pPr>
                  <w:r>
                    <w:rPr>
                      <w:rFonts w:eastAsia="楷体_GB2312" w:cs="Calibri"/>
                      <w:b/>
                      <w:w w:val="70"/>
                      <w:sz w:val="20"/>
                      <w:szCs w:val="20"/>
                      <w:lang w:eastAsia="zh-CN"/>
                    </w:rPr>
                    <w:t>弱于大市</w:t>
                  </w:r>
                  <w:r>
                    <w:rPr>
                      <w:rFonts w:eastAsia="楷体_GB2312" w:cs="Calibri"/>
                      <w:w w:val="70"/>
                      <w:sz w:val="20"/>
                      <w:szCs w:val="20"/>
                    </w:rPr>
                    <w:t>，未来</w:t>
                  </w:r>
                  <w:r>
                    <w:rPr>
                      <w:rFonts w:eastAsia="楷体_GB2312" w:cs="Calibri"/>
                      <w:w w:val="70"/>
                      <w:sz w:val="20"/>
                      <w:szCs w:val="20"/>
                      <w:lang w:eastAsia="zh-CN"/>
                    </w:rPr>
                    <w:t>12-18</w:t>
                  </w:r>
                  <w:r>
                    <w:rPr>
                      <w:rFonts w:eastAsia="楷体_GB2312" w:cs="Calibri"/>
                      <w:w w:val="70"/>
                      <w:sz w:val="20"/>
                      <w:szCs w:val="20"/>
                    </w:rPr>
                    <w:t>个月内</w:t>
                  </w:r>
                  <w:r>
                    <w:rPr>
                      <w:rFonts w:eastAsia="楷体_GB2312" w:cs="Calibri"/>
                      <w:w w:val="70"/>
                      <w:sz w:val="20"/>
                      <w:szCs w:val="20"/>
                      <w:lang w:eastAsia="zh-CN"/>
                    </w:rPr>
                    <w:t>预期相对基准指数跌幅在10%以上，基准定义如下</w:t>
                  </w:r>
                </w:p>
                <w:p>
                  <w:pPr>
                    <w:pStyle w:val="71"/>
                    <w:rPr>
                      <w:rFonts w:eastAsia="楷体_GB2312" w:cs="Calibri"/>
                      <w:w w:val="70"/>
                      <w:sz w:val="20"/>
                      <w:szCs w:val="20"/>
                      <w:lang w:eastAsia="zh-CN"/>
                    </w:rPr>
                  </w:pPr>
                  <w:r>
                    <w:rPr>
                      <w:rFonts w:eastAsia="楷体_GB2312" w:cs="Calibri"/>
                      <w:w w:val="70"/>
                      <w:sz w:val="20"/>
                      <w:szCs w:val="20"/>
                      <w:lang w:eastAsia="zh-CN"/>
                    </w:rPr>
                    <w:t xml:space="preserve">各地股票基准指数：日本 </w:t>
                  </w:r>
                  <w:r>
                    <w:rPr>
                      <w:rFonts w:eastAsia="微软雅黑" w:cs="Calibri"/>
                      <w:w w:val="70"/>
                      <w:sz w:val="20"/>
                      <w:szCs w:val="20"/>
                      <w:lang w:eastAsia="zh-CN"/>
                    </w:rPr>
                    <w:t>–</w:t>
                  </w:r>
                  <w:r>
                    <w:rPr>
                      <w:rFonts w:eastAsia="楷体_GB2312" w:cs="Calibri"/>
                      <w:w w:val="70"/>
                      <w:sz w:val="20"/>
                      <w:szCs w:val="20"/>
                      <w:lang w:eastAsia="zh-CN"/>
                    </w:rPr>
                    <w:t xml:space="preserve"> TOPIX, 韩国 </w:t>
                  </w:r>
                  <w:r>
                    <w:rPr>
                      <w:rFonts w:eastAsia="微软雅黑" w:cs="Calibri"/>
                      <w:w w:val="70"/>
                      <w:sz w:val="20"/>
                      <w:szCs w:val="20"/>
                      <w:lang w:eastAsia="zh-CN"/>
                    </w:rPr>
                    <w:t>–</w:t>
                  </w:r>
                  <w:r>
                    <w:rPr>
                      <w:rFonts w:eastAsia="楷体_GB2312" w:cs="Calibri"/>
                      <w:w w:val="70"/>
                      <w:sz w:val="20"/>
                      <w:szCs w:val="20"/>
                      <w:lang w:eastAsia="zh-CN"/>
                    </w:rPr>
                    <w:t xml:space="preserve"> KOSPI, 台湾 </w:t>
                  </w:r>
                  <w:r>
                    <w:rPr>
                      <w:rFonts w:eastAsia="微软雅黑" w:cs="Calibri"/>
                      <w:w w:val="70"/>
                      <w:sz w:val="20"/>
                      <w:szCs w:val="20"/>
                      <w:lang w:eastAsia="zh-CN"/>
                    </w:rPr>
                    <w:t>–</w:t>
                  </w:r>
                  <w:r>
                    <w:rPr>
                      <w:rFonts w:eastAsia="楷体_GB2312" w:cs="Calibri"/>
                      <w:w w:val="70"/>
                      <w:sz w:val="20"/>
                      <w:szCs w:val="20"/>
                      <w:lang w:eastAsia="zh-CN"/>
                    </w:rPr>
                    <w:t xml:space="preserve"> TAIEX, 印度 </w:t>
                  </w:r>
                  <w:r>
                    <w:rPr>
                      <w:rFonts w:eastAsia="微软雅黑" w:cs="Calibri"/>
                      <w:w w:val="70"/>
                      <w:sz w:val="20"/>
                      <w:szCs w:val="20"/>
                      <w:lang w:eastAsia="zh-CN"/>
                    </w:rPr>
                    <w:t>–</w:t>
                  </w:r>
                  <w:r>
                    <w:rPr>
                      <w:rFonts w:eastAsia="楷体_GB2312" w:cs="Calibri"/>
                      <w:w w:val="70"/>
                      <w:sz w:val="20"/>
                      <w:szCs w:val="20"/>
                      <w:lang w:eastAsia="zh-CN"/>
                    </w:rPr>
                    <w:t xml:space="preserve"> Nifty100, 美国 </w:t>
                  </w:r>
                  <w:r>
                    <w:rPr>
                      <w:rFonts w:eastAsia="微软雅黑" w:cs="Calibri"/>
                      <w:w w:val="70"/>
                      <w:sz w:val="20"/>
                      <w:szCs w:val="20"/>
                      <w:lang w:eastAsia="zh-CN"/>
                    </w:rPr>
                    <w:t>–</w:t>
                  </w:r>
                  <w:r>
                    <w:rPr>
                      <w:rFonts w:eastAsia="楷体_GB2312" w:cs="Calibri"/>
                      <w:w w:val="70"/>
                      <w:sz w:val="20"/>
                      <w:szCs w:val="20"/>
                      <w:lang w:eastAsia="zh-CN"/>
                    </w:rPr>
                    <w:t xml:space="preserve"> SP500; 其他所有中国概念股 </w:t>
                  </w:r>
                  <w:r>
                    <w:rPr>
                      <w:rFonts w:eastAsia="微软雅黑" w:cs="Calibri"/>
                      <w:w w:val="70"/>
                      <w:sz w:val="20"/>
                      <w:szCs w:val="20"/>
                      <w:lang w:eastAsia="zh-CN"/>
                    </w:rPr>
                    <w:t>–</w:t>
                  </w:r>
                  <w:r>
                    <w:rPr>
                      <w:rFonts w:eastAsia="楷体_GB2312" w:cs="Calibri"/>
                      <w:w w:val="70"/>
                      <w:sz w:val="20"/>
                      <w:szCs w:val="20"/>
                      <w:lang w:eastAsia="zh-CN"/>
                    </w:rPr>
                    <w:t xml:space="preserve"> MSCI China.</w:t>
                  </w:r>
                </w:p>
                <w:p>
                  <w:pPr>
                    <w:pStyle w:val="71"/>
                    <w:rPr>
                      <w:rFonts w:eastAsia="楷体_GB2312" w:cs="Calibri"/>
                      <w:w w:val="79"/>
                      <w:sz w:val="20"/>
                      <w:szCs w:val="20"/>
                    </w:rPr>
                  </w:pPr>
                  <w:r>
                    <w:rPr>
                      <w:rFonts w:eastAsia="楷体_GB2312" w:cs="Calibri"/>
                      <w:b/>
                      <w:w w:val="79"/>
                      <w:sz w:val="20"/>
                      <w:szCs w:val="20"/>
                    </w:rPr>
                    <w:t xml:space="preserve">Ratings Definitions (from 1 Jul 2020): </w:t>
                  </w:r>
                </w:p>
                <w:p>
                  <w:pPr>
                    <w:pStyle w:val="71"/>
                    <w:rPr>
                      <w:rFonts w:eastAsia="楷体_GB2312" w:cs="Calibri"/>
                      <w:w w:val="79"/>
                      <w:sz w:val="20"/>
                      <w:szCs w:val="20"/>
                    </w:rPr>
                  </w:pPr>
                  <w:r>
                    <w:rPr>
                      <w:rFonts w:hint="eastAsia" w:eastAsia="楷体_GB2312" w:cs="Calibri"/>
                      <w:w w:val="79"/>
                      <w:sz w:val="20"/>
                      <w:szCs w:val="20"/>
                      <w:lang w:eastAsia="zh-CN"/>
                    </w:rPr>
                    <w:t>HuaFu</w:t>
                  </w:r>
                  <w:r>
                    <w:rPr>
                      <w:rFonts w:eastAsia="楷体_GB2312" w:cs="Calibri"/>
                      <w:w w:val="79"/>
                      <w:sz w:val="20"/>
                      <w:szCs w:val="20"/>
                    </w:rPr>
                    <w:t xml:space="preserve"> International uses a relative rating system using </w:t>
                  </w:r>
                  <w:r>
                    <w:rPr>
                      <w:rFonts w:eastAsia="楷体_GB2312" w:cs="Calibri"/>
                      <w:w w:val="79"/>
                      <w:sz w:val="20"/>
                      <w:szCs w:val="20"/>
                      <w:lang w:eastAsia="zh-HK"/>
                    </w:rPr>
                    <w:t>Outperform</w:t>
                  </w:r>
                  <w:r>
                    <w:rPr>
                      <w:rFonts w:eastAsia="楷体_GB2312" w:cs="Calibri"/>
                      <w:w w:val="79"/>
                      <w:sz w:val="20"/>
                      <w:szCs w:val="20"/>
                    </w:rPr>
                    <w:t>, Neutral</w:t>
                  </w:r>
                  <w:r>
                    <w:rPr>
                      <w:rFonts w:eastAsia="楷体_GB2312" w:cs="Calibri"/>
                      <w:w w:val="79"/>
                      <w:sz w:val="20"/>
                      <w:szCs w:val="20"/>
                      <w:lang w:eastAsia="zh-HK"/>
                    </w:rPr>
                    <w:t>,</w:t>
                  </w:r>
                  <w:r>
                    <w:rPr>
                      <w:rFonts w:eastAsia="楷体_GB2312" w:cs="Calibri"/>
                      <w:w w:val="79"/>
                      <w:sz w:val="20"/>
                      <w:szCs w:val="20"/>
                    </w:rPr>
                    <w:t xml:space="preserve"> or </w:t>
                  </w:r>
                  <w:r>
                    <w:rPr>
                      <w:rFonts w:eastAsia="楷体_GB2312" w:cs="Calibri"/>
                      <w:w w:val="79"/>
                      <w:sz w:val="20"/>
                      <w:szCs w:val="20"/>
                      <w:lang w:eastAsia="zh-HK"/>
                    </w:rPr>
                    <w:t xml:space="preserve">Underperform </w:t>
                  </w:r>
                  <w:r>
                    <w:rPr>
                      <w:rFonts w:eastAsia="楷体_GB2312" w:cs="Calibri"/>
                      <w:w w:val="79"/>
                      <w:sz w:val="20"/>
                      <w:szCs w:val="20"/>
                    </w:rPr>
                    <w:t xml:space="preserve">for recommending the stocks we cover to investors. Investors should carefully read the definitions of all ratings used in </w:t>
                  </w:r>
                  <w:r>
                    <w:rPr>
                      <w:rFonts w:hint="eastAsia" w:eastAsia="楷体_GB2312" w:cs="Calibri"/>
                      <w:w w:val="79"/>
                      <w:sz w:val="20"/>
                      <w:szCs w:val="20"/>
                      <w:lang w:eastAsia="zh-CN"/>
                    </w:rPr>
                    <w:t>HuaFu</w:t>
                  </w:r>
                  <w:r>
                    <w:rPr>
                      <w:rFonts w:eastAsia="楷体_GB2312" w:cs="Calibri"/>
                      <w:w w:val="79"/>
                      <w:sz w:val="20"/>
                      <w:szCs w:val="20"/>
                    </w:rPr>
                    <w:t xml:space="preserve"> International Research. In addition, since </w:t>
                  </w:r>
                  <w:r>
                    <w:rPr>
                      <w:rFonts w:hint="eastAsia" w:eastAsia="楷体_GB2312" w:cs="Calibri"/>
                      <w:w w:val="79"/>
                      <w:sz w:val="20"/>
                      <w:szCs w:val="20"/>
                      <w:lang w:eastAsia="zh-CN"/>
                    </w:rPr>
                    <w:t>HuaFu</w:t>
                  </w:r>
                  <w:r>
                    <w:rPr>
                      <w:rFonts w:eastAsia="楷体_GB2312" w:cs="Calibri"/>
                      <w:w w:val="79"/>
                      <w:sz w:val="20"/>
                      <w:szCs w:val="20"/>
                    </w:rPr>
                    <w:t xml:space="preserve"> International Research contains more complete information concerning the analyst's views, investors should carefully read </w:t>
                  </w:r>
                  <w:r>
                    <w:rPr>
                      <w:rFonts w:hint="eastAsia" w:eastAsia="楷体_GB2312" w:cs="Calibri"/>
                      <w:w w:val="79"/>
                      <w:sz w:val="20"/>
                      <w:szCs w:val="20"/>
                      <w:lang w:eastAsia="zh-CN"/>
                    </w:rPr>
                    <w:t xml:space="preserve">HuaFu </w:t>
                  </w:r>
                  <w:r>
                    <w:rPr>
                      <w:rFonts w:eastAsia="楷体_GB2312" w:cs="Calibri"/>
                      <w:w w:val="79"/>
                      <w:sz w:val="20"/>
                      <w:szCs w:val="20"/>
                    </w:rPr>
                    <w:t>International Research, in its entirety, and not infer the contents from the rating alone. In any case, ratings (or research) should not be used or relied upon as investment advice. An investor's decision to buy or sell a stock should depend on individual circumstances (such as the investor's existing holdings) and other considerations.</w:t>
                  </w:r>
                </w:p>
                <w:p>
                  <w:pPr>
                    <w:pStyle w:val="71"/>
                    <w:rPr>
                      <w:rFonts w:eastAsia="楷体_GB2312" w:cs="Calibri"/>
                      <w:b/>
                      <w:w w:val="79"/>
                      <w:sz w:val="20"/>
                      <w:szCs w:val="20"/>
                    </w:rPr>
                  </w:pPr>
                  <w:r>
                    <w:rPr>
                      <w:rFonts w:eastAsia="楷体_GB2312" w:cs="Calibri"/>
                      <w:b/>
                      <w:w w:val="79"/>
                      <w:sz w:val="20"/>
                      <w:szCs w:val="20"/>
                    </w:rPr>
                    <w:t>Analyst Stock Ratings</w:t>
                  </w:r>
                </w:p>
                <w:p>
                  <w:pPr>
                    <w:pStyle w:val="71"/>
                    <w:rPr>
                      <w:rFonts w:eastAsia="楷体_GB2312" w:cs="Calibri"/>
                      <w:w w:val="79"/>
                      <w:sz w:val="20"/>
                      <w:szCs w:val="20"/>
                    </w:rPr>
                  </w:pPr>
                  <w:r>
                    <w:rPr>
                      <w:rFonts w:eastAsia="楷体_GB2312" w:cs="Calibri"/>
                      <w:b/>
                      <w:w w:val="79"/>
                      <w:sz w:val="20"/>
                      <w:szCs w:val="20"/>
                      <w:lang w:eastAsia="zh-HK"/>
                    </w:rPr>
                    <w:t>Outperform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exceed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xml:space="preserve">, as indicated below. </w:t>
                  </w:r>
                </w:p>
                <w:p>
                  <w:pPr>
                    <w:pStyle w:val="71"/>
                    <w:rPr>
                      <w:rFonts w:eastAsia="楷体_GB2312" w:cs="Calibri"/>
                      <w:w w:val="79"/>
                      <w:sz w:val="20"/>
                      <w:szCs w:val="20"/>
                    </w:rPr>
                  </w:pPr>
                  <w:r>
                    <w:rPr>
                      <w:rFonts w:eastAsia="楷体_GB2312" w:cs="Calibri"/>
                      <w:b/>
                      <w:w w:val="79"/>
                      <w:sz w:val="20"/>
                      <w:szCs w:val="20"/>
                    </w:rPr>
                    <w:t>Neutral:</w:t>
                  </w:r>
                  <w:r>
                    <w:rPr>
                      <w:rFonts w:eastAsia="楷体_GB2312" w:cs="Calibri"/>
                      <w:w w:val="79"/>
                      <w:sz w:val="20"/>
                      <w:szCs w:val="20"/>
                    </w:rPr>
                    <w:t xml:space="preserve"> The stock’s total return over the next 12-18 months is expected to be in line with the return of its relevant broad market benchmark, as indicated below. </w:t>
                  </w:r>
                  <w:r>
                    <w:rPr>
                      <w:rFonts w:eastAsia="楷体_GB2312" w:cs="Calibri"/>
                      <w:b/>
                      <w:w w:val="79"/>
                      <w:sz w:val="20"/>
                      <w:szCs w:val="20"/>
                      <w:lang w:eastAsia="zh-HK"/>
                    </w:rPr>
                    <w:t>Underperform</w:t>
                  </w:r>
                  <w:r>
                    <w:rPr>
                      <w:rFonts w:eastAsia="楷体_GB2312" w:cs="Calibri"/>
                      <w:b/>
                      <w:w w:val="79"/>
                      <w:sz w:val="20"/>
                      <w:szCs w:val="20"/>
                    </w:rPr>
                    <w:t>:</w:t>
                  </w:r>
                  <w:r>
                    <w:rPr>
                      <w:rFonts w:eastAsia="楷体_GB2312" w:cs="Calibri"/>
                      <w:w w:val="79"/>
                      <w:sz w:val="20"/>
                      <w:szCs w:val="20"/>
                    </w:rPr>
                    <w:t xml:space="preserve"> The stock’s total return over the next 12-18 months is expected to be below the return of its relevant broad market benchmark</w:t>
                  </w:r>
                  <w:r>
                    <w:rPr>
                      <w:rFonts w:hint="eastAsia" w:eastAsia="楷体_GB2312" w:cs="Calibri"/>
                      <w:w w:val="79"/>
                      <w:sz w:val="20"/>
                      <w:szCs w:val="20"/>
                      <w:lang w:eastAsia="zh-CN"/>
                    </w:rPr>
                    <w:t xml:space="preserve"> by over 10%</w:t>
                  </w:r>
                  <w:r>
                    <w:rPr>
                      <w:rFonts w:eastAsia="楷体_GB2312" w:cs="Calibri"/>
                      <w:w w:val="79"/>
                      <w:sz w:val="20"/>
                      <w:szCs w:val="20"/>
                    </w:rPr>
                    <w:t>, as indicated below.</w:t>
                  </w:r>
                </w:p>
                <w:p>
                  <w:pPr>
                    <w:pStyle w:val="71"/>
                    <w:rPr>
                      <w:rFonts w:eastAsia="楷体_GB2312" w:cs="Calibri"/>
                      <w:b/>
                      <w:w w:val="79"/>
                      <w:sz w:val="20"/>
                      <w:szCs w:val="20"/>
                    </w:rPr>
                  </w:pPr>
                  <w:r>
                    <w:rPr>
                      <w:rFonts w:eastAsia="楷体_GB2312" w:cs="Calibri"/>
                      <w:b/>
                      <w:w w:val="79"/>
                      <w:sz w:val="20"/>
                      <w:szCs w:val="20"/>
                    </w:rPr>
                    <w:t xml:space="preserve">Benchmarks for each stock’s listed region are as follows: Japan </w:t>
                  </w:r>
                  <w:r>
                    <w:rPr>
                      <w:rFonts w:eastAsia="微软雅黑" w:cs="Calibri"/>
                      <w:b/>
                      <w:w w:val="79"/>
                      <w:sz w:val="20"/>
                      <w:szCs w:val="20"/>
                    </w:rPr>
                    <w:t>–</w:t>
                  </w:r>
                  <w:r>
                    <w:rPr>
                      <w:rFonts w:eastAsia="楷体_GB2312" w:cs="Calibri"/>
                      <w:b/>
                      <w:w w:val="79"/>
                      <w:sz w:val="20"/>
                      <w:szCs w:val="20"/>
                    </w:rPr>
                    <w:t xml:space="preserve"> TOPIX, Korea </w:t>
                  </w:r>
                  <w:r>
                    <w:rPr>
                      <w:rFonts w:eastAsia="微软雅黑" w:cs="Calibri"/>
                      <w:b/>
                      <w:w w:val="79"/>
                      <w:sz w:val="20"/>
                      <w:szCs w:val="20"/>
                    </w:rPr>
                    <w:t>–</w:t>
                  </w:r>
                  <w:r>
                    <w:rPr>
                      <w:rFonts w:eastAsia="楷体_GB2312" w:cs="Calibri"/>
                      <w:b/>
                      <w:w w:val="79"/>
                      <w:sz w:val="20"/>
                      <w:szCs w:val="20"/>
                    </w:rPr>
                    <w:t xml:space="preserve"> KOSPI, Taiwan </w:t>
                  </w:r>
                  <w:r>
                    <w:rPr>
                      <w:rFonts w:eastAsia="微软雅黑" w:cs="Calibri"/>
                      <w:b/>
                      <w:w w:val="79"/>
                      <w:sz w:val="20"/>
                      <w:szCs w:val="20"/>
                    </w:rPr>
                    <w:t>–</w:t>
                  </w:r>
                  <w:r>
                    <w:rPr>
                      <w:rFonts w:eastAsia="楷体_GB2312" w:cs="Calibri"/>
                      <w:b/>
                      <w:w w:val="79"/>
                      <w:sz w:val="20"/>
                      <w:szCs w:val="20"/>
                    </w:rPr>
                    <w:t xml:space="preserve"> TAIEX, India </w:t>
                  </w:r>
                  <w:r>
                    <w:rPr>
                      <w:rFonts w:eastAsia="微软雅黑" w:cs="Calibri"/>
                      <w:b/>
                      <w:w w:val="79"/>
                      <w:sz w:val="20"/>
                      <w:szCs w:val="20"/>
                    </w:rPr>
                    <w:t>–</w:t>
                  </w:r>
                  <w:r>
                    <w:rPr>
                      <w:rFonts w:eastAsia="楷体_GB2312" w:cs="Calibri"/>
                      <w:b/>
                      <w:w w:val="79"/>
                      <w:sz w:val="20"/>
                      <w:szCs w:val="20"/>
                    </w:rPr>
                    <w:t xml:space="preserve"> Nifty100, US </w:t>
                  </w:r>
                  <w:r>
                    <w:rPr>
                      <w:rFonts w:eastAsia="微软雅黑" w:cs="Calibri"/>
                      <w:b/>
                      <w:w w:val="79"/>
                      <w:sz w:val="20"/>
                      <w:szCs w:val="20"/>
                    </w:rPr>
                    <w:t>–</w:t>
                  </w:r>
                  <w:r>
                    <w:rPr>
                      <w:rFonts w:eastAsia="楷体_GB2312" w:cs="Calibri"/>
                      <w:b/>
                      <w:w w:val="79"/>
                      <w:sz w:val="20"/>
                      <w:szCs w:val="20"/>
                    </w:rPr>
                    <w:t xml:space="preserve"> SP500; for all other China-concept stocks </w:t>
                  </w:r>
                  <w:r>
                    <w:rPr>
                      <w:rFonts w:eastAsia="微软雅黑" w:cs="Calibri"/>
                      <w:b/>
                      <w:w w:val="79"/>
                      <w:sz w:val="20"/>
                      <w:szCs w:val="20"/>
                    </w:rPr>
                    <w:t>–</w:t>
                  </w:r>
                  <w:r>
                    <w:rPr>
                      <w:rFonts w:eastAsia="楷体_GB2312" w:cs="Calibri"/>
                      <w:b/>
                      <w:w w:val="79"/>
                      <w:sz w:val="20"/>
                      <w:szCs w:val="20"/>
                    </w:rPr>
                    <w:t xml:space="preserve"> MSCI China.</w:t>
                  </w:r>
                </w:p>
                <w:p>
                  <w:pPr>
                    <w:pStyle w:val="71"/>
                    <w:rPr>
                      <w:rFonts w:eastAsia="楷体_GB2312" w:cs="Calibri"/>
                      <w:w w:val="70"/>
                      <w:sz w:val="20"/>
                      <w:szCs w:val="20"/>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hint="eastAsia" w:eastAsia="楷体_GB2312" w:cs="Calibri"/>
                      <w:b/>
                      <w:w w:val="70"/>
                      <w:sz w:val="20"/>
                      <w:szCs w:val="20"/>
                      <w:lang w:eastAsia="zh-CN"/>
                    </w:rPr>
                    <w:t>华福</w:t>
                  </w:r>
                  <w:r>
                    <w:rPr>
                      <w:rFonts w:eastAsia="楷体_GB2312" w:cs="Calibri"/>
                      <w:b/>
                      <w:w w:val="70"/>
                      <w:sz w:val="20"/>
                      <w:szCs w:val="20"/>
                    </w:rPr>
                    <w:t>国际非评级研究：</w:t>
                  </w:r>
                  <w:r>
                    <w:rPr>
                      <w:rFonts w:hint="eastAsia" w:eastAsia="楷体_GB2312" w:cs="Calibri"/>
                      <w:bCs/>
                      <w:w w:val="70"/>
                      <w:sz w:val="20"/>
                      <w:szCs w:val="20"/>
                      <w:lang w:eastAsia="zh-CN"/>
                    </w:rPr>
                    <w:t>华福</w:t>
                  </w:r>
                  <w:r>
                    <w:rPr>
                      <w:rFonts w:eastAsia="楷体_GB2312" w:cs="Calibri"/>
                      <w:w w:val="70"/>
                      <w:sz w:val="20"/>
                      <w:szCs w:val="20"/>
                    </w:rPr>
                    <w:t>国际发布</w:t>
                  </w:r>
                  <w:r>
                    <w:rPr>
                      <w:rFonts w:eastAsia="楷体_GB2312" w:cs="Calibri"/>
                      <w:w w:val="70"/>
                      <w:sz w:val="20"/>
                      <w:szCs w:val="20"/>
                      <w:lang w:eastAsia="zh-CN"/>
                    </w:rPr>
                    <w:t>计</w:t>
                  </w:r>
                  <w:r>
                    <w:rPr>
                      <w:rFonts w:eastAsia="楷体_GB2312" w:cs="Calibri"/>
                      <w:w w:val="70"/>
                      <w:sz w:val="20"/>
                      <w:szCs w:val="20"/>
                    </w:rPr>
                    <w:t>量、筛选或短篇报告，并在报告中根据估值和其他指标对股票进行排名，或者基于可能的估值倍数提出建议价格。这种排名或建议价格并非为了进行股票评级、提出目标价格或进行基本面估值，而仅供参考使用。</w:t>
                  </w:r>
                </w:p>
                <w:p>
                  <w:pPr>
                    <w:pStyle w:val="71"/>
                    <w:rPr>
                      <w:rFonts w:eastAsia="楷体_GB2312" w:cs="Calibri"/>
                      <w:w w:val="70"/>
                      <w:sz w:val="20"/>
                      <w:szCs w:val="20"/>
                      <w:lang w:eastAsia="zh-CN"/>
                    </w:rPr>
                  </w:pPr>
                  <w:r>
                    <w:rPr>
                      <w:rFonts w:hint="eastAsia" w:eastAsia="楷体_GB2312" w:cs="Calibri"/>
                      <w:b/>
                      <w:w w:val="70"/>
                      <w:sz w:val="20"/>
                      <w:szCs w:val="20"/>
                      <w:lang w:eastAsia="zh-CN"/>
                    </w:rPr>
                    <w:t>HuaFu</w:t>
                  </w:r>
                  <w:r>
                    <w:rPr>
                      <w:rFonts w:eastAsia="楷体_GB2312" w:cs="Calibri"/>
                      <w:b/>
                      <w:w w:val="70"/>
                      <w:sz w:val="20"/>
                      <w:szCs w:val="20"/>
                    </w:rPr>
                    <w:t xml:space="preserve"> International Non-Rated Research</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publishes quantitative, screening or short reports which may rank stocks according to valuation and other metrics or may suggest prices based on possible valuation multiples. Such rankings or suggested prices do not purport to be stock ratings or target prices or fundamental values and are for information only.</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lang w:eastAsia="zh-CN"/>
                    </w:rPr>
                  </w:pPr>
                  <w:r>
                    <w:rPr>
                      <w:rFonts w:hint="eastAsia" w:eastAsia="楷体_GB2312" w:cs="Calibri"/>
                      <w:b/>
                      <w:w w:val="70"/>
                      <w:sz w:val="20"/>
                      <w:szCs w:val="20"/>
                      <w:lang w:eastAsia="zh-CN"/>
                    </w:rPr>
                    <w:t>华福</w:t>
                  </w:r>
                  <w:r>
                    <w:rPr>
                      <w:rFonts w:eastAsia="楷体_GB2312" w:cs="Calibri"/>
                      <w:b/>
                      <w:w w:val="70"/>
                      <w:sz w:val="20"/>
                      <w:szCs w:val="20"/>
                    </w:rPr>
                    <w:t>国际</w:t>
                  </w:r>
                  <w:r>
                    <w:rPr>
                      <w:rFonts w:eastAsia="楷体_GB2312" w:cs="Calibri"/>
                      <w:b/>
                      <w:w w:val="70"/>
                      <w:sz w:val="20"/>
                      <w:szCs w:val="20"/>
                      <w:lang w:eastAsia="zh-CN"/>
                    </w:rPr>
                    <w:t>A股覆盖</w:t>
                  </w:r>
                  <w:r>
                    <w:rPr>
                      <w:rFonts w:eastAsia="楷体_GB2312" w:cs="Calibri"/>
                      <w:b/>
                      <w:w w:val="70"/>
                      <w:sz w:val="20"/>
                      <w:szCs w:val="20"/>
                    </w:rPr>
                    <w:t>：</w:t>
                  </w:r>
                  <w:r>
                    <w:rPr>
                      <w:rFonts w:hint="eastAsia" w:eastAsia="楷体_GB2312" w:cs="Calibri"/>
                      <w:bCs/>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可能会就中国A股进行覆盖及评级。</w:t>
                  </w:r>
                  <w:r>
                    <w:rPr>
                      <w:rFonts w:hint="eastAsia" w:eastAsia="楷体_GB2312" w:cs="Calibri"/>
                      <w:w w:val="70"/>
                      <w:sz w:val="20"/>
                      <w:szCs w:val="20"/>
                      <w:lang w:eastAsia="zh-CN"/>
                    </w:rPr>
                    <w:t>华福</w:t>
                  </w:r>
                  <w:r>
                    <w:rPr>
                      <w:rFonts w:eastAsia="楷体_GB2312" w:cs="Calibri"/>
                      <w:w w:val="70"/>
                      <w:sz w:val="20"/>
                      <w:szCs w:val="20"/>
                      <w:lang w:eastAsia="zh-CN"/>
                    </w:rPr>
                    <w:t>证券，</w:t>
                  </w:r>
                  <w:r>
                    <w:rPr>
                      <w:rFonts w:hint="eastAsia" w:eastAsia="楷体_GB2312" w:cs="Calibri"/>
                      <w:w w:val="70"/>
                      <w:sz w:val="20"/>
                      <w:szCs w:val="20"/>
                      <w:lang w:eastAsia="zh-CN"/>
                    </w:rPr>
                    <w:t>华福</w:t>
                  </w:r>
                  <w:r>
                    <w:rPr>
                      <w:rFonts w:eastAsia="楷体_GB2312" w:cs="Calibri"/>
                      <w:w w:val="70"/>
                      <w:sz w:val="20"/>
                      <w:szCs w:val="20"/>
                      <w:lang w:eastAsia="zh-CN"/>
                    </w:rPr>
                    <w:t>国际于</w:t>
                  </w:r>
                  <w:r>
                    <w:rPr>
                      <w:rFonts w:hint="eastAsia" w:eastAsia="楷体_GB2312" w:cs="Calibri"/>
                      <w:w w:val="70"/>
                      <w:sz w:val="20"/>
                      <w:szCs w:val="20"/>
                      <w:lang w:eastAsia="zh-CN"/>
                    </w:rPr>
                    <w:t>福州</w:t>
                  </w:r>
                  <w:r>
                    <w:rPr>
                      <w:rFonts w:eastAsia="楷体_GB2312" w:cs="Calibri"/>
                      <w:w w:val="70"/>
                      <w:sz w:val="20"/>
                      <w:szCs w:val="20"/>
                      <w:lang w:eastAsia="zh-CN"/>
                    </w:rPr>
                    <w:t>的母公司，也会于中国发布中国A股的研究报告。但是，</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使用与</w:t>
                  </w:r>
                  <w:r>
                    <w:rPr>
                      <w:rFonts w:hint="eastAsia" w:eastAsia="楷体_GB2312" w:cs="Calibri"/>
                      <w:w w:val="70"/>
                      <w:sz w:val="20"/>
                      <w:szCs w:val="20"/>
                      <w:lang w:eastAsia="zh-CN"/>
                    </w:rPr>
                    <w:t>华福</w:t>
                  </w:r>
                  <w:r>
                    <w:rPr>
                      <w:rFonts w:eastAsia="楷体_GB2312" w:cs="Calibri"/>
                      <w:w w:val="70"/>
                      <w:sz w:val="20"/>
                      <w:szCs w:val="20"/>
                      <w:lang w:eastAsia="zh-CN"/>
                    </w:rPr>
                    <w:t>证券不同的评级系统，</w:t>
                  </w:r>
                  <w:r>
                    <w:rPr>
                      <w:rFonts w:hint="eastAsia" w:eastAsia="楷体_GB2312" w:cs="Calibri"/>
                      <w:w w:val="70"/>
                      <w:sz w:val="20"/>
                      <w:szCs w:val="20"/>
                      <w:lang w:eastAsia="zh-CN"/>
                    </w:rPr>
                    <w:t>且可能有完全独立的不同研究覆盖团队，</w:t>
                  </w:r>
                  <w:r>
                    <w:rPr>
                      <w:rFonts w:eastAsia="楷体_GB2312" w:cs="Calibri"/>
                      <w:w w:val="70"/>
                      <w:sz w:val="20"/>
                      <w:szCs w:val="20"/>
                      <w:lang w:eastAsia="zh-CN"/>
                    </w:rPr>
                    <w:t>所以</w:t>
                  </w:r>
                  <w:r>
                    <w:rPr>
                      <w:rFonts w:hint="eastAsia" w:eastAsia="楷体_GB2312" w:cs="Calibri"/>
                      <w:w w:val="70"/>
                      <w:sz w:val="20"/>
                      <w:szCs w:val="20"/>
                      <w:lang w:eastAsia="zh-CN"/>
                    </w:rPr>
                    <w:t>华福</w:t>
                  </w:r>
                  <w:r>
                    <w:rPr>
                      <w:rFonts w:eastAsia="楷体_GB2312" w:cs="Calibri"/>
                      <w:w w:val="70"/>
                      <w:sz w:val="20"/>
                      <w:szCs w:val="20"/>
                    </w:rPr>
                    <w:t>国际</w:t>
                  </w:r>
                  <w:r>
                    <w:rPr>
                      <w:rFonts w:eastAsia="楷体_GB2312" w:cs="Calibri"/>
                      <w:w w:val="70"/>
                      <w:sz w:val="20"/>
                      <w:szCs w:val="20"/>
                      <w:lang w:eastAsia="zh-CN"/>
                    </w:rPr>
                    <w:t>与</w:t>
                  </w:r>
                  <w:r>
                    <w:rPr>
                      <w:rFonts w:hint="eastAsia" w:eastAsia="楷体_GB2312" w:cs="Calibri"/>
                      <w:w w:val="70"/>
                      <w:sz w:val="20"/>
                      <w:szCs w:val="20"/>
                      <w:lang w:eastAsia="zh-CN"/>
                    </w:rPr>
                    <w:t>华福</w:t>
                  </w:r>
                  <w:r>
                    <w:rPr>
                      <w:rFonts w:eastAsia="楷体_GB2312" w:cs="Calibri"/>
                      <w:w w:val="70"/>
                      <w:sz w:val="20"/>
                      <w:szCs w:val="20"/>
                      <w:lang w:eastAsia="zh-CN"/>
                    </w:rPr>
                    <w:t>证券的中国A股评级</w:t>
                  </w:r>
                  <w:r>
                    <w:rPr>
                      <w:rFonts w:hint="eastAsia" w:eastAsia="楷体_GB2312" w:cs="Calibri"/>
                      <w:w w:val="70"/>
                      <w:sz w:val="20"/>
                      <w:szCs w:val="20"/>
                      <w:lang w:eastAsia="zh-CN"/>
                    </w:rPr>
                    <w:t>、目标价乃至分析逻辑</w:t>
                  </w:r>
                  <w:r>
                    <w:rPr>
                      <w:rFonts w:eastAsia="楷体_GB2312" w:cs="Calibri"/>
                      <w:w w:val="70"/>
                      <w:sz w:val="20"/>
                      <w:szCs w:val="20"/>
                      <w:lang w:eastAsia="zh-CN"/>
                    </w:rPr>
                    <w:t>可能有所不同。</w:t>
                  </w:r>
                </w:p>
                <w:p>
                  <w:pPr>
                    <w:pStyle w:val="71"/>
                    <w:rPr>
                      <w:rFonts w:eastAsia="楷体_GB2312" w:cs="Calibri"/>
                      <w:w w:val="70"/>
                      <w:sz w:val="20"/>
                      <w:szCs w:val="20"/>
                    </w:rPr>
                  </w:pPr>
                  <w:r>
                    <w:rPr>
                      <w:rFonts w:hint="eastAsia" w:eastAsia="楷体_GB2312" w:cs="Calibri"/>
                      <w:b/>
                      <w:w w:val="70"/>
                      <w:sz w:val="20"/>
                      <w:szCs w:val="20"/>
                      <w:lang w:eastAsia="zh-CN"/>
                    </w:rPr>
                    <w:t>HuaFu</w:t>
                  </w:r>
                  <w:r>
                    <w:rPr>
                      <w:rFonts w:eastAsia="楷体_GB2312" w:cs="Calibri"/>
                      <w:b/>
                      <w:w w:val="70"/>
                      <w:sz w:val="20"/>
                      <w:szCs w:val="20"/>
                    </w:rPr>
                    <w:t xml:space="preserve"> International Coverage of A-Shares</w:t>
                  </w:r>
                  <w:r>
                    <w:rPr>
                      <w:rFonts w:eastAsia="楷体_GB2312" w:cs="Calibri"/>
                      <w:b/>
                      <w:bCs/>
                      <w:w w:val="70"/>
                      <w:sz w:val="20"/>
                      <w:szCs w:val="20"/>
                    </w:rPr>
                    <w:t>:</w:t>
                  </w:r>
                  <w:r>
                    <w:rPr>
                      <w:rFonts w:eastAsia="楷体_GB2312" w:cs="Calibri"/>
                      <w:w w:val="70"/>
                      <w:sz w:val="20"/>
                      <w:szCs w:val="20"/>
                    </w:rPr>
                    <w:t xml:space="preserve">  </w:t>
                  </w:r>
                  <w:r>
                    <w:rPr>
                      <w:rFonts w:hint="eastAsia" w:eastAsia="楷体_GB2312" w:cs="Calibri"/>
                      <w:w w:val="70"/>
                      <w:sz w:val="20"/>
                      <w:szCs w:val="20"/>
                      <w:lang w:eastAsia="zh-CN"/>
                    </w:rPr>
                    <w:t>HuaFu</w:t>
                  </w:r>
                  <w:r>
                    <w:rPr>
                      <w:rFonts w:eastAsia="楷体_GB2312" w:cs="Calibri"/>
                      <w:w w:val="70"/>
                      <w:sz w:val="20"/>
                      <w:szCs w:val="20"/>
                    </w:rPr>
                    <w:t xml:space="preserve"> International may cover and rate A-Shares . </w:t>
                  </w:r>
                  <w:r>
                    <w:rPr>
                      <w:rFonts w:hint="eastAsia" w:eastAsia="楷体_GB2312" w:cs="Calibri"/>
                      <w:w w:val="70"/>
                      <w:sz w:val="20"/>
                      <w:szCs w:val="20"/>
                      <w:lang w:eastAsia="zh-CN"/>
                    </w:rPr>
                    <w:t>HuaFu</w:t>
                  </w:r>
                  <w:r>
                    <w:rPr>
                      <w:rFonts w:eastAsia="楷体_GB2312" w:cs="Calibri"/>
                      <w:w w:val="70"/>
                      <w:sz w:val="20"/>
                      <w:szCs w:val="20"/>
                    </w:rPr>
                    <w:t xml:space="preserve"> Securities, the ultimate parent company of </w:t>
                  </w:r>
                  <w:r>
                    <w:rPr>
                      <w:rFonts w:hint="eastAsia" w:eastAsia="楷体_GB2312" w:cs="Calibri"/>
                      <w:w w:val="70"/>
                      <w:sz w:val="20"/>
                      <w:szCs w:val="20"/>
                      <w:lang w:eastAsia="zh-CN"/>
                    </w:rPr>
                    <w:t>HuaFu International</w:t>
                  </w:r>
                  <w:r>
                    <w:rPr>
                      <w:rFonts w:eastAsia="楷体_GB2312" w:cs="Calibri"/>
                      <w:w w:val="70"/>
                      <w:sz w:val="20"/>
                      <w:szCs w:val="20"/>
                    </w:rPr>
                    <w:t xml:space="preserve"> based in </w:t>
                  </w:r>
                  <w:r>
                    <w:rPr>
                      <w:rFonts w:hint="eastAsia" w:eastAsia="楷体_GB2312" w:cs="Calibri"/>
                      <w:w w:val="70"/>
                      <w:sz w:val="20"/>
                      <w:szCs w:val="20"/>
                      <w:lang w:eastAsia="zh-CN"/>
                    </w:rPr>
                    <w:t>FuZhou</w:t>
                  </w:r>
                  <w:r>
                    <w:rPr>
                      <w:rFonts w:eastAsia="楷体_GB2312" w:cs="Calibri"/>
                      <w:w w:val="70"/>
                      <w:sz w:val="20"/>
                      <w:szCs w:val="20"/>
                    </w:rPr>
                    <w:t>, covers and publishes research on these same A-Shares for distribution in mainland China. However, the rating system employed by H</w:t>
                  </w:r>
                  <w:r>
                    <w:rPr>
                      <w:rFonts w:hint="eastAsia" w:eastAsia="楷体_GB2312" w:cs="Calibri"/>
                      <w:w w:val="70"/>
                      <w:sz w:val="20"/>
                      <w:szCs w:val="20"/>
                      <w:lang w:eastAsia="zh-CN"/>
                    </w:rPr>
                    <w:t>uaFu International</w:t>
                  </w:r>
                  <w:r>
                    <w:rPr>
                      <w:rFonts w:eastAsia="楷体_GB2312" w:cs="Calibri"/>
                      <w:w w:val="70"/>
                      <w:sz w:val="20"/>
                      <w:szCs w:val="20"/>
                    </w:rPr>
                    <w:t xml:space="preserve"> differs from that used by </w:t>
                  </w:r>
                  <w:r>
                    <w:rPr>
                      <w:rFonts w:hint="eastAsia" w:eastAsia="楷体_GB2312" w:cs="Calibri"/>
                      <w:w w:val="70"/>
                      <w:sz w:val="20"/>
                      <w:szCs w:val="20"/>
                      <w:lang w:eastAsia="zh-CN"/>
                    </w:rPr>
                    <w:t>HuaFu Securites</w:t>
                  </w:r>
                  <w:r>
                    <w:rPr>
                      <w:rFonts w:eastAsia="楷体_GB2312" w:cs="Calibri"/>
                      <w:w w:val="70"/>
                      <w:sz w:val="20"/>
                      <w:szCs w:val="20"/>
                    </w:rPr>
                    <w:t xml:space="preserve"> and </w:t>
                  </w:r>
                  <w:r>
                    <w:rPr>
                      <w:rFonts w:hint="eastAsia" w:eastAsia="楷体_GB2312" w:cs="Calibri"/>
                      <w:w w:val="70"/>
                      <w:sz w:val="20"/>
                      <w:szCs w:val="20"/>
                      <w:lang w:eastAsia="zh-CN"/>
                    </w:rPr>
                    <w:t xml:space="preserve">even the teams covering the same A-share stocks might be totally independently different, </w:t>
                  </w:r>
                  <w:r>
                    <w:rPr>
                      <w:rFonts w:eastAsia="楷体_GB2312" w:cs="Calibri"/>
                      <w:w w:val="70"/>
                      <w:sz w:val="20"/>
                      <w:szCs w:val="20"/>
                    </w:rPr>
                    <w:t xml:space="preserve">as a result there may be a difference in </w:t>
                  </w:r>
                  <w:r>
                    <w:rPr>
                      <w:rFonts w:hint="eastAsia" w:eastAsia="楷体_GB2312" w:cs="Calibri"/>
                      <w:w w:val="70"/>
                      <w:sz w:val="20"/>
                      <w:szCs w:val="20"/>
                      <w:lang w:eastAsia="zh-CN"/>
                    </w:rPr>
                    <w:t>their coverage</w:t>
                  </w:r>
                  <w:r>
                    <w:rPr>
                      <w:rFonts w:eastAsia="楷体_GB2312" w:cs="Calibri"/>
                      <w:w w:val="70"/>
                      <w:sz w:val="20"/>
                      <w:szCs w:val="20"/>
                    </w:rPr>
                    <w:t xml:space="preserve"> ratings</w:t>
                  </w:r>
                  <w:r>
                    <w:rPr>
                      <w:rFonts w:hint="eastAsia" w:eastAsia="楷体_GB2312" w:cs="Calibri"/>
                      <w:w w:val="70"/>
                      <w:sz w:val="20"/>
                      <w:szCs w:val="20"/>
                      <w:lang w:eastAsia="zh-CN"/>
                    </w:rPr>
                    <w:t>, target prices</w:t>
                  </w:r>
                  <w:r>
                    <w:rPr>
                      <w:rFonts w:eastAsia="楷体_GB2312" w:cs="Calibri"/>
                      <w:w w:val="70"/>
                      <w:sz w:val="20"/>
                      <w:szCs w:val="20"/>
                    </w:rPr>
                    <w:t xml:space="preserve"> </w:t>
                  </w:r>
                  <w:r>
                    <w:rPr>
                      <w:rFonts w:hint="eastAsia" w:eastAsia="楷体_GB2312" w:cs="Calibri"/>
                      <w:w w:val="70"/>
                      <w:sz w:val="20"/>
                      <w:szCs w:val="20"/>
                      <w:lang w:eastAsia="zh-CN"/>
                    </w:rPr>
                    <w:t xml:space="preserve">and research logics </w:t>
                  </w:r>
                  <w:r>
                    <w:rPr>
                      <w:rFonts w:eastAsia="楷体_GB2312" w:cs="Calibri"/>
                      <w:w w:val="70"/>
                      <w:sz w:val="20"/>
                      <w:szCs w:val="20"/>
                    </w:rPr>
                    <w:t>for the same A-share stocks.</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rPr>
                      <w:rFonts w:eastAsia="楷体_GB2312" w:cs="Calibri"/>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r>
                    <w:rPr>
                      <w:rFonts w:eastAsia="楷体_GB2312" w:cs="Calibri"/>
                      <w:b/>
                      <w:w w:val="70"/>
                      <w:sz w:val="20"/>
                      <w:szCs w:val="20"/>
                    </w:rPr>
                    <w:t>重要免责声明：</w:t>
                  </w:r>
                </w:p>
                <w:p>
                  <w:pPr>
                    <w:pStyle w:val="71"/>
                    <w:spacing w:after="60"/>
                    <w:rPr>
                      <w:rFonts w:eastAsia="楷体_GB2312" w:cs="Calibri"/>
                      <w:w w:val="70"/>
                      <w:sz w:val="20"/>
                      <w:szCs w:val="20"/>
                    </w:rPr>
                  </w:pPr>
                  <w:r>
                    <w:rPr>
                      <w:rFonts w:eastAsia="楷体_GB2312" w:cs="Calibri"/>
                      <w:w w:val="70"/>
                      <w:sz w:val="20"/>
                      <w:szCs w:val="20"/>
                    </w:rPr>
                    <w:t>本报告由</w:t>
                  </w:r>
                  <w:r>
                    <w:rPr>
                      <w:rFonts w:hint="eastAsia" w:eastAsia="楷体_GB2312" w:cs="Calibri"/>
                      <w:w w:val="70"/>
                      <w:sz w:val="20"/>
                      <w:szCs w:val="20"/>
                      <w:lang w:eastAsia="zh-CN"/>
                    </w:rPr>
                    <w:t>华福</w:t>
                  </w:r>
                  <w:r>
                    <w:rPr>
                      <w:rFonts w:eastAsia="楷体_GB2312" w:cs="Calibri"/>
                      <w:w w:val="70"/>
                      <w:sz w:val="20"/>
                      <w:szCs w:val="20"/>
                    </w:rPr>
                    <w:t>国际发行，该公司</w:t>
                  </w:r>
                  <w:r>
                    <w:rPr>
                      <w:rFonts w:eastAsia="楷体_GB2312" w:cs="Calibri"/>
                      <w:w w:val="70"/>
                      <w:sz w:val="20"/>
                      <w:szCs w:val="20"/>
                      <w:lang w:eastAsia="zh-CN"/>
                    </w:rPr>
                    <w:t>是根据</w:t>
                  </w:r>
                  <w:r>
                    <w:rPr>
                      <w:rFonts w:eastAsia="楷体_GB2312" w:cs="Calibri"/>
                      <w:w w:val="70"/>
                      <w:sz w:val="20"/>
                      <w:szCs w:val="20"/>
                    </w:rPr>
                    <w:t>香港证券及期货条例（第</w:t>
                  </w:r>
                  <w:r>
                    <w:rPr>
                      <w:rFonts w:eastAsia="楷体_GB2312" w:cs="Calibri"/>
                      <w:w w:val="70"/>
                      <w:sz w:val="20"/>
                      <w:szCs w:val="20"/>
                      <w:lang w:eastAsia="zh-CN"/>
                    </w:rPr>
                    <w:t>571</w:t>
                  </w:r>
                  <w:r>
                    <w:rPr>
                      <w:rFonts w:eastAsia="楷体_GB2312" w:cs="Calibri"/>
                      <w:w w:val="70"/>
                      <w:sz w:val="20"/>
                      <w:szCs w:val="20"/>
                    </w:rPr>
                    <w:t>章）</w:t>
                  </w:r>
                  <w:r>
                    <w:rPr>
                      <w:rFonts w:eastAsia="楷体_GB2312" w:cs="Calibri"/>
                      <w:w w:val="70"/>
                      <w:sz w:val="20"/>
                      <w:szCs w:val="20"/>
                      <w:lang w:eastAsia="zh-CN"/>
                    </w:rPr>
                    <w:t>持有</w:t>
                  </w:r>
                  <w:r>
                    <w:rPr>
                      <w:rFonts w:eastAsia="楷体_GB2312" w:cs="Calibri"/>
                      <w:w w:val="70"/>
                      <w:sz w:val="20"/>
                      <w:szCs w:val="20"/>
                    </w:rPr>
                    <w:t>第</w:t>
                  </w:r>
                  <w:r>
                    <w:rPr>
                      <w:rFonts w:eastAsia="楷体_GB2312" w:cs="Calibri"/>
                      <w:w w:val="70"/>
                      <w:sz w:val="20"/>
                      <w:szCs w:val="20"/>
                      <w:lang w:eastAsia="zh-CN"/>
                    </w:rPr>
                    <w:t>4</w:t>
                  </w:r>
                  <w:r>
                    <w:rPr>
                      <w:rFonts w:eastAsia="楷体_GB2312" w:cs="Calibri"/>
                      <w:w w:val="70"/>
                      <w:sz w:val="20"/>
                      <w:szCs w:val="20"/>
                    </w:rPr>
                    <w:t>类受规管活动（就证券提供意见）的持牌法团。</w:t>
                  </w:r>
                </w:p>
                <w:p>
                  <w:pPr>
                    <w:pStyle w:val="71"/>
                    <w:spacing w:after="60"/>
                    <w:rPr>
                      <w:rFonts w:eastAsia="楷体_GB2312" w:cs="Calibri"/>
                      <w:w w:val="70"/>
                      <w:sz w:val="20"/>
                      <w:szCs w:val="20"/>
                    </w:rPr>
                  </w:pPr>
                  <w:r>
                    <w:rPr>
                      <w:rFonts w:eastAsia="楷体_GB2312" w:cs="Calibri"/>
                      <w:w w:val="70"/>
                      <w:sz w:val="20"/>
                      <w:szCs w:val="20"/>
                    </w:rPr>
                    <w:t>本文件所载信息和观点已被编译或源自可靠来源，但</w:t>
                  </w:r>
                  <w:r>
                    <w:rPr>
                      <w:rFonts w:hint="eastAsia" w:eastAsia="楷体_GB2312" w:cs="Calibri"/>
                      <w:w w:val="70"/>
                      <w:sz w:val="20"/>
                      <w:szCs w:val="20"/>
                      <w:lang w:eastAsia="zh-CN"/>
                    </w:rPr>
                    <w:t>华福国际</w:t>
                  </w:r>
                  <w:r>
                    <w:rPr>
                      <w:rFonts w:eastAsia="楷体_GB2312" w:cs="Calibri"/>
                      <w:w w:val="70"/>
                      <w:sz w:val="20"/>
                      <w:szCs w:val="20"/>
                    </w:rPr>
                    <w:t>或任何其他属于</w:t>
                  </w:r>
                  <w:r>
                    <w:rPr>
                      <w:rFonts w:hint="eastAsia" w:eastAsia="楷体_GB2312" w:cs="Calibri"/>
                      <w:w w:val="70"/>
                      <w:sz w:val="20"/>
                      <w:szCs w:val="20"/>
                      <w:lang w:eastAsia="zh-CN"/>
                    </w:rPr>
                    <w:t>华福</w:t>
                  </w:r>
                  <w:r>
                    <w:rPr>
                      <w:rFonts w:eastAsia="楷体_GB2312" w:cs="Calibri"/>
                      <w:w w:val="70"/>
                      <w:sz w:val="20"/>
                      <w:szCs w:val="20"/>
                    </w:rPr>
                    <w:t>国际的成员对其准确性、完整性和正确性不做任何明示或暗示的声明或保证。本文件中所有观点均截至本报告日期，如有更改，恕不另行通知。本文件仅供参考使用。文件中提及的任何公司或其股票的说明并非意图展示完整的内容，本文件并非</w:t>
                  </w:r>
                  <w:r>
                    <w:rPr>
                      <w:rFonts w:eastAsia="楷体_GB2312" w:cs="Calibri"/>
                      <w:w w:val="70"/>
                      <w:sz w:val="20"/>
                      <w:szCs w:val="20"/>
                      <w:lang w:eastAsia="zh-CN"/>
                    </w:rPr>
                    <w:t>/</w:t>
                  </w:r>
                  <w:r>
                    <w:rPr>
                      <w:rFonts w:eastAsia="楷体_GB2312" w:cs="Calibri"/>
                      <w:w w:val="70"/>
                      <w:sz w:val="20"/>
                      <w:szCs w:val="20"/>
                    </w:rPr>
                    <w:t>不应被解释为对证券买卖的明示或暗示地出价或征价。在某些司法管辖区，本文件中提及的证券可能无法进行买卖。如果投资产品以投资者本国货币以外的币种进行计价，则汇率变化可能会对投资产生不利影响。过去的表现并不一定代表将来的结果。某些特定交易，包括设计金融衍生工具的，有产生重大风险的可能性，因此并不适合所有的投资者。您还应认识到本文件中的建议并非为您量身定制。分析师并未考虑到您自身的财务情况，如您的财务状况和风险偏好。因此您必须自行分析并在适用的情况下咨询自己的法律、税收、会计、金融和其他方面的专业顾问，以期在投资之前评估该项建议是否适合于您。若由于使用本文件所载的材料而产生任何直接或间接的损失，</w:t>
                  </w:r>
                  <w:r>
                    <w:rPr>
                      <w:rFonts w:hint="eastAsia" w:eastAsia="楷体_GB2312" w:cs="Calibri"/>
                      <w:w w:val="70"/>
                      <w:sz w:val="20"/>
                      <w:szCs w:val="20"/>
                      <w:lang w:eastAsia="zh-CN"/>
                    </w:rPr>
                    <w:t>华福国际</w:t>
                  </w:r>
                  <w:r>
                    <w:rPr>
                      <w:rFonts w:eastAsia="楷体_GB2312" w:cs="Calibri"/>
                      <w:w w:val="70"/>
                      <w:sz w:val="20"/>
                      <w:szCs w:val="20"/>
                    </w:rPr>
                    <w:t xml:space="preserve">及其董事、雇员或代理人对此均不承担任何责任。 </w:t>
                  </w:r>
                </w:p>
                <w:p>
                  <w:pPr>
                    <w:pStyle w:val="71"/>
                    <w:spacing w:after="60"/>
                    <w:rPr>
                      <w:rFonts w:eastAsia="楷体_GB2312" w:cs="Calibri"/>
                      <w:w w:val="70"/>
                      <w:sz w:val="20"/>
                      <w:szCs w:val="20"/>
                    </w:rPr>
                  </w:pPr>
                  <w:r>
                    <w:rPr>
                      <w:rFonts w:eastAsia="楷体_GB2312" w:cs="Calibri"/>
                      <w:w w:val="70"/>
                      <w:sz w:val="20"/>
                      <w:szCs w:val="20"/>
                    </w:rPr>
                    <w:t>除对本文内容承担责任的分析师除外，</w:t>
                  </w:r>
                  <w:r>
                    <w:rPr>
                      <w:rFonts w:hint="eastAsia" w:eastAsia="楷体_GB2312" w:cs="Calibri"/>
                      <w:w w:val="70"/>
                      <w:sz w:val="20"/>
                      <w:szCs w:val="20"/>
                      <w:lang w:eastAsia="zh-CN"/>
                    </w:rPr>
                    <w:t>华福国际</w:t>
                  </w:r>
                  <w:r>
                    <w:rPr>
                      <w:rFonts w:eastAsia="楷体_GB2312" w:cs="Calibri"/>
                      <w:w w:val="70"/>
                      <w:sz w:val="20"/>
                      <w:szCs w:val="20"/>
                    </w:rPr>
                    <w:t>及我们的关联公司、高级管理人员、董事和雇员，均可不时作为</w:t>
                  </w:r>
                  <w:r>
                    <w:rPr>
                      <w:rFonts w:eastAsia="楷体_GB2312" w:cs="Calibri"/>
                      <w:w w:val="70"/>
                      <w:sz w:val="20"/>
                      <w:szCs w:val="20"/>
                      <w:lang w:eastAsia="zh-CN"/>
                    </w:rPr>
                    <w:t>主事人</w:t>
                  </w:r>
                  <w:r>
                    <w:rPr>
                      <w:rFonts w:eastAsia="楷体_GB2312" w:cs="Calibri"/>
                      <w:w w:val="70"/>
                      <w:sz w:val="20"/>
                      <w:szCs w:val="20"/>
                    </w:rPr>
                    <w:t>就本文件所述的任何证券或衍生品持有长仓或短仓以及进行买卖。</w:t>
                  </w:r>
                  <w:r>
                    <w:rPr>
                      <w:rFonts w:hint="eastAsia" w:eastAsia="楷体_GB2312" w:cs="Calibri"/>
                      <w:w w:val="70"/>
                      <w:sz w:val="20"/>
                      <w:szCs w:val="20"/>
                      <w:lang w:eastAsia="zh-CN"/>
                    </w:rPr>
                    <w:t>华福国际</w:t>
                  </w:r>
                  <w:r>
                    <w:rPr>
                      <w:rFonts w:eastAsia="楷体_GB2312" w:cs="Calibri"/>
                      <w:w w:val="70"/>
                      <w:sz w:val="20"/>
                      <w:szCs w:val="20"/>
                    </w:rPr>
                    <w:t>的销售员、交易员和其他专业人士均可向</w:t>
                  </w:r>
                  <w:r>
                    <w:rPr>
                      <w:rFonts w:hint="eastAsia" w:eastAsia="楷体_GB2312" w:cs="Calibri"/>
                      <w:w w:val="70"/>
                      <w:sz w:val="20"/>
                      <w:szCs w:val="20"/>
                      <w:lang w:eastAsia="zh-CN"/>
                    </w:rPr>
                    <w:t>华福国际</w:t>
                  </w:r>
                  <w:r>
                    <w:rPr>
                      <w:rFonts w:eastAsia="楷体_GB2312" w:cs="Calibri"/>
                      <w:w w:val="70"/>
                      <w:sz w:val="20"/>
                      <w:szCs w:val="20"/>
                    </w:rPr>
                    <w:t>的相关客户和公司提供与本文件所述意见相反的口头或书面市场评论意见或交易策略</w:t>
                  </w:r>
                  <w:r>
                    <w:rPr>
                      <w:rFonts w:hint="eastAsia" w:eastAsia="楷体_GB2312" w:cs="Calibri"/>
                      <w:w w:val="70"/>
                      <w:sz w:val="20"/>
                      <w:szCs w:val="20"/>
                      <w:lang w:eastAsia="zh-CN"/>
                    </w:rPr>
                    <w:t>。华福国际</w:t>
                  </w:r>
                  <w:r>
                    <w:rPr>
                      <w:rFonts w:eastAsia="楷体_GB2312" w:cs="Calibri"/>
                      <w:w w:val="70"/>
                      <w:sz w:val="20"/>
                      <w:szCs w:val="20"/>
                    </w:rPr>
                    <w:t>可做出与本文件所述建议或意见不一致的投资决策。但</w:t>
                  </w:r>
                  <w:r>
                    <w:rPr>
                      <w:rFonts w:hint="eastAsia" w:eastAsia="楷体_GB2312" w:cs="Calibri"/>
                      <w:w w:val="70"/>
                      <w:sz w:val="20"/>
                      <w:szCs w:val="20"/>
                      <w:lang w:eastAsia="zh-CN"/>
                    </w:rPr>
                    <w:t>华福国际</w:t>
                  </w:r>
                  <w:r>
                    <w:rPr>
                      <w:rFonts w:eastAsia="楷体_GB2312" w:cs="Calibri"/>
                      <w:w w:val="70"/>
                      <w:sz w:val="20"/>
                      <w:szCs w:val="20"/>
                    </w:rPr>
                    <w:t>没有义务来确保本文件的收件人了解到该等交易</w:t>
                  </w:r>
                  <w:r>
                    <w:rPr>
                      <w:rFonts w:eastAsia="楷体_GB2312" w:cs="Calibri"/>
                      <w:w w:val="70"/>
                      <w:sz w:val="20"/>
                      <w:szCs w:val="20"/>
                      <w:lang w:eastAsia="zh-CN"/>
                    </w:rPr>
                    <w:t>决定、</w:t>
                  </w:r>
                  <w:r>
                    <w:rPr>
                      <w:rFonts w:eastAsia="楷体_GB2312" w:cs="Calibri"/>
                      <w:w w:val="70"/>
                      <w:sz w:val="20"/>
                      <w:szCs w:val="20"/>
                    </w:rPr>
                    <w:t>思路或建议。</w:t>
                  </w:r>
                </w:p>
                <w:p>
                  <w:pPr>
                    <w:pStyle w:val="71"/>
                    <w:spacing w:after="60"/>
                    <w:rPr>
                      <w:rFonts w:eastAsia="楷体_GB2312" w:cs="Calibri"/>
                      <w:snapToGrid/>
                      <w:w w:val="70"/>
                      <w:sz w:val="20"/>
                      <w:szCs w:val="20"/>
                    </w:rPr>
                  </w:pPr>
                  <w:r>
                    <w:rPr>
                      <w:rFonts w:eastAsia="楷体_GB2312" w:cs="Calibri"/>
                      <w:snapToGrid/>
                      <w:w w:val="70"/>
                      <w:sz w:val="20"/>
                      <w:szCs w:val="20"/>
                    </w:rPr>
                    <w:t>请访问</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网站</w:t>
                  </w:r>
                  <w:r>
                    <w:rPr>
                      <w:rFonts w:eastAsia="楷体_GB2312" w:cs="Calibri"/>
                      <w:snapToGrid/>
                      <w:w w:val="70"/>
                      <w:sz w:val="20"/>
                      <w:szCs w:val="20"/>
                      <w:lang w:eastAsia="zh-CN"/>
                    </w:rPr>
                    <w:t xml:space="preserve"> </w:t>
                  </w:r>
                  <w:r>
                    <w:fldChar w:fldCharType="begin"/>
                  </w:r>
                  <w:r>
                    <w:instrText xml:space="preserve"> HYPERLINK "http://www.equities.htisec.com" </w:instrText>
                  </w:r>
                  <w:r>
                    <w:fldChar w:fldCharType="separate"/>
                  </w:r>
                  <w:r>
                    <w:rPr>
                      <w:rFonts w:eastAsia="楷体_GB2312" w:cs="Calibri"/>
                      <w:snapToGrid/>
                      <w:color w:val="0000FF"/>
                      <w:w w:val="70"/>
                      <w:sz w:val="20"/>
                      <w:szCs w:val="20"/>
                      <w:u w:val="single"/>
                      <w:lang w:eastAsia="zh-CN"/>
                    </w:rPr>
                    <w:t>www.</w:t>
                  </w:r>
                  <w:r>
                    <w:rPr>
                      <w:rFonts w:hint="eastAsia" w:eastAsia="楷体_GB2312" w:cs="Calibri"/>
                      <w:snapToGrid/>
                      <w:color w:val="0000FF"/>
                      <w:w w:val="70"/>
                      <w:sz w:val="20"/>
                      <w:szCs w:val="20"/>
                      <w:u w:val="single"/>
                      <w:lang w:eastAsia="zh-CN"/>
                    </w:rPr>
                    <w:t>hfisec.</w:t>
                  </w:r>
                  <w:r>
                    <w:rPr>
                      <w:rFonts w:eastAsia="楷体_GB2312" w:cs="Calibri"/>
                      <w:snapToGrid/>
                      <w:color w:val="0000FF"/>
                      <w:w w:val="70"/>
                      <w:sz w:val="20"/>
                      <w:szCs w:val="20"/>
                      <w:u w:val="single"/>
                      <w:lang w:eastAsia="zh-CN"/>
                    </w:rPr>
                    <w:t>com</w:t>
                  </w:r>
                  <w:r>
                    <w:rPr>
                      <w:rFonts w:eastAsia="楷体_GB2312" w:cs="Calibri"/>
                      <w:snapToGrid/>
                      <w:color w:val="0000FF"/>
                      <w:w w:val="70"/>
                      <w:sz w:val="20"/>
                      <w:szCs w:val="20"/>
                      <w:u w:val="single"/>
                      <w:lang w:eastAsia="zh-CN"/>
                    </w:rPr>
                    <w:fldChar w:fldCharType="end"/>
                  </w:r>
                  <w:r>
                    <w:rPr>
                      <w:rFonts w:hint="eastAsia" w:eastAsia="楷体_GB2312" w:cs="Calibri"/>
                      <w:snapToGrid/>
                      <w:color w:val="0000FF"/>
                      <w:w w:val="70"/>
                      <w:sz w:val="20"/>
                      <w:szCs w:val="20"/>
                      <w:u w:val="single"/>
                      <w:lang w:eastAsia="zh-CN"/>
                    </w:rPr>
                    <w:t>.hk</w:t>
                  </w:r>
                  <w:r>
                    <w:rPr>
                      <w:rFonts w:eastAsia="楷体_GB2312" w:cs="Calibri"/>
                      <w:snapToGrid/>
                      <w:w w:val="70"/>
                      <w:sz w:val="20"/>
                      <w:szCs w:val="20"/>
                      <w:lang w:eastAsia="zh-CN"/>
                    </w:rPr>
                    <w:t xml:space="preserve"> </w:t>
                  </w:r>
                  <w:r>
                    <w:rPr>
                      <w:rFonts w:eastAsia="楷体_GB2312" w:cs="Calibri"/>
                      <w:snapToGrid/>
                      <w:w w:val="70"/>
                      <w:sz w:val="20"/>
                      <w:szCs w:val="20"/>
                    </w:rPr>
                    <w:t>，查阅更多有关</w:t>
                  </w:r>
                  <w:r>
                    <w:rPr>
                      <w:rFonts w:hint="eastAsia" w:eastAsia="楷体_GB2312" w:cs="Calibri"/>
                      <w:snapToGrid/>
                      <w:w w:val="70"/>
                      <w:sz w:val="20"/>
                      <w:szCs w:val="20"/>
                      <w:lang w:eastAsia="zh-CN"/>
                    </w:rPr>
                    <w:t>华福</w:t>
                  </w:r>
                  <w:r>
                    <w:rPr>
                      <w:rFonts w:eastAsia="楷体_GB2312" w:cs="Calibri"/>
                      <w:w w:val="70"/>
                      <w:sz w:val="20"/>
                      <w:szCs w:val="20"/>
                    </w:rPr>
                    <w:t>国际</w:t>
                  </w:r>
                  <w:r>
                    <w:rPr>
                      <w:rFonts w:eastAsia="楷体_GB2312" w:cs="Calibri"/>
                      <w:snapToGrid/>
                      <w:w w:val="70"/>
                      <w:sz w:val="20"/>
                      <w:szCs w:val="20"/>
                    </w:rPr>
                    <w:t>为预防和避免利益冲突设立的组织和行政安排的内容信息。</w:t>
                  </w:r>
                </w:p>
                <w:p>
                  <w:pPr>
                    <w:pStyle w:val="71"/>
                    <w:spacing w:after="40"/>
                    <w:rPr>
                      <w:rFonts w:eastAsia="楷体_GB2312" w:cs="Calibri"/>
                      <w:b/>
                      <w:bCs/>
                      <w:w w:val="70"/>
                      <w:sz w:val="20"/>
                      <w:szCs w:val="20"/>
                    </w:rPr>
                  </w:pPr>
                  <w:r>
                    <w:rPr>
                      <w:rFonts w:eastAsia="楷体_GB2312" w:cs="Calibri"/>
                      <w:b/>
                      <w:bCs/>
                      <w:w w:val="70"/>
                      <w:sz w:val="20"/>
                      <w:szCs w:val="20"/>
                    </w:rPr>
                    <w:t>IMPORTANT DISCLAIMER</w:t>
                  </w:r>
                </w:p>
                <w:p>
                  <w:pPr>
                    <w:pStyle w:val="71"/>
                    <w:spacing w:after="40"/>
                    <w:rPr>
                      <w:rFonts w:eastAsia="楷体_GB2312" w:cs="Calibri"/>
                      <w:w w:val="70"/>
                      <w:sz w:val="20"/>
                      <w:szCs w:val="20"/>
                    </w:rPr>
                  </w:pPr>
                  <w:r>
                    <w:rPr>
                      <w:rFonts w:eastAsia="楷体_GB2312" w:cs="Calibri"/>
                      <w:w w:val="70"/>
                      <w:sz w:val="20"/>
                      <w:szCs w:val="20"/>
                    </w:rPr>
                    <w:t xml:space="preserve">The research report is issued by </w:t>
                  </w:r>
                  <w:r>
                    <w:rPr>
                      <w:rFonts w:hint="eastAsia" w:eastAsia="楷体_GB2312" w:cs="Calibri"/>
                      <w:w w:val="70"/>
                      <w:sz w:val="20"/>
                      <w:szCs w:val="20"/>
                      <w:lang w:eastAsia="zh-CN"/>
                    </w:rPr>
                    <w:t>HuaFu</w:t>
                  </w:r>
                  <w:r>
                    <w:rPr>
                      <w:rFonts w:eastAsia="楷体_GB2312" w:cs="Calibri"/>
                      <w:w w:val="70"/>
                      <w:sz w:val="20"/>
                      <w:szCs w:val="20"/>
                    </w:rPr>
                    <w:t xml:space="preserve"> International</w:t>
                  </w:r>
                  <w:r>
                    <w:rPr>
                      <w:rFonts w:hint="eastAsia" w:eastAsia="楷体_GB2312" w:cs="Calibri"/>
                      <w:w w:val="70"/>
                      <w:sz w:val="20"/>
                      <w:szCs w:val="20"/>
                      <w:lang w:eastAsia="zh-CN"/>
                    </w:rPr>
                    <w:t xml:space="preserve">, </w:t>
                  </w:r>
                  <w:r>
                    <w:rPr>
                      <w:rFonts w:eastAsia="楷体_GB2312" w:cs="Calibri"/>
                      <w:w w:val="70"/>
                      <w:sz w:val="20"/>
                      <w:szCs w:val="20"/>
                    </w:rPr>
                    <w:t>a licensed corporation to carry on Type 4 regulated activity (advising on securities) for the purpose of the Securities and Futures Ordinance (Cap. 571)</w:t>
                  </w:r>
                  <w:r>
                    <w:rPr>
                      <w:rFonts w:eastAsia="楷体_GB2312" w:cs="Calibri"/>
                      <w:w w:val="70"/>
                      <w:sz w:val="20"/>
                      <w:szCs w:val="20"/>
                      <w:lang w:eastAsia="zh-HK"/>
                    </w:rPr>
                    <w:t xml:space="preserve"> of Hong Kong</w:t>
                  </w:r>
                  <w:r>
                    <w:rPr>
                      <w:rFonts w:eastAsia="楷体_GB2312" w:cs="Calibri"/>
                      <w:w w:val="70"/>
                      <w:sz w:val="20"/>
                      <w:szCs w:val="20"/>
                    </w:rPr>
                    <w:t>.</w:t>
                  </w:r>
                </w:p>
                <w:p>
                  <w:pPr>
                    <w:pStyle w:val="71"/>
                    <w:spacing w:after="40"/>
                    <w:rPr>
                      <w:rFonts w:eastAsia="楷体_GB2312" w:cs="Calibri"/>
                      <w:w w:val="70"/>
                      <w:sz w:val="20"/>
                      <w:szCs w:val="20"/>
                    </w:rPr>
                  </w:pPr>
                  <w:r>
                    <w:rPr>
                      <w:rFonts w:eastAsia="楷体_GB2312" w:cs="Calibri"/>
                      <w:w w:val="70"/>
                      <w:sz w:val="20"/>
                      <w:szCs w:val="20"/>
                    </w:rPr>
                    <w:t xml:space="preserve">The information and opinions contained in this research report have been compiled or arrived at from sources believed to be reliable and in good faith but no representation or warranty, express or implied, is made by </w:t>
                  </w:r>
                  <w:r>
                    <w:rPr>
                      <w:rFonts w:hint="eastAsia" w:eastAsia="楷体_GB2312" w:cs="Calibri"/>
                      <w:w w:val="70"/>
                      <w:sz w:val="20"/>
                      <w:szCs w:val="20"/>
                      <w:lang w:eastAsia="zh-CN"/>
                    </w:rPr>
                    <w:t>HuaFu International</w:t>
                  </w:r>
                  <w:r>
                    <w:rPr>
                      <w:rFonts w:eastAsia="楷体_GB2312" w:cs="Calibri"/>
                      <w:w w:val="70"/>
                      <w:sz w:val="20"/>
                      <w:szCs w:val="20"/>
                    </w:rPr>
                    <w:t xml:space="preserve"> or any other </w:t>
                  </w:r>
                  <w:r>
                    <w:rPr>
                      <w:rFonts w:hint="eastAsia" w:eastAsia="楷体_GB2312" w:cs="Calibri"/>
                      <w:w w:val="70"/>
                      <w:sz w:val="20"/>
                      <w:szCs w:val="20"/>
                      <w:lang w:eastAsia="zh-CN"/>
                    </w:rPr>
                    <w:t xml:space="preserve">related </w:t>
                  </w:r>
                  <w:r>
                    <w:rPr>
                      <w:rFonts w:eastAsia="楷体_GB2312" w:cs="Calibri"/>
                      <w:w w:val="70"/>
                      <w:sz w:val="20"/>
                      <w:szCs w:val="20"/>
                    </w:rPr>
                    <w:t>members</w:t>
                  </w:r>
                  <w:r>
                    <w:rPr>
                      <w:rFonts w:hint="eastAsia" w:eastAsia="楷体_GB2312" w:cs="Calibri"/>
                      <w:w w:val="70"/>
                      <w:sz w:val="20"/>
                      <w:szCs w:val="20"/>
                      <w:lang w:eastAsia="zh-CN"/>
                    </w:rPr>
                    <w:t xml:space="preserve"> </w:t>
                  </w:r>
                  <w:r>
                    <w:rPr>
                      <w:rFonts w:eastAsia="楷体_GB2312" w:cs="Calibri"/>
                      <w:w w:val="70"/>
                      <w:sz w:val="20"/>
                      <w:szCs w:val="20"/>
                    </w:rPr>
                    <w:t xml:space="preserve">from which this research report may be received, as to their accuracy, completeness or correctness. All opinions expressed herein are as of the date of this research report and are subject to change without notice. This research report is for information purpose only. Descriptions of any companies or their securities mentioned herein are not intended to be complete and this research report is not, and should not be construed expressly or impliedly as, an offer to buy or sell securities. The securities referred to in this research report may not be eligible for purchase or sale in some jurisdictions. If an investment product is denominated in a currency other than an investor's home currency, a change in exchange rates may adversely affect the investment. Past performance is not necessarily indicative of future results. Certain transactions, including those involving derivatives, give rise to substantial risk and are not suitable for all investors. You should also bear in mind that recommendations in this research report are not tailor-made for you. The analyst has not taken into account your unique financial circumstances, such as your financial situation and risk appetite. You must, therefore, analyze and should, where applicable, consult your own legal, tax, accounting, financial and other professional advisers to evaluate whether the recommendations suits you before investment. Neither </w:t>
                  </w:r>
                  <w:r>
                    <w:rPr>
                      <w:rFonts w:hint="eastAsia" w:eastAsia="楷体_GB2312" w:cs="Calibri"/>
                      <w:w w:val="70"/>
                      <w:sz w:val="20"/>
                      <w:szCs w:val="20"/>
                      <w:lang w:eastAsia="zh-CN"/>
                    </w:rPr>
                    <w:t>HuaFu International</w:t>
                  </w:r>
                  <w:r>
                    <w:rPr>
                      <w:rFonts w:eastAsia="楷体_GB2312" w:cs="Calibri"/>
                      <w:w w:val="70"/>
                      <w:sz w:val="20"/>
                      <w:szCs w:val="20"/>
                    </w:rPr>
                    <w:t xml:space="preserve"> nor any of its directors, employees or agents accepts any liability whatsoever for any direct or consequential loss arising from any use of the materials contained in this research report. </w:t>
                  </w:r>
                </w:p>
                <w:p>
                  <w:pPr>
                    <w:pStyle w:val="71"/>
                    <w:spacing w:after="40"/>
                    <w:rPr>
                      <w:rFonts w:eastAsia="楷体_GB2312" w:cs="Calibri"/>
                      <w:w w:val="70"/>
                      <w:sz w:val="20"/>
                      <w:szCs w:val="20"/>
                    </w:rPr>
                  </w:pPr>
                  <w:r>
                    <w:rPr>
                      <w:rFonts w:hint="eastAsia" w:eastAsia="楷体_GB2312" w:cs="Calibri"/>
                      <w:w w:val="70"/>
                      <w:sz w:val="20"/>
                      <w:szCs w:val="20"/>
                      <w:lang w:eastAsia="zh-CN"/>
                    </w:rPr>
                    <w:t>HuaFu International</w:t>
                  </w:r>
                  <w:r>
                    <w:rPr>
                      <w:rFonts w:eastAsia="楷体_GB2312" w:cs="Calibri"/>
                      <w:w w:val="70"/>
                      <w:sz w:val="20"/>
                      <w:szCs w:val="20"/>
                    </w:rPr>
                    <w:t xml:space="preserve"> and </w:t>
                  </w:r>
                  <w:r>
                    <w:rPr>
                      <w:rFonts w:hint="eastAsia" w:eastAsia="楷体_GB2312" w:cs="Calibri"/>
                      <w:w w:val="70"/>
                      <w:sz w:val="20"/>
                      <w:szCs w:val="20"/>
                      <w:lang w:eastAsia="zh-CN"/>
                    </w:rPr>
                    <w:t>its</w:t>
                  </w:r>
                  <w:r>
                    <w:rPr>
                      <w:rFonts w:eastAsia="楷体_GB2312" w:cs="Calibri"/>
                      <w:w w:val="70"/>
                      <w:sz w:val="20"/>
                      <w:szCs w:val="20"/>
                    </w:rPr>
                    <w:t xml:space="preserve"> affiliates, officers, directors, and employees, excluding the analysts responsible for the content of this document, will from time to time have long or short positions in, act as principal in, and buy or sell, the securities or derivatives, if any, referred to in this research report. Sales, traders, and other professionals of </w:t>
                  </w:r>
                  <w:r>
                    <w:rPr>
                      <w:rFonts w:hint="eastAsia" w:eastAsia="楷体_GB2312" w:cs="Calibri"/>
                      <w:w w:val="70"/>
                      <w:sz w:val="20"/>
                      <w:szCs w:val="20"/>
                      <w:lang w:eastAsia="zh-CN"/>
                    </w:rPr>
                    <w:t xml:space="preserve">HuaFu International </w:t>
                  </w:r>
                  <w:r>
                    <w:rPr>
                      <w:rFonts w:eastAsia="楷体_GB2312" w:cs="Calibri"/>
                      <w:w w:val="70"/>
                      <w:sz w:val="20"/>
                      <w:szCs w:val="20"/>
                    </w:rPr>
                    <w:t xml:space="preserve">may provide oral or written market commentary or trading strategies to the relevant clients and the companies within </w:t>
                  </w:r>
                  <w:r>
                    <w:rPr>
                      <w:rFonts w:hint="eastAsia" w:eastAsia="楷体_GB2312" w:cs="Calibri"/>
                      <w:w w:val="70"/>
                      <w:sz w:val="20"/>
                      <w:szCs w:val="20"/>
                      <w:lang w:eastAsia="zh-CN"/>
                    </w:rPr>
                    <w:t>HuaFu International</w:t>
                  </w:r>
                  <w:r>
                    <w:rPr>
                      <w:rFonts w:eastAsia="楷体_GB2312" w:cs="Calibri"/>
                      <w:w w:val="70"/>
                      <w:sz w:val="20"/>
                      <w:szCs w:val="20"/>
                    </w:rPr>
                    <w:t xml:space="preserve"> that reflect opinions that are contrary to the opinions expressed in this research report. </w:t>
                  </w:r>
                  <w:r>
                    <w:rPr>
                      <w:rFonts w:hint="eastAsia" w:eastAsia="楷体_GB2312" w:cs="Calibri"/>
                      <w:w w:val="70"/>
                      <w:sz w:val="20"/>
                      <w:szCs w:val="20"/>
                      <w:lang w:eastAsia="zh-CN"/>
                    </w:rPr>
                    <w:t>HuaFu Internatioal</w:t>
                  </w:r>
                  <w:r>
                    <w:rPr>
                      <w:rFonts w:eastAsia="楷体_GB2312" w:cs="Calibri"/>
                      <w:w w:val="70"/>
                      <w:sz w:val="20"/>
                      <w:szCs w:val="20"/>
                    </w:rPr>
                    <w:t xml:space="preserve"> may make investment decisions that are inconsistent with the recommendations or views expressed in this research report. </w:t>
                  </w:r>
                  <w:r>
                    <w:rPr>
                      <w:rFonts w:hint="eastAsia" w:eastAsia="楷体_GB2312" w:cs="Calibri"/>
                      <w:w w:val="70"/>
                      <w:sz w:val="20"/>
                      <w:szCs w:val="20"/>
                      <w:lang w:eastAsia="zh-CN"/>
                    </w:rPr>
                    <w:t xml:space="preserve">HuaFu International </w:t>
                  </w:r>
                  <w:r>
                    <w:rPr>
                      <w:rFonts w:eastAsia="楷体_GB2312" w:cs="Calibri"/>
                      <w:w w:val="70"/>
                      <w:sz w:val="20"/>
                      <w:szCs w:val="20"/>
                    </w:rPr>
                    <w:t>is under no obligation to ensure that such other trading decisions, ideas or recommendations are brought to the attention of any recipient of this research report.</w:t>
                  </w:r>
                </w:p>
                <w:p>
                  <w:pPr>
                    <w:pStyle w:val="71"/>
                    <w:spacing w:after="40"/>
                    <w:rPr>
                      <w:rFonts w:eastAsia="楷体_GB2312" w:cs="Calibri"/>
                      <w:bCs/>
                      <w:w w:val="70"/>
                      <w:sz w:val="20"/>
                      <w:szCs w:val="20"/>
                    </w:rPr>
                  </w:pPr>
                  <w:r>
                    <w:rPr>
                      <w:rFonts w:eastAsia="楷体_GB2312" w:cs="Calibri"/>
                      <w:bCs/>
                      <w:w w:val="70"/>
                      <w:sz w:val="20"/>
                      <w:szCs w:val="20"/>
                    </w:rPr>
                    <w:t xml:space="preserve">Please refer to XXX’s website </w:t>
                  </w:r>
                  <w:r>
                    <w:fldChar w:fldCharType="begin"/>
                  </w:r>
                  <w:r>
                    <w:instrText xml:space="preserve"> HYPERLINK "http://www.equities.htisec.com" </w:instrText>
                  </w:r>
                  <w:r>
                    <w:fldChar w:fldCharType="separate"/>
                  </w:r>
                  <w:r>
                    <w:rPr>
                      <w:rStyle w:val="23"/>
                      <w:rFonts w:eastAsia="楷体_GB2312" w:cs="Calibri"/>
                      <w:w w:val="70"/>
                      <w:sz w:val="20"/>
                      <w:szCs w:val="20"/>
                    </w:rPr>
                    <w:t>www.</w:t>
                  </w:r>
                  <w:r>
                    <w:rPr>
                      <w:rStyle w:val="23"/>
                      <w:rFonts w:hint="eastAsia" w:eastAsia="楷体_GB2312" w:cs="Calibri"/>
                      <w:w w:val="70"/>
                      <w:sz w:val="20"/>
                      <w:szCs w:val="20"/>
                      <w:lang w:eastAsia="zh-CN"/>
                    </w:rPr>
                    <w:t>hfisec</w:t>
                  </w:r>
                  <w:r>
                    <w:rPr>
                      <w:rStyle w:val="23"/>
                      <w:rFonts w:eastAsia="楷体_GB2312" w:cs="Calibri"/>
                      <w:w w:val="70"/>
                      <w:sz w:val="20"/>
                      <w:szCs w:val="20"/>
                    </w:rPr>
                    <w:t>.com</w:t>
                  </w:r>
                  <w:r>
                    <w:rPr>
                      <w:rStyle w:val="23"/>
                      <w:rFonts w:eastAsia="楷体_GB2312" w:cs="Calibri"/>
                      <w:w w:val="70"/>
                      <w:sz w:val="20"/>
                      <w:szCs w:val="20"/>
                    </w:rPr>
                    <w:fldChar w:fldCharType="end"/>
                  </w:r>
                  <w:r>
                    <w:rPr>
                      <w:rStyle w:val="23"/>
                      <w:rFonts w:hint="eastAsia" w:eastAsia="楷体_GB2312" w:cs="Calibri"/>
                      <w:w w:val="70"/>
                      <w:sz w:val="20"/>
                      <w:szCs w:val="20"/>
                      <w:lang w:eastAsia="zh-CN"/>
                    </w:rPr>
                    <w:t>.hk</w:t>
                  </w:r>
                  <w:r>
                    <w:rPr>
                      <w:rFonts w:eastAsia="楷体_GB2312" w:cs="Calibri"/>
                      <w:w w:val="70"/>
                      <w:sz w:val="20"/>
                      <w:szCs w:val="20"/>
                    </w:rPr>
                    <w:t xml:space="preserve"> </w:t>
                  </w:r>
                  <w:r>
                    <w:rPr>
                      <w:rFonts w:eastAsia="楷体_GB2312" w:cs="Calibri"/>
                      <w:bCs/>
                      <w:w w:val="70"/>
                      <w:sz w:val="20"/>
                      <w:szCs w:val="20"/>
                    </w:rPr>
                    <w:t xml:space="preserve">for further </w:t>
                  </w:r>
                  <w:r>
                    <w:rPr>
                      <w:rFonts w:eastAsia="楷体_GB2312" w:cs="Calibri"/>
                      <w:w w:val="70"/>
                      <w:sz w:val="20"/>
                      <w:szCs w:val="20"/>
                    </w:rPr>
                    <w:t>information</w:t>
                  </w:r>
                  <w:r>
                    <w:rPr>
                      <w:rFonts w:eastAsia="楷体_GB2312" w:cs="Calibri"/>
                      <w:bCs/>
                      <w:w w:val="70"/>
                      <w:sz w:val="20"/>
                      <w:szCs w:val="20"/>
                    </w:rPr>
                    <w:t xml:space="preserve"> on </w:t>
                  </w:r>
                  <w:r>
                    <w:rPr>
                      <w:rFonts w:hint="eastAsia" w:eastAsia="楷体_GB2312" w:cs="Calibri"/>
                      <w:bCs/>
                      <w:w w:val="70"/>
                      <w:sz w:val="20"/>
                      <w:szCs w:val="20"/>
                      <w:lang w:eastAsia="zh-CN"/>
                    </w:rPr>
                    <w:t>HuaFu International</w:t>
                  </w:r>
                  <w:r>
                    <w:rPr>
                      <w:rFonts w:eastAsia="楷体_GB2312" w:cs="Calibri"/>
                      <w:bCs/>
                      <w:w w:val="70"/>
                      <w:sz w:val="20"/>
                      <w:szCs w:val="20"/>
                      <w:lang w:eastAsia="zh-CN"/>
                    </w:rPr>
                    <w:t>’</w:t>
                  </w:r>
                  <w:r>
                    <w:rPr>
                      <w:rFonts w:hint="eastAsia" w:eastAsia="楷体_GB2312" w:cs="Calibri"/>
                      <w:bCs/>
                      <w:w w:val="70"/>
                      <w:sz w:val="20"/>
                      <w:szCs w:val="20"/>
                      <w:lang w:eastAsia="zh-CN"/>
                    </w:rPr>
                    <w:t xml:space="preserve">s </w:t>
                  </w:r>
                  <w:r>
                    <w:rPr>
                      <w:rFonts w:eastAsia="楷体_GB2312" w:cs="Calibri"/>
                      <w:bCs/>
                      <w:w w:val="70"/>
                      <w:sz w:val="20"/>
                      <w:szCs w:val="20"/>
                    </w:rPr>
                    <w:t>organizational and administrative arrangements set up for the prevention and avoidance of conflicts of interest with respect to Research.</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snapToGrid/>
                      <w:w w:val="70"/>
                      <w:sz w:val="20"/>
                      <w:szCs w:val="20"/>
                    </w:rPr>
                  </w:pPr>
                  <w:r>
                    <w:rPr>
                      <w:rFonts w:eastAsia="楷体_GB2312" w:cs="Calibri"/>
                      <w:b/>
                      <w:snapToGrid/>
                      <w:w w:val="70"/>
                      <w:sz w:val="20"/>
                      <w:szCs w:val="20"/>
                    </w:rPr>
                    <w:t>分发和地区通知：</w:t>
                  </w:r>
                </w:p>
                <w:p>
                  <w:pPr>
                    <w:pStyle w:val="71"/>
                    <w:spacing w:after="60"/>
                    <w:rPr>
                      <w:rFonts w:eastAsia="楷体_GB2312" w:cs="Calibri"/>
                      <w:snapToGrid/>
                      <w:w w:val="70"/>
                      <w:sz w:val="20"/>
                      <w:szCs w:val="20"/>
                    </w:rPr>
                  </w:pPr>
                  <w:r>
                    <w:rPr>
                      <w:rFonts w:eastAsia="楷体_GB2312" w:cs="Calibri"/>
                      <w:snapToGrid/>
                      <w:w w:val="70"/>
                      <w:sz w:val="20"/>
                      <w:szCs w:val="20"/>
                    </w:rPr>
                    <w:t>除非下文另有规定，否则任何希望讨论本报告或者就本项研究中讨论的任何证券进行任何交易的收件人均应联系其所在国家或地区的</w:t>
                  </w:r>
                  <w:r>
                    <w:rPr>
                      <w:rFonts w:hint="eastAsia" w:eastAsia="楷体_GB2312" w:cs="Calibri"/>
                      <w:snapToGrid/>
                      <w:w w:val="70"/>
                      <w:sz w:val="20"/>
                      <w:szCs w:val="20"/>
                      <w:lang w:eastAsia="zh-CN"/>
                    </w:rPr>
                    <w:t>华福</w:t>
                  </w:r>
                  <w:r>
                    <w:rPr>
                      <w:rFonts w:eastAsia="楷体_GB2312" w:cs="Calibri"/>
                      <w:snapToGrid/>
                      <w:w w:val="70"/>
                      <w:sz w:val="20"/>
                      <w:szCs w:val="20"/>
                    </w:rPr>
                    <w:t xml:space="preserve">国际销售人员。  </w:t>
                  </w:r>
                </w:p>
                <w:p>
                  <w:pPr>
                    <w:pStyle w:val="71"/>
                    <w:spacing w:after="60"/>
                    <w:rPr>
                      <w:rFonts w:eastAsia="楷体_GB2312" w:cs="Calibri"/>
                      <w:snapToGrid/>
                      <w:w w:val="70"/>
                      <w:sz w:val="20"/>
                      <w:szCs w:val="20"/>
                    </w:rPr>
                  </w:pPr>
                  <w:r>
                    <w:rPr>
                      <w:rFonts w:eastAsia="楷体_GB2312" w:cs="Calibri"/>
                      <w:b/>
                      <w:snapToGrid/>
                      <w:w w:val="70"/>
                      <w:sz w:val="20"/>
                      <w:szCs w:val="20"/>
                    </w:rPr>
                    <w:t>香港投资者的通知事项：</w:t>
                  </w:r>
                  <w:r>
                    <w:rPr>
                      <w:rFonts w:hint="eastAsia" w:eastAsia="楷体_GB2312" w:cs="Calibri"/>
                      <w:bCs/>
                      <w:snapToGrid/>
                      <w:w w:val="70"/>
                      <w:sz w:val="20"/>
                      <w:szCs w:val="20"/>
                      <w:lang w:eastAsia="zh-CN"/>
                    </w:rPr>
                    <w:t>华福</w:t>
                  </w:r>
                  <w:r>
                    <w:rPr>
                      <w:rFonts w:eastAsia="楷体_GB2312" w:cs="Calibri"/>
                      <w:snapToGrid/>
                      <w:w w:val="70"/>
                      <w:sz w:val="20"/>
                      <w:szCs w:val="20"/>
                    </w:rPr>
                    <w:t>国际负责分发该研究报告，</w:t>
                  </w:r>
                  <w:r>
                    <w:rPr>
                      <w:rFonts w:hint="eastAsia" w:eastAsia="楷体_GB2312" w:cs="Calibri"/>
                      <w:snapToGrid/>
                      <w:w w:val="70"/>
                      <w:sz w:val="20"/>
                      <w:szCs w:val="20"/>
                      <w:lang w:eastAsia="zh-CN"/>
                    </w:rPr>
                    <w:t>华福国际</w:t>
                  </w:r>
                  <w:r>
                    <w:rPr>
                      <w:rFonts w:eastAsia="楷体_GB2312" w:cs="Calibri"/>
                      <w:snapToGrid/>
                      <w:w w:val="70"/>
                      <w:sz w:val="20"/>
                      <w:szCs w:val="20"/>
                      <w:lang w:eastAsia="zh-CN"/>
                    </w:rPr>
                    <w:t>是</w:t>
                  </w:r>
                  <w:r>
                    <w:rPr>
                      <w:rFonts w:eastAsia="楷体_GB2312" w:cs="Calibri"/>
                      <w:snapToGrid/>
                      <w:w w:val="70"/>
                      <w:sz w:val="20"/>
                      <w:szCs w:val="20"/>
                    </w:rPr>
                    <w:t>在香港有权实施第</w:t>
                  </w:r>
                  <w:r>
                    <w:rPr>
                      <w:rFonts w:eastAsia="楷体_GB2312" w:cs="Calibri"/>
                      <w:snapToGrid/>
                      <w:w w:val="70"/>
                      <w:sz w:val="20"/>
                      <w:szCs w:val="20"/>
                      <w:lang w:eastAsia="zh-CN"/>
                    </w:rPr>
                    <w:t>1</w:t>
                  </w:r>
                  <w:r>
                    <w:rPr>
                      <w:rFonts w:eastAsia="楷体_GB2312" w:cs="Calibri"/>
                      <w:snapToGrid/>
                      <w:w w:val="70"/>
                      <w:sz w:val="20"/>
                      <w:szCs w:val="20"/>
                    </w:rPr>
                    <w:t>类受规管活动（从事证券交易）的持牌公司。该研究报告并不构成《证券及期货条例》</w:t>
                  </w:r>
                  <w:r>
                    <w:rPr>
                      <w:rFonts w:eastAsia="楷体_GB2312" w:cs="Calibri"/>
                      <w:w w:val="70"/>
                      <w:sz w:val="20"/>
                      <w:szCs w:val="20"/>
                    </w:rPr>
                    <w:t>（</w:t>
                  </w:r>
                  <w:r>
                    <w:rPr>
                      <w:rFonts w:eastAsia="楷体_GB2312" w:cs="Calibri"/>
                      <w:snapToGrid/>
                      <w:w w:val="70"/>
                      <w:sz w:val="20"/>
                      <w:szCs w:val="20"/>
                    </w:rPr>
                    <w:t>香港法例第</w:t>
                  </w:r>
                  <w:r>
                    <w:rPr>
                      <w:rFonts w:eastAsia="楷体_GB2312" w:cs="Calibri"/>
                      <w:snapToGrid/>
                      <w:w w:val="70"/>
                      <w:sz w:val="20"/>
                      <w:szCs w:val="20"/>
                      <w:lang w:eastAsia="zh-CN"/>
                    </w:rPr>
                    <w:t>571</w:t>
                  </w:r>
                  <w:r>
                    <w:rPr>
                      <w:rFonts w:eastAsia="楷体_GB2312" w:cs="Calibri"/>
                      <w:snapToGrid/>
                      <w:w w:val="70"/>
                      <w:sz w:val="20"/>
                      <w:szCs w:val="20"/>
                    </w:rPr>
                    <w:t>章</w:t>
                  </w:r>
                  <w:r>
                    <w:rPr>
                      <w:rFonts w:eastAsia="楷体_GB2312" w:cs="Calibri"/>
                      <w:w w:val="70"/>
                      <w:sz w:val="20"/>
                      <w:szCs w:val="20"/>
                    </w:rPr>
                    <w:t>）（</w:t>
                  </w:r>
                  <w:r>
                    <w:rPr>
                      <w:rFonts w:eastAsia="楷体_GB2312" w:cs="Calibri"/>
                      <w:snapToGrid/>
                      <w:w w:val="70"/>
                      <w:sz w:val="20"/>
                      <w:szCs w:val="20"/>
                    </w:rPr>
                    <w:t>以下简称“</w:t>
                  </w:r>
                  <w:r>
                    <w:rPr>
                      <w:rFonts w:eastAsia="楷体_GB2312" w:cs="Calibri"/>
                      <w:snapToGrid/>
                      <w:w w:val="70"/>
                      <w:sz w:val="20"/>
                      <w:szCs w:val="20"/>
                      <w:lang w:eastAsia="zh-CN"/>
                    </w:rPr>
                    <w:t>SFO”</w:t>
                  </w:r>
                  <w:r>
                    <w:rPr>
                      <w:rFonts w:eastAsia="楷体_GB2312" w:cs="Calibri"/>
                      <w:w w:val="70"/>
                      <w:sz w:val="20"/>
                      <w:szCs w:val="20"/>
                    </w:rPr>
                    <w:t>）</w:t>
                  </w:r>
                  <w:r>
                    <w:rPr>
                      <w:rFonts w:eastAsia="楷体_GB2312" w:cs="Calibri"/>
                      <w:snapToGrid/>
                      <w:w w:val="70"/>
                      <w:sz w:val="20"/>
                      <w:szCs w:val="20"/>
                    </w:rPr>
                    <w:t>所界定的要约邀请，证券要约或公众要约。本研究报告仅提供给</w:t>
                  </w:r>
                  <w:r>
                    <w:rPr>
                      <w:rFonts w:eastAsia="楷体_GB2312" w:cs="Calibri"/>
                      <w:snapToGrid/>
                      <w:w w:val="70"/>
                      <w:sz w:val="20"/>
                      <w:szCs w:val="20"/>
                      <w:lang w:eastAsia="zh-CN"/>
                    </w:rPr>
                    <w:t>SFO</w:t>
                  </w:r>
                  <w:r>
                    <w:rPr>
                      <w:rFonts w:eastAsia="楷体_GB2312" w:cs="Calibri"/>
                      <w:snapToGrid/>
                      <w:w w:val="70"/>
                      <w:sz w:val="20"/>
                      <w:szCs w:val="20"/>
                    </w:rPr>
                    <w:t>所界定的“专业投资者”。本研究报告未经过证券及期货事务监察委员会的审查。您不应仅根据本研究报告中所载的信息做出投资决定。本研究报告的收件人就研究报告中产生或与之相关的任何事宜请联系</w:t>
                  </w:r>
                  <w:r>
                    <w:rPr>
                      <w:rFonts w:hint="eastAsia" w:eastAsia="楷体_GB2312" w:cs="Calibri"/>
                      <w:snapToGrid/>
                      <w:w w:val="70"/>
                      <w:sz w:val="20"/>
                      <w:szCs w:val="20"/>
                      <w:lang w:eastAsia="zh-CN"/>
                    </w:rPr>
                    <w:t>华福国际</w:t>
                  </w:r>
                  <w:r>
                    <w:rPr>
                      <w:rFonts w:eastAsia="楷体_GB2312" w:cs="Calibri"/>
                      <w:snapToGrid/>
                      <w:w w:val="70"/>
                      <w:sz w:val="20"/>
                      <w:szCs w:val="20"/>
                    </w:rPr>
                    <w:t>销售人员。</w:t>
                  </w:r>
                </w:p>
                <w:p>
                  <w:pPr>
                    <w:pStyle w:val="71"/>
                    <w:spacing w:after="40"/>
                    <w:rPr>
                      <w:rFonts w:eastAsia="楷体_GB2312" w:cs="Calibri"/>
                      <w:b/>
                      <w:bCs/>
                      <w:w w:val="70"/>
                      <w:sz w:val="20"/>
                      <w:szCs w:val="20"/>
                    </w:rPr>
                  </w:pPr>
                  <w:r>
                    <w:rPr>
                      <w:rFonts w:eastAsia="楷体_GB2312" w:cs="Calibri"/>
                      <w:b/>
                      <w:bCs/>
                      <w:w w:val="70"/>
                      <w:sz w:val="20"/>
                      <w:szCs w:val="20"/>
                    </w:rPr>
                    <w:t>DISTRIBUTION AND REGIONAL NOTICES</w:t>
                  </w:r>
                </w:p>
                <w:p>
                  <w:pPr>
                    <w:pStyle w:val="71"/>
                    <w:spacing w:after="40"/>
                    <w:rPr>
                      <w:rFonts w:eastAsia="楷体_GB2312" w:cs="Calibri"/>
                      <w:w w:val="70"/>
                      <w:sz w:val="20"/>
                      <w:szCs w:val="20"/>
                    </w:rPr>
                  </w:pPr>
                  <w:r>
                    <w:rPr>
                      <w:rFonts w:eastAsia="楷体_GB2312" w:cs="Calibri"/>
                      <w:w w:val="70"/>
                      <w:sz w:val="20"/>
                      <w:szCs w:val="20"/>
                    </w:rPr>
                    <w:t xml:space="preserve">Except as otherwise indicated below, any Recipient wishing to discuss this research report or effect any transaction in any security discussed in </w:t>
                  </w:r>
                  <w:r>
                    <w:rPr>
                      <w:rFonts w:hint="eastAsia" w:eastAsia="楷体_GB2312" w:cs="Calibri"/>
                      <w:w w:val="70"/>
                      <w:sz w:val="20"/>
                      <w:szCs w:val="20"/>
                      <w:lang w:eastAsia="zh-CN"/>
                    </w:rPr>
                    <w:t>HuaFu International</w:t>
                  </w:r>
                  <w:r>
                    <w:rPr>
                      <w:rFonts w:eastAsia="楷体_GB2312" w:cs="Calibri"/>
                      <w:w w:val="70"/>
                      <w:sz w:val="20"/>
                      <w:szCs w:val="20"/>
                    </w:rPr>
                    <w:t xml:space="preserve">’s research should contact the </w:t>
                  </w:r>
                  <w:r>
                    <w:rPr>
                      <w:rFonts w:hint="eastAsia" w:eastAsia="楷体_GB2312" w:cs="Calibri"/>
                      <w:w w:val="70"/>
                      <w:sz w:val="20"/>
                      <w:szCs w:val="20"/>
                      <w:lang w:eastAsia="zh-CN"/>
                    </w:rPr>
                    <w:t xml:space="preserve">HuaFu </w:t>
                  </w:r>
                  <w:r>
                    <w:rPr>
                      <w:rFonts w:eastAsia="楷体_GB2312" w:cs="Calibri"/>
                      <w:w w:val="70"/>
                      <w:sz w:val="20"/>
                      <w:szCs w:val="20"/>
                    </w:rPr>
                    <w:t xml:space="preserve">International salesperson in their own country or region.  </w:t>
                  </w:r>
                </w:p>
                <w:p>
                  <w:pPr>
                    <w:pStyle w:val="71"/>
                    <w:spacing w:after="40"/>
                    <w:rPr>
                      <w:rFonts w:eastAsia="楷体_GB2312" w:cs="Calibri"/>
                      <w:w w:val="70"/>
                      <w:sz w:val="20"/>
                      <w:szCs w:val="20"/>
                    </w:rPr>
                  </w:pPr>
                  <w:r>
                    <w:rPr>
                      <w:rFonts w:eastAsia="楷体_GB2312" w:cs="Calibri"/>
                      <w:b/>
                      <w:bCs/>
                      <w:w w:val="70"/>
                      <w:sz w:val="20"/>
                      <w:szCs w:val="20"/>
                    </w:rPr>
                    <w:t xml:space="preserve">Notice to Hong Kong investors: </w:t>
                  </w:r>
                  <w:r>
                    <w:rPr>
                      <w:rFonts w:eastAsia="楷体_GB2312" w:cs="Calibri"/>
                      <w:w w:val="70"/>
                      <w:sz w:val="20"/>
                      <w:szCs w:val="20"/>
                    </w:rPr>
                    <w:t xml:space="preserve">The research report is distributed by </w:t>
                  </w:r>
                  <w:r>
                    <w:rPr>
                      <w:rFonts w:hint="eastAsia" w:eastAsia="楷体_GB2312" w:cs="Calibri"/>
                      <w:w w:val="70"/>
                      <w:sz w:val="20"/>
                      <w:szCs w:val="20"/>
                      <w:lang w:eastAsia="zh-CN"/>
                    </w:rPr>
                    <w:t>HuaFu</w:t>
                  </w:r>
                  <w:r>
                    <w:rPr>
                      <w:rFonts w:eastAsia="楷体_GB2312" w:cs="Calibri"/>
                      <w:w w:val="70"/>
                      <w:sz w:val="20"/>
                      <w:szCs w:val="20"/>
                    </w:rPr>
                    <w:t xml:space="preserve"> International, which is a licensed corporation to carry on Type 1 regulated activity (dealing in securities) in Hong Kong. This research report does not constitute a solicitation or an offer of securities or an invitation to the public within the meaning of the SFO. This research report is only to be circulated to "Professional Investors" as defined in the SFO. This research report has not been reviewed by the Securities and Futures Commission. You should not make investment decisions solely on the basis of the information contained in this research report. Recipients of this research report are to contact </w:t>
                  </w:r>
                  <w:r>
                    <w:rPr>
                      <w:rFonts w:hint="eastAsia" w:eastAsia="楷体_GB2312" w:cs="Calibri"/>
                      <w:w w:val="70"/>
                      <w:sz w:val="20"/>
                      <w:szCs w:val="20"/>
                      <w:lang w:eastAsia="zh-CN"/>
                    </w:rPr>
                    <w:t>HuaFu International</w:t>
                  </w:r>
                  <w:r>
                    <w:rPr>
                      <w:rFonts w:eastAsia="楷体_GB2312" w:cs="Calibri"/>
                      <w:w w:val="70"/>
                      <w:sz w:val="20"/>
                      <w:szCs w:val="20"/>
                    </w:rPr>
                    <w:t xml:space="preserve"> salespersons in respect of any matters arising from, or in connection with, the research report.</w:t>
                  </w:r>
                </w:p>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w w:val="70"/>
                      <w:sz w:val="20"/>
                      <w:szCs w:val="20"/>
                    </w:rPr>
                  </w:pPr>
                  <w:r>
                    <w:rPr>
                      <w:rFonts w:eastAsia="楷体_GB2312" w:cs="Calibri"/>
                      <w:b/>
                      <w:w w:val="70"/>
                      <w:sz w:val="20"/>
                      <w:szCs w:val="20"/>
                    </w:rPr>
                    <w:t>中华人民共和国的通知事项：</w:t>
                  </w:r>
                  <w:r>
                    <w:rPr>
                      <w:rFonts w:eastAsia="楷体_GB2312" w:cs="Calibri"/>
                      <w:w w:val="70"/>
                      <w:sz w:val="20"/>
                      <w:szCs w:val="20"/>
                    </w:rPr>
                    <w:t>在中华人民共和国</w:t>
                  </w:r>
                  <w:r>
                    <w:rPr>
                      <w:rFonts w:eastAsia="楷体_GB2312" w:cs="Calibri"/>
                      <w:snapToGrid/>
                      <w:w w:val="70"/>
                      <w:sz w:val="20"/>
                      <w:szCs w:val="20"/>
                    </w:rPr>
                    <w:t>（</w:t>
                  </w:r>
                  <w:r>
                    <w:rPr>
                      <w:rFonts w:eastAsia="楷体_GB2312" w:cs="Calibri"/>
                      <w:w w:val="70"/>
                      <w:sz w:val="20"/>
                      <w:szCs w:val="20"/>
                    </w:rPr>
                    <w:t>下称“中国”，就本报告目的而言，不包括香港特别行政区、澳门特别行政区和台湾）只有根据适用的中国法律法规而收到该材料的人员方可使用该材料。并且根据相关法律法规，该材料中的信息并不构成“在中国从事生产、经营活动”。本文件在中国并不构成相关证券的公共发售或认购。无论根据法律规定或其他任何规定，在取得中国政府所有的批准或许可之前，任何法人或自然人均不得直接或间接地购买本材料中的任何证券或任何实益权益。接收本文件的人员须遵守上述限制性规定。</w:t>
                  </w:r>
                </w:p>
                <w:p>
                  <w:pPr>
                    <w:pStyle w:val="71"/>
                    <w:spacing w:after="60"/>
                    <w:rPr>
                      <w:rFonts w:eastAsia="楷体_GB2312" w:cs="Calibri"/>
                      <w:w w:val="70"/>
                      <w:sz w:val="20"/>
                      <w:szCs w:val="20"/>
                    </w:rPr>
                  </w:pPr>
                  <w:r>
                    <w:rPr>
                      <w:rFonts w:eastAsia="楷体_GB2312" w:cs="Calibri"/>
                      <w:w w:val="70"/>
                      <w:sz w:val="20"/>
                      <w:szCs w:val="20"/>
                    </w:rPr>
                    <w:t>本项研究仅供收件人使用，未经</w:t>
                  </w:r>
                  <w:r>
                    <w:rPr>
                      <w:rFonts w:hint="eastAsia" w:eastAsia="楷体_GB2312" w:cs="Calibri"/>
                      <w:w w:val="70"/>
                      <w:sz w:val="20"/>
                      <w:szCs w:val="20"/>
                      <w:lang w:eastAsia="zh-CN"/>
                    </w:rPr>
                    <w:t>华福</w:t>
                  </w:r>
                  <w:r>
                    <w:rPr>
                      <w:rFonts w:eastAsia="楷体_GB2312" w:cs="Calibri"/>
                      <w:w w:val="70"/>
                      <w:sz w:val="20"/>
                      <w:szCs w:val="20"/>
                    </w:rPr>
                    <w:t>国际的书面同意不得予以复制和再次分发。</w:t>
                  </w:r>
                </w:p>
                <w:p>
                  <w:pPr>
                    <w:pStyle w:val="71"/>
                    <w:rPr>
                      <w:rFonts w:eastAsia="楷体_GB2312" w:cs="Calibri"/>
                      <w:w w:val="70"/>
                      <w:sz w:val="20"/>
                      <w:szCs w:val="20"/>
                    </w:rPr>
                  </w:pPr>
                  <w:r>
                    <w:rPr>
                      <w:rFonts w:eastAsia="楷体_GB2312" w:cs="Calibri"/>
                      <w:w w:val="70"/>
                      <w:sz w:val="20"/>
                      <w:szCs w:val="20"/>
                    </w:rPr>
                    <w:t>版权所有：</w:t>
                  </w:r>
                  <w:r>
                    <w:rPr>
                      <w:rFonts w:hint="eastAsia" w:eastAsia="楷体_GB2312" w:cs="Calibri"/>
                      <w:w w:val="70"/>
                      <w:sz w:val="20"/>
                      <w:szCs w:val="20"/>
                      <w:lang w:eastAsia="zh-CN"/>
                    </w:rPr>
                    <w:t>华福</w:t>
                  </w:r>
                  <w:r>
                    <w:rPr>
                      <w:rFonts w:eastAsia="楷体_GB2312" w:cs="Calibri"/>
                      <w:w w:val="70"/>
                      <w:sz w:val="20"/>
                      <w:szCs w:val="20"/>
                    </w:rPr>
                    <w:t>国际</w:t>
                  </w:r>
                  <w:r>
                    <w:rPr>
                      <w:rFonts w:hint="eastAsia" w:eastAsia="楷体_GB2312" w:cs="Calibri"/>
                      <w:w w:val="70"/>
                      <w:sz w:val="20"/>
                      <w:szCs w:val="20"/>
                      <w:lang w:eastAsia="zh-CN"/>
                    </w:rPr>
                    <w:t>2025</w:t>
                  </w:r>
                  <w:r>
                    <w:rPr>
                      <w:rFonts w:eastAsia="楷体_GB2312" w:cs="Calibri"/>
                      <w:w w:val="70"/>
                      <w:sz w:val="20"/>
                      <w:szCs w:val="20"/>
                    </w:rPr>
                    <w:t>年。保留所有权利。</w:t>
                  </w:r>
                </w:p>
                <w:p>
                  <w:pPr>
                    <w:pStyle w:val="71"/>
                    <w:spacing w:after="120"/>
                    <w:rPr>
                      <w:rFonts w:eastAsia="楷体_GB2312" w:cs="Calibri"/>
                      <w:w w:val="70"/>
                      <w:sz w:val="20"/>
                      <w:szCs w:val="20"/>
                    </w:rPr>
                  </w:pPr>
                  <w:r>
                    <w:rPr>
                      <w:rFonts w:eastAsia="楷体_GB2312" w:cs="Calibri"/>
                      <w:b/>
                      <w:w w:val="70"/>
                      <w:sz w:val="20"/>
                      <w:szCs w:val="20"/>
                    </w:rPr>
                    <w:t>People’s Republic of China (PRC):</w:t>
                  </w:r>
                  <w:r>
                    <w:rPr>
                      <w:rFonts w:eastAsia="楷体_GB2312" w:cs="Calibri"/>
                      <w:w w:val="70"/>
                      <w:sz w:val="20"/>
                      <w:szCs w:val="20"/>
                    </w:rPr>
                    <w:t xml:space="preserve"> In the PRC, the research report is directed for the sole use of those who receive the research report in accordance with the applicable PRC laws and regulations. Further, the information on the research report does not constitute "production and business activities in the PRC" under relevant PRC laws. This research report does not constitute a public offer of the security, whether by sale or subscription, in the PRC. Further, no legal or natural persons of the PRC may directly or indirectly purchase any of the security or any beneficial interest therein without obtaining all prior PRC government approvals or licenses that are required, whether statutorily or otherwise. Persons who come into possession of this research are required to observe these restrictions.</w:t>
                  </w:r>
                </w:p>
                <w:p>
                  <w:pPr>
                    <w:pStyle w:val="71"/>
                    <w:spacing w:after="120"/>
                    <w:rPr>
                      <w:rFonts w:eastAsia="楷体_GB2312" w:cs="Calibri"/>
                      <w:w w:val="70"/>
                      <w:sz w:val="20"/>
                      <w:szCs w:val="20"/>
                    </w:rPr>
                  </w:pPr>
                  <w:r>
                    <w:rPr>
                      <w:rFonts w:eastAsia="楷体_GB2312" w:cs="Calibri"/>
                      <w:w w:val="70"/>
                      <w:sz w:val="20"/>
                      <w:szCs w:val="20"/>
                    </w:rPr>
                    <w:t xml:space="preserve">This research report is intended for the recipients only and may not be reproduced or redistributed without the written consent of an authorized signatory of </w:t>
                  </w:r>
                  <w:r>
                    <w:rPr>
                      <w:rFonts w:hint="eastAsia" w:eastAsia="楷体_GB2312" w:cs="Calibri"/>
                      <w:w w:val="70"/>
                      <w:sz w:val="20"/>
                      <w:szCs w:val="20"/>
                      <w:lang w:eastAsia="zh-CN"/>
                    </w:rPr>
                    <w:t>HuaFu International</w:t>
                  </w:r>
                  <w:r>
                    <w:rPr>
                      <w:rFonts w:eastAsia="楷体_GB2312" w:cs="Calibri"/>
                      <w:w w:val="70"/>
                      <w:sz w:val="20"/>
                      <w:szCs w:val="20"/>
                    </w:rPr>
                    <w:t>.</w:t>
                  </w:r>
                </w:p>
                <w:p>
                  <w:pPr>
                    <w:pStyle w:val="71"/>
                    <w:spacing w:after="60"/>
                    <w:rPr>
                      <w:rFonts w:eastAsia="楷体_GB2312" w:cs="Calibri"/>
                      <w:b/>
                      <w:w w:val="70"/>
                      <w:sz w:val="20"/>
                      <w:szCs w:val="20"/>
                    </w:rPr>
                  </w:pPr>
                  <w:r>
                    <w:rPr>
                      <w:rFonts w:eastAsia="楷体_GB2312" w:cs="Calibri"/>
                      <w:w w:val="70"/>
                      <w:sz w:val="20"/>
                      <w:szCs w:val="20"/>
                    </w:rPr>
                    <w:t xml:space="preserve">Copyright: </w:t>
                  </w:r>
                  <w:r>
                    <w:rPr>
                      <w:rFonts w:hint="eastAsia" w:eastAsia="楷体_GB2312" w:cs="Calibri"/>
                      <w:w w:val="70"/>
                      <w:sz w:val="20"/>
                      <w:szCs w:val="20"/>
                      <w:lang w:eastAsia="zh-CN"/>
                    </w:rPr>
                    <w:t>HuaFu</w:t>
                  </w:r>
                  <w:r>
                    <w:rPr>
                      <w:rFonts w:eastAsia="楷体_GB2312" w:cs="Calibri"/>
                      <w:w w:val="70"/>
                      <w:sz w:val="20"/>
                      <w:szCs w:val="20"/>
                    </w:rPr>
                    <w:t xml:space="preserve"> International </w:t>
                  </w:r>
                  <w:r>
                    <w:rPr>
                      <w:rFonts w:hint="eastAsia" w:eastAsia="楷体_GB2312" w:cs="Calibri"/>
                      <w:w w:val="70"/>
                      <w:sz w:val="20"/>
                      <w:szCs w:val="20"/>
                      <w:lang w:eastAsia="zh-CN"/>
                    </w:rPr>
                    <w:t>2025</w:t>
                  </w:r>
                  <w:r>
                    <w:rPr>
                      <w:rFonts w:eastAsia="楷体_GB2312" w:cs="Calibri"/>
                      <w:w w:val="70"/>
                      <w:sz w:val="20"/>
                      <w:szCs w:val="20"/>
                    </w:rPr>
                    <w:t>. All rights reserved</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single" w:color="C0C0C0" w:sz="4" w:space="0"/>
                  </w:tcBorders>
                </w:tcPr>
                <w:p>
                  <w:pPr>
                    <w:pStyle w:val="71"/>
                    <w:spacing w:after="60"/>
                    <w:rPr>
                      <w:rFonts w:eastAsia="楷体_GB2312" w:cs="Calibri"/>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28" w:type="dxa"/>
                  <w:bottom w:w="0" w:type="dxa"/>
                  <w:right w:w="28" w:type="dxa"/>
                </w:tblCellMar>
              </w:tblPrEx>
              <w:tc>
                <w:tcPr>
                  <w:tcW w:w="10773" w:type="dxa"/>
                  <w:tcBorders>
                    <w:top w:val="single" w:color="C0C0C0" w:sz="4" w:space="0"/>
                    <w:bottom w:val="nil"/>
                  </w:tcBorders>
                </w:tcPr>
                <w:p>
                  <w:pPr>
                    <w:pStyle w:val="71"/>
                    <w:spacing w:after="60"/>
                    <w:rPr>
                      <w:rFonts w:eastAsia="楷体_GB2312" w:cs="Calibri"/>
                      <w:b/>
                      <w:w w:val="70"/>
                      <w:sz w:val="20"/>
                      <w:szCs w:val="20"/>
                      <w:lang w:eastAsia="zh-CN"/>
                    </w:rPr>
                  </w:pPr>
                </w:p>
              </w:tc>
            </w:tr>
          </w:tbl>
          <w:p>
            <w:pPr>
              <w:rPr>
                <w:rFonts w:eastAsia="楷体_GB2312" w:cs="Calibri"/>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27" w:hRule="atLeast"/>
        </w:trPr>
        <w:tc>
          <w:tcPr>
            <w:tcW w:w="10773" w:type="dxa"/>
          </w:tcPr>
          <w:p>
            <w:pPr>
              <w:pStyle w:val="71"/>
              <w:rPr>
                <w:rFonts w:eastAsia="楷体_GB2312" w:cs="等线"/>
                <w:b/>
                <w:w w:val="70"/>
                <w:sz w:val="20"/>
                <w:szCs w:val="20"/>
              </w:rPr>
            </w:pPr>
            <w:r>
              <w:rPr>
                <w:rFonts w:eastAsia="楷体_GB2312" w:cs="等线"/>
                <w:b/>
                <w:w w:val="70"/>
                <w:sz w:val="20"/>
                <w:szCs w:val="20"/>
              </w:rPr>
              <w:t>Recommendation Chart</w:t>
            </w:r>
          </w:p>
          <w:tbl>
            <w:tblPr>
              <w:tblStyle w:val="20"/>
              <w:tblW w:w="0" w:type="auto"/>
              <w:tblCaption w:val="[Table_RecommendationChart]"/>
              <w:tblDescription w:val="表格隐藏唯一标识（请勿删除或修改）"/>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0773"/>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8" w:hRule="exact"/>
              </w:trPr>
              <w:tc>
                <w:tcPr>
                  <w:tcW w:w="10773" w:type="dxa"/>
                </w:tcPr>
                <w:p>
                  <w:pPr>
                    <w:pStyle w:val="71"/>
                    <w:rPr>
                      <w:rFonts w:eastAsia="楷体_GB2312" w:cs="等线"/>
                      <w:b/>
                      <w:w w:val="70"/>
                      <w:sz w:val="20"/>
                      <w:szCs w:val="20"/>
                      <w:lang w:eastAsia="zh-CN"/>
                    </w:rPr>
                  </w:pPr>
                  <w:r>
                    <w:rPr>
                      <w:rFonts w:hint="eastAsia" w:eastAsia="楷体_GB2312" w:cs="等线"/>
                      <w:b/>
                      <w:w w:val="70"/>
                      <w:sz w:val="20"/>
                      <w:szCs w:val="20"/>
                      <w:lang w:eastAsia="zh-CN"/>
                    </w:rPr>
                    <w:t>[</w:t>
                  </w:r>
                  <w:r>
                    <w:rPr>
                      <w:rFonts w:eastAsia="楷体_GB2312" w:cs="等线"/>
                      <w:b/>
                      <w:w w:val="70"/>
                      <w:sz w:val="20"/>
                      <w:szCs w:val="20"/>
                      <w:lang w:eastAsia="zh-CN"/>
                    </w:rPr>
                    <w:t>Table_RecommendationChart]</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0773" w:type="dxa"/>
                </w:tcPr>
                <w:p>
                  <w:pPr>
                    <w:pStyle w:val="71"/>
                    <w:rPr>
                      <w:rFonts w:eastAsia="楷体_GB2312" w:cs="等线"/>
                      <w:b/>
                      <w:w w:val="70"/>
                      <w:sz w:val="20"/>
                      <w:szCs w:val="20"/>
                    </w:rPr>
                  </w:pPr>
                  <w:r>
                    <w:rPr>
                      <w:rFonts w:eastAsia="楷体_GB2312" w:cs="等线"/>
                      <w:sz w:val="12"/>
                      <w:szCs w:val="12"/>
                    </w:rPr>
                    <w:t>Source: Company data Bloomberg, XXX estimates</w:t>
                  </w:r>
                </w:p>
              </w:tc>
            </w:tr>
          </w:tbl>
          <w:p>
            <w:pPr>
              <w:pStyle w:val="71"/>
              <w:rPr>
                <w:rFonts w:eastAsia="楷体_GB2312" w:cs="Calibri"/>
                <w:b/>
                <w:w w:val="70"/>
                <w:sz w:val="20"/>
                <w:szCs w:val="20"/>
                <w:lang w:eastAsia="zh-CN"/>
              </w:rPr>
            </w:pPr>
          </w:p>
          <w:p>
            <w:pPr>
              <w:pStyle w:val="55"/>
              <w:rPr>
                <w:rFonts w:eastAsia="楷体_GB2312" w:cs="Calibri"/>
              </w:rPr>
            </w:pPr>
          </w:p>
        </w:tc>
      </w:tr>
    </w:tbl>
    <w:p>
      <w:pPr>
        <w:rPr>
          <w:rFonts w:eastAsiaTheme="minorEastAsia"/>
        </w:rPr>
      </w:pPr>
    </w:p>
    <w:sectPr>
      <w:headerReference r:id="rId14" w:type="first"/>
      <w:footerReference r:id="rId16" w:type="first"/>
      <w:footerReference r:id="rId15" w:type="default"/>
      <w:pgSz w:w="11910" w:h="16840"/>
      <w:pgMar w:top="1021" w:right="567" w:bottom="1021" w:left="567" w:header="567" w:footer="919" w:gutter="0"/>
      <w:cols w:space="425" w:num="1"/>
      <w:titlePg/>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Mincho">
    <w:altName w:val="Yu Gothic UI"/>
    <w:panose1 w:val="02020609040205080304"/>
    <w:charset w:val="80"/>
    <w:family w:val="modern"/>
    <w:pitch w:val="default"/>
    <w:sig w:usb0="00000000" w:usb1="00000000" w:usb2="08000012" w:usb3="00000000" w:csb0="0002009F" w:csb1="00000000"/>
  </w:font>
  <w:font w:name="等线 Light">
    <w:panose1 w:val="02010600030101010101"/>
    <w:charset w:val="86"/>
    <w:family w:val="auto"/>
    <w:pitch w:val="default"/>
    <w:sig w:usb0="A00002BF" w:usb1="38CF7CFA" w:usb2="00000016" w:usb3="00000000" w:csb0="0004000F" w:csb1="00000000"/>
  </w:font>
  <w:font w:name="汉仪大黑简">
    <w:altName w:val="微软雅黑"/>
    <w:panose1 w:val="00000000000000000000"/>
    <w:charset w:val="86"/>
    <w:family w:val="modern"/>
    <w:pitch w:val="default"/>
    <w:sig w:usb0="00000000" w:usb1="00000000" w:usb2="00000012" w:usb3="00000000" w:csb0="00040000" w:csb1="00000000"/>
  </w:font>
  <w:font w:name="等线">
    <w:panose1 w:val="02010600030101010101"/>
    <w:charset w:val="86"/>
    <w:family w:val="auto"/>
    <w:pitch w:val="default"/>
    <w:sig w:usb0="A00002BF" w:usb1="38CF7CFA" w:usb2="00000016" w:usb3="00000000" w:csb0="0004000F" w:csb1="00000000"/>
  </w:font>
  <w:font w:name="PMingLiU">
    <w:altName w:val="PMingLiU-ExtB"/>
    <w:panose1 w:val="02020500000000000000"/>
    <w:charset w:val="88"/>
    <w:family w:val="roman"/>
    <w:pitch w:val="default"/>
    <w:sig w:usb0="00000000" w:usb1="00000000" w:usb2="00000016" w:usb3="00000000" w:csb0="0010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modern"/>
    <w:pitch w:val="default"/>
    <w:sig w:usb0="800002BF" w:usb1="38CF7CFA" w:usb2="00000016" w:usb3="00000000" w:csb0="00040001"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swiss"/>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pPr>
    <w:r>
      <mc:AlternateContent>
        <mc:Choice Requires="wps">
          <w:drawing>
            <wp:anchor distT="0" distB="0" distL="114300" distR="114300" simplePos="0" relativeHeight="251659264" behindDoc="0" locked="0" layoutInCell="1" allowOverlap="1">
              <wp:simplePos x="0" y="0"/>
              <wp:positionH relativeFrom="page">
                <wp:align>center</wp:align>
              </wp:positionH>
              <wp:positionV relativeFrom="page">
                <wp:posOffset>9861550</wp:posOffset>
              </wp:positionV>
              <wp:extent cx="7045325" cy="50165"/>
              <wp:effectExtent l="0" t="0" r="3175" b="6985"/>
              <wp:wrapTopAndBottom/>
              <wp:docPr id="21" name="Text Box 73"/>
              <wp:cNvGraphicFramePr/>
              <a:graphic xmlns:a="http://schemas.openxmlformats.org/drawingml/2006/main">
                <a:graphicData uri="http://schemas.microsoft.com/office/word/2010/wordprocessingShape">
                  <wps:wsp>
                    <wps:cNvSpPr txBox="1">
                      <a:spLocks noChangeArrowheads="1"/>
                    </wps:cNvSpPr>
                    <wps:spPr bwMode="auto">
                      <a:xfrm>
                        <a:off x="0" y="0"/>
                        <a:ext cx="7045325" cy="50165"/>
                      </a:xfrm>
                      <a:prstGeom prst="rect">
                        <a:avLst/>
                      </a:prstGeom>
                      <a:solidFill>
                        <a:srgbClr val="23558C"/>
                      </a:solidFill>
                      <a:ln>
                        <a:noFill/>
                      </a:ln>
                    </wps:spPr>
                    <wps:txbx>
                      <w:txbxContent>
                        <w:p>
                          <w:pPr>
                            <w:ind w:left="-180"/>
                          </w:pPr>
                        </w:p>
                      </w:txbxContent>
                    </wps:txbx>
                    <wps:bodyPr rot="0" vert="horz" wrap="square" lIns="91440" tIns="45720" rIns="91440" bIns="45720" anchor="t" anchorCtr="0" upright="1">
                      <a:noAutofit/>
                    </wps:bodyPr>
                  </wps:wsp>
                </a:graphicData>
              </a:graphic>
            </wp:anchor>
          </w:drawing>
        </mc:Choice>
        <mc:Fallback>
          <w:pict>
            <v:shape id="Text Box 73" o:spid="_x0000_s1026" o:spt="202" type="#_x0000_t202" style="position:absolute;left:0pt;margin-top:776.5pt;height:3.95pt;width:554.75pt;mso-position-horizontal:center;mso-position-horizontal-relative:page;mso-position-vertical-relative:page;mso-wrap-distance-bottom:0pt;mso-wrap-distance-top:0pt;z-index:251659264;mso-width-relative:page;mso-height-relative:page;" fillcolor="#23558C" filled="t" stroked="f" coordsize="21600,21600" o:gfxdata="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Lp0sD&#10;2gAAAAsBAAAPAAAAAAAAAAEAIAAAACIAAABkcnMvZG93bnJldi54bWxQSwECFAAUAAAACACHTuJA&#10;BzIjSh8CAAA+BAAADgAAAAAAAAABACAAAAApAQAAZHJzL2Uyb0RvYy54bWxQSwUGAAAAAAYABgBZ&#10;AQAAugUAAAAA&#10;">
              <v:fill on="t" focussize="0,0"/>
              <v:stroke on="f"/>
              <v:imagedata o:title=""/>
              <o:lock v:ext="edit" aspectratio="f"/>
              <v:textbox>
                <w:txbxContent>
                  <w:p>
                    <w:pPr>
                      <w:ind w:left="-180"/>
                    </w:pPr>
                  </w:p>
                </w:txbxContent>
              </v:textbox>
              <w10:wrap type="topAndBottom"/>
            </v:shape>
          </w:pict>
        </mc:Fallback>
      </mc:AlternateContent>
    </w:r>
    <w:r>
      <mc:AlternateContent>
        <mc:Choice Requires="wps">
          <w:drawing>
            <wp:anchor distT="0" distB="0" distL="114300" distR="114300" simplePos="0" relativeHeight="251660288" behindDoc="0" locked="1" layoutInCell="1" allowOverlap="1">
              <wp:simplePos x="0" y="0"/>
              <wp:positionH relativeFrom="margin">
                <wp:align>right</wp:align>
              </wp:positionH>
              <wp:positionV relativeFrom="page">
                <wp:posOffset>9928860</wp:posOffset>
              </wp:positionV>
              <wp:extent cx="7105650" cy="716280"/>
              <wp:effectExtent l="0" t="0" r="0" b="7620"/>
              <wp:wrapNone/>
              <wp:docPr id="20" name="Text Box 281"/>
              <wp:cNvGraphicFramePr/>
              <a:graphic xmlns:a="http://schemas.openxmlformats.org/drawingml/2006/main">
                <a:graphicData uri="http://schemas.microsoft.com/office/word/2010/wordprocessingShape">
                  <wps:wsp>
                    <wps:cNvSpPr txBox="1">
                      <a:spLocks noChangeArrowheads="1"/>
                    </wps:cNvSpPr>
                    <wps:spPr bwMode="auto">
                      <a:xfrm>
                        <a:off x="0" y="0"/>
                        <a:ext cx="7105650" cy="716280"/>
                      </a:xfrm>
                      <a:prstGeom prst="rect">
                        <a:avLst/>
                      </a:prstGeom>
                      <a:noFill/>
                      <a:ln>
                        <a:noFill/>
                      </a:ln>
                    </wps:spPr>
                    <wps:txbx>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wps:txbx>
                    <wps:bodyPr rot="0" vert="horz" wrap="square" lIns="0" tIns="0" rIns="0" bIns="0" anchor="t" anchorCtr="0" upright="1">
                      <a:noAutofit/>
                    </wps:bodyPr>
                  </wps:wsp>
                </a:graphicData>
              </a:graphic>
            </wp:anchor>
          </w:drawing>
        </mc:Choice>
        <mc:Fallback>
          <w:pict>
            <v:shape id="Text Box 281" o:spid="_x0000_s1026" o:spt="202" type="#_x0000_t202" style="position:absolute;left:0pt;margin-top:781.8pt;height:56.4pt;width:559.5pt;mso-position-horizontal:right;mso-position-horizontal-relative:margin;mso-position-vertical-relative:page;z-index:251660288;mso-width-relative:page;mso-height-relative:page;" filled="f" stroked="f" coordsize="21600,21600" o:gfxdata="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CUjN6A2QAAAAsBAAAPAAAAAAAAAAEAIAAAACIAAABkcnMvZG93&#10;bnJldi54bWxQSwECFAAUAAAACACHTuJAfqFzt/8BAAAHBAAADgAAAAAAAAABACAAAAAoAQAAZHJz&#10;L2Uyb0RvYy54bWxQSwUGAAAAAAYABgBZAQAAmQUAAAAA&#10;">
              <v:fill on="f" focussize="0,0"/>
              <v:stroke on="f"/>
              <v:imagedata o:title=""/>
              <o:lock v:ext="edit" aspectratio="f"/>
              <v:textbox inset="0mm,0mm,0mm,0mm">
                <w:txbxContent>
                  <w:tbl>
                    <w:tblPr>
                      <w:tblStyle w:val="20"/>
                      <w:tblW w:w="0" w:type="auto"/>
                      <w:tblCaption w:val="[Table_yejiao1]"/>
                      <w:tblDescription w:val="表格隐藏标识（勿删除）"/>
                      <w:tblInd w:w="0" w:type="dxa"/>
                      <w:tblBorders>
                        <w:top w:val="none" w:color="auto" w:sz="0" w:space="0"/>
                        <w:left w:val="none" w:color="auto" w:sz="0" w:space="0"/>
                        <w:bottom w:val="none" w:color="auto" w:sz="0" w:space="0"/>
                        <w:right w:val="none" w:color="auto" w:sz="0" w:space="0"/>
                        <w:insideH w:val="none" w:color="auto" w:sz="0" w:space="0"/>
                        <w:insideV w:val="single" w:color="auto" w:sz="4" w:space="0"/>
                      </w:tblBorders>
                      <w:tblLayout w:type="autofit"/>
                      <w:tblCellMar>
                        <w:top w:w="0" w:type="dxa"/>
                        <w:left w:w="0" w:type="dxa"/>
                        <w:bottom w:w="0" w:type="dxa"/>
                        <w:right w:w="0" w:type="dxa"/>
                      </w:tblCellMar>
                    </w:tblPr>
                    <w:tblGrid>
                      <w:gridCol w:w="11190"/>
                    </w:tblGrid>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rPr>
                        <w:trHeight w:val="23" w:hRule="exact"/>
                      </w:trPr>
                      <w:tc>
                        <w:tcPr>
                          <w:tcW w:w="11583" w:type="dxa"/>
                        </w:tcPr>
                        <w:p>
                          <w:pPr>
                            <w:pStyle w:val="64"/>
                            <w:rPr>
                              <w:rFonts w:eastAsia="楷体_GB2312" w:cs="Calibri"/>
                              <w:b w:val="0"/>
                              <w:sz w:val="21"/>
                              <w:szCs w:val="21"/>
                            </w:rPr>
                          </w:pPr>
                          <w:r>
                            <w:rPr>
                              <w:rFonts w:eastAsia="楷体_GB2312" w:cs="Calibri"/>
                              <w:b w:val="0"/>
                              <w:color w:val="FFFFFF" w:themeColor="background1"/>
                              <w:sz w:val="21"/>
                              <w:szCs w:val="21"/>
                              <w14:textFill>
                                <w14:solidFill>
                                  <w14:schemeClr w14:val="bg1"/>
                                </w14:solidFill>
                              </w14:textFill>
                            </w:rPr>
                            <w:t>[Table_yejiao1]</w:t>
                          </w:r>
                        </w:p>
                      </w:tc>
                    </w:tr>
                    <w:tr>
                      <w:tblPrEx>
                        <w:tblBorders>
                          <w:top w:val="none" w:color="auto" w:sz="0" w:space="0"/>
                          <w:left w:val="none" w:color="auto" w:sz="0" w:space="0"/>
                          <w:bottom w:val="none" w:color="auto" w:sz="0" w:space="0"/>
                          <w:right w:val="none" w:color="auto" w:sz="0" w:space="0"/>
                          <w:insideH w:val="none" w:color="auto" w:sz="0" w:space="0"/>
                          <w:insideV w:val="single" w:color="auto" w:sz="4" w:space="0"/>
                        </w:tblBorders>
                        <w:tblCellMar>
                          <w:top w:w="0" w:type="dxa"/>
                          <w:left w:w="0" w:type="dxa"/>
                          <w:bottom w:w="0" w:type="dxa"/>
                          <w:right w:w="0" w:type="dxa"/>
                        </w:tblCellMar>
                      </w:tblPrEx>
                      <w:tc>
                        <w:tcPr>
                          <w:tcW w:w="11583" w:type="dxa"/>
                        </w:tcPr>
                        <w:p>
                          <w:pPr>
                            <w:pStyle w:val="64"/>
                            <w:rPr>
                              <w:rFonts w:eastAsia="MS Mincho" w:cs="Calibri"/>
                              <w:b w:val="0"/>
                              <w:sz w:val="21"/>
                              <w:szCs w:val="21"/>
                            </w:rPr>
                          </w:pPr>
                          <w:r>
                            <w:rPr>
                              <w:rFonts w:hint="eastAsia" w:eastAsia="楷体_GB2312" w:cs="Calibri"/>
                              <w:b w:val="0"/>
                              <w:sz w:val="21"/>
                              <w:szCs w:val="21"/>
                            </w:rPr>
                            <w:t>本研究报告由华福国际分销，在其许可的司法管辖区内从事证券活动。关于华福国际的分析师证明，重要披露声明和免责声明，请参阅附录。</w:t>
                          </w:r>
                          <w:r>
                            <w:rPr>
                              <w:rFonts w:eastAsia="楷体_GB2312" w:cs="Calibri"/>
                              <w:b w:val="0"/>
                              <w:sz w:val="21"/>
                              <w:szCs w:val="21"/>
                            </w:rPr>
                            <w:t>This research report is distributed by HuaFu International, which is authorized to engage in securities activities in its respective jurisdiction. Please refer to appendix for detailed analysts certification, conflict of interest disclosures and important disclaimer.</w:t>
                          </w:r>
                        </w:p>
                      </w:tc>
                    </w:tr>
                  </w:tbl>
                  <w:p>
                    <w:pPr>
                      <w:pStyle w:val="64"/>
                      <w:rPr>
                        <w:rFonts w:eastAsia="楷体_GB2312" w:cs="Calibri"/>
                        <w:b w:val="0"/>
                        <w:sz w:val="21"/>
                        <w:szCs w:val="21"/>
                      </w:rPr>
                    </w:pPr>
                  </w:p>
                </w:txbxContent>
              </v:textbox>
              <w10:anchorlock/>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12"/>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347" w:tblpY="15481"/>
      <w:tblOverlap w:val="never"/>
      <w:tblW w:w="10723"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7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4" w:hRule="atLeast"/>
      </w:trPr>
      <w:tc>
        <w:tcPr>
          <w:tcW w:w="10723" w:type="dxa"/>
          <w:tcBorders>
            <w:top w:val="nil"/>
            <w:left w:val="nil"/>
            <w:bottom w:val="nil"/>
            <w:right w:val="nil"/>
          </w:tcBorders>
          <w:vAlign w:val="center"/>
        </w:tcPr>
        <w:p>
          <w:pPr>
            <w:pStyle w:val="68"/>
            <w:framePr w:wrap="auto" w:vAnchor="margin" w:hAnchor="text" w:xAlign="left" w:yAlign="inline"/>
          </w:pPr>
          <w:r>
            <w:fldChar w:fldCharType="begin"/>
          </w:r>
          <w:r>
            <w:instrText xml:space="preserve"> DATE  \@ "d MMM yyyy"  \* MERGEFORMAT </w:instrText>
          </w:r>
          <w:r>
            <w:fldChar w:fldCharType="separate"/>
          </w:r>
          <w:r>
            <w:t>25 Mar 2026</w:t>
          </w:r>
          <w:r>
            <w:fldChar w:fldCharType="end"/>
          </w:r>
          <w:r>
            <w:tab/>
          </w:r>
          <w:r>
            <w:fldChar w:fldCharType="begin"/>
          </w:r>
          <w:r>
            <w:instrText xml:space="preserve"> PAGE </w:instrText>
          </w:r>
          <w:r>
            <w:fldChar w:fldCharType="separate"/>
          </w:r>
          <w:r>
            <w:t>2</w:t>
          </w:r>
          <w:r>
            <w:fldChar w:fldCharType="end"/>
          </w:r>
        </w:p>
      </w:tc>
    </w:tr>
  </w:tbl>
  <w:p>
    <w:pPr>
      <w:pStyle w:val="65"/>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9"/>
      <w:tblpPr w:vertAnchor="page" w:horzAnchor="page" w:tblpX="631" w:tblpY="15481"/>
      <w:tblOverlap w:val="never"/>
      <w:tblW w:w="1043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1043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29" w:hRule="atLeast"/>
      </w:trPr>
      <w:tc>
        <w:tcPr>
          <w:tcW w:w="10437" w:type="dxa"/>
          <w:tcBorders>
            <w:top w:val="nil"/>
            <w:left w:val="nil"/>
            <w:bottom w:val="nil"/>
            <w:right w:val="nil"/>
          </w:tcBorders>
          <w:vAlign w:val="center"/>
        </w:tcPr>
        <w:p>
          <w:pPr>
            <w:pStyle w:val="68"/>
            <w:framePr w:wrap="auto" w:vAnchor="margin" w:hAnchor="text" w:xAlign="left" w:yAlign="inline"/>
          </w:pPr>
          <w:r>
            <w:tab/>
          </w:r>
          <w:r>
            <w:fldChar w:fldCharType="begin"/>
          </w:r>
          <w:r>
            <w:instrText xml:space="preserve"> PAGE </w:instrText>
          </w:r>
          <w:r>
            <w:fldChar w:fldCharType="separate"/>
          </w:r>
          <w:r>
            <w:t>11</w:t>
          </w:r>
          <w:r>
            <w:fldChar w:fldCharType="end"/>
          </w:r>
        </w:p>
      </w:tc>
    </w:tr>
  </w:tbl>
  <w:p>
    <w:pPr>
      <w:pStyle w:val="12"/>
      <w:rPr>
        <w:rFonts w:eastAsiaTheme="minor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0" w:type="auto"/>
      <w:tblCaption w:val="[Table_header2]"/>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7815"/>
      <w:gridCol w:w="3047"/>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7815" w:type="dxa"/>
          <w:tcBorders>
            <w:top w:val="nil"/>
            <w:bottom w:val="nil"/>
          </w:tcBorders>
          <w:vAlign w:val="center"/>
        </w:tcPr>
        <w:p>
          <w:pPr>
            <w:pStyle w:val="65"/>
            <w:rPr>
              <w:rFonts w:eastAsia="楷体_GB2312" w:cs="等线"/>
              <w:color w:val="FF0000"/>
              <w:sz w:val="24"/>
              <w:lang w:eastAsia="zh-CN"/>
            </w:rPr>
          </w:pPr>
          <w:r>
            <w:rPr>
              <w:rFonts w:eastAsia="楷体_GB2312" w:cs="等线"/>
              <w:color w:val="FFFFFF" w:themeColor="background1"/>
              <w:sz w:val="24"/>
              <w:lang w:eastAsia="zh-CN"/>
              <w14:textFill>
                <w14:solidFill>
                  <w14:schemeClr w14:val="bg1"/>
                </w14:solidFill>
              </w14:textFill>
            </w:rPr>
            <w:t>[Table_header2]</w:t>
          </w:r>
        </w:p>
      </w:tc>
      <w:tc>
        <w:tcPr>
          <w:tcW w:w="3047" w:type="dxa"/>
          <w:tcBorders>
            <w:top w:val="nil"/>
            <w:bottom w:val="nil"/>
          </w:tcBorders>
          <w:vAlign w:val="center"/>
        </w:tcPr>
        <w:p>
          <w:pPr>
            <w:pStyle w:val="65"/>
            <w:jc w:val="right"/>
            <w:rPr>
              <w:rStyle w:val="67"/>
              <w:rFonts w:eastAsia="楷体_GB2312" w:cs="等线"/>
              <w:color w:val="FF0000"/>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7815"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3047"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sz w:val="24"/>
              <w:lang w:eastAsia="zh-CN"/>
            </w:rPr>
          </w:pPr>
          <w:r>
            <w:rPr>
              <w:rFonts w:eastAsia="楷体_GB2312" w:cs="等线"/>
              <w:color w:val="FFFFFF" w:themeColor="background1"/>
              <w:sz w:val="24"/>
              <w:lang w:eastAsia="zh-CN"/>
              <w14:textFill>
                <w14:solidFill>
                  <w14:schemeClr w14:val="bg1"/>
                </w14:solidFill>
              </w14:textFill>
            </w:rPr>
            <w:t>[Table_header1]</w:t>
          </w:r>
        </w:p>
      </w:tc>
      <w:tc>
        <w:tcPr>
          <w:tcW w:w="4678" w:type="dxa"/>
          <w:tcBorders>
            <w:top w:val="nil"/>
            <w:bottom w:val="nil"/>
          </w:tcBorders>
          <w:vAlign w:val="center"/>
        </w:tcPr>
        <w:p>
          <w:pPr>
            <w:pStyle w:val="65"/>
            <w:jc w:val="right"/>
            <w:rPr>
              <w:rStyle w:val="67"/>
              <w:rFonts w:eastAsia="楷体_GB2312" w:cs="等线"/>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A7242B"/>
              <w:sz w:val="24"/>
              <w:szCs w:val="24"/>
              <w:lang w:eastAsia="zh-CN"/>
            </w:rPr>
          </w:pPr>
          <w:r>
            <w:rPr>
              <w:rFonts w:hint="eastAsia" w:eastAsia="楷体_GB2312" w:cs="Calibri"/>
              <w:b/>
              <w:bCs/>
              <w:color w:val="A7242B"/>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A7242B"/>
              <w:sz w:val="24"/>
              <w:lang w:eastAsia="zh-CN"/>
            </w:rPr>
          </w:pPr>
          <w:r>
            <w:rPr>
              <w:rStyle w:val="67"/>
              <w:rFonts w:hint="eastAsia" w:eastAsia="楷体_GB2312" w:cs="Calibri"/>
              <w:color w:val="A7242B"/>
              <w:sz w:val="24"/>
              <w:lang w:eastAsia="zh-CN"/>
            </w:rPr>
            <w:t>评级调整</w:t>
          </w:r>
        </w:p>
      </w:tc>
    </w:tr>
  </w:tbl>
  <w:p>
    <w:pPr>
      <w:pStyle w:val="1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11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rPr>
        <w:color w:val="23558C"/>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68752352"/>
      <w:placeholder>
        <w:docPart w:val="0A7DF2113BC84988AC653F937B869E52"/>
      </w:placeholder>
      <w:temporary/>
      <w:showingPlcHdr/>
      <w15:appearance w15:val="hidden"/>
    </w:sdtPr>
    <w:sdtContent>
      <w:p>
        <w:pPr>
          <w:pStyle w:val="13"/>
        </w:pPr>
        <w:r>
          <w:rPr>
            <w:lang w:val="zh-CN"/>
          </w:rPr>
          <w:t>[在此处键入]</w:t>
        </w:r>
      </w:p>
    </w:sdtContent>
  </w:sdt>
  <w:p>
    <w:pPr>
      <w:pStyle w:val="13"/>
      <w:jc w:val="left"/>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20"/>
      <w:tblW w:w="10916" w:type="dxa"/>
      <w:tblCaption w:val="[Table_header1]"/>
      <w:tblDescription w:val="表格隐藏标识（勿删除）"/>
      <w:tblInd w:w="-3099" w:type="dxa"/>
      <w:tblBorders>
        <w:top w:val="none" w:color="auto" w:sz="0" w:space="0"/>
        <w:left w:val="none" w:color="auto" w:sz="0" w:space="0"/>
        <w:bottom w:val="none" w:color="auto" w:sz="0"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6238"/>
      <w:gridCol w:w="4678"/>
    </w:tblGrid>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23" w:hRule="exact"/>
      </w:trPr>
      <w:tc>
        <w:tcPr>
          <w:tcW w:w="6238" w:type="dxa"/>
          <w:tcBorders>
            <w:top w:val="nil"/>
            <w:bottom w:val="nil"/>
          </w:tcBorders>
          <w:vAlign w:val="center"/>
        </w:tcPr>
        <w:p>
          <w:pPr>
            <w:pStyle w:val="65"/>
            <w:rPr>
              <w:rFonts w:eastAsia="楷体_GB2312" w:cs="等线"/>
              <w:color w:val="23558C"/>
              <w:sz w:val="24"/>
              <w:lang w:eastAsia="zh-CN"/>
            </w:rPr>
          </w:pPr>
          <w:r>
            <w:rPr>
              <w:rFonts w:eastAsia="楷体_GB2312" w:cs="等线"/>
              <w:color w:val="23558C"/>
              <w:sz w:val="24"/>
              <w:lang w:eastAsia="zh-CN"/>
            </w:rPr>
            <w:t>[Table_header1]</w:t>
          </w:r>
        </w:p>
      </w:tc>
      <w:tc>
        <w:tcPr>
          <w:tcW w:w="4678" w:type="dxa"/>
          <w:tcBorders>
            <w:top w:val="nil"/>
            <w:bottom w:val="nil"/>
          </w:tcBorders>
          <w:vAlign w:val="center"/>
        </w:tcPr>
        <w:p>
          <w:pPr>
            <w:pStyle w:val="65"/>
            <w:jc w:val="right"/>
            <w:rPr>
              <w:rStyle w:val="67"/>
              <w:rFonts w:eastAsia="楷体_GB2312" w:cs="等线"/>
              <w:color w:val="23558C"/>
              <w:sz w:val="24"/>
              <w:lang w:eastAsia="zh-CN"/>
            </w:rPr>
          </w:pPr>
        </w:p>
      </w:tc>
    </w:tr>
    <w:tr>
      <w:tblPrEx>
        <w:tblBorders>
          <w:top w:val="none" w:color="auto" w:sz="0" w:space="0"/>
          <w:left w:val="none" w:color="auto" w:sz="0" w:space="0"/>
          <w:bottom w:val="none" w:color="auto" w:sz="0" w:space="0"/>
          <w:right w:val="none" w:color="auto" w:sz="0" w:space="0"/>
          <w:insideH w:val="single" w:color="auto" w:sz="4" w:space="0"/>
          <w:insideV w:val="none" w:color="auto" w:sz="0" w:space="0"/>
        </w:tblBorders>
        <w:tblCellMar>
          <w:top w:w="0" w:type="dxa"/>
          <w:left w:w="108" w:type="dxa"/>
          <w:bottom w:w="0" w:type="dxa"/>
          <w:right w:w="108" w:type="dxa"/>
        </w:tblCellMar>
      </w:tblPrEx>
      <w:trPr>
        <w:trHeight w:val="416" w:hRule="atLeast"/>
      </w:trPr>
      <w:tc>
        <w:tcPr>
          <w:tcW w:w="6238" w:type="dxa"/>
          <w:tcBorders>
            <w:top w:val="nil"/>
          </w:tcBorders>
          <w:vAlign w:val="center"/>
        </w:tcPr>
        <w:p>
          <w:pPr>
            <w:pStyle w:val="65"/>
            <w:rPr>
              <w:rFonts w:eastAsia="楷体_GB2312" w:cs="Calibri"/>
              <w:b/>
              <w:bCs/>
              <w:color w:val="23558C"/>
              <w:sz w:val="24"/>
              <w:szCs w:val="24"/>
              <w:lang w:eastAsia="zh-CN"/>
            </w:rPr>
          </w:pPr>
          <w:r>
            <w:rPr>
              <w:rFonts w:hint="eastAsia" w:eastAsia="楷体_GB2312" w:cs="Calibri"/>
              <w:b/>
              <w:bCs/>
              <w:color w:val="23558C"/>
              <w:sz w:val="24"/>
              <w:szCs w:val="24"/>
              <w:lang w:eastAsia="zh-CN"/>
            </w:rPr>
            <w:t>公司名称 (Stock code)</w:t>
          </w:r>
        </w:p>
      </w:tc>
      <w:tc>
        <w:tcPr>
          <w:tcW w:w="4678" w:type="dxa"/>
          <w:tcBorders>
            <w:top w:val="nil"/>
          </w:tcBorders>
          <w:vAlign w:val="center"/>
        </w:tcPr>
        <w:p>
          <w:pPr>
            <w:pStyle w:val="65"/>
            <w:jc w:val="right"/>
            <w:rPr>
              <w:rStyle w:val="67"/>
              <w:rFonts w:eastAsia="楷体_GB2312" w:cs="Calibri"/>
              <w:color w:val="23558C"/>
              <w:sz w:val="24"/>
              <w:lang w:eastAsia="zh-CN"/>
            </w:rPr>
          </w:pPr>
          <w:r>
            <w:rPr>
              <w:rStyle w:val="67"/>
              <w:rFonts w:hint="eastAsia" w:eastAsia="楷体_GB2312" w:cs="Calibri"/>
              <w:color w:val="23558C"/>
              <w:sz w:val="24"/>
              <w:lang w:eastAsia="zh-CN"/>
            </w:rPr>
            <w:t>评级调整</w:t>
          </w:r>
        </w:p>
      </w:tc>
    </w:tr>
  </w:tbl>
  <w:p>
    <w:pPr>
      <w:pStyle w:val="13"/>
      <w:jc w:val="left"/>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left"/>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4CE7F8"/>
    <w:multiLevelType w:val="singleLevel"/>
    <w:tmpl w:val="984CE7F8"/>
    <w:lvl w:ilvl="0" w:tentative="0">
      <w:start w:val="1"/>
      <w:numFmt w:val="decimal"/>
      <w:lvlText w:val="%1)"/>
      <w:lvlJc w:val="left"/>
      <w:pPr>
        <w:tabs>
          <w:tab w:val="left" w:pos="312"/>
        </w:tabs>
      </w:pPr>
    </w:lvl>
  </w:abstractNum>
  <w:abstractNum w:abstractNumId="1">
    <w:nsid w:val="0C734EF2"/>
    <w:multiLevelType w:val="multilevel"/>
    <w:tmpl w:val="0C734EF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70D0AD2"/>
    <w:multiLevelType w:val="multilevel"/>
    <w:tmpl w:val="170D0AD2"/>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3">
    <w:nsid w:val="1A351FC1"/>
    <w:multiLevelType w:val="multilevel"/>
    <w:tmpl w:val="1A351FC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28630A4C"/>
    <w:multiLevelType w:val="multilevel"/>
    <w:tmpl w:val="28630A4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A7C6594"/>
    <w:multiLevelType w:val="multilevel"/>
    <w:tmpl w:val="3A7C6594"/>
    <w:lvl w:ilvl="0" w:tentative="0">
      <w:start w:val="1"/>
      <w:numFmt w:val="decimal"/>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416F7145"/>
    <w:multiLevelType w:val="multilevel"/>
    <w:tmpl w:val="416F7145"/>
    <w:lvl w:ilvl="0" w:tentative="0">
      <w:start w:val="1"/>
      <w:numFmt w:val="decimal"/>
      <w:lvlText w:val="%1)"/>
      <w:lvlJc w:val="left"/>
      <w:pPr>
        <w:tabs>
          <w:tab w:val="left" w:pos="720"/>
        </w:tabs>
        <w:ind w:left="720" w:hanging="360"/>
      </w:pPr>
      <w:rPr>
        <w:rFonts w:ascii="Calibri" w:hAnsi="Calibri" w:eastAsia="楷体" w:cs="Calibri"/>
      </w:r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4EDF7737"/>
    <w:multiLevelType w:val="multilevel"/>
    <w:tmpl w:val="4EDF7737"/>
    <w:lvl w:ilvl="0" w:tentative="0">
      <w:start w:val="1"/>
      <w:numFmt w:val="bullet"/>
      <w:lvlText w:val=""/>
      <w:lvlJc w:val="left"/>
      <w:pPr>
        <w:ind w:left="440" w:hanging="440"/>
      </w:pPr>
      <w:rPr>
        <w:rFonts w:hint="default" w:ascii="Wingdings" w:hAnsi="Wingdings"/>
      </w:rPr>
    </w:lvl>
    <w:lvl w:ilvl="1" w:tentative="0">
      <w:start w:val="1"/>
      <w:numFmt w:val="bullet"/>
      <w:lvlText w:val=""/>
      <w:lvlJc w:val="left"/>
      <w:pPr>
        <w:ind w:left="880" w:hanging="440"/>
      </w:pPr>
      <w:rPr>
        <w:rFonts w:hint="default" w:ascii="Wingdings" w:hAnsi="Wingdings"/>
      </w:rPr>
    </w:lvl>
    <w:lvl w:ilvl="2" w:tentative="0">
      <w:start w:val="1"/>
      <w:numFmt w:val="bullet"/>
      <w:lvlText w:val=""/>
      <w:lvlJc w:val="left"/>
      <w:pPr>
        <w:ind w:left="1320" w:hanging="440"/>
      </w:pPr>
      <w:rPr>
        <w:rFonts w:hint="default" w:ascii="Wingdings" w:hAnsi="Wingdings"/>
      </w:rPr>
    </w:lvl>
    <w:lvl w:ilvl="3" w:tentative="0">
      <w:start w:val="1"/>
      <w:numFmt w:val="bullet"/>
      <w:lvlText w:val=""/>
      <w:lvlJc w:val="left"/>
      <w:pPr>
        <w:ind w:left="1760" w:hanging="440"/>
      </w:pPr>
      <w:rPr>
        <w:rFonts w:hint="default" w:ascii="Wingdings" w:hAnsi="Wingdings"/>
      </w:rPr>
    </w:lvl>
    <w:lvl w:ilvl="4" w:tentative="0">
      <w:start w:val="1"/>
      <w:numFmt w:val="bullet"/>
      <w:lvlText w:val=""/>
      <w:lvlJc w:val="left"/>
      <w:pPr>
        <w:ind w:left="2200" w:hanging="440"/>
      </w:pPr>
      <w:rPr>
        <w:rFonts w:hint="default" w:ascii="Wingdings" w:hAnsi="Wingdings"/>
      </w:rPr>
    </w:lvl>
    <w:lvl w:ilvl="5" w:tentative="0">
      <w:start w:val="1"/>
      <w:numFmt w:val="bullet"/>
      <w:lvlText w:val=""/>
      <w:lvlJc w:val="left"/>
      <w:pPr>
        <w:ind w:left="2640" w:hanging="440"/>
      </w:pPr>
      <w:rPr>
        <w:rFonts w:hint="default" w:ascii="Wingdings" w:hAnsi="Wingdings"/>
      </w:rPr>
    </w:lvl>
    <w:lvl w:ilvl="6" w:tentative="0">
      <w:start w:val="1"/>
      <w:numFmt w:val="bullet"/>
      <w:lvlText w:val=""/>
      <w:lvlJc w:val="left"/>
      <w:pPr>
        <w:ind w:left="3080" w:hanging="440"/>
      </w:pPr>
      <w:rPr>
        <w:rFonts w:hint="default" w:ascii="Wingdings" w:hAnsi="Wingdings"/>
      </w:rPr>
    </w:lvl>
    <w:lvl w:ilvl="7" w:tentative="0">
      <w:start w:val="1"/>
      <w:numFmt w:val="bullet"/>
      <w:lvlText w:val=""/>
      <w:lvlJc w:val="left"/>
      <w:pPr>
        <w:ind w:left="3520" w:hanging="440"/>
      </w:pPr>
      <w:rPr>
        <w:rFonts w:hint="default" w:ascii="Wingdings" w:hAnsi="Wingdings"/>
      </w:rPr>
    </w:lvl>
    <w:lvl w:ilvl="8" w:tentative="0">
      <w:start w:val="1"/>
      <w:numFmt w:val="bullet"/>
      <w:lvlText w:val=""/>
      <w:lvlJc w:val="left"/>
      <w:pPr>
        <w:ind w:left="3960" w:hanging="440"/>
      </w:pPr>
      <w:rPr>
        <w:rFonts w:hint="default" w:ascii="Wingdings" w:hAnsi="Wingdings"/>
      </w:rPr>
    </w:lvl>
  </w:abstractNum>
  <w:abstractNum w:abstractNumId="8">
    <w:nsid w:val="54CF43BB"/>
    <w:multiLevelType w:val="multilevel"/>
    <w:tmpl w:val="54CF43BB"/>
    <w:lvl w:ilvl="0" w:tentative="0">
      <w:start w:val="1"/>
      <w:numFmt w:val="decimal"/>
      <w:pStyle w:val="74"/>
      <w:suff w:val="nothing"/>
      <w:lvlText w:val="图表%1："/>
      <w:lvlJc w:val="left"/>
      <w:pPr>
        <w:ind w:left="0" w:firstLine="0"/>
      </w:pPr>
      <w:rPr>
        <w:rFonts w:hint="eastAsia"/>
      </w:rPr>
    </w:lvl>
    <w:lvl w:ilvl="1" w:tentative="0">
      <w:start w:val="1"/>
      <w:numFmt w:val="decimal"/>
      <w:lvlText w:val="%1.%2"/>
      <w:lvlJc w:val="left"/>
      <w:pPr>
        <w:ind w:left="992" w:hanging="567"/>
      </w:pPr>
      <w:rPr>
        <w:rFonts w:hint="eastAsia"/>
      </w:rPr>
    </w:lvl>
    <w:lvl w:ilvl="2" w:tentative="0">
      <w:start w:val="1"/>
      <w:numFmt w:val="decimal"/>
      <w:lvlText w:val="%1.%2.%3"/>
      <w:lvlJc w:val="left"/>
      <w:pPr>
        <w:ind w:left="1418" w:hanging="567"/>
      </w:pPr>
      <w:rPr>
        <w:rFonts w:hint="eastAsia"/>
      </w:rPr>
    </w:lvl>
    <w:lvl w:ilvl="3" w:tentative="0">
      <w:start w:val="1"/>
      <w:numFmt w:val="decimal"/>
      <w:lvlText w:val="%1.%2.%3.%4"/>
      <w:lvlJc w:val="left"/>
      <w:pPr>
        <w:ind w:left="1984" w:hanging="708"/>
      </w:pPr>
      <w:rPr>
        <w:rFonts w:hint="eastAsia"/>
      </w:rPr>
    </w:lvl>
    <w:lvl w:ilvl="4" w:tentative="0">
      <w:start w:val="1"/>
      <w:numFmt w:val="decimal"/>
      <w:lvlText w:val="%1.%2.%3.%4.%5"/>
      <w:lvlJc w:val="left"/>
      <w:pPr>
        <w:ind w:left="2551" w:hanging="850"/>
      </w:pPr>
      <w:rPr>
        <w:rFonts w:hint="eastAsia"/>
      </w:rPr>
    </w:lvl>
    <w:lvl w:ilvl="5" w:tentative="0">
      <w:start w:val="1"/>
      <w:numFmt w:val="decimal"/>
      <w:lvlText w:val="%1.%2.%3.%4.%5.%6"/>
      <w:lvlJc w:val="left"/>
      <w:pPr>
        <w:ind w:left="3260" w:hanging="1134"/>
      </w:pPr>
      <w:rPr>
        <w:rFonts w:hint="eastAsia"/>
      </w:rPr>
    </w:lvl>
    <w:lvl w:ilvl="6" w:tentative="0">
      <w:start w:val="1"/>
      <w:numFmt w:val="decimal"/>
      <w:lvlText w:val="%1.%2.%3.%4.%5.%6.%7"/>
      <w:lvlJc w:val="left"/>
      <w:pPr>
        <w:ind w:left="3827" w:hanging="1276"/>
      </w:pPr>
      <w:rPr>
        <w:rFonts w:hint="eastAsia"/>
      </w:rPr>
    </w:lvl>
    <w:lvl w:ilvl="7" w:tentative="0">
      <w:start w:val="1"/>
      <w:numFmt w:val="decimal"/>
      <w:lvlText w:val="%1.%2.%3.%4.%5.%6.%7.%8"/>
      <w:lvlJc w:val="left"/>
      <w:pPr>
        <w:ind w:left="4394" w:hanging="1418"/>
      </w:pPr>
      <w:rPr>
        <w:rFonts w:hint="eastAsia"/>
      </w:rPr>
    </w:lvl>
    <w:lvl w:ilvl="8" w:tentative="0">
      <w:start w:val="1"/>
      <w:numFmt w:val="decimal"/>
      <w:lvlText w:val="%1.%2.%3.%4.%5.%6.%7.%8.%9"/>
      <w:lvlJc w:val="left"/>
      <w:pPr>
        <w:ind w:left="5102" w:hanging="1700"/>
      </w:pPr>
      <w:rPr>
        <w:rFonts w:hint="eastAsia"/>
      </w:rPr>
    </w:lvl>
  </w:abstractNum>
  <w:abstractNum w:abstractNumId="9">
    <w:nsid w:val="64573A64"/>
    <w:multiLevelType w:val="multilevel"/>
    <w:tmpl w:val="64573A64"/>
    <w:lvl w:ilvl="0" w:tentative="0">
      <w:start w:val="1"/>
      <w:numFmt w:val="decimalEnclosedCircle"/>
      <w:lvlText w:val="%1"/>
      <w:lvlJc w:val="left"/>
      <w:pPr>
        <w:ind w:left="360" w:hanging="360"/>
      </w:pPr>
      <w:rPr>
        <w:rFonts w:hint="default"/>
        <w:b/>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0">
    <w:nsid w:val="789549F9"/>
    <w:multiLevelType w:val="multilevel"/>
    <w:tmpl w:val="789549F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8"/>
  </w:num>
  <w:num w:numId="2">
    <w:abstractNumId w:val="4"/>
  </w:num>
  <w:num w:numId="3">
    <w:abstractNumId w:val="3"/>
  </w:num>
  <w:num w:numId="4">
    <w:abstractNumId w:val="1"/>
  </w:num>
  <w:num w:numId="5">
    <w:abstractNumId w:val="6"/>
  </w:num>
  <w:num w:numId="6">
    <w:abstractNumId w:val="0"/>
  </w:num>
  <w:num w:numId="7">
    <w:abstractNumId w:val="2"/>
  </w:num>
  <w:num w:numId="8">
    <w:abstractNumId w:val="10"/>
  </w:num>
  <w:num w:numId="9">
    <w:abstractNumId w:val="5"/>
  </w:num>
  <w:num w:numId="10">
    <w:abstractNumId w:val="7"/>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drawingGridHorizontalSpacing w:val="110"/>
  <w:drawingGridVerticalSpacing w:val="299"/>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RlOWU1OWFiZTlkMDIxMDc5MTk1MDFjOTRlNGRkZTIifQ=="/>
  </w:docVars>
  <w:rsids>
    <w:rsidRoot w:val="00BD4463"/>
    <w:rsid w:val="00011DD2"/>
    <w:rsid w:val="00017725"/>
    <w:rsid w:val="000202AF"/>
    <w:rsid w:val="000251D0"/>
    <w:rsid w:val="00033511"/>
    <w:rsid w:val="00041BFB"/>
    <w:rsid w:val="00046898"/>
    <w:rsid w:val="00055D29"/>
    <w:rsid w:val="00056A90"/>
    <w:rsid w:val="00057C7D"/>
    <w:rsid w:val="000713E3"/>
    <w:rsid w:val="00075786"/>
    <w:rsid w:val="00076105"/>
    <w:rsid w:val="0007641A"/>
    <w:rsid w:val="00087D89"/>
    <w:rsid w:val="00090408"/>
    <w:rsid w:val="00096427"/>
    <w:rsid w:val="000B3AF7"/>
    <w:rsid w:val="000E09D6"/>
    <w:rsid w:val="000E270F"/>
    <w:rsid w:val="000E303E"/>
    <w:rsid w:val="000E7974"/>
    <w:rsid w:val="000F11D3"/>
    <w:rsid w:val="000F2731"/>
    <w:rsid w:val="000F6A83"/>
    <w:rsid w:val="00103FAD"/>
    <w:rsid w:val="00105FC9"/>
    <w:rsid w:val="00111C4A"/>
    <w:rsid w:val="00116CD7"/>
    <w:rsid w:val="001171A2"/>
    <w:rsid w:val="00133BA6"/>
    <w:rsid w:val="00135CCD"/>
    <w:rsid w:val="001422E2"/>
    <w:rsid w:val="00143D1B"/>
    <w:rsid w:val="00146323"/>
    <w:rsid w:val="00152394"/>
    <w:rsid w:val="0015395E"/>
    <w:rsid w:val="001616A4"/>
    <w:rsid w:val="00175D3C"/>
    <w:rsid w:val="00176D52"/>
    <w:rsid w:val="00182F72"/>
    <w:rsid w:val="00193C1B"/>
    <w:rsid w:val="00196F29"/>
    <w:rsid w:val="001A238D"/>
    <w:rsid w:val="001A4840"/>
    <w:rsid w:val="001B2407"/>
    <w:rsid w:val="001B2DAD"/>
    <w:rsid w:val="001C1AD7"/>
    <w:rsid w:val="001C5A54"/>
    <w:rsid w:val="001D1C26"/>
    <w:rsid w:val="001D7381"/>
    <w:rsid w:val="001E0203"/>
    <w:rsid w:val="001E6692"/>
    <w:rsid w:val="001E7C6C"/>
    <w:rsid w:val="001F2F73"/>
    <w:rsid w:val="001F71F6"/>
    <w:rsid w:val="002062F5"/>
    <w:rsid w:val="00225EBE"/>
    <w:rsid w:val="00226FA3"/>
    <w:rsid w:val="0023495B"/>
    <w:rsid w:val="00234E19"/>
    <w:rsid w:val="00257895"/>
    <w:rsid w:val="002603A5"/>
    <w:rsid w:val="00273CC8"/>
    <w:rsid w:val="002763D5"/>
    <w:rsid w:val="00276E0E"/>
    <w:rsid w:val="00277044"/>
    <w:rsid w:val="002862BE"/>
    <w:rsid w:val="00292DC5"/>
    <w:rsid w:val="00296498"/>
    <w:rsid w:val="002A0007"/>
    <w:rsid w:val="002A5C04"/>
    <w:rsid w:val="002B6266"/>
    <w:rsid w:val="002B7A93"/>
    <w:rsid w:val="002C6686"/>
    <w:rsid w:val="002D7AA3"/>
    <w:rsid w:val="002E0F1F"/>
    <w:rsid w:val="002E6121"/>
    <w:rsid w:val="002E6DA6"/>
    <w:rsid w:val="002E724D"/>
    <w:rsid w:val="00306BC2"/>
    <w:rsid w:val="00307B37"/>
    <w:rsid w:val="00313DBF"/>
    <w:rsid w:val="00341C85"/>
    <w:rsid w:val="00354093"/>
    <w:rsid w:val="0036718A"/>
    <w:rsid w:val="00371AB5"/>
    <w:rsid w:val="00373DD0"/>
    <w:rsid w:val="00380826"/>
    <w:rsid w:val="003825B2"/>
    <w:rsid w:val="00392148"/>
    <w:rsid w:val="003A13B4"/>
    <w:rsid w:val="003A6133"/>
    <w:rsid w:val="003C4674"/>
    <w:rsid w:val="003E19BA"/>
    <w:rsid w:val="003E37A6"/>
    <w:rsid w:val="003E4D04"/>
    <w:rsid w:val="003F10DE"/>
    <w:rsid w:val="003F2203"/>
    <w:rsid w:val="003F45FE"/>
    <w:rsid w:val="003F73CC"/>
    <w:rsid w:val="0040446F"/>
    <w:rsid w:val="004149AB"/>
    <w:rsid w:val="00420104"/>
    <w:rsid w:val="00421E56"/>
    <w:rsid w:val="0042509C"/>
    <w:rsid w:val="0043512D"/>
    <w:rsid w:val="00447124"/>
    <w:rsid w:val="00450C7D"/>
    <w:rsid w:val="00466F61"/>
    <w:rsid w:val="00481DEF"/>
    <w:rsid w:val="00481F4B"/>
    <w:rsid w:val="00487065"/>
    <w:rsid w:val="004963D6"/>
    <w:rsid w:val="004A7B5E"/>
    <w:rsid w:val="004B0492"/>
    <w:rsid w:val="004B450C"/>
    <w:rsid w:val="004C3B38"/>
    <w:rsid w:val="004C4941"/>
    <w:rsid w:val="004E0FD4"/>
    <w:rsid w:val="0050383B"/>
    <w:rsid w:val="00506F8F"/>
    <w:rsid w:val="005167E6"/>
    <w:rsid w:val="0051687F"/>
    <w:rsid w:val="00520126"/>
    <w:rsid w:val="005217E2"/>
    <w:rsid w:val="00532076"/>
    <w:rsid w:val="00532560"/>
    <w:rsid w:val="00533169"/>
    <w:rsid w:val="005411FC"/>
    <w:rsid w:val="00544DF8"/>
    <w:rsid w:val="005455A3"/>
    <w:rsid w:val="00575DC5"/>
    <w:rsid w:val="005844D5"/>
    <w:rsid w:val="005944BC"/>
    <w:rsid w:val="00595C62"/>
    <w:rsid w:val="005979D9"/>
    <w:rsid w:val="005A31CB"/>
    <w:rsid w:val="005A5975"/>
    <w:rsid w:val="005A6C73"/>
    <w:rsid w:val="005A7DD7"/>
    <w:rsid w:val="005B03D1"/>
    <w:rsid w:val="005B1078"/>
    <w:rsid w:val="005B7729"/>
    <w:rsid w:val="005C7598"/>
    <w:rsid w:val="005F114D"/>
    <w:rsid w:val="005F75F3"/>
    <w:rsid w:val="006112ED"/>
    <w:rsid w:val="006122AB"/>
    <w:rsid w:val="006206E5"/>
    <w:rsid w:val="0062713A"/>
    <w:rsid w:val="0064026B"/>
    <w:rsid w:val="006554E8"/>
    <w:rsid w:val="006615AD"/>
    <w:rsid w:val="006705E4"/>
    <w:rsid w:val="00681246"/>
    <w:rsid w:val="00690B0E"/>
    <w:rsid w:val="006A2E9C"/>
    <w:rsid w:val="006B3B5D"/>
    <w:rsid w:val="006C55B0"/>
    <w:rsid w:val="006D623B"/>
    <w:rsid w:val="006E0295"/>
    <w:rsid w:val="006E48C9"/>
    <w:rsid w:val="006E5D7D"/>
    <w:rsid w:val="006F15BC"/>
    <w:rsid w:val="00713E1F"/>
    <w:rsid w:val="007319B0"/>
    <w:rsid w:val="00731DBD"/>
    <w:rsid w:val="00743C01"/>
    <w:rsid w:val="007443F2"/>
    <w:rsid w:val="00747957"/>
    <w:rsid w:val="00750267"/>
    <w:rsid w:val="00757736"/>
    <w:rsid w:val="007629C2"/>
    <w:rsid w:val="00764E26"/>
    <w:rsid w:val="00765C37"/>
    <w:rsid w:val="00766EB1"/>
    <w:rsid w:val="007678A7"/>
    <w:rsid w:val="00772E4B"/>
    <w:rsid w:val="007731E9"/>
    <w:rsid w:val="007803D0"/>
    <w:rsid w:val="0078115F"/>
    <w:rsid w:val="00785D57"/>
    <w:rsid w:val="007951E2"/>
    <w:rsid w:val="007A0911"/>
    <w:rsid w:val="007B6EB9"/>
    <w:rsid w:val="007B7727"/>
    <w:rsid w:val="007C1C7B"/>
    <w:rsid w:val="007C609E"/>
    <w:rsid w:val="007D1EDD"/>
    <w:rsid w:val="007D76ED"/>
    <w:rsid w:val="007E42B5"/>
    <w:rsid w:val="007E6603"/>
    <w:rsid w:val="007F1FF3"/>
    <w:rsid w:val="007F6592"/>
    <w:rsid w:val="008130EE"/>
    <w:rsid w:val="008232F5"/>
    <w:rsid w:val="00836545"/>
    <w:rsid w:val="00836703"/>
    <w:rsid w:val="00862866"/>
    <w:rsid w:val="00863B10"/>
    <w:rsid w:val="00866767"/>
    <w:rsid w:val="0087252F"/>
    <w:rsid w:val="00873A8B"/>
    <w:rsid w:val="00874B76"/>
    <w:rsid w:val="008900E8"/>
    <w:rsid w:val="008930F9"/>
    <w:rsid w:val="008A4410"/>
    <w:rsid w:val="008A52B2"/>
    <w:rsid w:val="008B3D75"/>
    <w:rsid w:val="008C3A1E"/>
    <w:rsid w:val="008C596A"/>
    <w:rsid w:val="008D4573"/>
    <w:rsid w:val="008D5FF2"/>
    <w:rsid w:val="008E356D"/>
    <w:rsid w:val="008E5ED3"/>
    <w:rsid w:val="008F41FB"/>
    <w:rsid w:val="00902D71"/>
    <w:rsid w:val="009113CF"/>
    <w:rsid w:val="009218CD"/>
    <w:rsid w:val="0092222A"/>
    <w:rsid w:val="0092226A"/>
    <w:rsid w:val="0093282B"/>
    <w:rsid w:val="00933F9D"/>
    <w:rsid w:val="00942F89"/>
    <w:rsid w:val="00943DFB"/>
    <w:rsid w:val="00946E18"/>
    <w:rsid w:val="00963044"/>
    <w:rsid w:val="009738D2"/>
    <w:rsid w:val="00976834"/>
    <w:rsid w:val="00980A31"/>
    <w:rsid w:val="00983470"/>
    <w:rsid w:val="00984680"/>
    <w:rsid w:val="00984D92"/>
    <w:rsid w:val="00990E76"/>
    <w:rsid w:val="00995AF7"/>
    <w:rsid w:val="00996501"/>
    <w:rsid w:val="009B0F1B"/>
    <w:rsid w:val="009B2EA6"/>
    <w:rsid w:val="009B36AD"/>
    <w:rsid w:val="009C1252"/>
    <w:rsid w:val="009C4303"/>
    <w:rsid w:val="009C61E1"/>
    <w:rsid w:val="009D5877"/>
    <w:rsid w:val="009D5FF6"/>
    <w:rsid w:val="009D7B9C"/>
    <w:rsid w:val="00A00D3E"/>
    <w:rsid w:val="00A02AE7"/>
    <w:rsid w:val="00A21ACB"/>
    <w:rsid w:val="00A2219A"/>
    <w:rsid w:val="00A2270B"/>
    <w:rsid w:val="00A354E2"/>
    <w:rsid w:val="00A40B50"/>
    <w:rsid w:val="00A421B4"/>
    <w:rsid w:val="00A42977"/>
    <w:rsid w:val="00A43022"/>
    <w:rsid w:val="00A434D2"/>
    <w:rsid w:val="00A52387"/>
    <w:rsid w:val="00A5278A"/>
    <w:rsid w:val="00A53D1A"/>
    <w:rsid w:val="00A5610E"/>
    <w:rsid w:val="00A574E3"/>
    <w:rsid w:val="00A60166"/>
    <w:rsid w:val="00A770FF"/>
    <w:rsid w:val="00A91507"/>
    <w:rsid w:val="00A920D7"/>
    <w:rsid w:val="00A96B1A"/>
    <w:rsid w:val="00AA1370"/>
    <w:rsid w:val="00AC739C"/>
    <w:rsid w:val="00AD4928"/>
    <w:rsid w:val="00AF1F91"/>
    <w:rsid w:val="00AF469A"/>
    <w:rsid w:val="00AF4A2E"/>
    <w:rsid w:val="00AF57D5"/>
    <w:rsid w:val="00B0101E"/>
    <w:rsid w:val="00B128F4"/>
    <w:rsid w:val="00B22AE0"/>
    <w:rsid w:val="00B31669"/>
    <w:rsid w:val="00B3195C"/>
    <w:rsid w:val="00B419E6"/>
    <w:rsid w:val="00B44C5E"/>
    <w:rsid w:val="00B472E8"/>
    <w:rsid w:val="00B50C5F"/>
    <w:rsid w:val="00B65F90"/>
    <w:rsid w:val="00B70510"/>
    <w:rsid w:val="00B72101"/>
    <w:rsid w:val="00B9388A"/>
    <w:rsid w:val="00BA3635"/>
    <w:rsid w:val="00BC67AD"/>
    <w:rsid w:val="00BD0305"/>
    <w:rsid w:val="00BD4463"/>
    <w:rsid w:val="00BD577C"/>
    <w:rsid w:val="00BD5EDB"/>
    <w:rsid w:val="00BE48C2"/>
    <w:rsid w:val="00BE4E09"/>
    <w:rsid w:val="00BF4820"/>
    <w:rsid w:val="00BF4D2E"/>
    <w:rsid w:val="00C04961"/>
    <w:rsid w:val="00C05926"/>
    <w:rsid w:val="00C17F91"/>
    <w:rsid w:val="00C2387C"/>
    <w:rsid w:val="00C25570"/>
    <w:rsid w:val="00C26D9F"/>
    <w:rsid w:val="00C34AB2"/>
    <w:rsid w:val="00C41D35"/>
    <w:rsid w:val="00C46ABE"/>
    <w:rsid w:val="00C54927"/>
    <w:rsid w:val="00C55570"/>
    <w:rsid w:val="00C766BE"/>
    <w:rsid w:val="00C83D78"/>
    <w:rsid w:val="00C84BDC"/>
    <w:rsid w:val="00C869E3"/>
    <w:rsid w:val="00C90E44"/>
    <w:rsid w:val="00C9251F"/>
    <w:rsid w:val="00C94F8A"/>
    <w:rsid w:val="00C96DC8"/>
    <w:rsid w:val="00C9747C"/>
    <w:rsid w:val="00C9769A"/>
    <w:rsid w:val="00C9794E"/>
    <w:rsid w:val="00CB7BBA"/>
    <w:rsid w:val="00CC362C"/>
    <w:rsid w:val="00CD5316"/>
    <w:rsid w:val="00CD6F67"/>
    <w:rsid w:val="00CD775C"/>
    <w:rsid w:val="00CE76D0"/>
    <w:rsid w:val="00CF629D"/>
    <w:rsid w:val="00CF7F45"/>
    <w:rsid w:val="00D00C61"/>
    <w:rsid w:val="00D03998"/>
    <w:rsid w:val="00D10610"/>
    <w:rsid w:val="00D15E10"/>
    <w:rsid w:val="00D2081E"/>
    <w:rsid w:val="00D218B4"/>
    <w:rsid w:val="00D41443"/>
    <w:rsid w:val="00D44D5F"/>
    <w:rsid w:val="00D46485"/>
    <w:rsid w:val="00D65D41"/>
    <w:rsid w:val="00D71D83"/>
    <w:rsid w:val="00DC2CE3"/>
    <w:rsid w:val="00DC4310"/>
    <w:rsid w:val="00DC4499"/>
    <w:rsid w:val="00DC6D34"/>
    <w:rsid w:val="00DC7F41"/>
    <w:rsid w:val="00DD6441"/>
    <w:rsid w:val="00DE1243"/>
    <w:rsid w:val="00DE17BB"/>
    <w:rsid w:val="00DE57B9"/>
    <w:rsid w:val="00DE5FDC"/>
    <w:rsid w:val="00DE7929"/>
    <w:rsid w:val="00E00D40"/>
    <w:rsid w:val="00E02F2B"/>
    <w:rsid w:val="00E03CFB"/>
    <w:rsid w:val="00E074A6"/>
    <w:rsid w:val="00E14403"/>
    <w:rsid w:val="00E155EE"/>
    <w:rsid w:val="00E16574"/>
    <w:rsid w:val="00E26849"/>
    <w:rsid w:val="00E30ACA"/>
    <w:rsid w:val="00E31B78"/>
    <w:rsid w:val="00E44D9F"/>
    <w:rsid w:val="00E51DDF"/>
    <w:rsid w:val="00E55E17"/>
    <w:rsid w:val="00E62D2F"/>
    <w:rsid w:val="00E83AF0"/>
    <w:rsid w:val="00E95165"/>
    <w:rsid w:val="00EB0A31"/>
    <w:rsid w:val="00EE74A4"/>
    <w:rsid w:val="00EE7BE4"/>
    <w:rsid w:val="00EF1881"/>
    <w:rsid w:val="00F06E7F"/>
    <w:rsid w:val="00F1146A"/>
    <w:rsid w:val="00F16C6B"/>
    <w:rsid w:val="00F27DC9"/>
    <w:rsid w:val="00F45E4D"/>
    <w:rsid w:val="00F47F0F"/>
    <w:rsid w:val="00F50DB3"/>
    <w:rsid w:val="00F511C7"/>
    <w:rsid w:val="00F528B0"/>
    <w:rsid w:val="00F55590"/>
    <w:rsid w:val="00F80860"/>
    <w:rsid w:val="00F80B9B"/>
    <w:rsid w:val="00F83054"/>
    <w:rsid w:val="00F9066D"/>
    <w:rsid w:val="00F91BE1"/>
    <w:rsid w:val="00F92099"/>
    <w:rsid w:val="00F9632B"/>
    <w:rsid w:val="00FA5472"/>
    <w:rsid w:val="00FB1434"/>
    <w:rsid w:val="00FB60AC"/>
    <w:rsid w:val="00FC07BE"/>
    <w:rsid w:val="00FC0826"/>
    <w:rsid w:val="00FC6E8E"/>
    <w:rsid w:val="00FD18FF"/>
    <w:rsid w:val="00FD3BF1"/>
    <w:rsid w:val="00FD4517"/>
    <w:rsid w:val="00FF191C"/>
    <w:rsid w:val="01803809"/>
    <w:rsid w:val="033A0998"/>
    <w:rsid w:val="03502CFD"/>
    <w:rsid w:val="04656EB0"/>
    <w:rsid w:val="049802FF"/>
    <w:rsid w:val="04BF763E"/>
    <w:rsid w:val="061340E1"/>
    <w:rsid w:val="062A4F87"/>
    <w:rsid w:val="064A387B"/>
    <w:rsid w:val="074C2609"/>
    <w:rsid w:val="07E74E75"/>
    <w:rsid w:val="08182C56"/>
    <w:rsid w:val="083057A7"/>
    <w:rsid w:val="0990783C"/>
    <w:rsid w:val="0CED3B15"/>
    <w:rsid w:val="0D662AF9"/>
    <w:rsid w:val="0DB66863"/>
    <w:rsid w:val="0E2C5125"/>
    <w:rsid w:val="17BB6387"/>
    <w:rsid w:val="183550CA"/>
    <w:rsid w:val="185D5F59"/>
    <w:rsid w:val="189501D2"/>
    <w:rsid w:val="189961EA"/>
    <w:rsid w:val="1A060856"/>
    <w:rsid w:val="1C3862A2"/>
    <w:rsid w:val="1C5E5533"/>
    <w:rsid w:val="1DA664C1"/>
    <w:rsid w:val="1EBF0EDC"/>
    <w:rsid w:val="1EED11DB"/>
    <w:rsid w:val="1F433D04"/>
    <w:rsid w:val="1FE05983"/>
    <w:rsid w:val="218250DB"/>
    <w:rsid w:val="24EA7087"/>
    <w:rsid w:val="24F2272A"/>
    <w:rsid w:val="25BB2A60"/>
    <w:rsid w:val="2613738E"/>
    <w:rsid w:val="265D6995"/>
    <w:rsid w:val="2696426F"/>
    <w:rsid w:val="26D5436F"/>
    <w:rsid w:val="27DD7501"/>
    <w:rsid w:val="28680D51"/>
    <w:rsid w:val="286B32A9"/>
    <w:rsid w:val="28F37D06"/>
    <w:rsid w:val="296A5517"/>
    <w:rsid w:val="29984D05"/>
    <w:rsid w:val="29E131C2"/>
    <w:rsid w:val="2B2139A1"/>
    <w:rsid w:val="2B941207"/>
    <w:rsid w:val="2BD02324"/>
    <w:rsid w:val="2C4A3730"/>
    <w:rsid w:val="2C604F77"/>
    <w:rsid w:val="2E870FE2"/>
    <w:rsid w:val="2F3B040D"/>
    <w:rsid w:val="303B11BD"/>
    <w:rsid w:val="312E24DA"/>
    <w:rsid w:val="315F1A90"/>
    <w:rsid w:val="32136C77"/>
    <w:rsid w:val="32BA76E3"/>
    <w:rsid w:val="360F461D"/>
    <w:rsid w:val="36854A8D"/>
    <w:rsid w:val="36F01431"/>
    <w:rsid w:val="3899321B"/>
    <w:rsid w:val="3A7F4ED5"/>
    <w:rsid w:val="3D1E60DF"/>
    <w:rsid w:val="3DDA0A65"/>
    <w:rsid w:val="3F632CDC"/>
    <w:rsid w:val="3FAF0F8B"/>
    <w:rsid w:val="3FB70595"/>
    <w:rsid w:val="456C120C"/>
    <w:rsid w:val="459540B0"/>
    <w:rsid w:val="46C61DFB"/>
    <w:rsid w:val="47EC4551"/>
    <w:rsid w:val="47FF4A0A"/>
    <w:rsid w:val="494241ED"/>
    <w:rsid w:val="499C0C49"/>
    <w:rsid w:val="49D01C80"/>
    <w:rsid w:val="4A7F2511"/>
    <w:rsid w:val="4AEF6A83"/>
    <w:rsid w:val="4F210225"/>
    <w:rsid w:val="4FAE7AF5"/>
    <w:rsid w:val="50A23EEF"/>
    <w:rsid w:val="50D45F65"/>
    <w:rsid w:val="514F7346"/>
    <w:rsid w:val="531A6B64"/>
    <w:rsid w:val="535F1857"/>
    <w:rsid w:val="547B1ECB"/>
    <w:rsid w:val="54B96610"/>
    <w:rsid w:val="5573148D"/>
    <w:rsid w:val="56442422"/>
    <w:rsid w:val="56556BF5"/>
    <w:rsid w:val="56A67E9E"/>
    <w:rsid w:val="57CF589D"/>
    <w:rsid w:val="581172F3"/>
    <w:rsid w:val="58D6064E"/>
    <w:rsid w:val="58D83B72"/>
    <w:rsid w:val="5AD71711"/>
    <w:rsid w:val="5C3D386F"/>
    <w:rsid w:val="5C7052AE"/>
    <w:rsid w:val="5EA05A1B"/>
    <w:rsid w:val="5F5F631F"/>
    <w:rsid w:val="608B4D11"/>
    <w:rsid w:val="622B4180"/>
    <w:rsid w:val="626C33F2"/>
    <w:rsid w:val="62D665B5"/>
    <w:rsid w:val="63674468"/>
    <w:rsid w:val="677A0EB9"/>
    <w:rsid w:val="67EB3CE9"/>
    <w:rsid w:val="691E364C"/>
    <w:rsid w:val="6A86769D"/>
    <w:rsid w:val="6C7C0072"/>
    <w:rsid w:val="6CBD693E"/>
    <w:rsid w:val="6EDB7B1D"/>
    <w:rsid w:val="6F413CD0"/>
    <w:rsid w:val="708319D8"/>
    <w:rsid w:val="709E0D12"/>
    <w:rsid w:val="72EE509C"/>
    <w:rsid w:val="73057B87"/>
    <w:rsid w:val="74764121"/>
    <w:rsid w:val="74856478"/>
    <w:rsid w:val="76F16C4E"/>
    <w:rsid w:val="78891EEF"/>
    <w:rsid w:val="7920024A"/>
    <w:rsid w:val="7A150154"/>
    <w:rsid w:val="7B752599"/>
    <w:rsid w:val="7B9058AF"/>
    <w:rsid w:val="7C8F7B03"/>
    <w:rsid w:val="7D335CF6"/>
    <w:rsid w:val="7D782922"/>
    <w:rsid w:val="7DC27B6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96"/>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qFormat="1" w:unhideWhenUsed="0" w:uiPriority="0" w:semiHidden="0"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rPr>
      <w:rFonts w:ascii="Calibri" w:hAnsi="Calibri" w:eastAsia="MS Mincho" w:cs="Times New Roman"/>
      <w:snapToGrid w:val="0"/>
      <w:sz w:val="16"/>
      <w:szCs w:val="16"/>
      <w:lang w:val="en-US" w:eastAsia="zh-CN" w:bidi="ar-SA"/>
    </w:rPr>
  </w:style>
  <w:style w:type="paragraph" w:styleId="2">
    <w:name w:val="heading 1"/>
    <w:basedOn w:val="1"/>
    <w:next w:val="1"/>
    <w:link w:val="24"/>
    <w:autoRedefine/>
    <w:qFormat/>
    <w:uiPriority w:val="9"/>
    <w:pPr>
      <w:keepNext/>
      <w:keepLines/>
      <w:spacing w:before="480" w:after="80"/>
      <w:outlineLvl w:val="0"/>
    </w:pPr>
    <w:rPr>
      <w:rFonts w:asciiTheme="majorHAnsi" w:hAnsiTheme="majorHAnsi" w:eastAsiaTheme="majorEastAsia" w:cstheme="majorBidi"/>
      <w:color w:val="104862" w:themeColor="accent1" w:themeShade="BF"/>
      <w:sz w:val="48"/>
      <w:szCs w:val="48"/>
    </w:rPr>
  </w:style>
  <w:style w:type="paragraph" w:styleId="3">
    <w:name w:val="heading 2"/>
    <w:basedOn w:val="1"/>
    <w:next w:val="1"/>
    <w:link w:val="25"/>
    <w:autoRedefine/>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40"/>
      <w:szCs w:val="40"/>
    </w:rPr>
  </w:style>
  <w:style w:type="paragraph" w:styleId="4">
    <w:name w:val="heading 3"/>
    <w:basedOn w:val="1"/>
    <w:next w:val="1"/>
    <w:link w:val="26"/>
    <w:autoRedefine/>
    <w:semiHidden/>
    <w:unhideWhenUsed/>
    <w:qFormat/>
    <w:uiPriority w:val="9"/>
    <w:pPr>
      <w:keepNext/>
      <w:keepLines/>
      <w:spacing w:before="160" w:after="80"/>
      <w:outlineLvl w:val="2"/>
    </w:pPr>
    <w:rPr>
      <w:rFonts w:asciiTheme="majorHAnsi" w:hAnsiTheme="majorHAnsi" w:eastAsiaTheme="majorEastAsia" w:cstheme="majorBidi"/>
      <w:color w:val="104862" w:themeColor="accent1" w:themeShade="BF"/>
      <w:sz w:val="32"/>
      <w:szCs w:val="32"/>
    </w:rPr>
  </w:style>
  <w:style w:type="paragraph" w:styleId="5">
    <w:name w:val="heading 4"/>
    <w:basedOn w:val="1"/>
    <w:next w:val="1"/>
    <w:link w:val="27"/>
    <w:autoRedefine/>
    <w:semiHidden/>
    <w:unhideWhenUsed/>
    <w:qFormat/>
    <w:uiPriority w:val="9"/>
    <w:pPr>
      <w:keepNext/>
      <w:keepLines/>
      <w:spacing w:before="80" w:after="40"/>
      <w:outlineLvl w:val="3"/>
    </w:pPr>
    <w:rPr>
      <w:rFonts w:cstheme="majorBidi"/>
      <w:color w:val="104862" w:themeColor="accent1" w:themeShade="BF"/>
      <w:sz w:val="28"/>
      <w:szCs w:val="28"/>
    </w:rPr>
  </w:style>
  <w:style w:type="paragraph" w:styleId="6">
    <w:name w:val="heading 5"/>
    <w:basedOn w:val="1"/>
    <w:next w:val="1"/>
    <w:link w:val="28"/>
    <w:autoRedefine/>
    <w:semiHidden/>
    <w:unhideWhenUsed/>
    <w:qFormat/>
    <w:uiPriority w:val="9"/>
    <w:pPr>
      <w:keepNext/>
      <w:keepLines/>
      <w:spacing w:before="80" w:after="40"/>
      <w:outlineLvl w:val="4"/>
    </w:pPr>
    <w:rPr>
      <w:rFonts w:cstheme="majorBidi"/>
      <w:color w:val="104862" w:themeColor="accent1" w:themeShade="BF"/>
      <w:sz w:val="24"/>
      <w:szCs w:val="24"/>
    </w:rPr>
  </w:style>
  <w:style w:type="paragraph" w:styleId="7">
    <w:name w:val="heading 6"/>
    <w:basedOn w:val="1"/>
    <w:next w:val="1"/>
    <w:link w:val="29"/>
    <w:autoRedefine/>
    <w:semiHidden/>
    <w:unhideWhenUsed/>
    <w:qFormat/>
    <w:uiPriority w:val="9"/>
    <w:pPr>
      <w:keepNext/>
      <w:keepLines/>
      <w:spacing w:before="40"/>
      <w:outlineLvl w:val="5"/>
    </w:pPr>
    <w:rPr>
      <w:rFonts w:cstheme="majorBidi"/>
      <w:b/>
      <w:bCs/>
      <w:color w:val="104862" w:themeColor="accent1" w:themeShade="BF"/>
    </w:rPr>
  </w:style>
  <w:style w:type="paragraph" w:styleId="8">
    <w:name w:val="heading 7"/>
    <w:basedOn w:val="1"/>
    <w:next w:val="1"/>
    <w:link w:val="30"/>
    <w:semiHidden/>
    <w:unhideWhenUsed/>
    <w:qFormat/>
    <w:uiPriority w:val="9"/>
    <w:pPr>
      <w:keepNext/>
      <w:keepLines/>
      <w:spacing w:before="40"/>
      <w:outlineLvl w:val="6"/>
    </w:pPr>
    <w:rPr>
      <w:rFonts w:cstheme="majorBidi"/>
      <w:b/>
      <w:bCs/>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1"/>
    <w:autoRedefine/>
    <w:semiHidden/>
    <w:unhideWhenUsed/>
    <w:qFormat/>
    <w:uiPriority w:val="9"/>
    <w:pPr>
      <w:keepNext/>
      <w:keepLines/>
      <w:outlineLvl w:val="7"/>
    </w:pPr>
    <w:rPr>
      <w:rFonts w:cstheme="majorBidi"/>
      <w:color w:val="595959" w:themeColor="text1" w:themeTint="A6"/>
      <w14:textFill>
        <w14:solidFill>
          <w14:schemeClr w14:val="tx1">
            <w14:lumMod w14:val="65000"/>
            <w14:lumOff w14:val="35000"/>
          </w14:schemeClr>
        </w14:solidFill>
      </w14:textFill>
    </w:rPr>
  </w:style>
  <w:style w:type="paragraph" w:styleId="10">
    <w:name w:val="heading 9"/>
    <w:basedOn w:val="1"/>
    <w:next w:val="1"/>
    <w:link w:val="32"/>
    <w:autoRedefine/>
    <w:semiHidden/>
    <w:unhideWhenUsed/>
    <w:qFormat/>
    <w:uiPriority w:val="9"/>
    <w:pPr>
      <w:keepNext/>
      <w:keepLines/>
      <w:outlineLvl w:val="8"/>
    </w:pPr>
    <w:rPr>
      <w:rFonts w:eastAsiaTheme="majorEastAsia" w:cstheme="majorBidi"/>
      <w:color w:val="595959" w:themeColor="text1" w:themeTint="A6"/>
      <w14:textFill>
        <w14:solidFill>
          <w14:schemeClr w14:val="tx1">
            <w14:lumMod w14:val="65000"/>
            <w14:lumOff w14:val="35000"/>
          </w14:schemeClr>
        </w14:solidFill>
      </w14:textFill>
    </w:rPr>
  </w:style>
  <w:style w:type="character" w:default="1" w:styleId="21">
    <w:name w:val="Default Paragraph Font"/>
    <w:semiHidden/>
    <w:unhideWhenUsed/>
    <w:qFormat/>
    <w:uiPriority w:val="1"/>
  </w:style>
  <w:style w:type="table" w:default="1" w:styleId="19">
    <w:name w:val="Normal Table"/>
    <w:semiHidden/>
    <w:unhideWhenUsed/>
    <w:uiPriority w:val="99"/>
    <w:tblPr>
      <w:tblCellMar>
        <w:top w:w="0" w:type="dxa"/>
        <w:left w:w="108" w:type="dxa"/>
        <w:bottom w:w="0" w:type="dxa"/>
        <w:right w:w="108" w:type="dxa"/>
      </w:tblCellMar>
    </w:tblPr>
  </w:style>
  <w:style w:type="paragraph" w:styleId="11">
    <w:name w:val="Block Text"/>
    <w:basedOn w:val="1"/>
    <w:autoRedefine/>
    <w:qFormat/>
    <w:uiPriority w:val="0"/>
    <w:pPr>
      <w:widowControl w:val="0"/>
      <w:ind w:left="3261" w:leftChars="1553" w:right="55" w:rightChars="26" w:firstLine="1"/>
    </w:pPr>
    <w:rPr>
      <w:rFonts w:ascii="Times New Roman" w:hAnsi="Times New Roman" w:eastAsia="汉仪大黑简"/>
      <w:snapToGrid/>
      <w:color w:val="000000"/>
      <w:kern w:val="2"/>
      <w:sz w:val="18"/>
      <w:szCs w:val="24"/>
    </w:rPr>
  </w:style>
  <w:style w:type="paragraph" w:styleId="12">
    <w:name w:val="footer"/>
    <w:basedOn w:val="1"/>
    <w:link w:val="43"/>
    <w:unhideWhenUsed/>
    <w:qFormat/>
    <w:uiPriority w:val="99"/>
    <w:pPr>
      <w:tabs>
        <w:tab w:val="center" w:pos="4153"/>
        <w:tab w:val="right" w:pos="8306"/>
      </w:tabs>
      <w:snapToGrid w:val="0"/>
    </w:pPr>
    <w:rPr>
      <w:sz w:val="18"/>
      <w:szCs w:val="18"/>
    </w:rPr>
  </w:style>
  <w:style w:type="paragraph" w:styleId="13">
    <w:name w:val="header"/>
    <w:basedOn w:val="1"/>
    <w:link w:val="42"/>
    <w:unhideWhenUsed/>
    <w:qFormat/>
    <w:uiPriority w:val="99"/>
    <w:pPr>
      <w:tabs>
        <w:tab w:val="center" w:pos="4153"/>
        <w:tab w:val="right" w:pos="8306"/>
      </w:tabs>
      <w:snapToGrid w:val="0"/>
      <w:jc w:val="center"/>
    </w:pPr>
    <w:rPr>
      <w:sz w:val="18"/>
      <w:szCs w:val="18"/>
    </w:rPr>
  </w:style>
  <w:style w:type="paragraph" w:styleId="14">
    <w:name w:val="toc 1"/>
    <w:basedOn w:val="1"/>
    <w:next w:val="1"/>
    <w:unhideWhenUsed/>
    <w:qFormat/>
    <w:uiPriority w:val="39"/>
    <w:pPr>
      <w:spacing w:after="100" w:line="259" w:lineRule="auto"/>
    </w:pPr>
    <w:rPr>
      <w:rFonts w:asciiTheme="minorHAnsi" w:hAnsiTheme="minorHAnsi" w:eastAsiaTheme="minorEastAsia"/>
      <w:snapToGrid/>
      <w:sz w:val="22"/>
      <w:szCs w:val="22"/>
    </w:rPr>
  </w:style>
  <w:style w:type="paragraph" w:styleId="15">
    <w:name w:val="Subtitle"/>
    <w:basedOn w:val="1"/>
    <w:next w:val="1"/>
    <w:link w:val="34"/>
    <w:autoRedefine/>
    <w:qFormat/>
    <w:uiPriority w:val="11"/>
    <w:pPr>
      <w:spacing w:after="160"/>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oc 2"/>
    <w:basedOn w:val="1"/>
    <w:next w:val="1"/>
    <w:unhideWhenUsed/>
    <w:qFormat/>
    <w:uiPriority w:val="39"/>
    <w:pPr>
      <w:spacing w:after="100" w:line="259" w:lineRule="auto"/>
      <w:ind w:left="220"/>
    </w:pPr>
    <w:rPr>
      <w:rFonts w:asciiTheme="minorHAnsi" w:hAnsiTheme="minorHAnsi" w:eastAsiaTheme="minorEastAsia"/>
      <w:snapToGrid/>
      <w:sz w:val="22"/>
      <w:szCs w:val="22"/>
    </w:rPr>
  </w:style>
  <w:style w:type="paragraph" w:styleId="17">
    <w:name w:val="Normal (Web)"/>
    <w:basedOn w:val="1"/>
    <w:autoRedefine/>
    <w:semiHidden/>
    <w:unhideWhenUsed/>
    <w:qFormat/>
    <w:uiPriority w:val="99"/>
    <w:rPr>
      <w:rFonts w:ascii="Times New Roman" w:hAnsi="Times New Roman"/>
      <w:sz w:val="24"/>
      <w:szCs w:val="24"/>
    </w:rPr>
  </w:style>
  <w:style w:type="paragraph" w:styleId="18">
    <w:name w:val="Title"/>
    <w:basedOn w:val="1"/>
    <w:next w:val="1"/>
    <w:link w:val="33"/>
    <w:autoRedefine/>
    <w:qFormat/>
    <w:uiPriority w:val="10"/>
    <w:pPr>
      <w:spacing w:after="80"/>
      <w:contextualSpacing/>
      <w:jc w:val="center"/>
    </w:pPr>
    <w:rPr>
      <w:rFonts w:asciiTheme="majorHAnsi" w:hAnsiTheme="majorHAnsi" w:eastAsiaTheme="majorEastAsia" w:cstheme="majorBidi"/>
      <w:spacing w:val="-10"/>
      <w:kern w:val="28"/>
      <w:sz w:val="56"/>
      <w:szCs w:val="56"/>
    </w:rPr>
  </w:style>
  <w:style w:type="table" w:styleId="20">
    <w:name w:val="Table Grid"/>
    <w:basedOn w:val="19"/>
    <w:autoRedefine/>
    <w:qFormat/>
    <w:uiPriority w:val="39"/>
    <w:rPr>
      <w:rFonts w:ascii="等线" w:hAnsi="等线" w:eastAsia="等线" w:cs="等线"/>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2">
    <w:name w:val="Strong"/>
    <w:basedOn w:val="21"/>
    <w:autoRedefine/>
    <w:qFormat/>
    <w:uiPriority w:val="22"/>
    <w:rPr>
      <w:b/>
    </w:rPr>
  </w:style>
  <w:style w:type="character" w:styleId="23">
    <w:name w:val="Hyperlink"/>
    <w:basedOn w:val="21"/>
    <w:autoRedefine/>
    <w:qFormat/>
    <w:uiPriority w:val="99"/>
    <w:rPr>
      <w:color w:val="0000FF"/>
      <w:u w:val="single"/>
    </w:rPr>
  </w:style>
  <w:style w:type="character" w:customStyle="1" w:styleId="24">
    <w:name w:val="标题 1 字符"/>
    <w:basedOn w:val="21"/>
    <w:link w:val="2"/>
    <w:autoRedefine/>
    <w:qFormat/>
    <w:uiPriority w:val="9"/>
    <w:rPr>
      <w:rFonts w:asciiTheme="majorHAnsi" w:hAnsiTheme="majorHAnsi" w:eastAsiaTheme="majorEastAsia" w:cstheme="majorBidi"/>
      <w:color w:val="104862" w:themeColor="accent1" w:themeShade="BF"/>
      <w:sz w:val="48"/>
      <w:szCs w:val="48"/>
    </w:rPr>
  </w:style>
  <w:style w:type="character" w:customStyle="1" w:styleId="25">
    <w:name w:val="标题 2 字符"/>
    <w:basedOn w:val="21"/>
    <w:link w:val="3"/>
    <w:semiHidden/>
    <w:qFormat/>
    <w:uiPriority w:val="9"/>
    <w:rPr>
      <w:rFonts w:asciiTheme="majorHAnsi" w:hAnsiTheme="majorHAnsi" w:eastAsiaTheme="majorEastAsia" w:cstheme="majorBidi"/>
      <w:color w:val="104862" w:themeColor="accent1" w:themeShade="BF"/>
      <w:sz w:val="40"/>
      <w:szCs w:val="40"/>
    </w:rPr>
  </w:style>
  <w:style w:type="character" w:customStyle="1" w:styleId="26">
    <w:name w:val="标题 3 字符"/>
    <w:basedOn w:val="21"/>
    <w:link w:val="4"/>
    <w:semiHidden/>
    <w:qFormat/>
    <w:uiPriority w:val="9"/>
    <w:rPr>
      <w:rFonts w:asciiTheme="majorHAnsi" w:hAnsiTheme="majorHAnsi" w:eastAsiaTheme="majorEastAsia" w:cstheme="majorBidi"/>
      <w:color w:val="104862" w:themeColor="accent1" w:themeShade="BF"/>
      <w:sz w:val="32"/>
      <w:szCs w:val="32"/>
    </w:rPr>
  </w:style>
  <w:style w:type="character" w:customStyle="1" w:styleId="27">
    <w:name w:val="标题 4 字符"/>
    <w:basedOn w:val="21"/>
    <w:link w:val="5"/>
    <w:autoRedefine/>
    <w:semiHidden/>
    <w:qFormat/>
    <w:uiPriority w:val="9"/>
    <w:rPr>
      <w:rFonts w:cstheme="majorBidi"/>
      <w:color w:val="104862" w:themeColor="accent1" w:themeShade="BF"/>
      <w:sz w:val="28"/>
      <w:szCs w:val="28"/>
    </w:rPr>
  </w:style>
  <w:style w:type="character" w:customStyle="1" w:styleId="28">
    <w:name w:val="标题 5 字符"/>
    <w:basedOn w:val="21"/>
    <w:link w:val="6"/>
    <w:autoRedefine/>
    <w:semiHidden/>
    <w:qFormat/>
    <w:uiPriority w:val="9"/>
    <w:rPr>
      <w:rFonts w:cstheme="majorBidi"/>
      <w:color w:val="104862" w:themeColor="accent1" w:themeShade="BF"/>
      <w:sz w:val="24"/>
      <w:szCs w:val="24"/>
    </w:rPr>
  </w:style>
  <w:style w:type="character" w:customStyle="1" w:styleId="29">
    <w:name w:val="标题 6 字符"/>
    <w:basedOn w:val="21"/>
    <w:link w:val="7"/>
    <w:autoRedefine/>
    <w:semiHidden/>
    <w:qFormat/>
    <w:uiPriority w:val="9"/>
    <w:rPr>
      <w:rFonts w:cstheme="majorBidi"/>
      <w:b/>
      <w:bCs/>
      <w:color w:val="104862" w:themeColor="accent1" w:themeShade="BF"/>
    </w:rPr>
  </w:style>
  <w:style w:type="character" w:customStyle="1" w:styleId="30">
    <w:name w:val="标题 7 字符"/>
    <w:basedOn w:val="21"/>
    <w:link w:val="8"/>
    <w:autoRedefine/>
    <w:semiHidden/>
    <w:qFormat/>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31">
    <w:name w:val="标题 8 字符"/>
    <w:basedOn w:val="21"/>
    <w:link w:val="9"/>
    <w:autoRedefine/>
    <w:semiHidden/>
    <w:qFormat/>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32">
    <w:name w:val="标题 9 字符"/>
    <w:basedOn w:val="21"/>
    <w:link w:val="10"/>
    <w:autoRedefine/>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3">
    <w:name w:val="标题 字符"/>
    <w:basedOn w:val="21"/>
    <w:link w:val="18"/>
    <w:autoRedefine/>
    <w:qFormat/>
    <w:uiPriority w:val="10"/>
    <w:rPr>
      <w:rFonts w:asciiTheme="majorHAnsi" w:hAnsiTheme="majorHAnsi" w:eastAsiaTheme="majorEastAsia" w:cstheme="majorBidi"/>
      <w:spacing w:val="-10"/>
      <w:kern w:val="28"/>
      <w:sz w:val="56"/>
      <w:szCs w:val="56"/>
    </w:rPr>
  </w:style>
  <w:style w:type="character" w:customStyle="1" w:styleId="34">
    <w:name w:val="副标题 字符"/>
    <w:basedOn w:val="21"/>
    <w:link w:val="15"/>
    <w:autoRedefine/>
    <w:qFormat/>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5">
    <w:name w:val="Quote"/>
    <w:basedOn w:val="1"/>
    <w:next w:val="1"/>
    <w:link w:val="36"/>
    <w:autoRedefine/>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6">
    <w:name w:val="引用 字符"/>
    <w:basedOn w:val="21"/>
    <w:link w:val="35"/>
    <w:autoRedefine/>
    <w:qFormat/>
    <w:uiPriority w:val="29"/>
    <w:rPr>
      <w:i/>
      <w:iCs/>
      <w:color w:val="404040" w:themeColor="text1" w:themeTint="BF"/>
      <w14:textFill>
        <w14:solidFill>
          <w14:schemeClr w14:val="tx1">
            <w14:lumMod w14:val="75000"/>
            <w14:lumOff w14:val="25000"/>
          </w14:schemeClr>
        </w14:solidFill>
      </w14:textFill>
    </w:rPr>
  </w:style>
  <w:style w:type="paragraph" w:styleId="37">
    <w:name w:val="List Paragraph"/>
    <w:basedOn w:val="1"/>
    <w:autoRedefine/>
    <w:qFormat/>
    <w:uiPriority w:val="34"/>
    <w:pPr>
      <w:ind w:left="720"/>
      <w:contextualSpacing/>
    </w:pPr>
  </w:style>
  <w:style w:type="character" w:customStyle="1" w:styleId="38">
    <w:name w:val="明显强调1"/>
    <w:basedOn w:val="21"/>
    <w:autoRedefine/>
    <w:qFormat/>
    <w:uiPriority w:val="21"/>
    <w:rPr>
      <w:i/>
      <w:iCs/>
      <w:color w:val="104862" w:themeColor="accent1" w:themeShade="BF"/>
    </w:rPr>
  </w:style>
  <w:style w:type="paragraph" w:styleId="39">
    <w:name w:val="Intense Quote"/>
    <w:basedOn w:val="1"/>
    <w:next w:val="1"/>
    <w:link w:val="40"/>
    <w:autoRedefine/>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40">
    <w:name w:val="明显引用 字符"/>
    <w:basedOn w:val="21"/>
    <w:link w:val="39"/>
    <w:autoRedefine/>
    <w:qFormat/>
    <w:uiPriority w:val="30"/>
    <w:rPr>
      <w:i/>
      <w:iCs/>
      <w:color w:val="104862" w:themeColor="accent1" w:themeShade="BF"/>
    </w:rPr>
  </w:style>
  <w:style w:type="character" w:customStyle="1" w:styleId="41">
    <w:name w:val="明显参考1"/>
    <w:basedOn w:val="21"/>
    <w:autoRedefine/>
    <w:qFormat/>
    <w:uiPriority w:val="32"/>
    <w:rPr>
      <w:b/>
      <w:bCs/>
      <w:smallCaps/>
      <w:color w:val="104862" w:themeColor="accent1" w:themeShade="BF"/>
      <w:spacing w:val="5"/>
    </w:rPr>
  </w:style>
  <w:style w:type="character" w:customStyle="1" w:styleId="42">
    <w:name w:val="页眉 字符"/>
    <w:basedOn w:val="21"/>
    <w:link w:val="13"/>
    <w:autoRedefine/>
    <w:qFormat/>
    <w:uiPriority w:val="99"/>
    <w:rPr>
      <w:sz w:val="18"/>
      <w:szCs w:val="18"/>
    </w:rPr>
  </w:style>
  <w:style w:type="character" w:customStyle="1" w:styleId="43">
    <w:name w:val="页脚 字符"/>
    <w:basedOn w:val="21"/>
    <w:link w:val="12"/>
    <w:autoRedefine/>
    <w:qFormat/>
    <w:uiPriority w:val="99"/>
    <w:rPr>
      <w:sz w:val="18"/>
      <w:szCs w:val="18"/>
    </w:rPr>
  </w:style>
  <w:style w:type="paragraph" w:customStyle="1" w:styleId="44">
    <w:name w:val="EFABodyText"/>
    <w:link w:val="47"/>
    <w:autoRedefine/>
    <w:qFormat/>
    <w:uiPriority w:val="0"/>
    <w:pPr>
      <w:widowControl w:val="0"/>
      <w:adjustRightInd w:val="0"/>
      <w:snapToGrid w:val="0"/>
    </w:pPr>
    <w:rPr>
      <w:rFonts w:ascii="Calibri" w:hAnsi="Calibri" w:eastAsia="MS Mincho" w:cs="Times New Roman"/>
      <w:snapToGrid w:val="0"/>
      <w:szCs w:val="16"/>
      <w:lang w:val="en-US" w:eastAsia="ja-JP" w:bidi="ar-SA"/>
    </w:rPr>
  </w:style>
  <w:style w:type="paragraph" w:customStyle="1" w:styleId="45">
    <w:name w:val="EFAFPFrameText_11.5pt_Right"/>
    <w:basedOn w:val="46"/>
    <w:link w:val="59"/>
    <w:autoRedefine/>
    <w:qFormat/>
    <w:uiPriority w:val="0"/>
    <w:pPr>
      <w:framePr w:wrap="around" w:xAlign="right" w:y="1"/>
      <w:jc w:val="right"/>
    </w:pPr>
    <w:rPr>
      <w:bCs/>
      <w:snapToGrid/>
      <w:szCs w:val="32"/>
    </w:rPr>
  </w:style>
  <w:style w:type="paragraph" w:customStyle="1" w:styleId="46">
    <w:name w:val="EFAFPFrameText_11.5pt"/>
    <w:link w:val="58"/>
    <w:autoRedefine/>
    <w:qFormat/>
    <w:uiPriority w:val="0"/>
    <w:pPr>
      <w:framePr w:wrap="around" w:vAnchor="margin" w:hAnchor="text" w:x="366" w:y="1071"/>
    </w:pPr>
    <w:rPr>
      <w:rFonts w:ascii="Calibri" w:hAnsi="Calibri" w:eastAsia="MS Mincho" w:cs="Times New Roman"/>
      <w:b/>
      <w:snapToGrid w:val="0"/>
      <w:color w:val="23558C"/>
      <w:sz w:val="24"/>
      <w:szCs w:val="16"/>
      <w:lang w:val="en-US" w:eastAsia="ja-JP" w:bidi="ar-SA"/>
    </w:rPr>
  </w:style>
  <w:style w:type="character" w:customStyle="1" w:styleId="47">
    <w:name w:val="EFABodyText Char"/>
    <w:basedOn w:val="21"/>
    <w:link w:val="44"/>
    <w:autoRedefine/>
    <w:qFormat/>
    <w:uiPriority w:val="0"/>
    <w:rPr>
      <w:rFonts w:ascii="Calibri" w:hAnsi="Calibri" w:eastAsia="MS Mincho" w:cs="Times New Roman"/>
      <w:snapToGrid w:val="0"/>
      <w:kern w:val="0"/>
      <w:sz w:val="20"/>
      <w:szCs w:val="16"/>
      <w:lang w:eastAsia="ja-JP"/>
    </w:rPr>
  </w:style>
  <w:style w:type="paragraph" w:customStyle="1" w:styleId="48">
    <w:name w:val="EFAFPColFrameText_Right"/>
    <w:basedOn w:val="1"/>
    <w:autoRedefine/>
    <w:qFormat/>
    <w:uiPriority w:val="0"/>
    <w:pPr>
      <w:framePr w:w="3045" w:h="12844" w:hRule="exact" w:hSpace="180" w:wrap="around" w:vAnchor="page" w:hAnchor="page" w:x="336" w:y="2721" w:anchorLock="1"/>
      <w:adjustRightInd w:val="0"/>
      <w:snapToGrid w:val="0"/>
      <w:jc w:val="right"/>
    </w:pPr>
    <w:rPr>
      <w:sz w:val="14"/>
      <w:szCs w:val="14"/>
    </w:rPr>
  </w:style>
  <w:style w:type="paragraph" w:customStyle="1" w:styleId="49">
    <w:name w:val="EFAFPColFrameHeading"/>
    <w:basedOn w:val="1"/>
    <w:autoRedefine/>
    <w:qFormat/>
    <w:uiPriority w:val="0"/>
    <w:pPr>
      <w:framePr w:w="3045" w:h="12844" w:hRule="exact" w:hSpace="180" w:wrap="around" w:vAnchor="page" w:hAnchor="page" w:x="336" w:y="2721" w:anchorLock="1"/>
      <w:adjustRightInd w:val="0"/>
      <w:snapToGrid w:val="0"/>
    </w:pPr>
    <w:rPr>
      <w:b/>
      <w:color w:val="23558C"/>
      <w:szCs w:val="14"/>
    </w:rPr>
  </w:style>
  <w:style w:type="paragraph" w:customStyle="1" w:styleId="50">
    <w:name w:val="EFAFPColFrameText_Left"/>
    <w:basedOn w:val="1"/>
    <w:link w:val="54"/>
    <w:autoRedefine/>
    <w:qFormat/>
    <w:uiPriority w:val="0"/>
    <w:pPr>
      <w:framePr w:w="3045" w:h="12844" w:hRule="exact" w:hSpace="180" w:wrap="around" w:vAnchor="page" w:hAnchor="page" w:x="336" w:y="2721" w:anchorLock="1"/>
      <w:adjustRightInd w:val="0"/>
      <w:snapToGrid w:val="0"/>
    </w:pPr>
    <w:rPr>
      <w:sz w:val="14"/>
      <w:szCs w:val="14"/>
    </w:rPr>
  </w:style>
  <w:style w:type="paragraph" w:customStyle="1" w:styleId="51">
    <w:name w:val="EFAFPColFrame_Source"/>
    <w:basedOn w:val="50"/>
    <w:autoRedefine/>
    <w:qFormat/>
    <w:uiPriority w:val="0"/>
    <w:pPr>
      <w:framePr w:wrap="around"/>
    </w:pPr>
    <w:rPr>
      <w:sz w:val="12"/>
      <w:szCs w:val="12"/>
    </w:rPr>
  </w:style>
  <w:style w:type="paragraph" w:customStyle="1" w:styleId="52">
    <w:name w:val="EFAFPColFrame_AnalystName"/>
    <w:basedOn w:val="50"/>
    <w:autoRedefine/>
    <w:qFormat/>
    <w:uiPriority w:val="0"/>
    <w:pPr>
      <w:framePr w:wrap="around"/>
    </w:pPr>
    <w:rPr>
      <w:b/>
      <w:sz w:val="16"/>
    </w:rPr>
  </w:style>
  <w:style w:type="paragraph" w:customStyle="1" w:styleId="53">
    <w:name w:val="EFAFPColFrameText_8pt"/>
    <w:basedOn w:val="50"/>
    <w:autoRedefine/>
    <w:qFormat/>
    <w:uiPriority w:val="0"/>
    <w:pPr>
      <w:framePr w:wrap="around"/>
    </w:pPr>
    <w:rPr>
      <w:sz w:val="16"/>
    </w:rPr>
  </w:style>
  <w:style w:type="character" w:customStyle="1" w:styleId="54">
    <w:name w:val="EFAFPColFrameText_Left Char"/>
    <w:basedOn w:val="21"/>
    <w:link w:val="50"/>
    <w:autoRedefine/>
    <w:qFormat/>
    <w:uiPriority w:val="0"/>
    <w:rPr>
      <w:rFonts w:ascii="Calibri" w:hAnsi="Calibri" w:eastAsia="MS Mincho" w:cs="Times New Roman"/>
      <w:snapToGrid w:val="0"/>
      <w:kern w:val="0"/>
      <w:sz w:val="14"/>
      <w:szCs w:val="14"/>
    </w:rPr>
  </w:style>
  <w:style w:type="paragraph" w:customStyle="1" w:styleId="55">
    <w:name w:val="EFAAnchor"/>
    <w:basedOn w:val="1"/>
    <w:autoRedefine/>
    <w:qFormat/>
    <w:uiPriority w:val="0"/>
    <w:pPr>
      <w:widowControl w:val="0"/>
      <w:adjustRightInd w:val="0"/>
      <w:snapToGrid w:val="0"/>
    </w:pPr>
    <w:rPr>
      <w:sz w:val="4"/>
    </w:rPr>
  </w:style>
  <w:style w:type="paragraph" w:customStyle="1" w:styleId="56">
    <w:name w:val="EFAFP_BodyText2"/>
    <w:link w:val="57"/>
    <w:autoRedefine/>
    <w:qFormat/>
    <w:uiPriority w:val="0"/>
    <w:pPr>
      <w:adjustRightInd w:val="0"/>
      <w:snapToGrid w:val="0"/>
      <w:spacing w:after="120"/>
    </w:pPr>
    <w:rPr>
      <w:rFonts w:ascii="Calibri" w:hAnsi="Calibri" w:eastAsia="Times New Roman" w:cs="PMingLiU"/>
      <w:lang w:val="en-US" w:eastAsia="ja-JP" w:bidi="ar-SA"/>
    </w:rPr>
  </w:style>
  <w:style w:type="character" w:customStyle="1" w:styleId="57">
    <w:name w:val="EFAFP_BodyText2 Char"/>
    <w:basedOn w:val="21"/>
    <w:link w:val="56"/>
    <w:autoRedefine/>
    <w:qFormat/>
    <w:uiPriority w:val="0"/>
    <w:rPr>
      <w:rFonts w:ascii="Calibri" w:hAnsi="Calibri" w:eastAsia="Times New Roman" w:cs="PMingLiU"/>
      <w:kern w:val="0"/>
      <w:sz w:val="20"/>
      <w:szCs w:val="20"/>
      <w:lang w:eastAsia="ja-JP"/>
    </w:rPr>
  </w:style>
  <w:style w:type="character" w:customStyle="1" w:styleId="58">
    <w:name w:val="EFAFPFrameText_11.5pt Char"/>
    <w:basedOn w:val="21"/>
    <w:link w:val="46"/>
    <w:autoRedefine/>
    <w:qFormat/>
    <w:uiPriority w:val="0"/>
    <w:rPr>
      <w:rFonts w:ascii="Calibri" w:hAnsi="Calibri" w:eastAsia="MS Mincho" w:cs="Times New Roman"/>
      <w:b/>
      <w:snapToGrid w:val="0"/>
      <w:color w:val="23558C"/>
      <w:kern w:val="0"/>
      <w:sz w:val="24"/>
      <w:szCs w:val="16"/>
      <w:lang w:eastAsia="ja-JP"/>
    </w:rPr>
  </w:style>
  <w:style w:type="character" w:customStyle="1" w:styleId="59">
    <w:name w:val="EFAFPFrameText_11.5pt_Right Char"/>
    <w:basedOn w:val="58"/>
    <w:link w:val="45"/>
    <w:autoRedefine/>
    <w:qFormat/>
    <w:uiPriority w:val="0"/>
    <w:rPr>
      <w:rFonts w:ascii="Calibri" w:hAnsi="Calibri" w:eastAsia="MS Mincho" w:cs="Times New Roman"/>
      <w:bCs/>
      <w:snapToGrid/>
      <w:color w:val="23558C"/>
      <w:kern w:val="0"/>
      <w:sz w:val="24"/>
      <w:szCs w:val="32"/>
      <w:lang w:eastAsia="ja-JP"/>
    </w:rPr>
  </w:style>
  <w:style w:type="paragraph" w:customStyle="1" w:styleId="60">
    <w:name w:val="EFAFPHdrInfo3"/>
    <w:link w:val="61"/>
    <w:autoRedefine/>
    <w:qFormat/>
    <w:uiPriority w:val="0"/>
    <w:rPr>
      <w:rFonts w:ascii="Calibri" w:hAnsi="Calibri" w:eastAsia="MS Mincho" w:cs="Times New Roman"/>
      <w:b/>
      <w:bCs/>
      <w:snapToGrid w:val="0"/>
      <w:color w:val="000000"/>
      <w:sz w:val="32"/>
      <w:lang w:val="en-US" w:eastAsia="ja-JP" w:bidi="ar-SA"/>
    </w:rPr>
  </w:style>
  <w:style w:type="character" w:customStyle="1" w:styleId="61">
    <w:name w:val="EFAFPHdrInfo3 Char"/>
    <w:basedOn w:val="21"/>
    <w:link w:val="60"/>
    <w:autoRedefine/>
    <w:qFormat/>
    <w:uiPriority w:val="0"/>
    <w:rPr>
      <w:rFonts w:ascii="Calibri" w:hAnsi="Calibri" w:eastAsia="MS Mincho" w:cs="Times New Roman"/>
      <w:b/>
      <w:bCs/>
      <w:snapToGrid w:val="0"/>
      <w:color w:val="000000"/>
      <w:kern w:val="0"/>
      <w:sz w:val="32"/>
      <w:szCs w:val="20"/>
      <w:lang w:eastAsia="ja-JP"/>
    </w:rPr>
  </w:style>
  <w:style w:type="paragraph" w:customStyle="1" w:styleId="62">
    <w:name w:val="EFAFPTitle6"/>
    <w:link w:val="63"/>
    <w:autoRedefine/>
    <w:qFormat/>
    <w:uiPriority w:val="0"/>
    <w:rPr>
      <w:rFonts w:ascii="Calibri" w:hAnsi="Calibri" w:eastAsia="MS Mincho" w:cs="Times New Roman"/>
      <w:b/>
      <w:bCs/>
      <w:snapToGrid w:val="0"/>
      <w:color w:val="FFFFFF"/>
      <w:sz w:val="32"/>
      <w:lang w:val="en-US" w:eastAsia="ja-JP" w:bidi="ar-SA"/>
    </w:rPr>
  </w:style>
  <w:style w:type="character" w:customStyle="1" w:styleId="63">
    <w:name w:val="EFAFPTitle6 Char"/>
    <w:basedOn w:val="21"/>
    <w:link w:val="62"/>
    <w:autoRedefine/>
    <w:qFormat/>
    <w:uiPriority w:val="0"/>
    <w:rPr>
      <w:rFonts w:ascii="Calibri" w:hAnsi="Calibri" w:eastAsia="MS Mincho" w:cs="Times New Roman"/>
      <w:b/>
      <w:bCs/>
      <w:snapToGrid w:val="0"/>
      <w:color w:val="FFFFFF"/>
      <w:kern w:val="0"/>
      <w:sz w:val="32"/>
      <w:szCs w:val="20"/>
      <w:lang w:eastAsia="ja-JP"/>
    </w:rPr>
  </w:style>
  <w:style w:type="paragraph" w:customStyle="1" w:styleId="64">
    <w:name w:val="EFAFPFooter"/>
    <w:basedOn w:val="1"/>
    <w:autoRedefine/>
    <w:qFormat/>
    <w:uiPriority w:val="0"/>
    <w:pPr>
      <w:widowControl w:val="0"/>
      <w:tabs>
        <w:tab w:val="right" w:pos="10679"/>
      </w:tabs>
      <w:autoSpaceDE w:val="0"/>
      <w:autoSpaceDN w:val="0"/>
      <w:adjustRightInd w:val="0"/>
      <w:snapToGrid w:val="0"/>
      <w:jc w:val="both"/>
    </w:pPr>
    <w:rPr>
      <w:rFonts w:eastAsia="宋体" w:cs="Arial"/>
      <w:b/>
    </w:rPr>
  </w:style>
  <w:style w:type="paragraph" w:customStyle="1" w:styleId="65">
    <w:name w:val="EFANormal"/>
    <w:link w:val="66"/>
    <w:autoRedefine/>
    <w:qFormat/>
    <w:uiPriority w:val="0"/>
    <w:pPr>
      <w:widowControl w:val="0"/>
      <w:adjustRightInd w:val="0"/>
      <w:snapToGrid w:val="0"/>
    </w:pPr>
    <w:rPr>
      <w:rFonts w:ascii="Calibri" w:hAnsi="Calibri" w:eastAsia="MS Mincho" w:cs="Times New Roman"/>
      <w:snapToGrid w:val="0"/>
      <w:sz w:val="16"/>
      <w:szCs w:val="16"/>
      <w:lang w:val="en-US" w:eastAsia="ja-JP" w:bidi="ar-SA"/>
    </w:rPr>
  </w:style>
  <w:style w:type="character" w:customStyle="1" w:styleId="66">
    <w:name w:val="EFANormal Char"/>
    <w:basedOn w:val="21"/>
    <w:link w:val="65"/>
    <w:autoRedefine/>
    <w:qFormat/>
    <w:uiPriority w:val="0"/>
    <w:rPr>
      <w:rFonts w:ascii="Calibri" w:hAnsi="Calibri" w:eastAsia="MS Mincho" w:cs="Times New Roman"/>
      <w:snapToGrid w:val="0"/>
      <w:kern w:val="0"/>
      <w:sz w:val="16"/>
      <w:szCs w:val="16"/>
      <w:lang w:eastAsia="ja-JP"/>
    </w:rPr>
  </w:style>
  <w:style w:type="character" w:customStyle="1" w:styleId="67">
    <w:name w:val="EFACharBold_and_AllCap"/>
    <w:autoRedefine/>
    <w:qFormat/>
    <w:uiPriority w:val="1"/>
    <w:rPr>
      <w:b/>
      <w:caps/>
    </w:rPr>
  </w:style>
  <w:style w:type="paragraph" w:customStyle="1" w:styleId="68">
    <w:name w:val="EFAPageFooter"/>
    <w:basedOn w:val="65"/>
    <w:autoRedefine/>
    <w:qFormat/>
    <w:uiPriority w:val="0"/>
    <w:pPr>
      <w:framePr w:wrap="around" w:vAnchor="page" w:hAnchor="page" w:x="347" w:y="15481"/>
      <w:tabs>
        <w:tab w:val="center" w:pos="5165"/>
      </w:tabs>
    </w:pPr>
    <w:rPr>
      <w:b/>
      <w:sz w:val="20"/>
      <w:szCs w:val="20"/>
    </w:rPr>
  </w:style>
  <w:style w:type="paragraph" w:customStyle="1" w:styleId="69">
    <w:name w:val="EFASideComment"/>
    <w:basedOn w:val="44"/>
    <w:autoRedefine/>
    <w:qFormat/>
    <w:uiPriority w:val="0"/>
    <w:pPr>
      <w:framePr w:w="2980" w:hSpace="180" w:wrap="around" w:vAnchor="text" w:hAnchor="text" w:x="-3250" w:y="160"/>
    </w:pPr>
  </w:style>
  <w:style w:type="table" w:customStyle="1" w:styleId="70">
    <w:name w:val="Common"/>
    <w:basedOn w:val="20"/>
    <w:autoRedefine/>
    <w:qFormat/>
    <w:uiPriority w:val="99"/>
    <w:pPr>
      <w:spacing w:line="240" w:lineRule="exact"/>
    </w:pPr>
    <w:rPr>
      <w:rFonts w:eastAsiaTheme="minorEastAsia"/>
      <w:sz w:val="18"/>
    </w:rPr>
    <w:tblPr>
      <w:tblBorders>
        <w:insideH w:val="single" w:color="auto" w:sz="12" w:space="0"/>
      </w:tblBorders>
      <w:tblCellMar>
        <w:left w:w="0" w:type="dxa"/>
        <w:right w:w="0" w:type="dxa"/>
      </w:tblCellMar>
    </w:tblPr>
    <w:tcPr>
      <w:vAlign w:val="center"/>
    </w:tcPr>
    <w:tblStylePr w:type="firstRow">
      <w:rPr>
        <w:rFonts w:asciiTheme="minorHAnsi" w:hAnsiTheme="minorHAnsi"/>
        <w:b/>
        <w:sz w:val="17"/>
      </w:rPr>
      <w:tcPr>
        <w:tcBorders>
          <w:top w:val="nil"/>
          <w:left w:val="nil"/>
          <w:bottom w:val="single" w:color="000000" w:themeColor="text1" w:sz="12" w:space="0"/>
          <w:right w:val="nil"/>
          <w:insideH w:val="nil"/>
          <w:insideV w:val="nil"/>
          <w:tl2br w:val="nil"/>
          <w:tr2bl w:val="nil"/>
        </w:tcBorders>
      </w:tcPr>
    </w:tblStylePr>
    <w:tblStylePr w:type="lastRow">
      <w:tcPr>
        <w:tcBorders>
          <w:top w:val="nil"/>
          <w:left w:val="nil"/>
          <w:bottom w:val="nil"/>
          <w:right w:val="nil"/>
          <w:insideH w:val="nil"/>
          <w:insideV w:val="nil"/>
          <w:tl2br w:val="nil"/>
          <w:tr2bl w:val="nil"/>
        </w:tcBorders>
      </w:tcPr>
    </w:tblStylePr>
  </w:style>
  <w:style w:type="paragraph" w:customStyle="1" w:styleId="71">
    <w:name w:val="EFADisclaimerText"/>
    <w:basedOn w:val="65"/>
    <w:link w:val="72"/>
    <w:autoRedefine/>
    <w:qFormat/>
    <w:uiPriority w:val="99"/>
    <w:pPr>
      <w:jc w:val="both"/>
    </w:pPr>
  </w:style>
  <w:style w:type="character" w:customStyle="1" w:styleId="72">
    <w:name w:val="EFADisclaimerText Char"/>
    <w:basedOn w:val="21"/>
    <w:link w:val="71"/>
    <w:autoRedefine/>
    <w:qFormat/>
    <w:locked/>
    <w:uiPriority w:val="99"/>
    <w:rPr>
      <w:rFonts w:ascii="Calibri" w:hAnsi="Calibri" w:eastAsia="MS Mincho" w:cs="Times New Roman"/>
      <w:snapToGrid w:val="0"/>
      <w:kern w:val="0"/>
      <w:sz w:val="16"/>
      <w:szCs w:val="16"/>
      <w:lang w:eastAsia="ja-JP"/>
    </w:rPr>
  </w:style>
  <w:style w:type="paragraph" w:customStyle="1" w:styleId="73">
    <w:name w:val="TOC 标题1"/>
    <w:basedOn w:val="2"/>
    <w:next w:val="1"/>
    <w:autoRedefine/>
    <w:unhideWhenUsed/>
    <w:qFormat/>
    <w:uiPriority w:val="39"/>
    <w:pPr>
      <w:spacing w:after="0" w:line="259" w:lineRule="auto"/>
      <w:outlineLvl w:val="9"/>
    </w:pPr>
    <w:rPr>
      <w:snapToGrid/>
      <w:sz w:val="32"/>
    </w:rPr>
  </w:style>
  <w:style w:type="paragraph" w:customStyle="1" w:styleId="74">
    <w:name w:val="【正文】图表标题"/>
    <w:basedOn w:val="75"/>
    <w:autoRedefine/>
    <w:qFormat/>
    <w:uiPriority w:val="6"/>
    <w:pPr>
      <w:numPr>
        <w:ilvl w:val="0"/>
        <w:numId w:val="1"/>
      </w:numPr>
      <w:jc w:val="left"/>
    </w:pPr>
    <w:rPr>
      <w:b/>
      <w:bCs/>
    </w:rPr>
  </w:style>
  <w:style w:type="paragraph" w:customStyle="1" w:styleId="75">
    <w:name w:val="【基础样式】"/>
    <w:autoRedefine/>
    <w:qFormat/>
    <w:uiPriority w:val="8"/>
    <w:pPr>
      <w:widowControl w:val="0"/>
      <w:adjustRightInd w:val="0"/>
      <w:snapToGrid w:val="0"/>
      <w:jc w:val="both"/>
    </w:pPr>
    <w:rPr>
      <w:rFonts w:ascii="Times New Roman" w:hAnsi="Times New Roman" w:eastAsia="楷体_GB2312" w:cstheme="minorBidi"/>
      <w:kern w:val="2"/>
      <w:sz w:val="21"/>
      <w:szCs w:val="21"/>
      <w:lang w:val="en-US" w:eastAsia="zh-CN" w:bidi="ar-SA"/>
      <w14:ligatures w14:val="standardContextual"/>
    </w:rPr>
  </w:style>
  <w:style w:type="paragraph" w:customStyle="1" w:styleId="76">
    <w:name w:val="【资料来源】"/>
    <w:basedOn w:val="75"/>
    <w:qFormat/>
    <w:uiPriority w:val="7"/>
    <w:rPr>
      <w:sz w:val="15"/>
      <w:szCs w:val="15"/>
    </w:rPr>
  </w:style>
  <w:style w:type="paragraph" w:customStyle="1" w:styleId="77">
    <w:name w:val="样式 标题 2 + 段前: 1 行 段后: 1 行"/>
    <w:basedOn w:val="3"/>
    <w:qFormat/>
    <w:uiPriority w:val="0"/>
    <w:pPr>
      <w:keepLines w:val="0"/>
      <w:spacing w:before="240" w:after="240"/>
    </w:pPr>
    <w:rPr>
      <w:rFonts w:ascii="宋体" w:hAnsi="宋体" w:eastAsia="宋体" w:cs="宋体"/>
      <w:b/>
      <w:bCs/>
      <w:snapToGrid/>
      <w:color w:val="auto"/>
      <w:sz w:val="20"/>
      <w:szCs w:val="20"/>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3" Type="http://schemas.openxmlformats.org/officeDocument/2006/relationships/glossaryDocument" Target="glossary/document.xml"/><Relationship Id="rId72" Type="http://schemas.openxmlformats.org/officeDocument/2006/relationships/fontTable" Target="fontTable.xml"/><Relationship Id="rId71" Type="http://schemas.openxmlformats.org/officeDocument/2006/relationships/customXml" Target="../customXml/item2.xml"/><Relationship Id="rId70" Type="http://schemas.openxmlformats.org/officeDocument/2006/relationships/numbering" Target="numbering.xml"/><Relationship Id="rId7" Type="http://schemas.openxmlformats.org/officeDocument/2006/relationships/footer" Target="footer2.xml"/><Relationship Id="rId69" Type="http://schemas.openxmlformats.org/officeDocument/2006/relationships/customXml" Target="../customXml/item1.xml"/><Relationship Id="rId68" Type="http://schemas.openxmlformats.org/officeDocument/2006/relationships/image" Target="media/image29.emf"/><Relationship Id="rId67" Type="http://schemas.openxmlformats.org/officeDocument/2006/relationships/image" Target="media/image28.emf"/><Relationship Id="rId66" Type="http://schemas.openxmlformats.org/officeDocument/2006/relationships/image" Target="media/image27.emf"/><Relationship Id="rId65" Type="http://schemas.openxmlformats.org/officeDocument/2006/relationships/image" Target="media/image26.png"/><Relationship Id="rId64" Type="http://schemas.openxmlformats.org/officeDocument/2006/relationships/chart" Target="charts/chart22.xml"/><Relationship Id="rId63" Type="http://schemas.openxmlformats.org/officeDocument/2006/relationships/image" Target="media/image25.png"/><Relationship Id="rId62" Type="http://schemas.openxmlformats.org/officeDocument/2006/relationships/image" Target="media/image24.png"/><Relationship Id="rId61" Type="http://schemas.openxmlformats.org/officeDocument/2006/relationships/chart" Target="charts/chart21.xml"/><Relationship Id="rId60" Type="http://schemas.openxmlformats.org/officeDocument/2006/relationships/chart" Target="charts/chart20.xml"/><Relationship Id="rId6" Type="http://schemas.openxmlformats.org/officeDocument/2006/relationships/footer" Target="footer1.xml"/><Relationship Id="rId59" Type="http://schemas.openxmlformats.org/officeDocument/2006/relationships/chart" Target="charts/chart19.xml"/><Relationship Id="rId58" Type="http://schemas.openxmlformats.org/officeDocument/2006/relationships/chart" Target="charts/chart18.xml"/><Relationship Id="rId57" Type="http://schemas.openxmlformats.org/officeDocument/2006/relationships/chart" Target="charts/chart17.xml"/><Relationship Id="rId56" Type="http://schemas.openxmlformats.org/officeDocument/2006/relationships/image" Target="media/image23.png"/><Relationship Id="rId55" Type="http://schemas.openxmlformats.org/officeDocument/2006/relationships/image" Target="media/image22.png"/><Relationship Id="rId54" Type="http://schemas.openxmlformats.org/officeDocument/2006/relationships/image" Target="media/image21.png"/><Relationship Id="rId53" Type="http://schemas.openxmlformats.org/officeDocument/2006/relationships/image" Target="media/image20.png"/><Relationship Id="rId52" Type="http://schemas.openxmlformats.org/officeDocument/2006/relationships/image" Target="media/image19.png"/><Relationship Id="rId51" Type="http://schemas.openxmlformats.org/officeDocument/2006/relationships/image" Target="media/image18.png"/><Relationship Id="rId50" Type="http://schemas.openxmlformats.org/officeDocument/2006/relationships/image" Target="media/image17.emf"/><Relationship Id="rId5" Type="http://schemas.openxmlformats.org/officeDocument/2006/relationships/header" Target="header3.xml"/><Relationship Id="rId49" Type="http://schemas.openxmlformats.org/officeDocument/2006/relationships/image" Target="media/image16.emf"/><Relationship Id="rId48" Type="http://schemas.openxmlformats.org/officeDocument/2006/relationships/image" Target="media/image15.png"/><Relationship Id="rId47" Type="http://schemas.openxmlformats.org/officeDocument/2006/relationships/image" Target="media/image14.png"/><Relationship Id="rId46" Type="http://schemas.openxmlformats.org/officeDocument/2006/relationships/image" Target="media/image13.png"/><Relationship Id="rId45" Type="http://schemas.openxmlformats.org/officeDocument/2006/relationships/image" Target="media/image12.png"/><Relationship Id="rId44" Type="http://schemas.openxmlformats.org/officeDocument/2006/relationships/image" Target="media/image11.png"/><Relationship Id="rId43" Type="http://schemas.openxmlformats.org/officeDocument/2006/relationships/chart" Target="charts/chart16.xml"/><Relationship Id="rId42" Type="http://schemas.openxmlformats.org/officeDocument/2006/relationships/chart" Target="charts/chart15.xml"/><Relationship Id="rId41" Type="http://schemas.openxmlformats.org/officeDocument/2006/relationships/image" Target="media/image10.png"/><Relationship Id="rId40" Type="http://schemas.openxmlformats.org/officeDocument/2006/relationships/image" Target="media/image9.png"/><Relationship Id="rId4" Type="http://schemas.openxmlformats.org/officeDocument/2006/relationships/header" Target="header2.xml"/><Relationship Id="rId39" Type="http://schemas.openxmlformats.org/officeDocument/2006/relationships/chart" Target="charts/chart14.xml"/><Relationship Id="rId38" Type="http://schemas.openxmlformats.org/officeDocument/2006/relationships/chart" Target="charts/chart13.xml"/><Relationship Id="rId37" Type="http://schemas.openxmlformats.org/officeDocument/2006/relationships/chart" Target="charts/chart12.xml"/><Relationship Id="rId36" Type="http://schemas.openxmlformats.org/officeDocument/2006/relationships/chart" Target="charts/chart11.xml"/><Relationship Id="rId35" Type="http://schemas.openxmlformats.org/officeDocument/2006/relationships/chart" Target="charts/chart10.xml"/><Relationship Id="rId34" Type="http://schemas.openxmlformats.org/officeDocument/2006/relationships/chart" Target="charts/chart9.xml"/><Relationship Id="rId33" Type="http://schemas.openxmlformats.org/officeDocument/2006/relationships/image" Target="media/image8.png"/><Relationship Id="rId32" Type="http://schemas.openxmlformats.org/officeDocument/2006/relationships/image" Target="media/image7.png"/><Relationship Id="rId31" Type="http://schemas.openxmlformats.org/officeDocument/2006/relationships/image" Target="media/image6.emf"/><Relationship Id="rId30" Type="http://schemas.openxmlformats.org/officeDocument/2006/relationships/chart" Target="charts/chart8.xml"/><Relationship Id="rId3" Type="http://schemas.openxmlformats.org/officeDocument/2006/relationships/header" Target="header1.xml"/><Relationship Id="rId29" Type="http://schemas.openxmlformats.org/officeDocument/2006/relationships/chart" Target="charts/chart7.xml"/><Relationship Id="rId28" Type="http://schemas.openxmlformats.org/officeDocument/2006/relationships/chart" Target="charts/chart6.xml"/><Relationship Id="rId27" Type="http://schemas.openxmlformats.org/officeDocument/2006/relationships/chart" Target="charts/chart5.xml"/><Relationship Id="rId26" Type="http://schemas.openxmlformats.org/officeDocument/2006/relationships/chart" Target="charts/chart4.xml"/><Relationship Id="rId25" Type="http://schemas.openxmlformats.org/officeDocument/2006/relationships/chart" Target="charts/chart3.xml"/><Relationship Id="rId24" Type="http://schemas.openxmlformats.org/officeDocument/2006/relationships/chart" Target="charts/chart2.xml"/><Relationship Id="rId23" Type="http://schemas.openxmlformats.org/officeDocument/2006/relationships/chart" Target="charts/chart1.xml"/><Relationship Id="rId22" Type="http://schemas.openxmlformats.org/officeDocument/2006/relationships/image" Target="media/image5.emf"/><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6.xml"/><Relationship Id="rId15" Type="http://schemas.openxmlformats.org/officeDocument/2006/relationships/footer" Target="footer5.xml"/><Relationship Id="rId14" Type="http://schemas.openxmlformats.org/officeDocument/2006/relationships/header" Target="header8.xml"/><Relationship Id="rId13" Type="http://schemas.openxmlformats.org/officeDocument/2006/relationships/footer" Target="footer4.xml"/><Relationship Id="rId12" Type="http://schemas.openxmlformats.org/officeDocument/2006/relationships/header" Target="header7.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4" Type="http://schemas.microsoft.com/office/2011/relationships/chartColorStyle" Target="colors1.xml"/><Relationship Id="rId3" Type="http://schemas.microsoft.com/office/2011/relationships/chartStyle" Target="style1.xml"/><Relationship Id="rId2" Type="http://schemas.openxmlformats.org/officeDocument/2006/relationships/themeOverride" Target="../theme/themeOverride1.xml"/><Relationship Id="rId1" Type="http://schemas.openxmlformats.org/officeDocument/2006/relationships/oleObject" Target="file:///C:\Users\86151\Desktop\&#35199;&#38160;&#24213;&#31295;.xlsx" TargetMode="External"/></Relationships>
</file>

<file path=word/charts/_rels/chart2.xml.rels><?xml version='1.0' encoding='UTF-8' standalone='yes'?>
<Relationships xmlns="http://schemas.openxmlformats.org/package/2006/relationships"><Relationship Id="rId4" Type="http://schemas.microsoft.com/office/2011/relationships/chartColorStyle" Target="colors9.xml"/><Relationship Id="rId3" Type="http://schemas.microsoft.com/office/2011/relationships/chartStyle" Target="style9.xml"/><Relationship Id="rId2" Type="http://schemas.openxmlformats.org/officeDocument/2006/relationships/themeOverride" Target="../theme/themeOverride9.xml"/><Relationship Id="rId1" Type="http://schemas.openxmlformats.org/officeDocument/2006/relationships/oleObject" Target="file:///C:\Users\86151\Desktop\&#35199;&#38160;&#24213;&#31295;(2).xlsx" TargetMode="External"/></Relationships>
</file>

<file path=word/charts/_rels/chart3.xml.rels><?xml version='1.0' encoding='UTF-8' standalone='yes'?>
<Relationships xmlns="http://schemas.openxmlformats.org/package/2006/relationships"><Relationship Id="rId4" Type="http://schemas.microsoft.com/office/2011/relationships/chartColorStyle" Target="colors6.xml"/><Relationship Id="rId3" Type="http://schemas.microsoft.com/office/2011/relationships/chartStyle" Target="style6.xml"/><Relationship Id="rId2" Type="http://schemas.openxmlformats.org/officeDocument/2006/relationships/themeOverride" Target="../theme/themeOverride6.xml"/><Relationship Id="rId1" Type="http://schemas.openxmlformats.org/officeDocument/2006/relationships/oleObject" Target="https://d.docs.live.net/fb92e85d57d94469/&#21326;&#31119;&#22269;&#38469;/&#35199;&#38160;&#24213;&#31295;.xlsx" TargetMode="External"/></Relationships>
</file>

<file path=word/charts/_rels/chart4.xml.rels><?xml version='1.0' encoding='UTF-8' standalone='yes'?>
<Relationships xmlns="http://schemas.openxmlformats.org/package/2006/relationships"><Relationship Id="rId4" Type="http://schemas.microsoft.com/office/2011/relationships/chartColorStyle" Target="colors11.xml"/><Relationship Id="rId3" Type="http://schemas.microsoft.com/office/2011/relationships/chartStyle" Target="style11.xml"/><Relationship Id="rId2" Type="http://schemas.openxmlformats.org/officeDocument/2006/relationships/themeOverride" Target="../theme/themeOverride11.xml"/><Relationship Id="rId1" Type="http://schemas.openxmlformats.org/officeDocument/2006/relationships/oleObject" Target="https://d.docs.live.net/fb92e85d57d94469/&#21326;&#31119;&#22269;&#38469;/&#35199;&#38160;&#24213;&#31295;.xlsx" TargetMode="External"/></Relationships>
</file>

<file path=word/charts/_rels/chart5.xml.rels><?xml version='1.0' encoding='UTF-8' standalone='yes'?>
<Relationships xmlns="http://schemas.openxmlformats.org/package/2006/relationships"><Relationship Id="rId4" Type="http://schemas.microsoft.com/office/2011/relationships/chartColorStyle" Target="colors3.xml"/><Relationship Id="rId3" Type="http://schemas.microsoft.com/office/2011/relationships/chartStyle" Target="style3.xml"/><Relationship Id="rId2" Type="http://schemas.openxmlformats.org/officeDocument/2006/relationships/themeOverride" Target="../theme/themeOverride3.xml"/><Relationship Id="rId1" Type="http://schemas.openxmlformats.org/officeDocument/2006/relationships/oleObject" Target="file:///C:\Users\86151\Desktop\&#35199;&#38160;&#24213;&#31295;(2).xlsx" TargetMode="External"/></Relationships>
</file>

<file path=word/charts/_rels/chart6.xml.rels><?xml version='1.0' encoding='UTF-8' standalone='yes'?>
<Relationships xmlns="http://schemas.openxmlformats.org/package/2006/relationships"><Relationship Id="rId4" Type="http://schemas.microsoft.com/office/2011/relationships/chartColorStyle" Target="colors2.xml"/><Relationship Id="rId3" Type="http://schemas.microsoft.com/office/2011/relationships/chartStyle" Target="style2.xml"/><Relationship Id="rId2" Type="http://schemas.openxmlformats.org/officeDocument/2006/relationships/themeOverride" Target="../theme/themeOverride2.xml"/><Relationship Id="rId1" Type="http://schemas.openxmlformats.org/officeDocument/2006/relationships/oleObject" Target="file:///C:\Users\86151\Desktop\&#35199;&#38160;&#24213;&#31295;.xlsx" TargetMode="External"/></Relationships>
</file>

<file path=word/charts/_rels/chart7.xml.rels><?xml version='1.0' encoding='UTF-8' standalone='yes'?>
<Relationships xmlns="http://schemas.openxmlformats.org/package/2006/relationships"><Relationship Id="rId4" Type="http://schemas.microsoft.com/office/2011/relationships/chartColorStyle" Target="colors7.xml"/><Relationship Id="rId3" Type="http://schemas.microsoft.com/office/2011/relationships/chartStyle" Target="style7.xml"/><Relationship Id="rId2" Type="http://schemas.openxmlformats.org/officeDocument/2006/relationships/themeOverride" Target="../theme/themeOverride7.xml"/><Relationship Id="rId1" Type="http://schemas.openxmlformats.org/officeDocument/2006/relationships/oleObject" Target="file:///C:\Users\86151\Desktop\&#35199;&#38160;&#24213;&#31295;.xlsx" TargetMode="External"/></Relationships>
</file>

<file path=word/charts/_rels/chart8.xml.rels><?xml version='1.0' encoding='UTF-8' standalone='yes'?>
<Relationships xmlns="http://schemas.openxmlformats.org/package/2006/relationships"><Relationship Id="rId4" Type="http://schemas.microsoft.com/office/2011/relationships/chartColorStyle" Target="colors13.xml"/><Relationship Id="rId3" Type="http://schemas.microsoft.com/office/2011/relationships/chartStyle" Target="style13.xml"/><Relationship Id="rId2" Type="http://schemas.openxmlformats.org/officeDocument/2006/relationships/themeOverride" Target="../theme/themeOverride13.xml"/><Relationship Id="rId1" Type="http://schemas.openxmlformats.org/officeDocument/2006/relationships/oleObject" Target="file:///C:\Users\86151\Desktop\&#35199;&#38160;&#24213;&#31295;.xlsx" TargetMode="External"/></Relationships>
</file>

<file path=word/charts/_rels/chart9.xml.rels><?xml version='1.0' encoding='UTF-8' standalone='yes'?>
<Relationships xmlns="http://schemas.openxmlformats.org/package/2006/relationships"><Relationship Id="rId4" Type="http://schemas.microsoft.com/office/2011/relationships/chartColorStyle" Target="colors12.xml"/><Relationship Id="rId3" Type="http://schemas.microsoft.com/office/2011/relationships/chartStyle" Target="style12.xml"/><Relationship Id="rId2" Type="http://schemas.openxmlformats.org/officeDocument/2006/relationships/themeOverride" Target="../theme/themeOverride12.xml"/><Relationship Id="rId1" Type="http://schemas.openxmlformats.org/officeDocument/2006/relationships/oleObject" Target="file:///C:\Users\86151\Desktop\&#35199;&#38160;&#24213;&#31295;.xlsx" TargetMode="External"/></Relationships>
</file>

<file path=word/charts/_rels/chart10.xml.rels><?xml version='1.0' encoding='UTF-8' standalone='yes'?>
<Relationships xmlns="http://schemas.openxmlformats.org/package/2006/relationships"><Relationship Id="rId4" Type="http://schemas.microsoft.com/office/2011/relationships/chartColorStyle" Target="colors4.xml"/><Relationship Id="rId3" Type="http://schemas.microsoft.com/office/2011/relationships/chartStyle" Target="style4.xml"/><Relationship Id="rId2" Type="http://schemas.openxmlformats.org/officeDocument/2006/relationships/themeOverride" Target="../theme/themeOverride4.xml"/><Relationship Id="rId1" Type="http://schemas.openxmlformats.org/officeDocument/2006/relationships/oleObject" Target="file:///C:\Users\86151\Desktop\&#35199;&#38160;&#24213;&#31295;.xlsx" TargetMode="External"/></Relationships>
</file>

<file path=word/charts/_rels/chart11.xml.rels><?xml version='1.0' encoding='UTF-8' standalone='yes'?>
<Relationships xmlns="http://schemas.openxmlformats.org/package/2006/relationships"><Relationship Id="rId4" Type="http://schemas.microsoft.com/office/2011/relationships/chartColorStyle" Target="colors14.xml"/><Relationship Id="rId3" Type="http://schemas.microsoft.com/office/2011/relationships/chartStyle" Target="style14.xml"/><Relationship Id="rId2" Type="http://schemas.openxmlformats.org/officeDocument/2006/relationships/themeOverride" Target="../theme/themeOverride14.xml"/><Relationship Id="rId1" Type="http://schemas.openxmlformats.org/officeDocument/2006/relationships/oleObject" Target="file:///C:\Users\86151\Desktop\&#35199;&#38160;&#24213;&#31295;.xlsx" TargetMode="External"/></Relationships>
</file>

<file path=word/charts/_rels/chart12.xml.rels><?xml version='1.0' encoding='UTF-8' standalone='yes'?>
<Relationships xmlns="http://schemas.openxmlformats.org/package/2006/relationships"><Relationship Id="rId4" Type="http://schemas.microsoft.com/office/2011/relationships/chartColorStyle" Target="colors8.xml"/><Relationship Id="rId3" Type="http://schemas.microsoft.com/office/2011/relationships/chartStyle" Target="style8.xml"/><Relationship Id="rId2" Type="http://schemas.openxmlformats.org/officeDocument/2006/relationships/themeOverride" Target="../theme/themeOverride8.xml"/><Relationship Id="rId1" Type="http://schemas.openxmlformats.org/officeDocument/2006/relationships/oleObject" Target="file:///C:\Users\86151\Desktop\&#35199;&#38160;&#24213;&#31295;.xlsx" TargetMode="External"/></Relationships>
</file>

<file path=word/charts/_rels/chart13.xml.rels><?xml version='1.0' encoding='UTF-8' standalone='yes'?>
<Relationships xmlns="http://schemas.openxmlformats.org/package/2006/relationships"><Relationship Id="rId4" Type="http://schemas.microsoft.com/office/2011/relationships/chartColorStyle" Target="colors15.xml"/><Relationship Id="rId3" Type="http://schemas.microsoft.com/office/2011/relationships/chartStyle" Target="style15.xml"/><Relationship Id="rId2" Type="http://schemas.openxmlformats.org/officeDocument/2006/relationships/themeOverride" Target="../theme/themeOverride15.xml"/><Relationship Id="rId1" Type="http://schemas.openxmlformats.org/officeDocument/2006/relationships/oleObject" Target="file:///C:\Users\86151\Desktop\&#35199;&#38160;&#24213;&#31295;.xlsx" TargetMode="External"/></Relationships>
</file>

<file path=word/charts/_rels/chart14.xml.rels><?xml version='1.0' encoding='UTF-8' standalone='yes'?>
<Relationships xmlns="http://schemas.openxmlformats.org/package/2006/relationships"><Relationship Id="rId4" Type="http://schemas.microsoft.com/office/2011/relationships/chartColorStyle" Target="colors16.xml"/><Relationship Id="rId3" Type="http://schemas.microsoft.com/office/2011/relationships/chartStyle" Target="style16.xml"/><Relationship Id="rId2" Type="http://schemas.openxmlformats.org/officeDocument/2006/relationships/themeOverride" Target="../theme/themeOverride16.xml"/><Relationship Id="rId1" Type="http://schemas.openxmlformats.org/officeDocument/2006/relationships/oleObject" Target="file:///C:\Users\86151\Desktop\&#35199;&#38160;&#24213;&#31295;.xlsx" TargetMode="External"/></Relationships>
</file>

<file path=word/charts/_rels/chart15.xml.rels><?xml version='1.0' encoding='UTF-8' standalone='yes'?>
<Relationships xmlns="http://schemas.openxmlformats.org/package/2006/relationships"><Relationship Id="rId4" Type="http://schemas.microsoft.com/office/2011/relationships/chartColorStyle" Target="colors10.xml"/><Relationship Id="rId3" Type="http://schemas.microsoft.com/office/2011/relationships/chartStyle" Target="style10.xml"/><Relationship Id="rId2" Type="http://schemas.openxmlformats.org/officeDocument/2006/relationships/themeOverride" Target="../theme/themeOverride10.xml"/><Relationship Id="rId1" Type="http://schemas.openxmlformats.org/officeDocument/2006/relationships/oleObject" Target="file:///C:\Users\86151\Desktop\&#35199;&#38160;&#24213;&#31295;.xlsx" TargetMode="External"/></Relationships>
</file>

<file path=word/charts/_rels/chart16.xml.rels><?xml version='1.0' encoding='UTF-8' standalone='yes'?>
<Relationships xmlns="http://schemas.openxmlformats.org/package/2006/relationships"><Relationship Id="rId4" Type="http://schemas.microsoft.com/office/2011/relationships/chartColorStyle" Target="colors17.xml"/><Relationship Id="rId3" Type="http://schemas.microsoft.com/office/2011/relationships/chartStyle" Target="style17.xml"/><Relationship Id="rId2" Type="http://schemas.openxmlformats.org/officeDocument/2006/relationships/themeOverride" Target="../theme/themeOverride17.xml"/><Relationship Id="rId1" Type="http://schemas.openxmlformats.org/officeDocument/2006/relationships/oleObject" Target="file:///C:\Users\86151\Desktop\&#35199;&#38160;&#24213;&#31295;.xlsx" TargetMode="External"/></Relationships>
</file>

<file path=word/charts/_rels/chart17.xml.rels><?xml version='1.0' encoding='UTF-8' standalone='yes'?>
<Relationships xmlns="http://schemas.openxmlformats.org/package/2006/relationships"><Relationship Id="rId4" Type="http://schemas.microsoft.com/office/2011/relationships/chartColorStyle" Target="colors20.xml"/><Relationship Id="rId3" Type="http://schemas.microsoft.com/office/2011/relationships/chartStyle" Target="style20.xml"/><Relationship Id="rId2" Type="http://schemas.openxmlformats.org/officeDocument/2006/relationships/themeOverride" Target="../theme/themeOverride20.xml"/><Relationship Id="rId1" Type="http://schemas.openxmlformats.org/officeDocument/2006/relationships/oleObject" Target="file:///C:\Users\86151\Desktop\&#35199;&#38160;&#24213;&#31295;.xlsx" TargetMode="External"/></Relationships>
</file>

<file path=word/charts/_rels/chart18.xml.rels><?xml version='1.0' encoding='UTF-8' standalone='yes'?>
<Relationships xmlns="http://schemas.openxmlformats.org/package/2006/relationships"><Relationship Id="rId4" Type="http://schemas.microsoft.com/office/2011/relationships/chartColorStyle" Target="colors18.xml"/><Relationship Id="rId3" Type="http://schemas.microsoft.com/office/2011/relationships/chartStyle" Target="style18.xml"/><Relationship Id="rId2" Type="http://schemas.openxmlformats.org/officeDocument/2006/relationships/themeOverride" Target="../theme/themeOverride18.xml"/><Relationship Id="rId1" Type="http://schemas.openxmlformats.org/officeDocument/2006/relationships/oleObject" Target="file:///C:\Users\86151\Desktop\&#35199;&#38160;&#24213;&#31295;.xlsx" TargetMode="External"/></Relationships>
</file>

<file path=word/charts/_rels/chart19.xml.rels><?xml version='1.0' encoding='UTF-8' standalone='yes'?>
<Relationships xmlns="http://schemas.openxmlformats.org/package/2006/relationships"><Relationship Id="rId4" Type="http://schemas.microsoft.com/office/2011/relationships/chartColorStyle" Target="colors19.xml"/><Relationship Id="rId3" Type="http://schemas.microsoft.com/office/2011/relationships/chartStyle" Target="style19.xml"/><Relationship Id="rId2" Type="http://schemas.openxmlformats.org/officeDocument/2006/relationships/themeOverride" Target="../theme/themeOverride19.xml"/><Relationship Id="rId1" Type="http://schemas.openxmlformats.org/officeDocument/2006/relationships/oleObject" Target="file:///C:\Users\86151\Desktop\&#35199;&#38160;&#24213;&#31295;.xlsx" TargetMode="External"/></Relationships>
</file>

<file path=word/charts/_rels/chart20.xml.rels><?xml version='1.0' encoding='UTF-8' standalone='yes'?>
<Relationships xmlns="http://schemas.openxmlformats.org/package/2006/relationships"><Relationship Id="rId4" Type="http://schemas.microsoft.com/office/2011/relationships/chartColorStyle" Target="colors21.xml"/><Relationship Id="rId3" Type="http://schemas.microsoft.com/office/2011/relationships/chartStyle" Target="style21.xml"/><Relationship Id="rId2" Type="http://schemas.openxmlformats.org/officeDocument/2006/relationships/themeOverride" Target="../theme/themeOverride21.xml"/><Relationship Id="rId1" Type="http://schemas.openxmlformats.org/officeDocument/2006/relationships/oleObject" Target="file:///C:\Users\86151\Desktop\&#35199;&#38160;&#24213;&#31295;.xlsx" TargetMode="External"/></Relationships>
</file>

<file path=word/charts/_rels/chart21.xml.rels><?xml version='1.0' encoding='UTF-8' standalone='yes'?>
<Relationships xmlns="http://schemas.openxmlformats.org/package/2006/relationships"><Relationship Id="rId4" Type="http://schemas.microsoft.com/office/2011/relationships/chartColorStyle" Target="colors5.xml"/><Relationship Id="rId3" Type="http://schemas.microsoft.com/office/2011/relationships/chartStyle" Target="style5.xml"/><Relationship Id="rId2" Type="http://schemas.openxmlformats.org/officeDocument/2006/relationships/themeOverride" Target="../theme/themeOverride5.xml"/><Relationship Id="rId1" Type="http://schemas.openxmlformats.org/officeDocument/2006/relationships/oleObject" Target="file:///C:\Users\zheng\Desktop\&#35199;&#38160;&#24213;&#31295;.xlsx" TargetMode="External"/></Relationships>
</file>

<file path=word/charts/_rels/chart22.xml.rels><?xml version='1.0' encoding='UTF-8' standalone='yes'?>
<Relationships xmlns="http://schemas.openxmlformats.org/package/2006/relationships"><Relationship Id="rId4" Type="http://schemas.microsoft.com/office/2011/relationships/chartColorStyle" Target="colors22.xml"/><Relationship Id="rId3" Type="http://schemas.microsoft.com/office/2011/relationships/chartStyle" Target="style22.xml"/><Relationship Id="rId2" Type="http://schemas.openxmlformats.org/officeDocument/2006/relationships/themeOverride" Target="../theme/themeOverride22.xml"/><Relationship Id="rId1" Type="http://schemas.openxmlformats.org/officeDocument/2006/relationships/oleObject" Target="file:///C:\Users\86151\Desktop\&#35199;&#38160;&#24213;&#31295;.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40532061199931"/>
          <c:y val="0.181747483442863"/>
          <c:w val="0.736598905506848"/>
          <c:h val="0.715094978907071"/>
        </c:manualLayout>
      </c:layout>
      <c:barChart>
        <c:barDir val="col"/>
        <c:grouping val="clustered"/>
        <c:varyColors val="0"/>
        <c:ser>
          <c:idx val="0"/>
          <c:order val="0"/>
          <c:tx>
            <c:strRef>
              <c:f>[西锐底稿.xlsx]Part1!$H$43</c:f>
              <c:strCache>
                <c:ptCount val="1"/>
                <c:pt idx="0">
                  <c:v>营业总收入</c:v>
                </c:pt>
              </c:strCache>
            </c:strRef>
          </c:tx>
          <c:spPr>
            <a:solidFill>
              <a:srgbClr val="002060"/>
            </a:solidFill>
            <a:ln w="25400">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7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[西锐底稿.xlsx]Part1!$G$44:$G$49</c:f>
              <c:numCache>
                <c:formatCode>General</c:formatCode>
                <c:ptCount val="5"/>
                <c:pt idx="0">
                  <c:v>2020</c:v>
                </c:pt>
                <c:pt idx="1">
                  <c:v>2021</c:v>
                </c:pt>
                <c:pt idx="2">
                  <c:v>2022</c:v>
                </c:pt>
                <c:pt idx="3">
                  <c:v>2023</c:v>
                </c:pt>
                <c:pt idx="4">
                  <c:v>2024</c:v>
                </c:pt>
              </c:numCache>
            </c:numRef>
          </c:cat>
          <c:val>
            <c:numRef>
              <c:f>Part1!$H$44:$H$49</c:f>
              <c:numCache>
                <c:formatCode>#,##0.00</c:formatCode>
                <c:ptCount val="5"/>
                <c:pt idx="0">
                  <c:v>586.46</c:v>
                </c:pt>
                <c:pt idx="1">
                  <c:v>738.13</c:v>
                </c:pt>
                <c:pt idx="2">
                  <c:v>894.08</c:v>
                </c:pt>
                <c:pt idx="3">
                  <c:v>1067.71</c:v>
                </c:pt>
                <c:pt idx="4">
                  <c:v>1197.13</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[西锐底稿.xlsx]Part1!$I$43</c:f>
              <c:strCache>
                <c:ptCount val="1"/>
                <c:pt idx="0">
                  <c:v>yoy</c:v>
                </c:pt>
              </c:strCache>
            </c:strRef>
          </c:tx>
          <c:spPr>
            <a:ln w="28575" cap="rnd">
              <a:solidFill>
                <a:srgbClr val="A5A5A5"/>
              </a:solidFill>
              <a:round/>
            </a:ln>
            <a:effectLst/>
          </c:spPr>
          <c:marker>
            <c:symbol val="none"/>
          </c:marker>
          <c:dLbls>
            <c:delete val="1"/>
          </c:dLbls>
          <c:cat>
            <c:numRef>
              <c:f>[西锐底稿.xlsx]Part1!$G$44:$G$49</c:f>
              <c:numCache>
                <c:formatCode>General</c:formatCode>
                <c:ptCount val="5"/>
                <c:pt idx="0">
                  <c:v>2020</c:v>
                </c:pt>
                <c:pt idx="1">
                  <c:v>2021</c:v>
                </c:pt>
                <c:pt idx="2">
                  <c:v>2022</c:v>
                </c:pt>
                <c:pt idx="3">
                  <c:v>2023</c:v>
                </c:pt>
                <c:pt idx="4">
                  <c:v>2024</c:v>
                </c:pt>
              </c:numCache>
            </c:numRef>
          </c:cat>
          <c:val>
            <c:numRef>
              <c:f>Part1!$I$44:$I$49</c:f>
              <c:numCache>
                <c:formatCode>General</c:formatCode>
                <c:ptCount val="5"/>
                <c:pt idx="1" c:formatCode="0.00%">
                  <c:v>0.258619513692323</c:v>
                </c:pt>
                <c:pt idx="2" c:formatCode="0.00%">
                  <c:v>0.211277146302142</c:v>
                </c:pt>
                <c:pt idx="3" c:formatCode="0.00%">
                  <c:v>0.194199624194703</c:v>
                </c:pt>
                <c:pt idx="4" c:formatCode="0.00%">
                  <c:v>0.12121268883873</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9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01288197701049"/>
          <c:y val="0.119168487446923"/>
          <c:w val="0.895941719196458"/>
          <c:h val="0.823239889516428"/>
        </c:manualLayout>
      </c:layout>
      <c:barChart>
        <c:barDir val="col"/>
        <c:grouping val="stacked"/>
        <c:varyColors val="0"/>
        <c:ser>
          <c:idx val="1"/>
          <c:order val="0"/>
          <c:tx>
            <c:strRef>
              <c:f>Part1!$G$68</c:f>
              <c:strCache>
                <c:ptCount val="1"/>
                <c:pt idx="0">
                  <c:v>飞机业务</c:v>
                </c:pt>
              </c:strCache>
            </c:strRef>
          </c:tx>
          <c:spPr>
            <a:solidFill>
              <a:srgbClr val="002060"/>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Part1!$H$68:$L$68</c:f>
              <c:numCache>
                <c:formatCode>#,##0.00</c:formatCode>
                <c:ptCount val="5"/>
                <c:pt idx="0">
                  <c:v>488.29</c:v>
                </c:pt>
                <c:pt idx="1">
                  <c:v>619.61</c:v>
                </c:pt>
                <c:pt idx="2">
                  <c:v>759.74</c:v>
                </c:pt>
                <c:pt idx="3">
                  <c:v>915.65</c:v>
                </c:pt>
                <c:pt idx="4">
                  <c:v>1023.91</c:v>
                </c:pt>
              </c:numCache>
            </c:numRef>
          </c:val>
        </c:ser>
        <c:ser>
          <c:idx val="3"/>
          <c:order val="2"/>
          <c:tx>
            <c:strRef>
              <c:f>Part1!$G$70</c:f>
              <c:strCache>
                <c:ptCount val="1"/>
                <c:pt idx="0">
                  <c:v>服务业务</c:v>
                </c:pt>
              </c:strCache>
            </c:strRef>
          </c:tx>
          <c:spPr>
            <a:solidFill>
              <a:sysClr val="window" lastClr="FFFFFF">
                <a:lumMod val="75000"/>
              </a:sysClr>
            </a:solidFill>
            <a:ln>
              <a:noFill/>
            </a:ln>
            <a:effectLst/>
          </c:spPr>
          <c:invertIfNegative val="0"/>
          <c:dLbls>
            <c:delete val="1"/>
          </c:dLbls>
          <c:cat>
            <c:numRef>
              <c:f>Part1!$H$67:$L$67</c:f>
              <c:numCache>
                <c:formatCode>General</c:formatCode>
                <c:ptCount val="5"/>
                <c:pt idx="0">
                  <c:v>2020</c:v>
                </c:pt>
                <c:pt idx="1">
                  <c:v>2021</c:v>
                </c:pt>
                <c:pt idx="2">
                  <c:v>2022</c:v>
                </c:pt>
                <c:pt idx="3">
                  <c:v>2023</c:v>
                </c:pt>
                <c:pt idx="4">
                  <c:v>2024</c:v>
                </c:pt>
              </c:numCache>
            </c:numRef>
          </c:cat>
          <c:val>
            <c:numRef>
              <c:f>Part1!$H$70:$L$70</c:f>
              <c:numCache>
                <c:formatCode>#,##0.00</c:formatCode>
                <c:ptCount val="5"/>
                <c:pt idx="0">
                  <c:v>98.17</c:v>
                </c:pt>
                <c:pt idx="1">
                  <c:v>118.52</c:v>
                </c:pt>
                <c:pt idx="2">
                  <c:v>134.34</c:v>
                </c:pt>
                <c:pt idx="3">
                  <c:v>152.05</c:v>
                </c:pt>
                <c:pt idx="4">
                  <c:v>173.22</c:v>
                </c:pt>
              </c:numCache>
            </c:numRef>
          </c:val>
        </c:ser>
        <c:dLbls>
          <c:showLegendKey val="0"/>
          <c:showVal val="0"/>
          <c:showCatName val="0"/>
          <c:showSerName val="0"/>
          <c:showPercent val="0"/>
          <c:showBubbleSize val="0"/>
        </c:dLbls>
        <c:gapWidth val="150"/>
        <c:overlap val="100"/>
        <c:axId val="1162810192"/>
        <c:axId val="1162808272"/>
      </c:barChart>
      <c:lineChart>
        <c:grouping val="standard"/>
        <c:varyColors val="0"/>
        <c:ser>
          <c:idx val="2"/>
          <c:order val="1"/>
          <c:tx>
            <c:strRef>
              <c:f>Part1!$G$69</c:f>
              <c:strCache>
                <c:ptCount val="1"/>
                <c:pt idx="0">
                  <c:v>yoy</c:v>
                </c:pt>
              </c:strCache>
            </c:strRef>
          </c:tx>
          <c:spPr>
            <a:ln w="28575" cap="rnd">
              <a:solidFill>
                <a:srgbClr val="002060"/>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Part1!$H$69:$L$69</c:f>
              <c:numCache>
                <c:formatCode>General</c:formatCode>
                <c:ptCount val="5"/>
                <c:pt idx="1" c:formatCode="0.00%">
                  <c:v>0.268938540621352</c:v>
                </c:pt>
                <c:pt idx="2" c:formatCode="0.00%">
                  <c:v>0.226158389954972</c:v>
                </c:pt>
                <c:pt idx="3" c:formatCode="0.00%">
                  <c:v>0.205214941953826</c:v>
                </c:pt>
                <c:pt idx="4" c:formatCode="0.00%">
                  <c:v>0.11823294927101</c:v>
                </c:pt>
              </c:numCache>
            </c:numRef>
          </c:val>
          <c:smooth val="0"/>
        </c:ser>
        <c:ser>
          <c:idx val="4"/>
          <c:order val="3"/>
          <c:tx>
            <c:strRef>
              <c:f>Part1!$G$71</c:f>
              <c:strCache>
                <c:ptCount val="1"/>
                <c:pt idx="0">
                  <c:v>yoy</c:v>
                </c:pt>
              </c:strCache>
            </c:strRef>
          </c:tx>
          <c:spPr>
            <a:ln w="28575" cap="rnd">
              <a:solidFill>
                <a:sysClr val="window" lastClr="FFFFFF">
                  <a:lumMod val="85000"/>
                </a:sysClr>
              </a:solidFill>
              <a:round/>
            </a:ln>
            <a:effectLst/>
          </c:spPr>
          <c:marker>
            <c:symbol val="none"/>
          </c:marker>
          <c:dLbls>
            <c:delete val="1"/>
          </c:dLbls>
          <c:cat>
            <c:numRef>
              <c:f>Part1!$H$67:$L$67</c:f>
              <c:numCache>
                <c:formatCode>General</c:formatCode>
                <c:ptCount val="5"/>
                <c:pt idx="0">
                  <c:v>2020</c:v>
                </c:pt>
                <c:pt idx="1">
                  <c:v>2021</c:v>
                </c:pt>
                <c:pt idx="2">
                  <c:v>2022</c:v>
                </c:pt>
                <c:pt idx="3">
                  <c:v>2023</c:v>
                </c:pt>
                <c:pt idx="4">
                  <c:v>2024</c:v>
                </c:pt>
              </c:numCache>
            </c:numRef>
          </c:cat>
          <c:val>
            <c:numRef>
              <c:f>Part1!$H$71:$L$71</c:f>
              <c:numCache>
                <c:formatCode>General</c:formatCode>
                <c:ptCount val="5"/>
                <c:pt idx="1" c:formatCode="0.00%">
                  <c:v>0.207293470510339</c:v>
                </c:pt>
                <c:pt idx="2" c:formatCode="0.00%">
                  <c:v>0.133479581505231</c:v>
                </c:pt>
                <c:pt idx="3" c:formatCode="0.00%">
                  <c:v>0.131829685871669</c:v>
                </c:pt>
                <c:pt idx="4" c:formatCode="0.00%">
                  <c:v>0.13923051627754</c:v>
                </c:pt>
              </c:numCache>
            </c:numRef>
          </c:val>
          <c:smooth val="0"/>
        </c:ser>
        <c:dLbls>
          <c:showLegendKey val="0"/>
          <c:showVal val="0"/>
          <c:showCatName val="0"/>
          <c:showSerName val="0"/>
          <c:showPercent val="0"/>
          <c:showBubbleSize val="0"/>
        </c:dLbls>
        <c:marker val="0"/>
        <c:smooth val="0"/>
        <c:axId val="735652879"/>
        <c:axId val="735651439"/>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_);[Red]\(#,##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微软雅黑" panose="020B0503020204020204" pitchFamily="2" charset="-122"/>
              </a:defRPr>
            </a:pPr>
          </a:p>
        </c:txPr>
        <c:crossAx val="1162810192"/>
        <c:crosses val="autoZero"/>
        <c:crossBetween val="between"/>
      </c:valAx>
      <c:catAx>
        <c:axId val="735652879"/>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735651439"/>
        <c:crosses val="autoZero"/>
        <c:auto val="1"/>
        <c:lblAlgn val="ctr"/>
        <c:lblOffset val="100"/>
        <c:noMultiLvlLbl val="0"/>
      </c:catAx>
      <c:valAx>
        <c:axId val="735651439"/>
        <c:scaling>
          <c:orientation val="minMax"/>
        </c:scaling>
        <c:delete val="0"/>
        <c:axPos val="r"/>
        <c:numFmt formatCode="General" sourceLinked="1"/>
        <c:majorTickMark val="out"/>
        <c:minorTickMark val="none"/>
        <c:tickLblPos val="nextTo"/>
        <c:spPr>
          <a:noFill/>
          <a:ln>
            <a:no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735652879"/>
        <c:crosses val="max"/>
        <c:crossBetween val="between"/>
      </c:valAx>
      <c:spPr>
        <a:noFill/>
        <a:ln>
          <a:noFill/>
        </a:ln>
        <a:effectLst/>
      </c:spPr>
    </c:plotArea>
    <c:legend>
      <c:legendPos val="t"/>
      <c:layout>
        <c:manualLayout>
          <c:xMode val="edge"/>
          <c:yMode val="edge"/>
          <c:x val="0.0666052180370658"/>
          <c:y val="0.0261780104712042"/>
          <c:w val="0.883394891172584"/>
          <c:h val="0.07575422454215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rgbClr val="4C4D4F"/>
              </a:solidFill>
              <a:latin typeface="微软雅黑" panose="020B0503020204020204" pitchFamily="2" charset="-122"/>
              <a:ea typeface="微软雅黑" panose="020B0503020204020204" pitchFamily="2" charset="-122"/>
              <a:cs typeface="+mn-cs"/>
            </a:defRPr>
          </a:pPr>
        </a:p>
      </c:txPr>
    </c:legend>
    <c:plotVisOnly val="1"/>
    <c:dispBlanksAs val="gap"/>
    <c:showDLblsOverMax val="0"/>
  </c:chart>
  <c:spPr>
    <a:noFill/>
    <a:ln w="9525" cap="flat" cmpd="sng" algn="ctr">
      <a:noFill/>
      <a:round/>
    </a:ln>
    <a:effectLst/>
  </c:spPr>
  <c:txPr>
    <a:bodyPr/>
    <a:lstStyle/>
    <a:p>
      <a:pPr>
        <a:defRPr lang="zh-CN"/>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6285293976643"/>
          <c:w val="0.931162239562145"/>
          <c:h val="0.753799728282103"/>
        </c:manualLayout>
      </c:layout>
      <c:barChart>
        <c:barDir val="col"/>
        <c:grouping val="percentStacked"/>
        <c:varyColors val="0"/>
        <c:ser>
          <c:idx val="0"/>
          <c:order val="0"/>
          <c:tx>
            <c:strRef>
              <c:f>Part1!$B$116</c:f>
              <c:strCache>
                <c:ptCount val="1"/>
                <c:pt idx="0">
                  <c:v>SR20</c:v>
                </c:pt>
              </c:strCache>
            </c:strRef>
          </c:tx>
          <c:spPr>
            <a:solidFill>
              <a:srgbClr val="002060"/>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Part1!$C$116:$E$116</c:f>
              <c:numCache>
                <c:formatCode>General</c:formatCode>
                <c:ptCount val="3"/>
                <c:pt idx="0">
                  <c:v>42.618</c:v>
                </c:pt>
                <c:pt idx="1">
                  <c:v>57.049</c:v>
                </c:pt>
                <c:pt idx="2">
                  <c:v>69.69</c:v>
                </c:pt>
              </c:numCache>
            </c:numRef>
          </c:val>
        </c:ser>
        <c:ser>
          <c:idx val="1"/>
          <c:order val="1"/>
          <c:tx>
            <c:strRef>
              <c:f>Part1!$B$117</c:f>
              <c:strCache>
                <c:ptCount val="1"/>
                <c:pt idx="0">
                  <c:v>SR22</c:v>
                </c:pt>
              </c:strCache>
            </c:strRef>
          </c:tx>
          <c:spPr>
            <a:solidFill>
              <a:srgbClr val="E97132">
                <a:lumMod val="75000"/>
              </a:srgbClr>
            </a:solidFill>
            <a:ln>
              <a:noFill/>
            </a:ln>
            <a:effectLst/>
          </c:spPr>
          <c:invertIfNegative val="0"/>
          <c:dLbls>
            <c:delete val="1"/>
          </c:dLbls>
          <c:cat>
            <c:numRef>
              <c:f>Part1!$C$115:$E$115</c:f>
              <c:numCache>
                <c:formatCode>General</c:formatCode>
                <c:ptCount val="3"/>
                <c:pt idx="0">
                  <c:v>2021</c:v>
                </c:pt>
                <c:pt idx="1">
                  <c:v>2022</c:v>
                </c:pt>
                <c:pt idx="2">
                  <c:v>2023</c:v>
                </c:pt>
              </c:numCache>
            </c:numRef>
          </c:cat>
          <c:val>
            <c:numRef>
              <c:f>Part1!$C$117:$E$117</c:f>
              <c:numCache>
                <c:formatCode>General</c:formatCode>
                <c:ptCount val="3"/>
                <c:pt idx="0">
                  <c:v>111.92</c:v>
                </c:pt>
                <c:pt idx="1">
                  <c:v>142.772</c:v>
                </c:pt>
                <c:pt idx="2">
                  <c:v>138.667</c:v>
                </c:pt>
              </c:numCache>
            </c:numRef>
          </c:val>
        </c:ser>
        <c:ser>
          <c:idx val="2"/>
          <c:order val="2"/>
          <c:tx>
            <c:strRef>
              <c:f>Part1!$B$118</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Part1!$C$115:$E$115</c:f>
              <c:numCache>
                <c:formatCode>General</c:formatCode>
                <c:ptCount val="3"/>
                <c:pt idx="0">
                  <c:v>2021</c:v>
                </c:pt>
                <c:pt idx="1">
                  <c:v>2022</c:v>
                </c:pt>
                <c:pt idx="2">
                  <c:v>2023</c:v>
                </c:pt>
              </c:numCache>
            </c:numRef>
          </c:cat>
          <c:val>
            <c:numRef>
              <c:f>Part1!$C$118:$E$118</c:f>
              <c:numCache>
                <c:formatCode>General</c:formatCode>
                <c:ptCount val="3"/>
                <c:pt idx="0">
                  <c:v>230.1</c:v>
                </c:pt>
                <c:pt idx="1">
                  <c:v>293.004</c:v>
                </c:pt>
                <c:pt idx="2">
                  <c:v>404.983</c:v>
                </c:pt>
              </c:numCache>
            </c:numRef>
          </c:val>
        </c:ser>
        <c:ser>
          <c:idx val="3"/>
          <c:order val="3"/>
          <c:tx>
            <c:strRef>
              <c:f>Part1!$B$119</c:f>
              <c:strCache>
                <c:ptCount val="1"/>
                <c:pt idx="0">
                  <c:v>Vision Jet</c:v>
                </c:pt>
              </c:strCache>
            </c:strRef>
          </c:tx>
          <c:spPr>
            <a:solidFill>
              <a:srgbClr val="A5A5A5"/>
            </a:solidFill>
            <a:ln>
              <a:solidFill>
                <a:schemeClr val="bg1"/>
              </a:solidFill>
            </a:ln>
            <a:effectLst/>
          </c:spPr>
          <c:invertIfNegative val="0"/>
          <c:dLbls>
            <c:delete val="1"/>
          </c:dLbls>
          <c:cat>
            <c:numRef>
              <c:f>Part1!$C$115:$E$115</c:f>
              <c:numCache>
                <c:formatCode>General</c:formatCode>
                <c:ptCount val="3"/>
                <c:pt idx="0">
                  <c:v>2021</c:v>
                </c:pt>
                <c:pt idx="1">
                  <c:v>2022</c:v>
                </c:pt>
                <c:pt idx="2">
                  <c:v>2023</c:v>
                </c:pt>
              </c:numCache>
            </c:numRef>
          </c:cat>
          <c:val>
            <c:numRef>
              <c:f>Part1!$C$119:$E$119</c:f>
              <c:numCache>
                <c:formatCode>General</c:formatCode>
                <c:ptCount val="3"/>
                <c:pt idx="0">
                  <c:v>234.974</c:v>
                </c:pt>
                <c:pt idx="1">
                  <c:v>266.915</c:v>
                </c:pt>
                <c:pt idx="2">
                  <c:v>302.314</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76970277363978"/>
          <c:y val="0.0147791433298692"/>
          <c:w val="0.742834710157545"/>
          <c:h val="0.0693205278378722"/>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3941017789443"/>
          <c:w val="0.90411833529931"/>
          <c:h val="0.730675123942841"/>
        </c:manualLayout>
      </c:layout>
      <c:barChart>
        <c:barDir val="col"/>
        <c:grouping val="percentStacked"/>
        <c:varyColors val="0"/>
        <c:ser>
          <c:idx val="0"/>
          <c:order val="0"/>
          <c:tx>
            <c:strRef>
              <c:f>Part1!$B$129</c:f>
              <c:strCache>
                <c:ptCount val="1"/>
                <c:pt idx="0">
                  <c:v>SR20</c:v>
                </c:pt>
              </c:strCache>
            </c:strRef>
          </c:tx>
          <c:spPr>
            <a:solidFill>
              <a:srgbClr val="002060"/>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Part1!$C$129:$E$129</c:f>
              <c:numCache>
                <c:formatCode>0.00</c:formatCode>
                <c:ptCount val="3"/>
                <c:pt idx="0">
                  <c:v>0.526148148148148</c:v>
                </c:pt>
                <c:pt idx="1">
                  <c:v>0.57049</c:v>
                </c:pt>
                <c:pt idx="2">
                  <c:v>0.606</c:v>
                </c:pt>
              </c:numCache>
            </c:numRef>
          </c:val>
        </c:ser>
        <c:ser>
          <c:idx val="1"/>
          <c:order val="1"/>
          <c:tx>
            <c:strRef>
              <c:f>Part1!$B$130</c:f>
              <c:strCache>
                <c:ptCount val="1"/>
                <c:pt idx="0">
                  <c:v>SR22</c:v>
                </c:pt>
              </c:strCache>
            </c:strRef>
          </c:tx>
          <c:spPr>
            <a:solidFill>
              <a:srgbClr val="E97132">
                <a:lumMod val="75000"/>
              </a:srgbClr>
            </a:solidFill>
            <a:ln>
              <a:noFill/>
            </a:ln>
            <a:effectLst/>
          </c:spPr>
          <c:invertIfNegative val="0"/>
          <c:dLbls>
            <c:delete val="1"/>
          </c:dLbls>
          <c:cat>
            <c:numRef>
              <c:f>Part1!$C$128:$E$128</c:f>
              <c:numCache>
                <c:formatCode>General</c:formatCode>
                <c:ptCount val="3"/>
                <c:pt idx="0">
                  <c:v>2021</c:v>
                </c:pt>
                <c:pt idx="1">
                  <c:v>2022</c:v>
                </c:pt>
                <c:pt idx="2">
                  <c:v>2023</c:v>
                </c:pt>
              </c:numCache>
            </c:numRef>
          </c:cat>
          <c:val>
            <c:numRef>
              <c:f>Part1!$C$130:$E$130</c:f>
              <c:numCache>
                <c:formatCode>0.00</c:formatCode>
                <c:ptCount val="3"/>
                <c:pt idx="0">
                  <c:v>0.854351145038168</c:v>
                </c:pt>
                <c:pt idx="1">
                  <c:v>0.897937106918239</c:v>
                </c:pt>
                <c:pt idx="2">
                  <c:v>0.976528169014085</c:v>
                </c:pt>
              </c:numCache>
            </c:numRef>
          </c:val>
        </c:ser>
        <c:ser>
          <c:idx val="2"/>
          <c:order val="2"/>
          <c:tx>
            <c:strRef>
              <c:f>Part1!$B$131</c:f>
              <c:strCache>
                <c:ptCount val="1"/>
                <c:pt idx="0">
                  <c:v>SR22T</c:v>
                </c:pt>
              </c:strCache>
            </c:strRef>
          </c:tx>
          <c:spPr>
            <a:solidFill>
              <a:srgbClr val="E6B9B8"/>
            </a:solidFill>
            <a:ln w="9525" cap="flat" cmpd="sng">
              <a:noFill/>
              <a:prstDash val="solid"/>
            </a:ln>
            <a:effectLst/>
            <a:sp3d contourW="9525"/>
          </c:spPr>
          <c:invertIfNegative val="0"/>
          <c:dLbls>
            <c:delete val="1"/>
          </c:dLbls>
          <c:cat>
            <c:numRef>
              <c:f>Part1!$C$128:$E$128</c:f>
              <c:numCache>
                <c:formatCode>General</c:formatCode>
                <c:ptCount val="3"/>
                <c:pt idx="0">
                  <c:v>2021</c:v>
                </c:pt>
                <c:pt idx="1">
                  <c:v>2022</c:v>
                </c:pt>
                <c:pt idx="2">
                  <c:v>2023</c:v>
                </c:pt>
              </c:numCache>
            </c:numRef>
          </c:cat>
          <c:val>
            <c:numRef>
              <c:f>Part1!$C$131:$E$131</c:f>
              <c:numCache>
                <c:formatCode>0.00</c:formatCode>
                <c:ptCount val="3"/>
                <c:pt idx="0">
                  <c:v>1.0004347826087</c:v>
                </c:pt>
                <c:pt idx="1">
                  <c:v>1.04644285714286</c:v>
                </c:pt>
                <c:pt idx="2">
                  <c:v>1.14079718309859</c:v>
                </c:pt>
              </c:numCache>
            </c:numRef>
          </c:val>
        </c:ser>
        <c:ser>
          <c:idx val="3"/>
          <c:order val="3"/>
          <c:tx>
            <c:strRef>
              <c:f>Part1!$B$132</c:f>
              <c:strCache>
                <c:ptCount val="1"/>
                <c:pt idx="0">
                  <c:v>Vision Jet</c:v>
                </c:pt>
              </c:strCache>
            </c:strRef>
          </c:tx>
          <c:spPr>
            <a:solidFill>
              <a:srgbClr val="A5A5A5"/>
            </a:solidFill>
            <a:ln>
              <a:solidFill>
                <a:schemeClr val="bg1"/>
              </a:solidFill>
            </a:ln>
            <a:effectLst/>
          </c:spPr>
          <c:invertIfNegative val="0"/>
          <c:dLbls>
            <c:delete val="1"/>
          </c:dLbls>
          <c:cat>
            <c:numRef>
              <c:f>Part1!$C$128:$E$128</c:f>
              <c:numCache>
                <c:formatCode>General</c:formatCode>
                <c:ptCount val="3"/>
                <c:pt idx="0">
                  <c:v>2021</c:v>
                </c:pt>
                <c:pt idx="1">
                  <c:v>2022</c:v>
                </c:pt>
                <c:pt idx="2">
                  <c:v>2023</c:v>
                </c:pt>
              </c:numCache>
            </c:numRef>
          </c:cat>
          <c:val>
            <c:numRef>
              <c:f>Part1!$C$132:$E$132</c:f>
              <c:numCache>
                <c:formatCode>0.00</c:formatCode>
                <c:ptCount val="3"/>
                <c:pt idx="0">
                  <c:v>2.73225581395349</c:v>
                </c:pt>
                <c:pt idx="1">
                  <c:v>2.96572222222222</c:v>
                </c:pt>
                <c:pt idx="2">
                  <c:v>3.14910416666667</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124691336348008"/>
          <c:y val="0.0152726742490522"/>
          <c:w val="0.72594753954965"/>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718364584167971"/>
          <c:y val="0.23674588301906"/>
          <c:w val="0.931162239562145"/>
          <c:h val="0.619563915385425"/>
        </c:manualLayout>
      </c:layout>
      <c:barChart>
        <c:barDir val="col"/>
        <c:grouping val="percentStacked"/>
        <c:varyColors val="0"/>
        <c:ser>
          <c:idx val="0"/>
          <c:order val="0"/>
          <c:tx>
            <c:strRef>
              <c:f>Part1!$B$144</c:f>
              <c:strCache>
                <c:ptCount val="1"/>
                <c:pt idx="0">
                  <c:v>售后配件/维护</c:v>
                </c:pt>
              </c:strCache>
            </c:strRef>
          </c:tx>
          <c:spPr>
            <a:solidFill>
              <a:srgbClr val="002060"/>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Part1!$C$144:$E$144</c:f>
              <c:numCache>
                <c:formatCode>#,##0</c:formatCode>
                <c:ptCount val="3"/>
                <c:pt idx="0">
                  <c:v>47996</c:v>
                </c:pt>
                <c:pt idx="1">
                  <c:v>63996</c:v>
                </c:pt>
                <c:pt idx="2">
                  <c:v>80711</c:v>
                </c:pt>
              </c:numCache>
            </c:numRef>
          </c:val>
        </c:ser>
        <c:ser>
          <c:idx val="1"/>
          <c:order val="1"/>
          <c:tx>
            <c:strRef>
              <c:f>Part1!$B$145</c:f>
              <c:strCache>
                <c:ptCount val="1"/>
                <c:pt idx="0">
                  <c:v>培训</c:v>
                </c:pt>
              </c:strCache>
            </c:strRef>
          </c:tx>
          <c:spPr>
            <a:solidFill>
              <a:srgbClr val="E97132">
                <a:lumMod val="75000"/>
              </a:srgbClr>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Part1!$C$145:$E$145</c:f>
              <c:numCache>
                <c:formatCode>#,##0</c:formatCode>
                <c:ptCount val="3"/>
                <c:pt idx="0">
                  <c:v>12712</c:v>
                </c:pt>
                <c:pt idx="1">
                  <c:v>15787</c:v>
                </c:pt>
                <c:pt idx="2">
                  <c:v>19800</c:v>
                </c:pt>
              </c:numCache>
            </c:numRef>
          </c:val>
        </c:ser>
        <c:ser>
          <c:idx val="2"/>
          <c:order val="2"/>
          <c:tx>
            <c:strRef>
              <c:f>Part1!$B$146</c:f>
              <c:strCache>
                <c:ptCount val="1"/>
                <c:pt idx="0">
                  <c:v>二手飞机</c:v>
                </c:pt>
              </c:strCache>
            </c:strRef>
          </c:tx>
          <c:spPr>
            <a:solidFill>
              <a:srgbClr val="E6B9B8"/>
            </a:solidFill>
            <a:ln>
              <a:noFill/>
            </a:ln>
            <a:effectLst/>
            <a:sp3d contourW="9525"/>
          </c:spPr>
          <c:invertIfNegative val="0"/>
          <c:dLbls>
            <c:delete val="1"/>
          </c:dLbls>
          <c:cat>
            <c:numRef>
              <c:f>Part1!$C$143:$E$143</c:f>
              <c:numCache>
                <c:formatCode>General</c:formatCode>
                <c:ptCount val="3"/>
                <c:pt idx="0">
                  <c:v>2021</c:v>
                </c:pt>
                <c:pt idx="1">
                  <c:v>2022</c:v>
                </c:pt>
                <c:pt idx="2">
                  <c:v>2023</c:v>
                </c:pt>
              </c:numCache>
            </c:numRef>
          </c:cat>
          <c:val>
            <c:numRef>
              <c:f>Part1!$C$146:$E$146</c:f>
              <c:numCache>
                <c:formatCode>#,##0</c:formatCode>
                <c:ptCount val="3"/>
                <c:pt idx="0">
                  <c:v>10320</c:v>
                </c:pt>
                <c:pt idx="1">
                  <c:v>23611</c:v>
                </c:pt>
                <c:pt idx="2">
                  <c:v>26648</c:v>
                </c:pt>
              </c:numCache>
            </c:numRef>
          </c:val>
        </c:ser>
        <c:ser>
          <c:idx val="3"/>
          <c:order val="3"/>
          <c:tx>
            <c:strRef>
              <c:f>Part1!$B$147</c:f>
              <c:strCache>
                <c:ptCount val="1"/>
                <c:pt idx="0">
                  <c:v>其他</c:v>
                </c:pt>
              </c:strCache>
            </c:strRef>
          </c:tx>
          <c:spPr>
            <a:solidFill>
              <a:srgbClr val="A5A5A5"/>
            </a:solidFill>
            <a:ln>
              <a:noFill/>
            </a:ln>
            <a:effectLst/>
          </c:spPr>
          <c:invertIfNegative val="0"/>
          <c:dLbls>
            <c:delete val="1"/>
          </c:dLbls>
          <c:cat>
            <c:numRef>
              <c:f>Part1!$C$143:$E$143</c:f>
              <c:numCache>
                <c:formatCode>General</c:formatCode>
                <c:ptCount val="3"/>
                <c:pt idx="0">
                  <c:v>2021</c:v>
                </c:pt>
                <c:pt idx="1">
                  <c:v>2022</c:v>
                </c:pt>
                <c:pt idx="2">
                  <c:v>2023</c:v>
                </c:pt>
              </c:numCache>
            </c:numRef>
          </c:cat>
          <c:val>
            <c:numRef>
              <c:f>Part1!$C$147:$E$147</c:f>
              <c:numCache>
                <c:formatCode>#,##0</c:formatCode>
                <c:ptCount val="3"/>
                <c:pt idx="0">
                  <c:v>47490</c:v>
                </c:pt>
                <c:pt idx="1">
                  <c:v>30948</c:v>
                </c:pt>
                <c:pt idx="2">
                  <c:v>24895</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72992782152231"/>
          <c:h val="0.0669418926800817"/>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[西锐底稿.xlsx]Part1!$G$87</c:f>
              <c:strCache>
                <c:ptCount val="1"/>
                <c:pt idx="0">
                  <c:v>毛利润</c:v>
                </c:pt>
              </c:strCache>
            </c:strRef>
          </c:tx>
          <c:spPr>
            <a:solidFill>
              <a:srgbClr val="002060"/>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[西锐底稿.xlsx]Part1!$H$87:$L$87</c:f>
              <c:numCache>
                <c:formatCode>0.00</c:formatCode>
                <c:ptCount val="5"/>
                <c:pt idx="0">
                  <c:v>185.32136</c:v>
                </c:pt>
                <c:pt idx="1">
                  <c:v>242.254266</c:v>
                </c:pt>
                <c:pt idx="2">
                  <c:v>298.086272</c:v>
                </c:pt>
                <c:pt idx="3">
                  <c:v>364.729736</c:v>
                </c:pt>
                <c:pt idx="4">
                  <c:v>413.608415</c:v>
                </c:pt>
              </c:numCache>
            </c:numRef>
          </c:val>
        </c:ser>
        <c:ser>
          <c:idx val="2"/>
          <c:order val="2"/>
          <c:tx>
            <c:strRef>
              <c:f>[西锐底稿.xlsx]Part1!$G$89</c:f>
              <c:strCache>
                <c:ptCount val="1"/>
                <c:pt idx="0">
                  <c:v>净利润</c:v>
                </c:pt>
              </c:strCache>
            </c:strRef>
          </c:tx>
          <c:spPr>
            <a:solidFill>
              <a:srgbClr val="A5A5A5"/>
            </a:solidFill>
            <a:ln w="25400">
              <a:noFill/>
            </a:ln>
            <a:effectLst/>
          </c:spPr>
          <c:invertIfNegative val="0"/>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[西锐底稿.xlsx]Part1!$H$89:$L$89</c:f>
              <c:numCache>
                <c:formatCode>0.00</c:formatCode>
                <c:ptCount val="5"/>
                <c:pt idx="0">
                  <c:v>36.125936</c:v>
                </c:pt>
                <c:pt idx="1">
                  <c:v>72.410553</c:v>
                </c:pt>
                <c:pt idx="2">
                  <c:v>88.06688</c:v>
                </c:pt>
                <c:pt idx="3">
                  <c:v>91.182434</c:v>
                </c:pt>
                <c:pt idx="4">
                  <c:v>120.790417</c:v>
                </c:pt>
              </c:numCache>
            </c:numRef>
          </c:val>
        </c:ser>
        <c:dLbls>
          <c:showLegendKey val="0"/>
          <c:showVal val="0"/>
          <c:showCatName val="0"/>
          <c:showSerName val="0"/>
          <c:showPercent val="0"/>
          <c:showBubbleSize val="0"/>
        </c:dLbls>
        <c:gapWidth val="219"/>
        <c:overlap val="-27"/>
        <c:axId val="1162810192"/>
        <c:axId val="1162808272"/>
      </c:barChart>
      <c:lineChart>
        <c:grouping val="standard"/>
        <c:varyColors val="0"/>
        <c:ser>
          <c:idx val="1"/>
          <c:order val="1"/>
          <c:tx>
            <c:strRef>
              <c:f>[西锐底稿.xlsx]Part1!$G$88</c:f>
              <c:strCache>
                <c:ptCount val="1"/>
                <c:pt idx="0">
                  <c:v>yoy</c:v>
                </c:pt>
              </c:strCache>
            </c:strRef>
          </c:tx>
          <c:spPr>
            <a:ln w="28575" cap="rnd">
              <a:solidFill>
                <a:srgbClr val="002060"/>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[西锐底稿.xlsx]Part1!$H$88:$L$88</c:f>
              <c:numCache>
                <c:formatCode>General</c:formatCode>
                <c:ptCount val="5"/>
                <c:pt idx="1" c:formatCode="0.00%">
                  <c:v>0.307211786056394</c:v>
                </c:pt>
                <c:pt idx="2" c:formatCode="0.00%">
                  <c:v>0.230468618455619</c:v>
                </c:pt>
                <c:pt idx="3" c:formatCode="0.00%">
                  <c:v>0.223571060662599</c:v>
                </c:pt>
                <c:pt idx="4" c:formatCode="0.00%">
                  <c:v>0.134013419185542</c:v>
                </c:pt>
              </c:numCache>
            </c:numRef>
          </c:val>
          <c:smooth val="0"/>
        </c:ser>
        <c:ser>
          <c:idx val="3"/>
          <c:order val="3"/>
          <c:tx>
            <c:strRef>
              <c:f>[西锐底稿.xlsx]Part1!$G$90</c:f>
              <c:strCache>
                <c:ptCount val="1"/>
                <c:pt idx="0">
                  <c:v>yoy</c:v>
                </c:pt>
              </c:strCache>
            </c:strRef>
          </c:tx>
          <c:spPr>
            <a:ln w="28575" cap="rnd">
              <a:solidFill>
                <a:srgbClr val="A5A5A5"/>
              </a:solidFill>
              <a:round/>
            </a:ln>
            <a:effectLst/>
          </c:spPr>
          <c:marker>
            <c:symbol val="none"/>
          </c:marker>
          <c:dLbls>
            <c:delete val="1"/>
          </c:dLbls>
          <c:cat>
            <c:numRef>
              <c:f>[西锐底稿.xlsx]Part1!$H$86:$L$86</c:f>
              <c:numCache>
                <c:formatCode>General</c:formatCode>
                <c:ptCount val="5"/>
                <c:pt idx="0">
                  <c:v>2020</c:v>
                </c:pt>
                <c:pt idx="1">
                  <c:v>2021</c:v>
                </c:pt>
                <c:pt idx="2">
                  <c:v>2022</c:v>
                </c:pt>
                <c:pt idx="3">
                  <c:v>2023</c:v>
                </c:pt>
                <c:pt idx="4">
                  <c:v>2024</c:v>
                </c:pt>
              </c:numCache>
            </c:numRef>
          </c:cat>
          <c:val>
            <c:numRef>
              <c:f>[西锐底稿.xlsx]Part1!$H$90:$L$90</c:f>
              <c:numCache>
                <c:formatCode>General</c:formatCode>
                <c:ptCount val="5"/>
                <c:pt idx="1" c:formatCode="0.0%">
                  <c:v>1.00439243982495</c:v>
                </c:pt>
                <c:pt idx="2" c:formatCode="0.0%">
                  <c:v>0.216216094910917</c:v>
                </c:pt>
                <c:pt idx="3" c:formatCode="0.0%">
                  <c:v>0.0353771361038338</c:v>
                </c:pt>
                <c:pt idx="4" c:formatCode="0.0%">
                  <c:v>0.324711478967539</c:v>
                </c:pt>
              </c:numCache>
            </c:numRef>
          </c:val>
          <c:smooth val="0"/>
        </c:ser>
        <c:dLbls>
          <c:showLegendKey val="0"/>
          <c:showVal val="0"/>
          <c:showCatName val="0"/>
          <c:showSerName val="0"/>
          <c:showPercent val="0"/>
          <c:showBubbleSize val="0"/>
        </c:dLbls>
        <c:marker val="0"/>
        <c:smooth val="0"/>
        <c:axId val="1162807312"/>
        <c:axId val="1162812112"/>
      </c:line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_);[Red]\(#,##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catAx>
        <c:axId val="1162807312"/>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2112"/>
        <c:crosses val="autoZero"/>
        <c:auto val="1"/>
        <c:lblAlgn val="ctr"/>
        <c:lblOffset val="100"/>
        <c:noMultiLvlLbl val="0"/>
      </c:catAx>
      <c:valAx>
        <c:axId val="1162812112"/>
        <c:scaling>
          <c:orientation val="minMax"/>
        </c:scaling>
        <c:delete val="0"/>
        <c:axPos val="r"/>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7312"/>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875590354721999"/>
          <c:y val="0.158663874836293"/>
          <c:w val="0.9124409645278"/>
          <c:h val="0.751280547325263"/>
        </c:manualLayout>
      </c:layout>
      <c:barChart>
        <c:barDir val="col"/>
        <c:grouping val="clustered"/>
        <c:varyColors val="0"/>
        <c:ser>
          <c:idx val="0"/>
          <c:order val="0"/>
          <c:tx>
            <c:strRef>
              <c:f>[西锐底稿.xlsx]Part1!$G$82</c:f>
              <c:strCache>
                <c:ptCount val="1"/>
                <c:pt idx="0">
                  <c:v>毛利率</c:v>
                </c:pt>
              </c:strCache>
            </c:strRef>
          </c:tx>
          <c:spPr>
            <a:solidFill>
              <a:srgbClr val="002060"/>
            </a:solidFill>
            <a:ln w="25400">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[西锐底稿.xlsx]Part1!$H$82:$M$82</c:f>
              <c:numCache>
                <c:formatCode>0.00%</c:formatCode>
                <c:ptCount val="6"/>
                <c:pt idx="0">
                  <c:v>0.316</c:v>
                </c:pt>
                <c:pt idx="1">
                  <c:v>0.3282</c:v>
                </c:pt>
                <c:pt idx="2">
                  <c:v>0.3334</c:v>
                </c:pt>
                <c:pt idx="3">
                  <c:v>0.3416</c:v>
                </c:pt>
                <c:pt idx="4">
                  <c:v>0.3455</c:v>
                </c:pt>
                <c:pt idx="5">
                  <c:v>0.3617</c:v>
                </c:pt>
              </c:numCache>
            </c:numRef>
          </c:val>
        </c:ser>
        <c:ser>
          <c:idx val="1"/>
          <c:order val="1"/>
          <c:tx>
            <c:strRef>
              <c:f>[西锐底稿.xlsx]Part1!$G$83</c:f>
              <c:strCache>
                <c:ptCount val="1"/>
                <c:pt idx="0">
                  <c:v>净利率</c:v>
                </c:pt>
              </c:strCache>
            </c:strRef>
          </c:tx>
          <c:spPr>
            <a:solidFill>
              <a:srgbClr val="A5A5A5"/>
            </a:solidFill>
            <a:ln>
              <a:noFill/>
            </a:ln>
            <a:effectLst/>
          </c:spPr>
          <c:invertIfNegative val="0"/>
          <c:dLbls>
            <c:delete val="1"/>
          </c:dLbls>
          <c:cat>
            <c:strRef>
              <c:f>[西锐底稿.xlsx]Part1!$H$81:$M$81</c:f>
              <c:strCache>
                <c:ptCount val="6"/>
                <c:pt idx="0">
                  <c:v>2020</c:v>
                </c:pt>
                <c:pt idx="1">
                  <c:v>2021</c:v>
                </c:pt>
                <c:pt idx="2">
                  <c:v>2022</c:v>
                </c:pt>
                <c:pt idx="3">
                  <c:v>2023</c:v>
                </c:pt>
                <c:pt idx="4">
                  <c:v>2024</c:v>
                </c:pt>
                <c:pt idx="5">
                  <c:v>2025H1</c:v>
                </c:pt>
              </c:strCache>
            </c:strRef>
          </c:cat>
          <c:val>
            <c:numRef>
              <c:f>[西锐底稿.xlsx]Part1!$H$83:$M$83</c:f>
              <c:numCache>
                <c:formatCode>0.00%</c:formatCode>
                <c:ptCount val="6"/>
                <c:pt idx="0">
                  <c:v>0.0616</c:v>
                </c:pt>
                <c:pt idx="1">
                  <c:v>0.0981</c:v>
                </c:pt>
                <c:pt idx="2">
                  <c:v>0.0985</c:v>
                </c:pt>
                <c:pt idx="3">
                  <c:v>0.0854</c:v>
                </c:pt>
                <c:pt idx="4">
                  <c:v>0.1009</c:v>
                </c:pt>
                <c:pt idx="5">
                  <c:v>0.1093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6402887139108"/>
          <c:y val="0.236214639836687"/>
          <c:w val="0.883597112860892"/>
          <c:h val="0.67244276757072"/>
        </c:manualLayout>
      </c:layout>
      <c:barChart>
        <c:barDir val="col"/>
        <c:grouping val="clustered"/>
        <c:varyColors val="0"/>
        <c:ser>
          <c:idx val="0"/>
          <c:order val="0"/>
          <c:tx>
            <c:strRef>
              <c:f>[西锐底稿.xlsx]Part1!$G$96</c:f>
              <c:strCache>
                <c:ptCount val="1"/>
                <c:pt idx="0">
                  <c:v>销售费用比率</c:v>
                </c:pt>
              </c:strCache>
            </c:strRef>
          </c:tx>
          <c:spPr>
            <a:solidFill>
              <a:srgbClr val="002060"/>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[西锐底稿.xlsx]Part1!$H$96:$M$96</c:f>
              <c:numCache>
                <c:formatCode>0.00%</c:formatCode>
                <c:ptCount val="6"/>
                <c:pt idx="0">
                  <c:v>0.0950448453432459</c:v>
                </c:pt>
                <c:pt idx="1">
                  <c:v>0.089943505886497</c:v>
                </c:pt>
                <c:pt idx="2">
                  <c:v>0.0987495526127416</c:v>
                </c:pt>
                <c:pt idx="3">
                  <c:v>0.0999990634160961</c:v>
                </c:pt>
                <c:pt idx="4">
                  <c:v>0.103188459064596</c:v>
                </c:pt>
                <c:pt idx="5">
                  <c:v>0.106982455550135</c:v>
                </c:pt>
              </c:numCache>
            </c:numRef>
          </c:val>
        </c:ser>
        <c:ser>
          <c:idx val="1"/>
          <c:order val="1"/>
          <c:tx>
            <c:strRef>
              <c:f>[西锐底稿.xlsx]Part1!$G$97</c:f>
              <c:strCache>
                <c:ptCount val="1"/>
                <c:pt idx="0">
                  <c:v>管理费用比率</c:v>
                </c:pt>
              </c:strCache>
            </c:strRef>
          </c:tx>
          <c:spPr>
            <a:solidFill>
              <a:srgbClr val="A5A5A5"/>
            </a:solidFill>
            <a:ln>
              <a:noFill/>
            </a:ln>
            <a:effectLst/>
          </c:spPr>
          <c:invertIfNegative val="0"/>
          <c:dPt>
            <c:idx val="0"/>
            <c:invertIfNegative val="0"/>
            <c:bubble3D val="0"/>
            <c:spPr>
              <a:solidFill>
                <a:srgbClr val="A5A5A5"/>
              </a:solidFill>
              <a:ln>
                <a:noFill/>
              </a:ln>
              <a:effectLst/>
            </c:spPr>
          </c:dPt>
          <c:dPt>
            <c:idx val="1"/>
            <c:invertIfNegative val="0"/>
            <c:bubble3D val="0"/>
            <c:spPr>
              <a:solidFill>
                <a:srgbClr val="A5A5A5"/>
              </a:solidFill>
              <a:ln>
                <a:noFill/>
              </a:ln>
              <a:effectLst/>
            </c:spPr>
          </c:dPt>
          <c:dPt>
            <c:idx val="2"/>
            <c:invertIfNegative val="0"/>
            <c:bubble3D val="0"/>
            <c:spPr>
              <a:solidFill>
                <a:srgbClr val="A5A5A5"/>
              </a:solidFill>
              <a:ln>
                <a:noFill/>
              </a:ln>
              <a:effectLst/>
            </c:spPr>
          </c:dPt>
          <c:dPt>
            <c:idx val="3"/>
            <c:invertIfNegative val="0"/>
            <c:bubble3D val="0"/>
            <c:spPr>
              <a:solidFill>
                <a:srgbClr val="A5A5A5"/>
              </a:solidFill>
              <a:ln>
                <a:noFill/>
              </a:ln>
              <a:effectLst/>
            </c:spPr>
          </c:dPt>
          <c:dPt>
            <c:idx val="4"/>
            <c:invertIfNegative val="0"/>
            <c:bubble3D val="0"/>
            <c:spPr>
              <a:solidFill>
                <a:srgbClr val="A5A5A5"/>
              </a:solidFill>
              <a:ln>
                <a:noFill/>
              </a:ln>
              <a:effectLst/>
            </c:spPr>
          </c:dPt>
          <c:dPt>
            <c:idx val="5"/>
            <c:invertIfNegative val="0"/>
            <c:bubble3D val="0"/>
            <c:spPr>
              <a:solidFill>
                <a:srgbClr val="A5A5A5"/>
              </a:solidFill>
              <a:ln>
                <a:noFill/>
              </a:ln>
              <a:effectLst/>
            </c:spPr>
          </c:dPt>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[西锐底稿.xlsx]Part1!$H$97:$M$97</c:f>
              <c:numCache>
                <c:formatCode>0.00%</c:formatCode>
                <c:ptCount val="6"/>
                <c:pt idx="0">
                  <c:v>0.132950243835897</c:v>
                </c:pt>
                <c:pt idx="1">
                  <c:v>0.126888217522659</c:v>
                </c:pt>
                <c:pt idx="2">
                  <c:v>0.114631800286328</c:v>
                </c:pt>
                <c:pt idx="3">
                  <c:v>0.126607412125015</c:v>
                </c:pt>
                <c:pt idx="4">
                  <c:v>0.118015587279577</c:v>
                </c:pt>
                <c:pt idx="5">
                  <c:v>0.117747985668388</c:v>
                </c:pt>
              </c:numCache>
            </c:numRef>
          </c:val>
        </c:ser>
        <c:ser>
          <c:idx val="2"/>
          <c:order val="2"/>
          <c:tx>
            <c:strRef>
              <c:f>[西锐底稿.xlsx]Part1!$G$98</c:f>
              <c:strCache>
                <c:ptCount val="1"/>
                <c:pt idx="0">
                  <c:v>财务费用比率</c:v>
                </c:pt>
              </c:strCache>
            </c:strRef>
          </c:tx>
          <c:spPr>
            <a:solidFill>
              <a:srgbClr val="EBC3C3"/>
            </a:solidFill>
            <a:ln w="25400">
              <a:noFill/>
            </a:ln>
            <a:effectLst/>
          </c:spPr>
          <c:invertIfNegative val="0"/>
          <c:dLbls>
            <c:delete val="1"/>
          </c:dLbls>
          <c:cat>
            <c:strRef>
              <c:f>[西锐底稿.xlsx]Part1!$H$95:$M$95</c:f>
              <c:strCache>
                <c:ptCount val="6"/>
                <c:pt idx="0">
                  <c:v>2020</c:v>
                </c:pt>
                <c:pt idx="1">
                  <c:v>2021</c:v>
                </c:pt>
                <c:pt idx="2">
                  <c:v>2022</c:v>
                </c:pt>
                <c:pt idx="3">
                  <c:v>2023</c:v>
                </c:pt>
                <c:pt idx="4">
                  <c:v>2024</c:v>
                </c:pt>
                <c:pt idx="5">
                  <c:v>2025H1</c:v>
                </c:pt>
              </c:strCache>
            </c:strRef>
          </c:cat>
          <c:val>
            <c:numRef>
              <c:f>[西锐底稿.xlsx]Part1!$H$98:$M$98</c:f>
              <c:numCache>
                <c:formatCode>0.00%</c:formatCode>
                <c:ptCount val="6"/>
                <c:pt idx="0">
                  <c:v>0.0105207516284146</c:v>
                </c:pt>
                <c:pt idx="1">
                  <c:v>0.00475525991356536</c:v>
                </c:pt>
                <c:pt idx="2">
                  <c:v>0.00357909806728704</c:v>
                </c:pt>
                <c:pt idx="3">
                  <c:v>0.00517930898839573</c:v>
                </c:pt>
                <c:pt idx="4">
                  <c:v>0.00429360219859163</c:v>
                </c:pt>
                <c:pt idx="5">
                  <c:v>0.00331376473952463</c:v>
                </c:pt>
              </c:numCache>
            </c:numRef>
          </c:val>
        </c:ser>
        <c:dLbls>
          <c:showLegendKey val="0"/>
          <c:showVal val="0"/>
          <c:showCatName val="0"/>
          <c:showSerName val="0"/>
          <c:showPercent val="0"/>
          <c:showBubbleSize val="0"/>
        </c:dLbls>
        <c:gapWidth val="150"/>
        <c:axId val="1162810192"/>
        <c:axId val="1162808272"/>
      </c:barChart>
      <c:catAx>
        <c:axId val="1162810192"/>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08272"/>
        <c:crosses val="autoZero"/>
        <c:auto val="1"/>
        <c:lblAlgn val="ctr"/>
        <c:lblOffset val="100"/>
        <c:noMultiLvlLbl val="0"/>
      </c:catAx>
      <c:valAx>
        <c:axId val="1162808272"/>
        <c:scaling>
          <c:orientation val="minMax"/>
        </c:scaling>
        <c:delete val="0"/>
        <c:axPos val="l"/>
        <c:majorGridlines>
          <c:spPr>
            <a:ln w="9525" cap="flat" cmpd="sng" algn="ctr">
              <a:noFill/>
              <a:round/>
            </a:ln>
            <a:effectLst/>
          </c:spPr>
        </c:majorGridlines>
        <c:numFmt formatCode="0.00%"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162810192"/>
        <c:crosses val="autoZero"/>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'!$F$44</c:f>
              <c:strCache>
                <c:ptCount val="1"/>
                <c:pt idx="0">
                  <c:v>总交付量</c:v>
                </c:pt>
              </c:strCache>
            </c:strRef>
          </c:tx>
          <c:spPr>
            <a:solidFill>
              <a:srgbClr val="002060"/>
            </a:solidFill>
            <a:ln w="25400">
              <a:noFill/>
            </a:ln>
            <a:effectLst/>
          </c:spPr>
          <c:invertIfNegative val="0"/>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'!$F$45:$F$54</c:f>
              <c:numCache>
                <c:formatCode>General</c:formatCode>
                <c:ptCount val="10"/>
                <c:pt idx="0">
                  <c:v>2657</c:v>
                </c:pt>
                <c:pt idx="1">
                  <c:v>2407</c:v>
                </c:pt>
                <c:pt idx="2">
                  <c:v>2646</c:v>
                </c:pt>
                <c:pt idx="3">
                  <c:v>2818</c:v>
                </c:pt>
                <c:pt idx="4">
                  <c:v>3050</c:v>
                </c:pt>
                <c:pt idx="5">
                  <c:v>2969</c:v>
                </c:pt>
                <c:pt idx="6">
                  <c:v>3088</c:v>
                </c:pt>
                <c:pt idx="7">
                  <c:v>3281</c:v>
                </c:pt>
                <c:pt idx="8">
                  <c:v>3525</c:v>
                </c:pt>
                <c:pt idx="9">
                  <c:v>3779</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'!$G$44</c:f>
              <c:strCache>
                <c:ptCount val="1"/>
                <c:pt idx="0">
                  <c:v>yoy</c:v>
                </c:pt>
              </c:strCache>
            </c:strRef>
          </c:tx>
          <c:spPr>
            <a:ln w="28575" cap="rnd">
              <a:solidFill>
                <a:srgbClr val="A5A5A5"/>
              </a:solidFill>
              <a:round/>
            </a:ln>
            <a:effectLst/>
          </c:spPr>
          <c:marker>
            <c:symbol val="none"/>
          </c:marker>
          <c:dLbls>
            <c:delete val="1"/>
          </c:dLbls>
          <c:cat>
            <c:strRef>
              <c:f>'[西锐底稿.xlsx]Part2.1 '!$E$45:$E$54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'!$G$45:$G$54</c:f>
              <c:numCache>
                <c:formatCode>General</c:formatCode>
                <c:ptCount val="10"/>
                <c:pt idx="1" c:formatCode="0.00%">
                  <c:v>-0.0940910801656003</c:v>
                </c:pt>
                <c:pt idx="2" c:formatCode="0.00%">
                  <c:v>0.0992937266306606</c:v>
                </c:pt>
                <c:pt idx="3" c:formatCode="0.00%">
                  <c:v>0.0650037792894935</c:v>
                </c:pt>
                <c:pt idx="4" c:formatCode="0.00%">
                  <c:v>0.0823278921220725</c:v>
                </c:pt>
                <c:pt idx="5" c:formatCode="0.00%">
                  <c:v>-0.0265573770491804</c:v>
                </c:pt>
                <c:pt idx="6" c:formatCode="0.00%">
                  <c:v>0.0400808352980802</c:v>
                </c:pt>
                <c:pt idx="7" c:formatCode="0.00%">
                  <c:v>0.0625</c:v>
                </c:pt>
                <c:pt idx="8" c:formatCode="0.00%">
                  <c:v>0.074367570862542</c:v>
                </c:pt>
                <c:pt idx="9" c:formatCode="0.00%">
                  <c:v>0.0720567375886525</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'[西锐底稿.xlsx]Part2.1 '!$I$44</c:f>
              <c:strCache>
                <c:ptCount val="1"/>
                <c:pt idx="0">
                  <c:v>总交付价值 (十亿美元)</c:v>
                </c:pt>
              </c:strCache>
            </c:strRef>
          </c:tx>
          <c:spPr>
            <a:solidFill>
              <a:srgbClr val="002060"/>
            </a:solidFill>
            <a:ln w="25400">
              <a:noFill/>
            </a:ln>
            <a:effectLst/>
          </c:spPr>
          <c:invertIfNegative val="0"/>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'!$I$45:$I$54</c:f>
              <c:numCache>
                <c:formatCode>General</c:formatCode>
                <c:ptCount val="10"/>
                <c:pt idx="0">
                  <c:v>23.6</c:v>
                </c:pt>
                <c:pt idx="1">
                  <c:v>20.1</c:v>
                </c:pt>
                <c:pt idx="2">
                  <c:v>21.6</c:v>
                </c:pt>
                <c:pt idx="3">
                  <c:v>22.9</c:v>
                </c:pt>
                <c:pt idx="4">
                  <c:v>23.4</c:v>
                </c:pt>
                <c:pt idx="5">
                  <c:v>27</c:v>
                </c:pt>
                <c:pt idx="6">
                  <c:v>26.3</c:v>
                </c:pt>
                <c:pt idx="7">
                  <c:v>28.8</c:v>
                </c:pt>
                <c:pt idx="8">
                  <c:v>31.7</c:v>
                </c:pt>
                <c:pt idx="9">
                  <c:v>34.24</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'[西锐底稿.xlsx]Part2.1 '!$J$44</c:f>
              <c:strCache>
                <c:ptCount val="1"/>
                <c:pt idx="0">
                  <c:v>yoy</c:v>
                </c:pt>
              </c:strCache>
            </c:strRef>
          </c:tx>
          <c:spPr>
            <a:ln w="28575" cap="rnd">
              <a:solidFill>
                <a:srgbClr val="A5A5A5"/>
              </a:solidFill>
              <a:round/>
            </a:ln>
            <a:effectLst/>
          </c:spPr>
          <c:marker>
            <c:symbol val="none"/>
          </c:marker>
          <c:dLbls>
            <c:delete val="1"/>
          </c:dLbls>
          <c:cat>
            <c:strRef>
              <c:f>'[西锐底稿.xlsx]Part2.1 '!$H$45:$H$54</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'[西锐底稿.xlsx]Part2.1 '!$J$45:$J$54</c:f>
              <c:numCache>
                <c:formatCode>General</c:formatCode>
                <c:ptCount val="10"/>
                <c:pt idx="1" c:formatCode="0.00%">
                  <c:v>-0.148305084745763</c:v>
                </c:pt>
                <c:pt idx="2" c:formatCode="0.00%">
                  <c:v>0.0746268656716418</c:v>
                </c:pt>
                <c:pt idx="3" c:formatCode="0.00%">
                  <c:v>0.0601851851851851</c:v>
                </c:pt>
                <c:pt idx="4" c:formatCode="0.00%">
                  <c:v>0.0218340611353711</c:v>
                </c:pt>
                <c:pt idx="5" c:formatCode="0.00%">
                  <c:v>0.153846153846154</c:v>
                </c:pt>
                <c:pt idx="6" c:formatCode="0.00%">
                  <c:v>-0.0259259259259259</c:v>
                </c:pt>
                <c:pt idx="7" c:formatCode="0.00%">
                  <c:v>0.0950570342205324</c:v>
                </c:pt>
                <c:pt idx="8" c:formatCode="0.00%">
                  <c:v>0.100694444444444</c:v>
                </c:pt>
                <c:pt idx="9" c:formatCode="0.00%">
                  <c:v>0.0801261829652997</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0.0%"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112407064654767"/>
          <c:w val="0.931162239562145"/>
          <c:h val="0.757678158756052"/>
        </c:manualLayout>
      </c:layout>
      <c:barChart>
        <c:barDir val="col"/>
        <c:grouping val="percentStacked"/>
        <c:varyColors val="0"/>
        <c:ser>
          <c:idx val="0"/>
          <c:order val="0"/>
          <c:tx>
            <c:strRef>
              <c:f>'[西锐底稿.xlsx]Part2.1 '!$F$66</c:f>
              <c:strCache>
                <c:ptCount val="1"/>
                <c:pt idx="0">
                  <c:v>世界其他地区</c:v>
                </c:pt>
              </c:strCache>
            </c:strRef>
          </c:tx>
          <c:spPr>
            <a:solidFill>
              <a:srgbClr val="002060"/>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'!$F$67:$F$76</c:f>
              <c:numCache>
                <c:formatCode>General</c:formatCode>
                <c:ptCount val="10"/>
                <c:pt idx="0">
                  <c:v>1456</c:v>
                </c:pt>
                <c:pt idx="1">
                  <c:v>1686</c:v>
                </c:pt>
                <c:pt idx="2">
                  <c:v>1565</c:v>
                </c:pt>
                <c:pt idx="3">
                  <c:v>1713</c:v>
                </c:pt>
                <c:pt idx="4">
                  <c:v>1870</c:v>
                </c:pt>
                <c:pt idx="5">
                  <c:v>1944</c:v>
                </c:pt>
                <c:pt idx="6">
                  <c:v>2010</c:v>
                </c:pt>
                <c:pt idx="7">
                  <c:v>2073</c:v>
                </c:pt>
                <c:pt idx="8">
                  <c:v>2187</c:v>
                </c:pt>
                <c:pt idx="9">
                  <c:v>2341</c:v>
                </c:pt>
              </c:numCache>
            </c:numRef>
          </c:val>
        </c:ser>
        <c:ser>
          <c:idx val="1"/>
          <c:order val="1"/>
          <c:tx>
            <c:strRef>
              <c:f>'[西锐底稿.xlsx]Part2.1 '!$G$66</c:f>
              <c:strCache>
                <c:ptCount val="1"/>
                <c:pt idx="0">
                  <c:v>亚太地区</c:v>
                </c:pt>
              </c:strCache>
            </c:strRef>
          </c:tx>
          <c:spPr>
            <a:solidFill>
              <a:srgbClr val="666666"/>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'!$G$67:$G$76</c:f>
              <c:numCache>
                <c:formatCode>General</c:formatCode>
                <c:ptCount val="10"/>
                <c:pt idx="0">
                  <c:v>118</c:v>
                </c:pt>
                <c:pt idx="1">
                  <c:v>135</c:v>
                </c:pt>
                <c:pt idx="2">
                  <c:v>64</c:v>
                </c:pt>
                <c:pt idx="3">
                  <c:v>95</c:v>
                </c:pt>
                <c:pt idx="4">
                  <c:v>114</c:v>
                </c:pt>
                <c:pt idx="5">
                  <c:v>40</c:v>
                </c:pt>
                <c:pt idx="6">
                  <c:v>40</c:v>
                </c:pt>
                <c:pt idx="7">
                  <c:v>44</c:v>
                </c:pt>
                <c:pt idx="8">
                  <c:v>49</c:v>
                </c:pt>
                <c:pt idx="9">
                  <c:v>54</c:v>
                </c:pt>
              </c:numCache>
            </c:numRef>
          </c:val>
        </c:ser>
        <c:ser>
          <c:idx val="2"/>
          <c:order val="2"/>
          <c:tx>
            <c:strRef>
              <c:f>'[西锐底稿.xlsx]Part2.1 '!$H$66</c:f>
              <c:strCache>
                <c:ptCount val="1"/>
                <c:pt idx="0">
                  <c:v>欧洲</c:v>
                </c:pt>
              </c:strCache>
            </c:strRef>
          </c:tx>
          <c:spPr>
            <a:solidFill>
              <a:srgbClr val="E6B9B8"/>
            </a:solidFill>
            <a:ln w="9525" cap="flat" cmpd="sng">
              <a:noFill/>
              <a:prstDash val="solid"/>
            </a:ln>
            <a:effectLst/>
            <a:sp3d contourW="9525"/>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'!$H$67:$H$76</c:f>
              <c:numCache>
                <c:formatCode>General</c:formatCode>
                <c:ptCount val="10"/>
                <c:pt idx="0">
                  <c:v>188</c:v>
                </c:pt>
                <c:pt idx="1">
                  <c:v>194</c:v>
                </c:pt>
                <c:pt idx="2">
                  <c:v>125</c:v>
                </c:pt>
                <c:pt idx="3">
                  <c:v>166</c:v>
                </c:pt>
                <c:pt idx="4">
                  <c:v>237</c:v>
                </c:pt>
                <c:pt idx="5">
                  <c:v>145</c:v>
                </c:pt>
                <c:pt idx="6">
                  <c:v>153</c:v>
                </c:pt>
                <c:pt idx="7">
                  <c:v>165</c:v>
                </c:pt>
                <c:pt idx="8">
                  <c:v>185</c:v>
                </c:pt>
                <c:pt idx="9">
                  <c:v>203</c:v>
                </c:pt>
              </c:numCache>
            </c:numRef>
          </c:val>
        </c:ser>
        <c:ser>
          <c:idx val="3"/>
          <c:order val="3"/>
          <c:tx>
            <c:strRef>
              <c:f>'[西锐底稿.xlsx]Part2.1 '!$I$66</c:f>
              <c:strCache>
                <c:ptCount val="1"/>
                <c:pt idx="0">
                  <c:v>拉丁美洲</c:v>
                </c:pt>
              </c:strCache>
            </c:strRef>
          </c:tx>
          <c:spPr>
            <a:solidFill>
              <a:srgbClr val="E97132">
                <a:lumMod val="75000"/>
              </a:srgbClr>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'!$I$67:$I$76</c:f>
              <c:numCache>
                <c:formatCode>General</c:formatCode>
                <c:ptCount val="10"/>
                <c:pt idx="0">
                  <c:v>309</c:v>
                </c:pt>
                <c:pt idx="1">
                  <c:v>331</c:v>
                </c:pt>
                <c:pt idx="2">
                  <c:v>309</c:v>
                </c:pt>
                <c:pt idx="3">
                  <c:v>355</c:v>
                </c:pt>
                <c:pt idx="4">
                  <c:v>358</c:v>
                </c:pt>
                <c:pt idx="5">
                  <c:v>302</c:v>
                </c:pt>
                <c:pt idx="6">
                  <c:v>310</c:v>
                </c:pt>
                <c:pt idx="7">
                  <c:v>325</c:v>
                </c:pt>
                <c:pt idx="8">
                  <c:v>345</c:v>
                </c:pt>
                <c:pt idx="9">
                  <c:v>368</c:v>
                </c:pt>
              </c:numCache>
            </c:numRef>
          </c:val>
        </c:ser>
        <c:ser>
          <c:idx val="4"/>
          <c:order val="4"/>
          <c:tx>
            <c:strRef>
              <c:f>'[西锐底稿.xlsx]Part2.1 '!$J$66</c:f>
              <c:strCache>
                <c:ptCount val="1"/>
                <c:pt idx="0">
                  <c:v>北美洲</c:v>
                </c:pt>
              </c:strCache>
            </c:strRef>
          </c:tx>
          <c:spPr>
            <a:solidFill>
              <a:srgbClr val="A5A5A5"/>
            </a:solidFill>
            <a:ln>
              <a:noFill/>
            </a:ln>
            <a:effectLst/>
          </c:spPr>
          <c:invertIfNegative val="0"/>
          <c:dLbls>
            <c:delete val="1"/>
          </c:dLbls>
          <c:cat>
            <c:strRef>
              <c:f>'[西锐底稿.xlsx]Part2.1 '!$E$67:$E$76</c:f>
              <c:strCache>
                <c:ptCount val="10"/>
                <c:pt idx="0">
                  <c:v>2018</c:v>
                </c:pt>
                <c:pt idx="1">
                  <c:v>2019</c:v>
                </c:pt>
                <c:pt idx="2">
                  <c:v>2020</c:v>
                </c:pt>
                <c:pt idx="3">
                  <c:v>2021</c:v>
                </c:pt>
                <c:pt idx="4">
                  <c:v>2022</c:v>
                </c:pt>
                <c:pt idx="5">
                  <c:v>2023E</c:v>
                </c:pt>
                <c:pt idx="6">
                  <c:v>2024E</c:v>
                </c:pt>
                <c:pt idx="7">
                  <c:v>2025E</c:v>
                </c:pt>
                <c:pt idx="8">
                  <c:v>2026E</c:v>
                </c:pt>
                <c:pt idx="9">
                  <c:v>2027E</c:v>
                </c:pt>
              </c:strCache>
            </c:strRef>
          </c:cat>
          <c:val>
            <c:numRef>
              <c:f>'[西锐底稿.xlsx]Part2.1 '!$J$67:$J$76</c:f>
              <c:numCache>
                <c:formatCode>General</c:formatCode>
                <c:ptCount val="10"/>
                <c:pt idx="0">
                  <c:v>371</c:v>
                </c:pt>
                <c:pt idx="1">
                  <c:v>311</c:v>
                </c:pt>
                <c:pt idx="2">
                  <c:v>344</c:v>
                </c:pt>
                <c:pt idx="3">
                  <c:v>317</c:v>
                </c:pt>
                <c:pt idx="4">
                  <c:v>239</c:v>
                </c:pt>
                <c:pt idx="5">
                  <c:v>432</c:v>
                </c:pt>
                <c:pt idx="6">
                  <c:v>456</c:v>
                </c:pt>
                <c:pt idx="7">
                  <c:v>481</c:v>
                </c:pt>
                <c:pt idx="8">
                  <c:v>515</c:v>
                </c:pt>
                <c:pt idx="9">
                  <c:v>559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0379362670713202"/>
          <c:y val="0.0233429843055494"/>
          <c:w val="0.985204734723252"/>
          <c:h val="0.0856140791166044"/>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[西锐底稿.xlsx]Part2.2!$B$2</c:f>
              <c:strCache>
                <c:ptCount val="1"/>
                <c:pt idx="0">
                  <c:v>交付量</c:v>
                </c:pt>
              </c:strCache>
            </c:strRef>
          </c:tx>
          <c:spPr>
            <a:solidFill>
              <a:srgbClr val="002060"/>
            </a:solidFill>
            <a:ln>
              <a:noFill/>
            </a:ln>
            <a:effectLst/>
          </c:spPr>
          <c:invertIfNegative val="0"/>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[西锐底稿.xlsx]Part2.2!$B$3:$B$12</c:f>
              <c:numCache>
                <c:formatCode>General</c:formatCode>
                <c:ptCount val="10"/>
                <c:pt idx="0">
                  <c:v>1894</c:v>
                </c:pt>
                <c:pt idx="1">
                  <c:v>1806</c:v>
                </c:pt>
                <c:pt idx="2">
                  <c:v>1927</c:v>
                </c:pt>
                <c:pt idx="3">
                  <c:v>2124</c:v>
                </c:pt>
                <c:pt idx="4">
                  <c:v>2215</c:v>
                </c:pt>
                <c:pt idx="5">
                  <c:v>2341</c:v>
                </c:pt>
                <c:pt idx="6">
                  <c:v>2515</c:v>
                </c:pt>
                <c:pt idx="7">
                  <c:v>2711</c:v>
                </c:pt>
                <c:pt idx="8">
                  <c:v>2936</c:v>
                </c:pt>
                <c:pt idx="9">
                  <c:v>3185</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[西锐底稿.xlsx]Part2.2!$C$2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[西锐底稿.xlsx]Part2.2!$A$3:$A$12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[西锐底稿.xlsx]Part2.2!$C$3:$C$12</c:f>
              <c:numCache>
                <c:formatCode>General</c:formatCode>
                <c:ptCount val="10"/>
                <c:pt idx="1" c:formatCode="0.00%">
                  <c:v>-0.0464625131995776</c:v>
                </c:pt>
                <c:pt idx="2" c:formatCode="0.00%">
                  <c:v>0.066998892580288</c:v>
                </c:pt>
                <c:pt idx="3" c:formatCode="0.00%">
                  <c:v>0.102231447846393</c:v>
                </c:pt>
                <c:pt idx="4" c:formatCode="0.00%">
                  <c:v>0.042843691148776</c:v>
                </c:pt>
                <c:pt idx="5" c:formatCode="0.00%">
                  <c:v>0.056884875846501</c:v>
                </c:pt>
                <c:pt idx="6" c:formatCode="0.00%">
                  <c:v>0.0743272105937633</c:v>
                </c:pt>
                <c:pt idx="7" c:formatCode="0.00%">
                  <c:v>0.0779324055666004</c:v>
                </c:pt>
                <c:pt idx="8" c:formatCode="0.00%">
                  <c:v>0.082995204721505</c:v>
                </c:pt>
                <c:pt idx="9" c:formatCode="0.00%">
                  <c:v>0.0848092643051772</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[西锐底稿.xlsx]Part2.2!$F$2</c:f>
              <c:strCache>
                <c:ptCount val="1"/>
                <c:pt idx="0">
                  <c:v>交付价值（十亿美元）</c:v>
                </c:pt>
              </c:strCache>
            </c:strRef>
          </c:tx>
          <c:spPr>
            <a:solidFill>
              <a:srgbClr val="002060"/>
            </a:solidFill>
            <a:ln>
              <a:noFill/>
            </a:ln>
            <a:effectLst/>
          </c:spPr>
          <c:invertIfNegative val="0"/>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[西锐底稿.xlsx]Part2.2!$F$3:$F$12</c:f>
              <c:numCache>
                <c:formatCode>General</c:formatCode>
                <c:ptCount val="10"/>
                <c:pt idx="0">
                  <c:v>2.7</c:v>
                </c:pt>
                <c:pt idx="1">
                  <c:v>2.5</c:v>
                </c:pt>
                <c:pt idx="2">
                  <c:v>2.9</c:v>
                </c:pt>
                <c:pt idx="3">
                  <c:v>3.2</c:v>
                </c:pt>
                <c:pt idx="4">
                  <c:v>3.7</c:v>
                </c:pt>
                <c:pt idx="5">
                  <c:v>4.3</c:v>
                </c:pt>
                <c:pt idx="6">
                  <c:v>4.7</c:v>
                </c:pt>
                <c:pt idx="7">
                  <c:v>5.1</c:v>
                </c:pt>
                <c:pt idx="8">
                  <c:v>5.7</c:v>
                </c:pt>
                <c:pt idx="9">
                  <c:v>6.4</c:v>
                </c:pt>
              </c:numCache>
            </c:numRef>
          </c:val>
        </c:ser>
        <c:dLbls>
          <c:showLegendKey val="0"/>
          <c:showVal val="0"/>
          <c:showCatName val="0"/>
          <c:showSerName val="0"/>
          <c:showPercent val="0"/>
          <c:showBubbleSize val="0"/>
        </c:dLbls>
        <c:gapWidth val="150"/>
        <c:axId val="1021593488"/>
        <c:axId val="1"/>
      </c:barChart>
      <c:lineChart>
        <c:grouping val="standard"/>
        <c:varyColors val="0"/>
        <c:ser>
          <c:idx val="1"/>
          <c:order val="1"/>
          <c:tx>
            <c:strRef>
              <c:f>[西锐底稿.xlsx]Part2.2!$G$2</c:f>
              <c:strCache>
                <c:ptCount val="1"/>
                <c:pt idx="0">
                  <c:v>yoy</c:v>
                </c:pt>
              </c:strCache>
            </c:strRef>
          </c:tx>
          <c:spPr>
            <a:ln w="19050" cap="rnd" cmpd="sng" algn="ctr">
              <a:solidFill>
                <a:srgbClr val="A5A5A5"/>
              </a:solidFill>
              <a:prstDash val="solid"/>
              <a:round/>
            </a:ln>
            <a:effectLst/>
          </c:spPr>
          <c:marker>
            <c:symbol val="none"/>
          </c:marker>
          <c:dLbls>
            <c:delete val="1"/>
          </c:dLbls>
          <c:cat>
            <c:strRef>
              <c:f>[西锐底稿.xlsx]Part2.2!$E$3:$E$12</c:f>
              <c:strCache>
                <c:ptCount val="10"/>
                <c:pt idx="0">
                  <c:v>2019</c:v>
                </c:pt>
                <c:pt idx="1">
                  <c:v>2020</c:v>
                </c:pt>
                <c:pt idx="2">
                  <c:v>2021</c:v>
                </c:pt>
                <c:pt idx="3">
                  <c:v>2022</c:v>
                </c:pt>
                <c:pt idx="4">
                  <c:v>2023</c:v>
                </c:pt>
                <c:pt idx="5">
                  <c:v>2024E</c:v>
                </c:pt>
                <c:pt idx="6">
                  <c:v>2025E</c:v>
                </c:pt>
                <c:pt idx="7">
                  <c:v>2026E</c:v>
                </c:pt>
                <c:pt idx="8">
                  <c:v>2027E</c:v>
                </c:pt>
                <c:pt idx="9">
                  <c:v>2028E</c:v>
                </c:pt>
              </c:strCache>
            </c:strRef>
          </c:cat>
          <c:val>
            <c:numRef>
              <c:f>[西锐底稿.xlsx]Part2.2!$G$3:$G$12</c:f>
              <c:numCache>
                <c:formatCode>General</c:formatCode>
                <c:ptCount val="10"/>
                <c:pt idx="1" c:formatCode="0.00%">
                  <c:v>-0.0740740740740742</c:v>
                </c:pt>
                <c:pt idx="2" c:formatCode="0.00%">
                  <c:v>0.16</c:v>
                </c:pt>
                <c:pt idx="3" c:formatCode="0.00%">
                  <c:v>0.103448275862069</c:v>
                </c:pt>
                <c:pt idx="4" c:formatCode="0.00%">
                  <c:v>0.15625</c:v>
                </c:pt>
                <c:pt idx="5" c:formatCode="0.00%">
                  <c:v>0.162162162162162</c:v>
                </c:pt>
                <c:pt idx="6" c:formatCode="0.00%">
                  <c:v>0.0930232558139537</c:v>
                </c:pt>
                <c:pt idx="7" c:formatCode="0.00%">
                  <c:v>0.0851063829787233</c:v>
                </c:pt>
                <c:pt idx="8" c:formatCode="0.00%">
                  <c:v>0.117647058823529</c:v>
                </c:pt>
                <c:pt idx="9" c:formatCode="0.00%">
                  <c:v>0.12280701754386</c:v>
                </c:pt>
              </c:numCache>
            </c:numRef>
          </c:val>
          <c:smooth val="0"/>
        </c:ser>
        <c:dLbls>
          <c:showLegendKey val="0"/>
          <c:showVal val="0"/>
          <c:showCatName val="0"/>
          <c:showSerName val="0"/>
          <c:showPercent val="0"/>
          <c:showBubbleSize val="0"/>
        </c:dLbls>
        <c:marker val="0"/>
        <c:smooth val="0"/>
        <c:axId val="259816367"/>
        <c:axId val="259820207"/>
      </c:line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catAx>
        <c:axId val="259816367"/>
        <c:scaling>
          <c:orientation val="minMax"/>
        </c:scaling>
        <c:delete val="1"/>
        <c:axPos val="b"/>
        <c:numFmt formatCode="General" sourceLinked="1"/>
        <c:majorTickMark val="out"/>
        <c:minorTickMark val="none"/>
        <c:tickLblPos val="nextTo"/>
        <c:txPr>
          <a:bodyPr rot="-60000000" spcFirstLastPara="0"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20207"/>
        <c:crosses val="autoZero"/>
        <c:auto val="1"/>
        <c:lblAlgn val="ctr"/>
        <c:lblOffset val="100"/>
        <c:noMultiLvlLbl val="0"/>
      </c:catAx>
      <c:valAx>
        <c:axId val="259820207"/>
        <c:scaling>
          <c:orientation val="minMax"/>
        </c:scaling>
        <c:delete val="0"/>
        <c:axPos val="r"/>
        <c:numFmt formatCode="0%" sourceLinked="0"/>
        <c:majorTickMark val="out"/>
        <c:minorTickMark val="none"/>
        <c:tickLblPos val="nextTo"/>
        <c:spPr>
          <a:noFill/>
          <a:ln w="6350" cap="flat" cmpd="sng" algn="ctr">
            <a:solidFill>
              <a:schemeClr val="tx1">
                <a:tint val="75000"/>
              </a:schemeClr>
            </a:solidFill>
            <a:prstDash val="solid"/>
            <a:round/>
          </a:ln>
          <a:effectLst/>
        </c:spPr>
        <c:txPr>
          <a:bodyPr rot="-600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259816367"/>
        <c:crosses val="max"/>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[西锐底稿.xlsx]Part2.2!$B$19</c:f>
              <c:strCache>
                <c:ptCount val="1"/>
                <c:pt idx="0">
                  <c:v>平均售卖价格（百万美元）</c:v>
                </c:pt>
              </c:strCache>
            </c:strRef>
          </c:tx>
          <c:spPr>
            <a:solidFill>
              <a:srgbClr val="002060"/>
            </a:solidFill>
            <a:ln>
              <a:noFill/>
            </a:ln>
            <a:effectLst/>
          </c:spPr>
          <c:invertIfNegative val="0"/>
          <c:dLbls>
            <c:delete val="1"/>
          </c:dLbls>
          <c:cat>
            <c:numRef>
              <c:f>[西锐底稿.xlsx]Part2.2!$A$20:$A$25</c:f>
              <c:numCache>
                <c:formatCode>General</c:formatCode>
                <c:ptCount val="6"/>
                <c:pt idx="0">
                  <c:v>2018</c:v>
                </c:pt>
                <c:pt idx="1">
                  <c:v>2019</c:v>
                </c:pt>
                <c:pt idx="2">
                  <c:v>2020</c:v>
                </c:pt>
                <c:pt idx="3">
                  <c:v>2021</c:v>
                </c:pt>
                <c:pt idx="4">
                  <c:v>2022</c:v>
                </c:pt>
                <c:pt idx="5">
                  <c:v>2023</c:v>
                </c:pt>
              </c:numCache>
            </c:numRef>
          </c:cat>
          <c:val>
            <c:numRef>
              <c:f>[西锐底稿.xlsx]Part2.2!$B$20:$B$25</c:f>
              <c:numCache>
                <c:formatCode>General</c:formatCode>
                <c:ptCount val="6"/>
                <c:pt idx="0">
                  <c:v>1.43</c:v>
                </c:pt>
                <c:pt idx="1">
                  <c:v>1.43</c:v>
                </c:pt>
                <c:pt idx="2">
                  <c:v>1.38</c:v>
                </c:pt>
                <c:pt idx="3">
                  <c:v>1.5</c:v>
                </c:pt>
                <c:pt idx="4">
                  <c:v>1.51</c:v>
                </c:pt>
                <c:pt idx="5">
                  <c:v>1.67</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min val="1.2"/>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[西锐底稿.xlsx]活塞式飞机市场份额图!$B$205</c:f>
              <c:strCache>
                <c:ptCount val="1"/>
                <c:pt idx="0">
                  <c:v>德事隆航空（比奇飞机）</c:v>
                </c:pt>
              </c:strCache>
            </c:strRef>
          </c:tx>
          <c:spPr>
            <a:solidFill>
              <a:srgbClr val="C00000"/>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[西锐底稿.xlsx]活塞式飞机市场份额图!$C$205:$AA$205</c:f>
              <c:numCache>
                <c:formatCode>General</c:formatCode>
                <c:ptCount val="25"/>
                <c:pt idx="0">
                  <c:v>153</c:v>
                </c:pt>
                <c:pt idx="1">
                  <c:v>136</c:v>
                </c:pt>
                <c:pt idx="2">
                  <c:v>83</c:v>
                </c:pt>
                <c:pt idx="3">
                  <c:v>82</c:v>
                </c:pt>
                <c:pt idx="4">
                  <c:v>93</c:v>
                </c:pt>
                <c:pt idx="5">
                  <c:v>99</c:v>
                </c:pt>
                <c:pt idx="6">
                  <c:v>118</c:v>
                </c:pt>
                <c:pt idx="7">
                  <c:v>111</c:v>
                </c:pt>
                <c:pt idx="8">
                  <c:v>103</c:v>
                </c:pt>
                <c:pt idx="9">
                  <c:v>56</c:v>
                </c:pt>
                <c:pt idx="10">
                  <c:v>51</c:v>
                </c:pt>
                <c:pt idx="11">
                  <c:v>54</c:v>
                </c:pt>
                <c:pt idx="12">
                  <c:v>36</c:v>
                </c:pt>
                <c:pt idx="13">
                  <c:v>70</c:v>
                </c:pt>
                <c:pt idx="14">
                  <c:v>72</c:v>
                </c:pt>
                <c:pt idx="15">
                  <c:v>41</c:v>
                </c:pt>
                <c:pt idx="16">
                  <c:v>45</c:v>
                </c:pt>
                <c:pt idx="17">
                  <c:v>36</c:v>
                </c:pt>
                <c:pt idx="18">
                  <c:v>34</c:v>
                </c:pt>
                <c:pt idx="19">
                  <c:v>22</c:v>
                </c:pt>
                <c:pt idx="20">
                  <c:v>20</c:v>
                </c:pt>
                <c:pt idx="21">
                  <c:v>0</c:v>
                </c:pt>
                <c:pt idx="22">
                  <c:v>3</c:v>
                </c:pt>
                <c:pt idx="23">
                  <c:v>10</c:v>
                </c:pt>
                <c:pt idx="24">
                  <c:v>7</c:v>
                </c:pt>
              </c:numCache>
            </c:numRef>
          </c:val>
        </c:ser>
        <c:ser>
          <c:idx val="1"/>
          <c:order val="1"/>
          <c:tx>
            <c:strRef>
              <c:f>[西锐底稿.xlsx]活塞式飞机市场份额图!$B$206</c:f>
              <c:strCache>
                <c:ptCount val="1"/>
                <c:pt idx="0">
                  <c:v>德事隆航空（塞斯纳飞机）</c:v>
                </c:pt>
              </c:strCache>
            </c:strRef>
          </c:tx>
          <c:spPr>
            <a:solidFill>
              <a:srgbClr val="666666"/>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[西锐底稿.xlsx]活塞式飞机市场份额图!$C$206:$AA$206</c:f>
              <c:numCache>
                <c:formatCode>General</c:formatCode>
                <c:ptCount val="25"/>
                <c:pt idx="0">
                  <c:v>912</c:v>
                </c:pt>
                <c:pt idx="1">
                  <c:v>821</c:v>
                </c:pt>
                <c:pt idx="2">
                  <c:v>559</c:v>
                </c:pt>
                <c:pt idx="3">
                  <c:v>588</c:v>
                </c:pt>
                <c:pt idx="4">
                  <c:v>654</c:v>
                </c:pt>
                <c:pt idx="5">
                  <c:v>822</c:v>
                </c:pt>
                <c:pt idx="6">
                  <c:v>865</c:v>
                </c:pt>
                <c:pt idx="7">
                  <c:v>807</c:v>
                </c:pt>
                <c:pt idx="8">
                  <c:v>733</c:v>
                </c:pt>
                <c:pt idx="9">
                  <c:v>355</c:v>
                </c:pt>
                <c:pt idx="10">
                  <c:v>261</c:v>
                </c:pt>
                <c:pt idx="11">
                  <c:v>413</c:v>
                </c:pt>
                <c:pt idx="12">
                  <c:v>283</c:v>
                </c:pt>
                <c:pt idx="13">
                  <c:v>206</c:v>
                </c:pt>
                <c:pt idx="14">
                  <c:v>220</c:v>
                </c:pt>
                <c:pt idx="15">
                  <c:v>271</c:v>
                </c:pt>
                <c:pt idx="16">
                  <c:v>217</c:v>
                </c:pt>
                <c:pt idx="17">
                  <c:v>238</c:v>
                </c:pt>
                <c:pt idx="18">
                  <c:v>193</c:v>
                </c:pt>
                <c:pt idx="19">
                  <c:v>196</c:v>
                </c:pt>
                <c:pt idx="20">
                  <c:v>294</c:v>
                </c:pt>
                <c:pt idx="21">
                  <c:v>254</c:v>
                </c:pt>
                <c:pt idx="22">
                  <c:v>241</c:v>
                </c:pt>
                <c:pt idx="23">
                  <c:v>287</c:v>
                </c:pt>
                <c:pt idx="24">
                  <c:v>274</c:v>
                </c:pt>
              </c:numCache>
            </c:numRef>
          </c:val>
        </c:ser>
        <c:ser>
          <c:idx val="2"/>
          <c:order val="2"/>
          <c:tx>
            <c:strRef>
              <c:f>[西锐底稿.xlsx]活塞式飞机市场份额图!$B$207</c:f>
              <c:strCache>
                <c:ptCount val="1"/>
                <c:pt idx="0">
                  <c:v>泰克南飞机</c:v>
                </c:pt>
              </c:strCache>
            </c:strRef>
          </c:tx>
          <c:spPr>
            <a:solidFill>
              <a:srgbClr val="E6B9B8"/>
            </a:solidFill>
            <a:ln w="9525" cap="flat" cmpd="sng">
              <a:noFill/>
              <a:prstDash val="solid"/>
            </a:ln>
            <a:effectLst/>
            <a:sp3d contourW="9525"/>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[西锐底稿.xlsx]活塞式飞机市场份额图!$C$207:$AA$207</c:f>
              <c:numCache>
                <c:formatCode>General</c:formatCode>
                <c:ptCount val="25"/>
                <c:pt idx="13">
                  <c:v>197</c:v>
                </c:pt>
                <c:pt idx="14">
                  <c:v>190</c:v>
                </c:pt>
                <c:pt idx="15">
                  <c:v>191</c:v>
                </c:pt>
                <c:pt idx="16">
                  <c:v>191</c:v>
                </c:pt>
                <c:pt idx="17">
                  <c:v>171</c:v>
                </c:pt>
                <c:pt idx="18">
                  <c:v>180</c:v>
                </c:pt>
                <c:pt idx="19">
                  <c:v>205</c:v>
                </c:pt>
                <c:pt idx="20">
                  <c:v>154</c:v>
                </c:pt>
                <c:pt idx="21">
                  <c:v>203</c:v>
                </c:pt>
                <c:pt idx="22">
                  <c:v>209</c:v>
                </c:pt>
                <c:pt idx="23">
                  <c:v>244</c:v>
                </c:pt>
                <c:pt idx="24">
                  <c:v>283</c:v>
                </c:pt>
              </c:numCache>
            </c:numRef>
          </c:val>
        </c:ser>
        <c:ser>
          <c:idx val="3"/>
          <c:order val="3"/>
          <c:tx>
            <c:strRef>
              <c:f>[西锐底稿.xlsx]活塞式飞机市场份额图!$B$208</c:f>
              <c:strCache>
                <c:ptCount val="1"/>
                <c:pt idx="0">
                  <c:v>德事隆航空旗下 Pipistrel 飞机</c:v>
                </c:pt>
              </c:strCache>
            </c:strRef>
          </c:tx>
          <c:spPr>
            <a:solidFill>
              <a:srgbClr val="999999"/>
            </a:solidFill>
            <a:ln>
              <a:noFill/>
            </a:ln>
            <a:effectLst/>
          </c:spPr>
          <c:invertIfNegative val="0"/>
          <c:dLbls>
            <c:spPr>
              <a:noFill/>
              <a:ln>
                <a:noFill/>
              </a:ln>
              <a:effectLst/>
            </c:spPr>
            <c:txPr>
              <a:bodyPr rot="0" spcFirstLastPara="1" vertOverflow="ellipsis" vert="horz" wrap="square" lIns="38100" tIns="19050" rIns="38100" bIns="19050" anchor="ctr" anchorCtr="1"/>
              <a:lstStyle/>
              <a:p>
                <a:pPr>
                  <a:defRPr lang="zh-CN" sz="700" b="0" i="0" u="none" strike="noStrike" kern="1200" baseline="0">
                    <a:solidFill>
                      <a:schemeClr val="tx1">
                        <a:lumMod val="75000"/>
                        <a:lumOff val="25000"/>
                      </a:schemeClr>
                    </a:solidFill>
                    <a:latin typeface="+mn-lt"/>
                    <a:ea typeface="+mn-ea"/>
                    <a:cs typeface="+mn-cs"/>
                  </a:defRPr>
                </a:pPr>
              </a:p>
            </c:txPr>
            <c:dLblPos val="ctr"/>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[西锐底稿.xlsx]活塞式飞机市场份额图!$C$208:$AA$208</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0</c:v>
                </c:pt>
                <c:pt idx="17">
                  <c:v>19</c:v>
                </c:pt>
                <c:pt idx="18">
                  <c:v>22</c:v>
                </c:pt>
                <c:pt idx="19">
                  <c:v>24</c:v>
                </c:pt>
                <c:pt idx="20">
                  <c:v>30</c:v>
                </c:pt>
                <c:pt idx="21">
                  <c:v>74</c:v>
                </c:pt>
                <c:pt idx="22">
                  <c:v>66</c:v>
                </c:pt>
                <c:pt idx="23">
                  <c:v>112</c:v>
                </c:pt>
                <c:pt idx="24">
                  <c:v>91</c:v>
                </c:pt>
              </c:numCache>
            </c:numRef>
          </c:val>
        </c:ser>
        <c:ser>
          <c:idx val="4"/>
          <c:order val="4"/>
          <c:tx>
            <c:strRef>
              <c:f>[西锐底稿.xlsx]活塞式飞机市场份额图!$B$209</c:f>
              <c:strCache>
                <c:ptCount val="1"/>
                <c:pt idx="0">
                  <c:v>派珀飞机公司</c:v>
                </c:pt>
              </c:strCache>
            </c:strRef>
          </c:tx>
          <c:spPr>
            <a:solidFill>
              <a:srgbClr val="996633"/>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[西锐底稿.xlsx]活塞式飞机市场份额图!$C$209:$AA$209</c:f>
              <c:numCache>
                <c:formatCode>General</c:formatCode>
                <c:ptCount val="25"/>
                <c:pt idx="0">
                  <c:v>377</c:v>
                </c:pt>
                <c:pt idx="1">
                  <c:v>343</c:v>
                </c:pt>
                <c:pt idx="2">
                  <c:v>265</c:v>
                </c:pt>
                <c:pt idx="3">
                  <c:v>205</c:v>
                </c:pt>
                <c:pt idx="4">
                  <c:v>163</c:v>
                </c:pt>
                <c:pt idx="5">
                  <c:v>193</c:v>
                </c:pt>
                <c:pt idx="6">
                  <c:v>189</c:v>
                </c:pt>
                <c:pt idx="7">
                  <c:v>168</c:v>
                </c:pt>
                <c:pt idx="8">
                  <c:v>216</c:v>
                </c:pt>
                <c:pt idx="9">
                  <c:v>61</c:v>
                </c:pt>
                <c:pt idx="10">
                  <c:v>135</c:v>
                </c:pt>
                <c:pt idx="11">
                  <c:v>104</c:v>
                </c:pt>
                <c:pt idx="12">
                  <c:v>126</c:v>
                </c:pt>
                <c:pt idx="13">
                  <c:v>154</c:v>
                </c:pt>
                <c:pt idx="14">
                  <c:v>136</c:v>
                </c:pt>
                <c:pt idx="15">
                  <c:v>111</c:v>
                </c:pt>
                <c:pt idx="16">
                  <c:v>93</c:v>
                </c:pt>
                <c:pt idx="17">
                  <c:v>108</c:v>
                </c:pt>
                <c:pt idx="18">
                  <c:v>173</c:v>
                </c:pt>
                <c:pt idx="19">
                  <c:v>246</c:v>
                </c:pt>
                <c:pt idx="20">
                  <c:v>201</c:v>
                </c:pt>
                <c:pt idx="21">
                  <c:v>161</c:v>
                </c:pt>
                <c:pt idx="22">
                  <c:v>186</c:v>
                </c:pt>
                <c:pt idx="23">
                  <c:v>185</c:v>
                </c:pt>
                <c:pt idx="24">
                  <c:v>229</c:v>
                </c:pt>
              </c:numCache>
            </c:numRef>
          </c:val>
        </c:ser>
        <c:ser>
          <c:idx val="5"/>
          <c:order val="5"/>
          <c:tx>
            <c:strRef>
              <c:f>[西锐底稿.xlsx]活塞式飞机市场份额图!$B$210</c:f>
              <c:strCache>
                <c:ptCount val="1"/>
                <c:pt idx="0">
                  <c:v>穆尼国际公司</c:v>
                </c:pt>
              </c:strCache>
            </c:strRef>
          </c:tx>
          <c:spPr>
            <a:solidFill>
              <a:srgbClr val="E7D6B5"/>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[西锐底稿.xlsx]活塞式飞机市场份额图!$C$210:$AA$210</c:f>
              <c:numCache>
                <c:formatCode>General</c:formatCode>
                <c:ptCount val="25"/>
                <c:pt idx="0">
                  <c:v>100</c:v>
                </c:pt>
                <c:pt idx="1">
                  <c:v>29</c:v>
                </c:pt>
                <c:pt idx="2">
                  <c:v>10</c:v>
                </c:pt>
                <c:pt idx="3">
                  <c:v>36</c:v>
                </c:pt>
                <c:pt idx="4">
                  <c:v>37</c:v>
                </c:pt>
                <c:pt idx="5">
                  <c:v>85</c:v>
                </c:pt>
                <c:pt idx="6">
                  <c:v>75</c:v>
                </c:pt>
                <c:pt idx="7">
                  <c:v>79</c:v>
                </c:pt>
                <c:pt idx="8">
                  <c:v>65</c:v>
                </c:pt>
                <c:pt idx="9">
                  <c:v>19</c:v>
                </c:pt>
                <c:pt idx="10">
                  <c:v>2</c:v>
                </c:pt>
                <c:pt idx="11">
                  <c:v>0</c:v>
                </c:pt>
                <c:pt idx="12">
                  <c:v>0</c:v>
                </c:pt>
                <c:pt idx="13">
                  <c:v>0</c:v>
                </c:pt>
                <c:pt idx="14">
                  <c:v>1</c:v>
                </c:pt>
                <c:pt idx="15">
                  <c:v>11</c:v>
                </c:pt>
                <c:pt idx="16">
                  <c:v>7</c:v>
                </c:pt>
                <c:pt idx="17">
                  <c:v>7</c:v>
                </c:pt>
                <c:pt idx="18">
                  <c:v>14</c:v>
                </c:pt>
                <c:pt idx="19">
                  <c:v>9</c:v>
                </c:pt>
                <c:pt idx="20">
                  <c:v>0</c:v>
                </c:pt>
                <c:pt idx="21">
                  <c:v>0</c:v>
                </c:pt>
                <c:pt idx="22">
                  <c:v>0</c:v>
                </c:pt>
                <c:pt idx="23">
                  <c:v>0</c:v>
                </c:pt>
                <c:pt idx="24">
                  <c:v>0</c:v>
                </c:pt>
              </c:numCache>
            </c:numRef>
          </c:val>
        </c:ser>
        <c:ser>
          <c:idx val="6"/>
          <c:order val="6"/>
          <c:tx>
            <c:strRef>
              <c:f>[西锐底稿.xlsx]活塞式飞机市场份额图!$B$211</c:f>
              <c:strCache>
                <c:ptCount val="1"/>
                <c:pt idx="0">
                  <c:v>钻石飞机</c:v>
                </c:pt>
              </c:strCache>
            </c:strRef>
          </c:tx>
          <c:spPr>
            <a:solidFill>
              <a:schemeClr val="accent4">
                <a:lumMod val="75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[西锐底稿.xlsx]活塞式飞机市场份额图!$C$211:$AA$211</c:f>
              <c:numCache>
                <c:formatCode>General</c:formatCode>
                <c:ptCount val="25"/>
                <c:pt idx="0">
                  <c:v>0</c:v>
                </c:pt>
                <c:pt idx="1">
                  <c:v>0</c:v>
                </c:pt>
                <c:pt idx="2">
                  <c:v>0</c:v>
                </c:pt>
                <c:pt idx="3">
                  <c:v>228</c:v>
                </c:pt>
                <c:pt idx="4">
                  <c:v>261</c:v>
                </c:pt>
                <c:pt idx="5">
                  <c:v>329</c:v>
                </c:pt>
                <c:pt idx="6">
                  <c:v>438</c:v>
                </c:pt>
                <c:pt idx="7">
                  <c:v>471</c:v>
                </c:pt>
                <c:pt idx="8">
                  <c:v>308</c:v>
                </c:pt>
                <c:pt idx="9">
                  <c:v>163</c:v>
                </c:pt>
                <c:pt idx="10">
                  <c:v>130</c:v>
                </c:pt>
                <c:pt idx="11">
                  <c:v>185</c:v>
                </c:pt>
                <c:pt idx="12">
                  <c:v>156</c:v>
                </c:pt>
                <c:pt idx="13">
                  <c:v>139</c:v>
                </c:pt>
                <c:pt idx="14">
                  <c:v>202</c:v>
                </c:pt>
                <c:pt idx="15">
                  <c:v>144</c:v>
                </c:pt>
                <c:pt idx="16">
                  <c:v>132</c:v>
                </c:pt>
                <c:pt idx="17">
                  <c:v>137</c:v>
                </c:pt>
                <c:pt idx="18">
                  <c:v>134</c:v>
                </c:pt>
                <c:pt idx="19">
                  <c:v>233</c:v>
                </c:pt>
                <c:pt idx="20">
                  <c:v>239</c:v>
                </c:pt>
                <c:pt idx="21">
                  <c:v>240</c:v>
                </c:pt>
                <c:pt idx="22">
                  <c:v>239</c:v>
                </c:pt>
                <c:pt idx="23">
                  <c:v>273</c:v>
                </c:pt>
                <c:pt idx="24">
                  <c:v>252</c:v>
                </c:pt>
              </c:numCache>
            </c:numRef>
          </c:val>
        </c:ser>
        <c:ser>
          <c:idx val="7"/>
          <c:order val="7"/>
          <c:tx>
            <c:strRef>
              <c:f>[西锐底稿.xlsx]活塞式飞机市场份额图!$B$212</c:f>
              <c:strCache>
                <c:ptCount val="1"/>
                <c:pt idx="0">
                  <c:v>立方工匠飞机公司</c:v>
                </c:pt>
              </c:strCache>
            </c:strRef>
          </c:tx>
          <c:spPr>
            <a:solidFill>
              <a:schemeClr val="accent3">
                <a:lumMod val="60000"/>
                <a:lumOff val="40000"/>
              </a:schemeClr>
            </a:solidFill>
            <a:ln>
              <a:no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[西锐底稿.xlsx]活塞式飞机市场份额图!$C$212:$AA$212</c:f>
              <c:numCache>
                <c:formatCode>General</c:formatCode>
                <c:ptCount val="25"/>
                <c:pt idx="0">
                  <c:v>0</c:v>
                </c:pt>
                <c:pt idx="1">
                  <c:v>0</c:v>
                </c:pt>
                <c:pt idx="2">
                  <c:v>0</c:v>
                </c:pt>
                <c:pt idx="3">
                  <c:v>0</c:v>
                </c:pt>
                <c:pt idx="11">
                  <c:v>47</c:v>
                </c:pt>
                <c:pt idx="12">
                  <c:v>58</c:v>
                </c:pt>
                <c:pt idx="13">
                  <c:v>63</c:v>
                </c:pt>
                <c:pt idx="14">
                  <c:v>60</c:v>
                </c:pt>
                <c:pt idx="15">
                  <c:v>52</c:v>
                </c:pt>
                <c:pt idx="16">
                  <c:v>34</c:v>
                </c:pt>
                <c:pt idx="17">
                  <c:v>27</c:v>
                </c:pt>
                <c:pt idx="18">
                  <c:v>19</c:v>
                </c:pt>
                <c:pt idx="19">
                  <c:v>16</c:v>
                </c:pt>
                <c:pt idx="20">
                  <c:v>9</c:v>
                </c:pt>
                <c:pt idx="21">
                  <c:v>50</c:v>
                </c:pt>
                <c:pt idx="22">
                  <c:v>67</c:v>
                </c:pt>
                <c:pt idx="23">
                  <c:v>69</c:v>
                </c:pt>
                <c:pt idx="24">
                  <c:v>87</c:v>
                </c:pt>
              </c:numCache>
            </c:numRef>
          </c:val>
        </c:ser>
        <c:ser>
          <c:idx val="8"/>
          <c:order val="8"/>
          <c:tx>
            <c:strRef>
              <c:f>[西锐底稿.xlsx]活塞式飞机市场份额图!$B$213</c:f>
              <c:strCache>
                <c:ptCount val="1"/>
                <c:pt idx="0">
                  <c:v>哥伦比亚飞机（原兰凯尔 / Lancair）</c:v>
                </c:pt>
              </c:strCache>
            </c:strRef>
          </c:tx>
          <c:spPr>
            <a:solidFill>
              <a:schemeClr val="accent3">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[西锐底稿.xlsx]活塞式飞机市场份额图!$C$213:$AA$213</c:f>
              <c:numCache>
                <c:formatCode>General</c:formatCode>
                <c:ptCount val="25"/>
                <c:pt idx="0">
                  <c:v>5</c:v>
                </c:pt>
                <c:pt idx="1">
                  <c:v>27</c:v>
                </c:pt>
                <c:pt idx="2">
                  <c:v>24</c:v>
                </c:pt>
                <c:pt idx="3">
                  <c:v>51</c:v>
                </c:pt>
                <c:pt idx="4">
                  <c:v>78</c:v>
                </c:pt>
                <c:pt idx="5">
                  <c:v>114</c:v>
                </c:pt>
                <c:pt idx="6">
                  <c:v>185</c:v>
                </c:pt>
                <c:pt idx="7">
                  <c:v>152</c:v>
                </c:pt>
                <c:pt idx="8">
                  <c:v>0</c:v>
                </c:pt>
                <c:pt idx="9">
                  <c:v>0</c:v>
                </c:pt>
                <c:pt idx="10">
                  <c:v>0</c:v>
                </c:pt>
                <c:pt idx="11">
                  <c:v>0</c:v>
                </c:pt>
                <c:pt idx="12">
                  <c:v>0</c:v>
                </c:pt>
                <c:pt idx="13">
                  <c:v>0</c:v>
                </c:pt>
                <c:pt idx="14">
                  <c:v>0</c:v>
                </c:pt>
                <c:pt idx="15">
                  <c:v>0</c:v>
                </c:pt>
                <c:pt idx="16">
                  <c:v>0</c:v>
                </c:pt>
                <c:pt idx="17">
                  <c:v>0</c:v>
                </c:pt>
                <c:pt idx="18">
                  <c:v>0</c:v>
                </c:pt>
                <c:pt idx="19">
                  <c:v>0</c:v>
                </c:pt>
                <c:pt idx="20">
                  <c:v>0</c:v>
                </c:pt>
                <c:pt idx="21">
                  <c:v>0</c:v>
                </c:pt>
                <c:pt idx="22">
                  <c:v>0</c:v>
                </c:pt>
                <c:pt idx="23">
                  <c:v>0</c:v>
                </c:pt>
                <c:pt idx="24">
                  <c:v>0</c:v>
                </c:pt>
              </c:numCache>
            </c:numRef>
          </c:val>
        </c:ser>
        <c:ser>
          <c:idx val="9"/>
          <c:order val="9"/>
          <c:tx>
            <c:strRef>
              <c:f>[西锐底稿.xlsx]活塞式飞机市场份额图!$B$214</c:f>
              <c:strCache>
                <c:ptCount val="1"/>
                <c:pt idx="0">
                  <c:v>西锐飞机</c:v>
                </c:pt>
              </c:strCache>
            </c:strRef>
          </c:tx>
          <c:spPr>
            <a:solidFill>
              <a:schemeClr val="accent4">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[西锐底稿.xlsx]活塞式飞机市场份额图!$C$214:$AA$214</c:f>
              <c:numCache>
                <c:formatCode>General</c:formatCode>
                <c:ptCount val="25"/>
                <c:pt idx="0">
                  <c:v>95</c:v>
                </c:pt>
                <c:pt idx="1">
                  <c:v>183</c:v>
                </c:pt>
                <c:pt idx="2">
                  <c:v>397</c:v>
                </c:pt>
                <c:pt idx="3">
                  <c:v>469</c:v>
                </c:pt>
                <c:pt idx="4">
                  <c:v>553</c:v>
                </c:pt>
                <c:pt idx="5">
                  <c:v>600</c:v>
                </c:pt>
                <c:pt idx="6">
                  <c:v>721</c:v>
                </c:pt>
                <c:pt idx="7">
                  <c:v>710</c:v>
                </c:pt>
                <c:pt idx="8">
                  <c:v>549</c:v>
                </c:pt>
                <c:pt idx="9">
                  <c:v>266</c:v>
                </c:pt>
                <c:pt idx="10">
                  <c:v>264</c:v>
                </c:pt>
                <c:pt idx="11">
                  <c:v>255</c:v>
                </c:pt>
                <c:pt idx="12">
                  <c:v>253</c:v>
                </c:pt>
                <c:pt idx="13">
                  <c:v>276</c:v>
                </c:pt>
                <c:pt idx="14">
                  <c:v>308</c:v>
                </c:pt>
                <c:pt idx="15">
                  <c:v>301</c:v>
                </c:pt>
                <c:pt idx="16">
                  <c:v>317</c:v>
                </c:pt>
                <c:pt idx="17">
                  <c:v>355</c:v>
                </c:pt>
                <c:pt idx="18">
                  <c:v>380</c:v>
                </c:pt>
                <c:pt idx="19">
                  <c:v>384</c:v>
                </c:pt>
                <c:pt idx="20">
                  <c:v>347</c:v>
                </c:pt>
                <c:pt idx="21">
                  <c:v>442</c:v>
                </c:pt>
                <c:pt idx="22">
                  <c:v>539</c:v>
                </c:pt>
                <c:pt idx="23">
                  <c:v>612</c:v>
                </c:pt>
                <c:pt idx="24">
                  <c:v>630</c:v>
                </c:pt>
              </c:numCache>
            </c:numRef>
          </c:val>
        </c:ser>
        <c:ser>
          <c:idx val="10"/>
          <c:order val="10"/>
          <c:tx>
            <c:strRef>
              <c:f>[西锐底稿.xlsx]活塞式飞机市场份额图!$B$215</c:f>
              <c:strCache>
                <c:ptCount val="1"/>
                <c:pt idx="0">
                  <c:v>其他厂商</c:v>
                </c:pt>
              </c:strCache>
            </c:strRef>
          </c:tx>
          <c:spPr>
            <a:solidFill>
              <a:schemeClr val="accent5">
                <a:lumMod val="60000"/>
              </a:schemeClr>
            </a:solidFill>
            <a:ln>
              <a:solidFill>
                <a:schemeClr val="bg1"/>
              </a:solidFill>
            </a:ln>
            <a:effectLst/>
          </c:spPr>
          <c:invertIfNegative val="0"/>
          <c:dLbls>
            <c:delete val="1"/>
          </c:dLbls>
          <c:cat>
            <c:numRef>
              <c:f>[西锐底稿.xlsx]活塞式飞机市场份额图!$C$204:$AA$204</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[西锐底稿.xlsx]活塞式飞机市场份额图!$C$215:$AA$215</c:f>
              <c:numCache>
                <c:formatCode>_(* #,##0_);_(* \(#,##0\);_(* "-"??_);_(@_)</c:formatCode>
                <c:ptCount val="25"/>
                <c:pt idx="0">
                  <c:v>271</c:v>
                </c:pt>
                <c:pt idx="1">
                  <c:v>251</c:v>
                </c:pt>
                <c:pt idx="2">
                  <c:v>238</c:v>
                </c:pt>
                <c:pt idx="3">
                  <c:v>237</c:v>
                </c:pt>
                <c:pt idx="4">
                  <c:v>212</c:v>
                </c:pt>
                <c:pt idx="5">
                  <c:v>223</c:v>
                </c:pt>
                <c:pt idx="6">
                  <c:v>164</c:v>
                </c:pt>
                <c:pt idx="7">
                  <c:v>177</c:v>
                </c:pt>
                <c:pt idx="8">
                  <c:v>145</c:v>
                </c:pt>
                <c:pt idx="9">
                  <c:v>57</c:v>
                </c:pt>
                <c:pt idx="10">
                  <c:v>69</c:v>
                </c:pt>
                <c:pt idx="11">
                  <c:v>149</c:v>
                </c:pt>
                <c:pt idx="12">
                  <c:v>160</c:v>
                </c:pt>
                <c:pt idx="13">
                  <c:v>177</c:v>
                </c:pt>
                <c:pt idx="14">
                  <c:v>189</c:v>
                </c:pt>
                <c:pt idx="15">
                  <c:v>143</c:v>
                </c:pt>
                <c:pt idx="16">
                  <c:v>119</c:v>
                </c:pt>
                <c:pt idx="17">
                  <c:v>120</c:v>
                </c:pt>
                <c:pt idx="18">
                  <c:v>154</c:v>
                </c:pt>
                <c:pt idx="19">
                  <c:v>186</c:v>
                </c:pt>
                <c:pt idx="20">
                  <c:v>148</c:v>
                </c:pt>
                <c:pt idx="21">
                  <c:v>153</c:v>
                </c:pt>
                <c:pt idx="22">
                  <c:v>170</c:v>
                </c:pt>
                <c:pt idx="23">
                  <c:v>141</c:v>
                </c:pt>
                <c:pt idx="24">
                  <c:v>119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688377604378553"/>
          <c:y val="0.250521139292582"/>
          <c:w val="0.931162239562145"/>
          <c:h val="0.619563915385425"/>
        </c:manualLayout>
      </c:layout>
      <c:barChart>
        <c:barDir val="col"/>
        <c:grouping val="percentStacked"/>
        <c:varyColors val="0"/>
        <c:ser>
          <c:idx val="0"/>
          <c:order val="0"/>
          <c:tx>
            <c:strRef>
              <c:f>[西锐底稿.xlsx]喷气式飞机市场份额图!$B$144</c:f>
              <c:strCache>
                <c:ptCount val="1"/>
                <c:pt idx="0">
                  <c:v>德事隆航空（比奇飞机）</c:v>
                </c:pt>
              </c:strCache>
            </c:strRef>
          </c:tx>
          <c:spPr>
            <a:solidFill>
              <a:srgbClr val="C00000"/>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[西锐底稿.xlsx]喷气式飞机市场份额图!$C$144:$AA$144</c:f>
              <c:numCache>
                <c:formatCode>General</c:formatCode>
                <c:ptCount val="25"/>
                <c:pt idx="0">
                  <c:v>118</c:v>
                </c:pt>
                <c:pt idx="1">
                  <c:v>98</c:v>
                </c:pt>
                <c:pt idx="2">
                  <c:v>94</c:v>
                </c:pt>
                <c:pt idx="3">
                  <c:v>100</c:v>
                </c:pt>
                <c:pt idx="4">
                  <c:v>115</c:v>
                </c:pt>
                <c:pt idx="5">
                  <c:v>141</c:v>
                </c:pt>
                <c:pt idx="6">
                  <c:v>140</c:v>
                </c:pt>
                <c:pt idx="7">
                  <c:v>162</c:v>
                </c:pt>
                <c:pt idx="8">
                  <c:v>160</c:v>
                </c:pt>
                <c:pt idx="9">
                  <c:v>98</c:v>
                </c:pt>
                <c:pt idx="10">
                  <c:v>73</c:v>
                </c:pt>
                <c:pt idx="11">
                  <c:v>52</c:v>
                </c:pt>
                <c:pt idx="12">
                  <c:v>32</c:v>
                </c:pt>
                <c:pt idx="13">
                  <c:v>6</c:v>
                </c:pt>
                <c:pt idx="14">
                  <c:v>0</c:v>
                </c:pt>
                <c:pt idx="15">
                  <c:v>0</c:v>
                </c:pt>
                <c:pt idx="16">
                  <c:v>0</c:v>
                </c:pt>
                <c:pt idx="17">
                  <c:v>0</c:v>
                </c:pt>
                <c:pt idx="18">
                  <c:v>0</c:v>
                </c:pt>
                <c:pt idx="19">
                  <c:v>0</c:v>
                </c:pt>
                <c:pt idx="20">
                  <c:v>0</c:v>
                </c:pt>
                <c:pt idx="21">
                  <c:v>0</c:v>
                </c:pt>
                <c:pt idx="22">
                  <c:v>0</c:v>
                </c:pt>
                <c:pt idx="23">
                  <c:v>0</c:v>
                </c:pt>
                <c:pt idx="24">
                  <c:v>0</c:v>
                </c:pt>
              </c:numCache>
            </c:numRef>
          </c:val>
        </c:ser>
        <c:ser>
          <c:idx val="1"/>
          <c:order val="1"/>
          <c:tx>
            <c:strRef>
              <c:f>[西锐底稿.xlsx]喷气式飞机市场份额图!$B$145</c:f>
              <c:strCache>
                <c:ptCount val="1"/>
                <c:pt idx="0">
                  <c:v>德事隆航空（塞斯纳飞机）</c:v>
                </c:pt>
              </c:strCache>
            </c:strRef>
          </c:tx>
          <c:spPr>
            <a:solidFill>
              <a:srgbClr val="666666"/>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[西锐底稿.xlsx]喷气式飞机市场份额图!$C$145:$AA$145</c:f>
              <c:numCache>
                <c:formatCode>General</c:formatCode>
                <c:ptCount val="25"/>
                <c:pt idx="0">
                  <c:v>252</c:v>
                </c:pt>
                <c:pt idx="1">
                  <c:v>306</c:v>
                </c:pt>
                <c:pt idx="2">
                  <c:v>305</c:v>
                </c:pt>
                <c:pt idx="3">
                  <c:v>196</c:v>
                </c:pt>
                <c:pt idx="4">
                  <c:v>181</c:v>
                </c:pt>
                <c:pt idx="5">
                  <c:v>247</c:v>
                </c:pt>
                <c:pt idx="6">
                  <c:v>307</c:v>
                </c:pt>
                <c:pt idx="7">
                  <c:v>388</c:v>
                </c:pt>
                <c:pt idx="8">
                  <c:v>466</c:v>
                </c:pt>
                <c:pt idx="9">
                  <c:v>289</c:v>
                </c:pt>
                <c:pt idx="10">
                  <c:v>178</c:v>
                </c:pt>
                <c:pt idx="11">
                  <c:v>183</c:v>
                </c:pt>
                <c:pt idx="12">
                  <c:v>181</c:v>
                </c:pt>
                <c:pt idx="13">
                  <c:v>139</c:v>
                </c:pt>
                <c:pt idx="14">
                  <c:v>159</c:v>
                </c:pt>
                <c:pt idx="15">
                  <c:v>166</c:v>
                </c:pt>
                <c:pt idx="16">
                  <c:v>178</c:v>
                </c:pt>
                <c:pt idx="17">
                  <c:v>180</c:v>
                </c:pt>
                <c:pt idx="18">
                  <c:v>188</c:v>
                </c:pt>
                <c:pt idx="19">
                  <c:v>206</c:v>
                </c:pt>
                <c:pt idx="20">
                  <c:v>132</c:v>
                </c:pt>
                <c:pt idx="21">
                  <c:v>167</c:v>
                </c:pt>
                <c:pt idx="22">
                  <c:v>178</c:v>
                </c:pt>
                <c:pt idx="23">
                  <c:v>168</c:v>
                </c:pt>
                <c:pt idx="24">
                  <c:v>151</c:v>
                </c:pt>
              </c:numCache>
            </c:numRef>
          </c:val>
        </c:ser>
        <c:ser>
          <c:idx val="2"/>
          <c:order val="2"/>
          <c:tx>
            <c:strRef>
              <c:f>[西锐底稿.xlsx]喷气式飞机市场份额图!$B$146</c:f>
              <c:strCache>
                <c:ptCount val="1"/>
                <c:pt idx="0">
                  <c:v>ONE 航空公司（前身为 Eclipse 航空）</c:v>
                </c:pt>
              </c:strCache>
            </c:strRef>
          </c:tx>
          <c:spPr>
            <a:solidFill>
              <a:srgbClr val="E6B9B8"/>
            </a:solidFill>
            <a:ln w="9525" cap="flat" cmpd="sng">
              <a:noFill/>
              <a:prstDash val="solid"/>
            </a:ln>
            <a:effectLst/>
            <a:sp3d contourW="9525"/>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[西锐底稿.xlsx]喷气式飞机市场份额图!$C$146:$AA$146</c:f>
              <c:numCache>
                <c:formatCode>General</c:formatCode>
                <c:ptCount val="25"/>
                <c:pt idx="0">
                  <c:v>0</c:v>
                </c:pt>
                <c:pt idx="1">
                  <c:v>0</c:v>
                </c:pt>
                <c:pt idx="2">
                  <c:v>0</c:v>
                </c:pt>
                <c:pt idx="3">
                  <c:v>0</c:v>
                </c:pt>
                <c:pt idx="4">
                  <c:v>0</c:v>
                </c:pt>
                <c:pt idx="5">
                  <c:v>0</c:v>
                </c:pt>
                <c:pt idx="6">
                  <c:v>1</c:v>
                </c:pt>
                <c:pt idx="7">
                  <c:v>98</c:v>
                </c:pt>
                <c:pt idx="8">
                  <c:v>161</c:v>
                </c:pt>
                <c:pt idx="9">
                  <c:v>0</c:v>
                </c:pt>
                <c:pt idx="10">
                  <c:v>0</c:v>
                </c:pt>
                <c:pt idx="11">
                  <c:v>0</c:v>
                </c:pt>
                <c:pt idx="12">
                  <c:v>0</c:v>
                </c:pt>
                <c:pt idx="13">
                  <c:v>0</c:v>
                </c:pt>
                <c:pt idx="14">
                  <c:v>12</c:v>
                </c:pt>
                <c:pt idx="15">
                  <c:v>7</c:v>
                </c:pt>
                <c:pt idx="16">
                  <c:v>8</c:v>
                </c:pt>
                <c:pt idx="17">
                  <c:v>6</c:v>
                </c:pt>
                <c:pt idx="18">
                  <c:v>0</c:v>
                </c:pt>
                <c:pt idx="19">
                  <c:v>0</c:v>
                </c:pt>
                <c:pt idx="20">
                  <c:v>0</c:v>
                </c:pt>
                <c:pt idx="21">
                  <c:v>0</c:v>
                </c:pt>
                <c:pt idx="22">
                  <c:v>0</c:v>
                </c:pt>
                <c:pt idx="23">
                  <c:v>2</c:v>
                </c:pt>
                <c:pt idx="24">
                  <c:v>0</c:v>
                </c:pt>
              </c:numCache>
            </c:numRef>
          </c:val>
        </c:ser>
        <c:ser>
          <c:idx val="3"/>
          <c:order val="3"/>
          <c:tx>
            <c:strRef>
              <c:f>[西锐底稿.xlsx]喷气式飞机市场份额图!$B$147</c:f>
              <c:strCache>
                <c:ptCount val="1"/>
                <c:pt idx="0">
                  <c:v>湾流宇航公司</c:v>
                </c:pt>
              </c:strCache>
            </c:strRef>
          </c:tx>
          <c:spPr>
            <a:solidFill>
              <a:srgbClr val="999999"/>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[西锐底稿.xlsx]喷气式飞机市场份额图!$C$147:$AA$147</c:f>
              <c:numCache>
                <c:formatCode>General</c:formatCode>
                <c:ptCount val="25"/>
                <c:pt idx="0">
                  <c:v>88</c:v>
                </c:pt>
                <c:pt idx="1">
                  <c:v>101</c:v>
                </c:pt>
                <c:pt idx="2">
                  <c:v>85</c:v>
                </c:pt>
                <c:pt idx="3">
                  <c:v>74</c:v>
                </c:pt>
                <c:pt idx="4">
                  <c:v>78</c:v>
                </c:pt>
                <c:pt idx="5">
                  <c:v>89</c:v>
                </c:pt>
                <c:pt idx="6">
                  <c:v>113</c:v>
                </c:pt>
                <c:pt idx="7">
                  <c:v>138</c:v>
                </c:pt>
                <c:pt idx="8">
                  <c:v>156</c:v>
                </c:pt>
                <c:pt idx="9">
                  <c:v>94</c:v>
                </c:pt>
                <c:pt idx="10">
                  <c:v>99</c:v>
                </c:pt>
                <c:pt idx="11">
                  <c:v>99</c:v>
                </c:pt>
                <c:pt idx="12">
                  <c:v>94</c:v>
                </c:pt>
                <c:pt idx="13">
                  <c:v>144</c:v>
                </c:pt>
                <c:pt idx="14">
                  <c:v>150</c:v>
                </c:pt>
                <c:pt idx="15">
                  <c:v>154</c:v>
                </c:pt>
                <c:pt idx="16">
                  <c:v>121</c:v>
                </c:pt>
                <c:pt idx="17">
                  <c:v>120</c:v>
                </c:pt>
                <c:pt idx="18">
                  <c:v>121</c:v>
                </c:pt>
                <c:pt idx="19">
                  <c:v>147</c:v>
                </c:pt>
                <c:pt idx="20">
                  <c:v>127</c:v>
                </c:pt>
                <c:pt idx="21">
                  <c:v>119</c:v>
                </c:pt>
                <c:pt idx="22">
                  <c:v>120</c:v>
                </c:pt>
                <c:pt idx="23">
                  <c:v>111</c:v>
                </c:pt>
                <c:pt idx="24">
                  <c:v>136</c:v>
                </c:pt>
              </c:numCache>
            </c:numRef>
          </c:val>
        </c:ser>
        <c:ser>
          <c:idx val="4"/>
          <c:order val="4"/>
          <c:tx>
            <c:strRef>
              <c:f>[西锐底稿.xlsx]喷气式飞机市场份额图!$B$148</c:f>
              <c:strCache>
                <c:ptCount val="1"/>
                <c:pt idx="0">
                  <c:v>巴西航空工业公司</c:v>
                </c:pt>
              </c:strCache>
            </c:strRef>
          </c:tx>
          <c:spPr>
            <a:solidFill>
              <a:srgbClr val="996633"/>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[西锐底稿.xlsx]喷气式飞机市场份额图!$C$148:$AA$148</c:f>
              <c:numCache>
                <c:formatCode>General</c:formatCode>
                <c:ptCount val="25"/>
                <c:pt idx="0">
                  <c:v>0</c:v>
                </c:pt>
                <c:pt idx="1">
                  <c:v>0</c:v>
                </c:pt>
                <c:pt idx="2">
                  <c:v>8</c:v>
                </c:pt>
                <c:pt idx="3">
                  <c:v>13</c:v>
                </c:pt>
                <c:pt idx="4">
                  <c:v>13</c:v>
                </c:pt>
                <c:pt idx="5">
                  <c:v>20</c:v>
                </c:pt>
                <c:pt idx="6">
                  <c:v>27</c:v>
                </c:pt>
                <c:pt idx="7">
                  <c:v>36</c:v>
                </c:pt>
                <c:pt idx="8">
                  <c:v>38</c:v>
                </c:pt>
                <c:pt idx="9">
                  <c:v>122</c:v>
                </c:pt>
                <c:pt idx="10">
                  <c:v>145</c:v>
                </c:pt>
                <c:pt idx="11">
                  <c:v>99</c:v>
                </c:pt>
                <c:pt idx="12">
                  <c:v>99</c:v>
                </c:pt>
                <c:pt idx="13">
                  <c:v>119</c:v>
                </c:pt>
                <c:pt idx="14">
                  <c:v>116</c:v>
                </c:pt>
                <c:pt idx="15">
                  <c:v>120</c:v>
                </c:pt>
                <c:pt idx="16">
                  <c:v>117</c:v>
                </c:pt>
                <c:pt idx="17">
                  <c:v>109</c:v>
                </c:pt>
                <c:pt idx="18">
                  <c:v>91</c:v>
                </c:pt>
                <c:pt idx="19">
                  <c:v>109</c:v>
                </c:pt>
                <c:pt idx="20">
                  <c:v>86</c:v>
                </c:pt>
                <c:pt idx="21">
                  <c:v>93</c:v>
                </c:pt>
                <c:pt idx="22">
                  <c:v>102</c:v>
                </c:pt>
                <c:pt idx="23">
                  <c:v>115</c:v>
                </c:pt>
                <c:pt idx="24">
                  <c:v>130</c:v>
                </c:pt>
              </c:numCache>
            </c:numRef>
          </c:val>
        </c:ser>
        <c:ser>
          <c:idx val="5"/>
          <c:order val="5"/>
          <c:tx>
            <c:strRef>
              <c:f>[西锐底稿.xlsx]喷气式飞机市场份额图!$B$149</c:f>
              <c:strCache>
                <c:ptCount val="1"/>
                <c:pt idx="0">
                  <c:v>达索航空</c:v>
                </c:pt>
              </c:strCache>
            </c:strRef>
          </c:tx>
          <c:spPr>
            <a:solidFill>
              <a:srgbClr val="E7D6B5"/>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[西锐底稿.xlsx]喷气式飞机市场份额图!$C$149:$AA$149</c:f>
              <c:numCache>
                <c:formatCode>General</c:formatCode>
                <c:ptCount val="25"/>
                <c:pt idx="0">
                  <c:v>73</c:v>
                </c:pt>
                <c:pt idx="1">
                  <c:v>75</c:v>
                </c:pt>
                <c:pt idx="2">
                  <c:v>66</c:v>
                </c:pt>
                <c:pt idx="3">
                  <c:v>49</c:v>
                </c:pt>
                <c:pt idx="4">
                  <c:v>63</c:v>
                </c:pt>
                <c:pt idx="5">
                  <c:v>51</c:v>
                </c:pt>
                <c:pt idx="6">
                  <c:v>61</c:v>
                </c:pt>
                <c:pt idx="7">
                  <c:v>70</c:v>
                </c:pt>
                <c:pt idx="8">
                  <c:v>72</c:v>
                </c:pt>
                <c:pt idx="9">
                  <c:v>77</c:v>
                </c:pt>
                <c:pt idx="10">
                  <c:v>95</c:v>
                </c:pt>
                <c:pt idx="11">
                  <c:v>63</c:v>
                </c:pt>
                <c:pt idx="12">
                  <c:v>66</c:v>
                </c:pt>
                <c:pt idx="13">
                  <c:v>77</c:v>
                </c:pt>
                <c:pt idx="14">
                  <c:v>66</c:v>
                </c:pt>
                <c:pt idx="15">
                  <c:v>55</c:v>
                </c:pt>
                <c:pt idx="16">
                  <c:v>49</c:v>
                </c:pt>
                <c:pt idx="17">
                  <c:v>49</c:v>
                </c:pt>
                <c:pt idx="18">
                  <c:v>41</c:v>
                </c:pt>
                <c:pt idx="19">
                  <c:v>40</c:v>
                </c:pt>
                <c:pt idx="20">
                  <c:v>34</c:v>
                </c:pt>
                <c:pt idx="21">
                  <c:v>30</c:v>
                </c:pt>
                <c:pt idx="22">
                  <c:v>32</c:v>
                </c:pt>
                <c:pt idx="23">
                  <c:v>26</c:v>
                </c:pt>
                <c:pt idx="24">
                  <c:v>31</c:v>
                </c:pt>
              </c:numCache>
            </c:numRef>
          </c:val>
        </c:ser>
        <c:ser>
          <c:idx val="6"/>
          <c:order val="6"/>
          <c:tx>
            <c:strRef>
              <c:f>[西锐底稿.xlsx]喷气式飞机市场份额图!$B$150</c:f>
              <c:strCache>
                <c:ptCount val="1"/>
                <c:pt idx="0">
                  <c:v>西锐飞机</c:v>
                </c:pt>
              </c:strCache>
            </c:strRef>
          </c:tx>
          <c:spPr>
            <a:solidFill>
              <a:schemeClr val="accent4">
                <a:lumMod val="75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[西锐底稿.xlsx]喷气式飞机市场份额图!$C$150:$AA$150</c:f>
              <c:numCache>
                <c:formatCode>General</c:formatCode>
                <c:ptCount val="25"/>
                <c:pt idx="0">
                  <c:v>0</c:v>
                </c:pt>
                <c:pt idx="1">
                  <c:v>0</c:v>
                </c:pt>
                <c:pt idx="2">
                  <c:v>0</c:v>
                </c:pt>
                <c:pt idx="3">
                  <c:v>0</c:v>
                </c:pt>
                <c:pt idx="4">
                  <c:v>0</c:v>
                </c:pt>
                <c:pt idx="5">
                  <c:v>0</c:v>
                </c:pt>
                <c:pt idx="6">
                  <c:v>0</c:v>
                </c:pt>
                <c:pt idx="7">
                  <c:v>0</c:v>
                </c:pt>
                <c:pt idx="8">
                  <c:v>0</c:v>
                </c:pt>
                <c:pt idx="9">
                  <c:v>0</c:v>
                </c:pt>
                <c:pt idx="10">
                  <c:v>0</c:v>
                </c:pt>
                <c:pt idx="11">
                  <c:v>0</c:v>
                </c:pt>
                <c:pt idx="12">
                  <c:v>0</c:v>
                </c:pt>
                <c:pt idx="13">
                  <c:v>0</c:v>
                </c:pt>
                <c:pt idx="14">
                  <c:v>0</c:v>
                </c:pt>
                <c:pt idx="15">
                  <c:v>0</c:v>
                </c:pt>
                <c:pt idx="16">
                  <c:v>3</c:v>
                </c:pt>
                <c:pt idx="17">
                  <c:v>22</c:v>
                </c:pt>
                <c:pt idx="18">
                  <c:v>63</c:v>
                </c:pt>
                <c:pt idx="19">
                  <c:v>81</c:v>
                </c:pt>
                <c:pt idx="20">
                  <c:v>73</c:v>
                </c:pt>
                <c:pt idx="21">
                  <c:v>86</c:v>
                </c:pt>
                <c:pt idx="22">
                  <c:v>90</c:v>
                </c:pt>
                <c:pt idx="23">
                  <c:v>96</c:v>
                </c:pt>
                <c:pt idx="24">
                  <c:v>101</c:v>
                </c:pt>
              </c:numCache>
            </c:numRef>
          </c:val>
        </c:ser>
        <c:ser>
          <c:idx val="7"/>
          <c:order val="7"/>
          <c:tx>
            <c:strRef>
              <c:f>[西锐底稿.xlsx]喷气式飞机市场份额图!$B$151</c:f>
              <c:strCache>
                <c:ptCount val="1"/>
                <c:pt idx="0">
                  <c:v>庞巴迪</c:v>
                </c:pt>
              </c:strCache>
            </c:strRef>
          </c:tx>
          <c:spPr>
            <a:solidFill>
              <a:schemeClr val="accent3">
                <a:lumMod val="60000"/>
                <a:lumOff val="40000"/>
              </a:schemeClr>
            </a:solidFill>
            <a:ln>
              <a:no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[西锐底稿.xlsx]喷气式飞机市场份额图!$C$151:$AA$151</c:f>
              <c:numCache>
                <c:formatCode>General</c:formatCode>
                <c:ptCount val="25"/>
                <c:pt idx="0">
                  <c:v>207</c:v>
                </c:pt>
                <c:pt idx="1">
                  <c:v>179</c:v>
                </c:pt>
                <c:pt idx="2">
                  <c:v>101</c:v>
                </c:pt>
                <c:pt idx="3">
                  <c:v>70</c:v>
                </c:pt>
                <c:pt idx="4">
                  <c:v>129</c:v>
                </c:pt>
                <c:pt idx="5">
                  <c:v>188</c:v>
                </c:pt>
                <c:pt idx="6">
                  <c:v>213</c:v>
                </c:pt>
                <c:pt idx="7">
                  <c:v>224</c:v>
                </c:pt>
                <c:pt idx="8">
                  <c:v>247</c:v>
                </c:pt>
                <c:pt idx="9">
                  <c:v>173</c:v>
                </c:pt>
                <c:pt idx="10">
                  <c:v>150</c:v>
                </c:pt>
                <c:pt idx="11">
                  <c:v>182</c:v>
                </c:pt>
                <c:pt idx="12">
                  <c:v>179</c:v>
                </c:pt>
                <c:pt idx="13">
                  <c:v>180</c:v>
                </c:pt>
                <c:pt idx="14">
                  <c:v>204</c:v>
                </c:pt>
                <c:pt idx="15">
                  <c:v>199</c:v>
                </c:pt>
                <c:pt idx="16">
                  <c:v>162</c:v>
                </c:pt>
                <c:pt idx="17">
                  <c:v>138</c:v>
                </c:pt>
                <c:pt idx="18">
                  <c:v>137</c:v>
                </c:pt>
                <c:pt idx="19">
                  <c:v>142</c:v>
                </c:pt>
                <c:pt idx="20">
                  <c:v>114</c:v>
                </c:pt>
                <c:pt idx="21">
                  <c:v>120</c:v>
                </c:pt>
                <c:pt idx="22">
                  <c:v>123</c:v>
                </c:pt>
                <c:pt idx="23">
                  <c:v>138</c:v>
                </c:pt>
                <c:pt idx="24">
                  <c:v>146</c:v>
                </c:pt>
              </c:numCache>
            </c:numRef>
          </c:val>
        </c:ser>
        <c:ser>
          <c:idx val="8"/>
          <c:order val="8"/>
          <c:tx>
            <c:strRef>
              <c:f>[西锐底稿.xlsx]喷气式飞机市场份额图!$B$152</c:f>
              <c:strCache>
                <c:ptCount val="1"/>
                <c:pt idx="0">
                  <c:v>其他厂商</c:v>
                </c:pt>
              </c:strCache>
            </c:strRef>
          </c:tx>
          <c:spPr>
            <a:solidFill>
              <a:schemeClr val="accent3">
                <a:lumMod val="60000"/>
              </a:schemeClr>
            </a:solidFill>
            <a:ln>
              <a:solidFill>
                <a:schemeClr val="bg1"/>
              </a:solidFill>
            </a:ln>
            <a:effectLst/>
          </c:spPr>
          <c:invertIfNegative val="0"/>
          <c:dLbls>
            <c:delete val="1"/>
          </c:dLbls>
          <c:cat>
            <c:numRef>
              <c:f>[西锐底稿.xlsx]喷气式飞机市场份额图!$C$143:$AA$143</c:f>
              <c:numCache>
                <c:formatCode>General</c:formatCode>
                <c:ptCount val="25"/>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pt idx="23">
                  <c:v>2023</c:v>
                </c:pt>
                <c:pt idx="24">
                  <c:v>2024</c:v>
                </c:pt>
              </c:numCache>
            </c:numRef>
          </c:cat>
          <c:val>
            <c:numRef>
              <c:f>[西锐底稿.xlsx]喷气式飞机市场份额图!$C$152:$AA$152</c:f>
              <c:numCache>
                <c:formatCode>_(* #,##0_);_(* \(#,##0\);_(* "-"??_);_(@_)</c:formatCode>
                <c:ptCount val="25"/>
                <c:pt idx="0">
                  <c:v>132</c:v>
                </c:pt>
                <c:pt idx="1">
                  <c:v>123</c:v>
                </c:pt>
                <c:pt idx="2">
                  <c:v>111</c:v>
                </c:pt>
                <c:pt idx="3">
                  <c:v>116</c:v>
                </c:pt>
                <c:pt idx="4">
                  <c:v>127</c:v>
                </c:pt>
                <c:pt idx="5">
                  <c:v>155</c:v>
                </c:pt>
                <c:pt idx="6">
                  <c:v>165</c:v>
                </c:pt>
                <c:pt idx="7">
                  <c:v>183</c:v>
                </c:pt>
                <c:pt idx="8">
                  <c:v>177</c:v>
                </c:pt>
                <c:pt idx="9">
                  <c:v>119</c:v>
                </c:pt>
                <c:pt idx="10">
                  <c:v>100</c:v>
                </c:pt>
                <c:pt idx="11">
                  <c:v>70</c:v>
                </c:pt>
                <c:pt idx="12">
                  <c:v>53</c:v>
                </c:pt>
                <c:pt idx="13">
                  <c:v>19</c:v>
                </c:pt>
                <c:pt idx="14">
                  <c:v>15</c:v>
                </c:pt>
                <c:pt idx="15">
                  <c:v>17</c:v>
                </c:pt>
                <c:pt idx="16">
                  <c:v>28</c:v>
                </c:pt>
                <c:pt idx="17">
                  <c:v>53</c:v>
                </c:pt>
                <c:pt idx="18">
                  <c:v>62</c:v>
                </c:pt>
                <c:pt idx="19">
                  <c:v>84</c:v>
                </c:pt>
                <c:pt idx="20">
                  <c:v>78</c:v>
                </c:pt>
                <c:pt idx="21">
                  <c:v>95</c:v>
                </c:pt>
                <c:pt idx="22">
                  <c:v>67</c:v>
                </c:pt>
                <c:pt idx="23">
                  <c:v>74</c:v>
                </c:pt>
                <c:pt idx="24">
                  <c:v>69</c:v>
                </c:pt>
              </c:numCache>
            </c:numRef>
          </c:val>
        </c:ser>
        <c:dLbls>
          <c:showLegendKey val="0"/>
          <c:showVal val="0"/>
          <c:showCatName val="0"/>
          <c:showSerName val="0"/>
          <c:showPercent val="0"/>
          <c:showBubbleSize val="0"/>
        </c:dLbls>
        <c:gapWidth val="246"/>
        <c:overlap val="100"/>
        <c:axId val="412992478"/>
        <c:axId val="167369167"/>
      </c:barChart>
      <c:catAx>
        <c:axId val="412992478"/>
        <c:scaling>
          <c:orientation val="minMax"/>
        </c:scaling>
        <c:delete val="0"/>
        <c:axPos val="b"/>
        <c:numFmt formatCode="General" sourceLinked="0"/>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67369167"/>
        <c:crosses val="autoZero"/>
        <c:auto val="1"/>
        <c:lblAlgn val="ctr"/>
        <c:lblOffset val="100"/>
        <c:noMultiLvlLbl val="0"/>
      </c:catAx>
      <c:valAx>
        <c:axId val="167369167"/>
        <c:scaling>
          <c:orientation val="minMax"/>
        </c:scaling>
        <c:delete val="0"/>
        <c:axPos val="l"/>
        <c:majorGridlines>
          <c:spPr>
            <a:ln w="9525" cap="flat" cmpd="sng" algn="ctr">
              <a:noFill/>
              <a:round/>
            </a:ln>
            <a:effectLst/>
          </c:spPr>
        </c:majorGridlines>
        <c:numFmt formatCode="0%" sourceLinked="1"/>
        <c:majorTickMark val="out"/>
        <c:minorTickMark val="none"/>
        <c:tickLblPos val="nextTo"/>
        <c:spPr>
          <a:noFill/>
          <a:ln>
            <a:solidFill>
              <a:schemeClr val="bg1">
                <a:lumMod val="65000"/>
              </a:schemeClr>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412992478"/>
        <c:crosses val="autoZero"/>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3"/>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4"/>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5"/>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6"/>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7"/>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014795265276748"/>
          <c:y val="0.0291616038882139"/>
          <c:w val="0.985204734723252"/>
          <c:h val="0.138734991054429"/>
        </c:manualLayou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700" baseline="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3.3'!$A$3</c:f>
              <c:strCache>
                <c:ptCount val="1"/>
                <c:pt idx="0">
                  <c:v>交付量（架）</c:v>
                </c:pt>
              </c:strCache>
            </c:strRef>
          </c:tx>
          <c:spPr>
            <a:solidFill>
              <a:srgbClr val="002060"/>
            </a:solidFill>
            <a:ln w="25400">
              <a:noFill/>
            </a:ln>
            <a:effectLst/>
          </c:spPr>
          <c:invertIfNegative val="0"/>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3.3'!$B$3:$K$3</c:f>
              <c:numCache>
                <c:formatCode>General</c:formatCode>
                <c:ptCount val="10"/>
                <c:pt idx="0">
                  <c:v>301</c:v>
                </c:pt>
                <c:pt idx="1">
                  <c:v>320</c:v>
                </c:pt>
                <c:pt idx="2">
                  <c:v>377</c:v>
                </c:pt>
                <c:pt idx="3">
                  <c:v>443</c:v>
                </c:pt>
                <c:pt idx="4">
                  <c:v>465</c:v>
                </c:pt>
                <c:pt idx="5">
                  <c:v>420</c:v>
                </c:pt>
                <c:pt idx="6">
                  <c:v>528</c:v>
                </c:pt>
                <c:pt idx="7">
                  <c:v>629</c:v>
                </c:pt>
                <c:pt idx="8">
                  <c:v>708</c:v>
                </c:pt>
                <c:pt idx="9">
                  <c:v>731</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3.3'!$A$4</c:f>
              <c:strCache>
                <c:ptCount val="1"/>
                <c:pt idx="0">
                  <c:v>平均价格（百万美元）</c:v>
                </c:pt>
              </c:strCache>
            </c:strRef>
          </c:tx>
          <c:spPr>
            <a:ln w="28575" cap="rnd">
              <a:solidFill>
                <a:srgbClr val="A5A5A5"/>
              </a:solidFill>
              <a:round/>
            </a:ln>
            <a:effectLst/>
          </c:spPr>
          <c:marker>
            <c:symbol val="none"/>
          </c:marker>
          <c:dLbls>
            <c:delete val="1"/>
          </c:dLbls>
          <c:cat>
            <c:numRef>
              <c:f>'[西锐底稿.xlsx]Part 3.3'!$B$2:$K$2</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3.3'!$B$4:$K$4</c:f>
              <c:numCache>
                <c:formatCode>"$"#,##0.00_);[Red]\("$"#,##0.00\)</c:formatCode>
                <c:ptCount val="10"/>
                <c:pt idx="0">
                  <c:v>0.7342766910299</c:v>
                </c:pt>
                <c:pt idx="1">
                  <c:v>0.7595329125</c:v>
                </c:pt>
                <c:pt idx="2">
                  <c:v>0.858616938992042</c:v>
                </c:pt>
                <c:pt idx="3">
                  <c:v>0.987250069977427</c:v>
                </c:pt>
                <c:pt idx="4">
                  <c:v>1.17707288387097</c:v>
                </c:pt>
                <c:pt idx="5">
                  <c:v>1.17083379761905</c:v>
                </c:pt>
                <c:pt idx="6">
                  <c:v>1.19868445833333</c:v>
                </c:pt>
                <c:pt idx="7">
                  <c:v>1.21687531796502</c:v>
                </c:pt>
                <c:pt idx="8">
                  <c:v>1.31374019491525</c:v>
                </c:pt>
                <c:pt idx="9">
                  <c:v>1.40243921751026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egendEntry>
        <c:idx val="0"/>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Entry>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barChart>
        <c:barDir val="col"/>
        <c:grouping val="clustered"/>
        <c:varyColors val="0"/>
        <c:ser>
          <c:idx val="0"/>
          <c:order val="0"/>
          <c:tx>
            <c:strRef>
              <c:f>'[西锐底稿.xlsx]Part 3.3'!$A$12</c:f>
              <c:strCache>
                <c:ptCount val="1"/>
                <c:pt idx="0">
                  <c:v>出货量（台）</c:v>
                </c:pt>
              </c:strCache>
            </c:strRef>
          </c:tx>
          <c:spPr>
            <a:solidFill>
              <a:srgbClr val="002060"/>
            </a:solidFill>
            <a:ln w="25400">
              <a:noFill/>
            </a:ln>
            <a:effectLst/>
          </c:spPr>
          <c:invertIfNegative val="0"/>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3.3'!$B$12:$K$12</c:f>
              <c:numCache>
                <c:formatCode>General</c:formatCode>
                <c:ptCount val="10"/>
                <c:pt idx="0">
                  <c:v>7664</c:v>
                </c:pt>
                <c:pt idx="1">
                  <c:v>8014</c:v>
                </c:pt>
                <c:pt idx="2">
                  <c:v>8398</c:v>
                </c:pt>
                <c:pt idx="3">
                  <c:v>9251</c:v>
                </c:pt>
                <c:pt idx="4">
                  <c:v>10131</c:v>
                </c:pt>
                <c:pt idx="5">
                  <c:v>9119</c:v>
                </c:pt>
                <c:pt idx="6">
                  <c:v>11155</c:v>
                </c:pt>
                <c:pt idx="7">
                  <c:v>13221</c:v>
                </c:pt>
                <c:pt idx="8">
                  <c:v>13663</c:v>
                </c:pt>
                <c:pt idx="9">
                  <c:v>13752</c:v>
                </c:pt>
              </c:numCache>
            </c:numRef>
          </c:val>
        </c:ser>
        <c:dLbls>
          <c:showLegendKey val="0"/>
          <c:showVal val="0"/>
          <c:showCatName val="0"/>
          <c:showSerName val="0"/>
          <c:showPercent val="0"/>
          <c:showBubbleSize val="0"/>
        </c:dLbls>
        <c:gapWidth val="219"/>
        <c:overlap val="-27"/>
        <c:axId val="1351788320"/>
        <c:axId val="1351788800"/>
      </c:barChart>
      <c:lineChart>
        <c:grouping val="standard"/>
        <c:varyColors val="0"/>
        <c:ser>
          <c:idx val="1"/>
          <c:order val="1"/>
          <c:tx>
            <c:strRef>
              <c:f>'[西锐底稿.xlsx]Part 3.3'!$A$13</c:f>
              <c:strCache>
                <c:ptCount val="1"/>
                <c:pt idx="0">
                  <c:v>平均价格（百万英镑）</c:v>
                </c:pt>
              </c:strCache>
            </c:strRef>
          </c:tx>
          <c:spPr>
            <a:ln w="28575" cap="rnd">
              <a:solidFill>
                <a:srgbClr val="A5A5A5"/>
              </a:solidFill>
              <a:round/>
            </a:ln>
            <a:effectLst/>
          </c:spPr>
          <c:marker>
            <c:symbol val="none"/>
          </c:marker>
          <c:dLbls>
            <c:delete val="1"/>
          </c:dLbls>
          <c:cat>
            <c:numRef>
              <c:f>'[西锐底稿.xlsx]Part 3.3'!$B$11:$K$11</c:f>
              <c:numCache>
                <c:formatCode>General</c:formatCode>
                <c:ptCount val="10"/>
                <c:pt idx="0">
                  <c:v>2015</c:v>
                </c:pt>
                <c:pt idx="1">
                  <c:v>2016</c:v>
                </c:pt>
                <c:pt idx="2">
                  <c:v>2017</c:v>
                </c:pt>
                <c:pt idx="3">
                  <c:v>2018</c:v>
                </c:pt>
                <c:pt idx="4">
                  <c:v>2019</c:v>
                </c:pt>
                <c:pt idx="5">
                  <c:v>2020</c:v>
                </c:pt>
                <c:pt idx="6">
                  <c:v>2021</c:v>
                </c:pt>
                <c:pt idx="7">
                  <c:v>2022</c:v>
                </c:pt>
                <c:pt idx="8">
                  <c:v>2023</c:v>
                </c:pt>
                <c:pt idx="9">
                  <c:v>2024</c:v>
                </c:pt>
              </c:numCache>
            </c:numRef>
          </c:cat>
          <c:val>
            <c:numRef>
              <c:f>'[西锐底稿.xlsx]Part 3.3'!$B$13:$K$13</c:f>
              <c:numCache>
                <c:formatCode>0.00</c:formatCode>
                <c:ptCount val="10"/>
                <c:pt idx="0">
                  <c:v>0.271398747390397</c:v>
                </c:pt>
                <c:pt idx="1">
                  <c:v>0.272023958073372</c:v>
                </c:pt>
                <c:pt idx="2">
                  <c:v>0.292450583472255</c:v>
                </c:pt>
                <c:pt idx="3">
                  <c:v>0.274024429791374</c:v>
                </c:pt>
                <c:pt idx="4">
                  <c:v>0.288816503800217</c:v>
                </c:pt>
                <c:pt idx="5">
                  <c:v>0.310889351902621</c:v>
                </c:pt>
                <c:pt idx="6">
                  <c:v>0.32030479605558</c:v>
                </c:pt>
                <c:pt idx="7">
                  <c:v>0.32834127524393</c:v>
                </c:pt>
                <c:pt idx="8">
                  <c:v>0.374661494547318</c:v>
                </c:pt>
                <c:pt idx="9">
                  <c:v>0.41652123327516</c:v>
                </c:pt>
              </c:numCache>
            </c:numRef>
          </c:val>
          <c:smooth val="0"/>
        </c:ser>
        <c:dLbls>
          <c:showLegendKey val="0"/>
          <c:showVal val="0"/>
          <c:showCatName val="0"/>
          <c:showSerName val="0"/>
          <c:showPercent val="0"/>
          <c:showBubbleSize val="0"/>
        </c:dLbls>
        <c:marker val="0"/>
        <c:smooth val="0"/>
        <c:axId val="1351793600"/>
        <c:axId val="1351793120"/>
      </c:lineChart>
      <c:catAx>
        <c:axId val="1351788320"/>
        <c:scaling>
          <c:orientation val="minMax"/>
        </c:scaling>
        <c:delete val="0"/>
        <c:axPos val="b"/>
        <c:numFmt formatCode="General" sourceLinked="1"/>
        <c:majorTickMark val="out"/>
        <c:minorTickMark val="none"/>
        <c:tickLblPos val="nextTo"/>
        <c:spPr>
          <a:noFill/>
          <a:ln w="9525" cap="flat" cmpd="sng" algn="ctr">
            <a:solidFill>
              <a:srgbClr val="4C4D4F"/>
            </a:solidFill>
            <a:round/>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800"/>
        <c:crosses val="autoZero"/>
        <c:auto val="1"/>
        <c:lblAlgn val="ctr"/>
        <c:lblOffset val="100"/>
        <c:noMultiLvlLbl val="0"/>
      </c:catAx>
      <c:valAx>
        <c:axId val="1351788800"/>
        <c:scaling>
          <c:orientation val="minMax"/>
        </c:scaling>
        <c:delete val="0"/>
        <c:axPos val="l"/>
        <c:majorGridlines>
          <c:spPr>
            <a:ln w="9525" cap="flat" cmpd="sng" algn="ctr">
              <a:noFill/>
              <a:round/>
            </a:ln>
            <a:effectLst/>
          </c:spPr>
        </c:majorGridlines>
        <c:numFmt formatCode="General" sourceLinked="1"/>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88320"/>
        <c:crosses val="autoZero"/>
        <c:crossBetween val="between"/>
      </c:valAx>
      <c:catAx>
        <c:axId val="1351793600"/>
        <c:scaling>
          <c:orientation val="minMax"/>
        </c:scaling>
        <c:delete val="1"/>
        <c:axPos val="b"/>
        <c:numFmt formatCode="General" sourceLinked="1"/>
        <c:majorTickMark val="none"/>
        <c:minorTickMark val="none"/>
        <c:tickLblPos val="nextTo"/>
        <c:txPr>
          <a:bodyPr rot="-60000000" spcFirstLastPara="0"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120"/>
        <c:crosses val="autoZero"/>
        <c:auto val="1"/>
        <c:lblAlgn val="ctr"/>
        <c:lblOffset val="100"/>
        <c:noMultiLvlLbl val="0"/>
      </c:catAx>
      <c:valAx>
        <c:axId val="1351793120"/>
        <c:scaling>
          <c:orientation val="minMax"/>
        </c:scaling>
        <c:delete val="0"/>
        <c:axPos val="r"/>
        <c:numFmt formatCode="General" sourceLinked="0"/>
        <c:majorTickMark val="out"/>
        <c:minorTickMark val="none"/>
        <c:tickLblPos val="nextTo"/>
        <c:spPr>
          <a:noFill/>
          <a:ln w="9525">
            <a:solidFill>
              <a:srgbClr val="4C4D4F"/>
            </a:solidFill>
          </a:ln>
          <a:effectLst/>
        </c:spPr>
        <c:txPr>
          <a:bodyPr rot="-6000000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crossAx val="1351793600"/>
        <c:crosses val="max"/>
        <c:crossBetween val="between"/>
      </c:valAx>
      <c:spPr>
        <a:noFill/>
        <a:ln>
          <a:noFill/>
        </a:ln>
        <a:effectLst/>
      </c:spPr>
    </c:plotArea>
    <c:legend>
      <c:legendPos val="t"/>
      <c:layout/>
      <c:overlay val="0"/>
      <c:spPr>
        <a:noFill/>
        <a:ln>
          <a:noFill/>
        </a:ln>
        <a:effectLst/>
      </c:spPr>
      <c:txPr>
        <a:bodyPr rot="0" spcFirstLastPara="1" vertOverflow="ellipsis" vert="horz" wrap="square" anchor="ctr" anchorCtr="1"/>
        <a:lstStyle/>
        <a:p>
          <a:pPr>
            <a:defRPr lang="zh-CN" sz="7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noFill/>
    <a:ln w="9525" cap="flat" cmpd="sng" algn="ctr">
      <a:noFill/>
      <a:round/>
    </a:ln>
    <a:effectLst/>
  </c:spPr>
  <c:txPr>
    <a:bodyPr/>
    <a:lstStyle/>
    <a:p>
      <a:pPr>
        <a:defRPr lang="zh-CN" sz="7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3.3'!$B$39</c:f>
              <c:strCache>
                <c:ptCount val="1"/>
                <c:pt idx="0">
                  <c:v>美国人均可支配收入</c:v>
                </c:pt>
              </c:strCache>
            </c:strRef>
          </c:tx>
          <c:spPr>
            <a:solidFill>
              <a:srgbClr val="002060"/>
            </a:solidFill>
            <a:ln>
              <a:noFill/>
            </a:ln>
            <a:effectLst/>
          </c:spPr>
          <c:invertIfNegative val="0"/>
          <c:dLbls>
            <c:delete val="1"/>
          </c:dLbls>
          <c:cat>
            <c:numRef>
              <c:f>'[西锐底稿.xlsx]Part 3.3'!$A$41:$A$50</c:f>
              <c:numCache>
                <c:formatCode>@</c:formatCode>
                <c:ptCount val="10"/>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numCache>
            </c:numRef>
          </c:cat>
          <c:val>
            <c:numRef>
              <c:f>'[西锐底稿.xlsx]Part 3.3'!$B$41:$B$50</c:f>
              <c:numCache>
                <c:formatCode>#,##0.00_ </c:formatCode>
                <c:ptCount val="10"/>
                <c:pt idx="0">
                  <c:v>42013</c:v>
                </c:pt>
                <c:pt idx="1">
                  <c:v>42910</c:v>
                </c:pt>
                <c:pt idx="2">
                  <c:v>44710</c:v>
                </c:pt>
                <c:pt idx="3">
                  <c:v>47002</c:v>
                </c:pt>
                <c:pt idx="4">
                  <c:v>48907</c:v>
                </c:pt>
                <c:pt idx="5">
                  <c:v>52385</c:v>
                </c:pt>
                <c:pt idx="6">
                  <c:v>56543</c:v>
                </c:pt>
                <c:pt idx="7">
                  <c:v>56555</c:v>
                </c:pt>
                <c:pt idx="8">
                  <c:v>61545</c:v>
                </c:pt>
                <c:pt idx="9">
                  <c:v>64423</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3.3'!$B$58</c:f>
              <c:strCache>
                <c:ptCount val="1"/>
                <c:pt idx="0">
                  <c:v>美国: CPI(1982-84=100)</c:v>
                </c:pt>
              </c:strCache>
            </c:strRef>
          </c:tx>
          <c:spPr>
            <a:solidFill>
              <a:srgbClr val="002060"/>
            </a:solidFill>
            <a:ln>
              <a:noFill/>
            </a:ln>
            <a:effectLst/>
          </c:spPr>
          <c:invertIfNegative val="0"/>
          <c:dLbls>
            <c:delete val="1"/>
          </c:dLbls>
          <c:cat>
            <c:numRef>
              <c:f>'[西锐底稿.xlsx]Part 3.3'!$A$59:$A$69</c:f>
              <c:numCache>
                <c:formatCode>@</c:formatCode>
                <c:ptCount val="11"/>
                <c:pt idx="0" c:formatCode="@">
                  <c:v>2015</c:v>
                </c:pt>
                <c:pt idx="1" c:formatCode="@">
                  <c:v>2016</c:v>
                </c:pt>
                <c:pt idx="2" c:formatCode="@">
                  <c:v>2017</c:v>
                </c:pt>
                <c:pt idx="3" c:formatCode="@">
                  <c:v>2018</c:v>
                </c:pt>
                <c:pt idx="4" c:formatCode="@">
                  <c:v>2019</c:v>
                </c:pt>
                <c:pt idx="5" c:formatCode="@">
                  <c:v>2020</c:v>
                </c:pt>
                <c:pt idx="6" c:formatCode="@">
                  <c:v>2021</c:v>
                </c:pt>
                <c:pt idx="7" c:formatCode="@">
                  <c:v>2022</c:v>
                </c:pt>
                <c:pt idx="8" c:formatCode="@">
                  <c:v>2023</c:v>
                </c:pt>
                <c:pt idx="9" c:formatCode="@">
                  <c:v>2024</c:v>
                </c:pt>
                <c:pt idx="10" c:formatCode="@">
                  <c:v>2025</c:v>
                </c:pt>
              </c:numCache>
            </c:numRef>
          </c:cat>
          <c:val>
            <c:numRef>
              <c:f>'[西锐底稿.xlsx]Part 3.3'!$B$59:$B$69</c:f>
              <c:numCache>
                <c:formatCode>#,##0.00_ </c:formatCode>
                <c:ptCount val="11"/>
                <c:pt idx="0">
                  <c:v>2844.204</c:v>
                </c:pt>
                <c:pt idx="1">
                  <c:v>2880.086</c:v>
                </c:pt>
                <c:pt idx="2">
                  <c:v>2941.435</c:v>
                </c:pt>
                <c:pt idx="3">
                  <c:v>3013.282</c:v>
                </c:pt>
                <c:pt idx="4">
                  <c:v>3067.889</c:v>
                </c:pt>
                <c:pt idx="5">
                  <c:v>3105.734</c:v>
                </c:pt>
                <c:pt idx="6">
                  <c:v>3251.637</c:v>
                </c:pt>
                <c:pt idx="7">
                  <c:v>3511.859</c:v>
                </c:pt>
                <c:pt idx="8">
                  <c:v>3656.419</c:v>
                </c:pt>
                <c:pt idx="9">
                  <c:v>3764.266</c:v>
                </c:pt>
                <c:pt idx="10">
                  <c:v>3217.319</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'Part 4'!$A$2</c:f>
              <c:strCache>
                <c:ptCount val="1"/>
                <c:pt idx="0">
                  <c:v>Q1</c:v>
                </c:pt>
              </c:strCache>
            </c:strRef>
          </c:tx>
          <c:spPr>
            <a:solidFill>
              <a:srgbClr val="002060"/>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4'!$B$2:$E$2</c:f>
              <c:numCache>
                <c:formatCode>General</c:formatCode>
                <c:ptCount val="4"/>
                <c:pt idx="0">
                  <c:v>79</c:v>
                </c:pt>
                <c:pt idx="1">
                  <c:v>90</c:v>
                </c:pt>
                <c:pt idx="2">
                  <c:v>75</c:v>
                </c:pt>
                <c:pt idx="3">
                  <c:v>150</c:v>
                </c:pt>
              </c:numCache>
            </c:numRef>
          </c:val>
        </c:ser>
        <c:ser>
          <c:idx val="1"/>
          <c:order val="1"/>
          <c:tx>
            <c:strRef>
              <c:f>'Part 4'!$A$3</c:f>
              <c:strCache>
                <c:ptCount val="1"/>
                <c:pt idx="0">
                  <c:v>Q2</c:v>
                </c:pt>
              </c:strCache>
            </c:strRef>
          </c:tx>
          <c:spPr>
            <a:solidFill>
              <a:srgbClr val="A5A5A5"/>
            </a:solidFill>
            <a:ln>
              <a:solidFill>
                <a:srgbClr val="A5A5A5"/>
              </a:solid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4'!$B$3:$E$3</c:f>
              <c:numCache>
                <c:formatCode>General</c:formatCode>
                <c:ptCount val="4"/>
                <c:pt idx="0">
                  <c:v>132</c:v>
                </c:pt>
                <c:pt idx="1">
                  <c:v>177</c:v>
                </c:pt>
                <c:pt idx="2">
                  <c:v>212</c:v>
                </c:pt>
                <c:pt idx="3">
                  <c:v>200</c:v>
                </c:pt>
              </c:numCache>
            </c:numRef>
          </c:val>
        </c:ser>
        <c:ser>
          <c:idx val="2"/>
          <c:order val="2"/>
          <c:tx>
            <c:strRef>
              <c:f>'Part 4'!$A$4</c:f>
              <c:strCache>
                <c:ptCount val="1"/>
                <c:pt idx="0">
                  <c:v>Q3</c:v>
                </c:pt>
              </c:strCache>
            </c:strRef>
          </c:tx>
          <c:spPr>
            <a:solidFill>
              <a:srgbClr val="A5A5A5">
                <a:lumMod val="75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4'!$B$4:$E$4</c:f>
              <c:numCache>
                <c:formatCode>General</c:formatCode>
                <c:ptCount val="4"/>
                <c:pt idx="0">
                  <c:v>155</c:v>
                </c:pt>
                <c:pt idx="1">
                  <c:v>183</c:v>
                </c:pt>
                <c:pt idx="2">
                  <c:v>194</c:v>
                </c:pt>
                <c:pt idx="3">
                  <c:v>205</c:v>
                </c:pt>
              </c:numCache>
            </c:numRef>
          </c:val>
        </c:ser>
        <c:ser>
          <c:idx val="3"/>
          <c:order val="3"/>
          <c:tx>
            <c:strRef>
              <c:f>'Part 4'!$A$5</c:f>
              <c:strCache>
                <c:ptCount val="1"/>
                <c:pt idx="0">
                  <c:v>Q4</c:v>
                </c:pt>
              </c:strCache>
            </c:strRef>
          </c:tx>
          <c:spPr>
            <a:solidFill>
              <a:srgbClr val="5B9BD5">
                <a:lumMod val="20000"/>
                <a:lumOff val="80000"/>
              </a:srgbClr>
            </a:solidFill>
            <a:ln>
              <a:noFill/>
            </a:ln>
            <a:effectLst/>
          </c:spPr>
          <c:invertIfNegative val="0"/>
          <c:dLbls>
            <c:delete val="1"/>
          </c:dLbls>
          <c:cat>
            <c:numRef>
              <c:f>'Part 4'!$B$1:$E$1</c:f>
              <c:numCache>
                <c:formatCode>General</c:formatCode>
                <c:ptCount val="4"/>
                <c:pt idx="0">
                  <c:v>2022</c:v>
                </c:pt>
                <c:pt idx="1">
                  <c:v>2023</c:v>
                </c:pt>
                <c:pt idx="2">
                  <c:v>2024</c:v>
                </c:pt>
                <c:pt idx="3">
                  <c:v>2025</c:v>
                </c:pt>
              </c:numCache>
            </c:numRef>
          </c:cat>
          <c:val>
            <c:numRef>
              <c:f>'Part 4'!$B$5:$E$5</c:f>
              <c:numCache>
                <c:formatCode>General</c:formatCode>
                <c:ptCount val="4"/>
                <c:pt idx="0">
                  <c:v>263</c:v>
                </c:pt>
                <c:pt idx="1">
                  <c:v>258</c:v>
                </c:pt>
                <c:pt idx="2">
                  <c:v>250</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General"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6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7"/>
    </mc:Choice>
    <mc:Fallback>
      <c:style val="7"/>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113846410411081"/>
          <c:y val="0.236818666902036"/>
          <c:w val="0.858463473099775"/>
          <c:h val="0.58896736095804"/>
        </c:manualLayout>
      </c:layout>
      <c:barChart>
        <c:barDir val="col"/>
        <c:grouping val="clustered"/>
        <c:varyColors val="0"/>
        <c:ser>
          <c:idx val="0"/>
          <c:order val="0"/>
          <c:tx>
            <c:strRef>
              <c:f>'[西锐底稿.xlsx]Part 4'!$A$60</c:f>
              <c:strCache>
                <c:ptCount val="1"/>
                <c:pt idx="0">
                  <c:v>售后服务收入占比</c:v>
                </c:pt>
              </c:strCache>
            </c:strRef>
          </c:tx>
          <c:spPr>
            <a:solidFill>
              <a:srgbClr val="002060"/>
            </a:solidFill>
            <a:ln>
              <a:noFill/>
            </a:ln>
            <a:effectLst/>
          </c:spPr>
          <c:invertIfNegative val="0"/>
          <c:dLbls>
            <c:delete val="1"/>
          </c:dLbls>
          <c:cat>
            <c:strRef>
              <c:f>'[西锐底稿.xlsx]Part 4'!$B$59:$G$59</c:f>
              <c:strCache>
                <c:ptCount val="6"/>
                <c:pt idx="0">
                  <c:v>2020</c:v>
                </c:pt>
                <c:pt idx="1">
                  <c:v>2021</c:v>
                </c:pt>
                <c:pt idx="2">
                  <c:v>2022</c:v>
                </c:pt>
                <c:pt idx="3">
                  <c:v>2023</c:v>
                </c:pt>
                <c:pt idx="4">
                  <c:v>2024</c:v>
                </c:pt>
                <c:pt idx="5">
                  <c:v>2025H1</c:v>
                </c:pt>
              </c:strCache>
            </c:strRef>
          </c:cat>
          <c:val>
            <c:numRef>
              <c:f>'[西锐底稿.xlsx]Part 4'!$B$60:$G$60</c:f>
              <c:numCache>
                <c:formatCode>0.00%</c:formatCode>
                <c:ptCount val="6"/>
                <c:pt idx="0">
                  <c:v>0.1674</c:v>
                </c:pt>
                <c:pt idx="1">
                  <c:v>0.1606</c:v>
                </c:pt>
                <c:pt idx="2">
                  <c:v>0.1503</c:v>
                </c:pt>
                <c:pt idx="3">
                  <c:v>0.1424</c:v>
                </c:pt>
                <c:pt idx="4">
                  <c:v>0.1447</c:v>
                </c:pt>
                <c:pt idx="5">
                  <c:v>0.1618</c:v>
                </c:pt>
              </c:numCache>
            </c:numRef>
          </c:val>
        </c:ser>
        <c:dLbls>
          <c:showLegendKey val="0"/>
          <c:showVal val="0"/>
          <c:showCatName val="0"/>
          <c:showSerName val="0"/>
          <c:showPercent val="0"/>
          <c:showBubbleSize val="0"/>
        </c:dLbls>
        <c:gapWidth val="150"/>
        <c:axId val="1021593488"/>
        <c:axId val="1"/>
      </c:barChart>
      <c:catAx>
        <c:axId val="1021593488"/>
        <c:scaling>
          <c:orientation val="minMax"/>
        </c:scaling>
        <c:delete val="0"/>
        <c:axPos val="b"/>
        <c:numFmt formatCode="@" sourceLinked="0"/>
        <c:majorTickMark val="in"/>
        <c:minorTickMark val="none"/>
        <c:tickLblPos val="nextTo"/>
        <c:spPr>
          <a:noFill/>
          <a:ln w="3175" cap="flat" cmpd="sng" algn="ctr">
            <a:solidFill>
              <a:srgbClr val="000000"/>
            </a:solidFill>
            <a:prstDash val="solid"/>
            <a:round/>
          </a:ln>
          <a:effectLst/>
        </c:spPr>
        <c:txPr>
          <a:bodyPr rot="-270000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
        <c:crosses val="autoZero"/>
        <c:auto val="1"/>
        <c:lblAlgn val="ctr"/>
        <c:lblOffset val="100"/>
        <c:noMultiLvlLbl val="0"/>
      </c:catAx>
      <c:valAx>
        <c:axId val="1"/>
        <c:scaling>
          <c:orientation val="minMax"/>
        </c:scaling>
        <c:delete val="0"/>
        <c:axPos val="l"/>
        <c:numFmt formatCode="0.0%" sourceLinked="0"/>
        <c:majorTickMark val="in"/>
        <c:minorTickMark val="none"/>
        <c:tickLblPos val="nextTo"/>
        <c:spPr>
          <a:noFill/>
          <a:ln w="3175" cap="flat" cmpd="sng" algn="ctr">
            <a:solidFill>
              <a:srgbClr val="000000"/>
            </a:solidFill>
            <a:prstDash val="solid"/>
            <a:round/>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crossAx val="1021593488"/>
        <c:crosses val="autoZero"/>
        <c:crossBetween val="between"/>
      </c:valAx>
      <c:spPr>
        <a:noFill/>
        <a:ln w="25400">
          <a:noFill/>
        </a:ln>
        <a:effectLst/>
      </c:spPr>
    </c:plotArea>
    <c:legend>
      <c:legendPos val="t"/>
      <c:layout/>
      <c:overlay val="0"/>
      <c:spPr>
        <a:solidFill>
          <a:srgbClr val="FFFFFF"/>
        </a:solidFill>
        <a:ln w="25400">
          <a:noFill/>
        </a:ln>
        <a:effectLst/>
      </c:spPr>
      <c:txPr>
        <a:bodyPr rot="0" spcFirstLastPara="1" vertOverflow="ellipsis" vert="horz" wrap="square" anchor="ctr" anchorCtr="1"/>
        <a:lstStyle/>
        <a:p>
          <a:pPr>
            <a:defRPr lang="zh-CN" sz="700" b="0" i="0" u="none" strike="noStrike" kern="1200"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legend>
    <c:plotVisOnly val="1"/>
    <c:dispBlanksAs val="gap"/>
    <c:showDLblsOverMax val="0"/>
  </c:chart>
  <c:spPr>
    <a:solidFill>
      <a:srgbClr val="FFFFFF"/>
    </a:solidFill>
    <a:ln w="9525" cap="flat" cmpd="sng" algn="ctr">
      <a:noFill/>
      <a:prstDash val="solid"/>
      <a:round/>
    </a:ln>
    <a:effectLst/>
  </c:spPr>
  <c:txPr>
    <a:bodyPr/>
    <a:lstStyle/>
    <a:p>
      <a:pPr>
        <a:defRPr lang="zh-CN" sz="700" b="0" i="0" u="none" strike="noStrike" baseline="0">
          <a:solidFill>
            <a:srgbClr val="000000"/>
          </a:solidFill>
          <a:latin typeface="微软雅黑" panose="020B0503020204020204" pitchFamily="2" charset="-122"/>
          <a:ea typeface="微软雅黑" panose="020B0503020204020204" pitchFamily="2" charset="-122"/>
          <a:cs typeface="Times New Roman" panose="02020603050405020304" charset="0"/>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withinLinear" id="18">
  <a:schemeClr val="accent5"/>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withinLinear" id="18">
  <a:schemeClr val="accent5"/>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withinLinear" id="18">
  <a:schemeClr val="accent5"/>
</cs:colorStyle>
</file>

<file path=word/charts/colors16.xml><?xml version="1.0" encoding="utf-8"?>
<cs:colorStyle xmlns:cs="http://schemas.microsoft.com/office/drawing/2012/chartStyle" xmlns:a="http://schemas.openxmlformats.org/drawingml/2006/main" meth="withinLinear" id="18">
  <a:schemeClr val="accent5"/>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withinLinear" id="18">
  <a:schemeClr val="accent5"/>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withinLinear" id="18">
  <a:schemeClr val="accent5"/>
</cs:colorStyle>
</file>

<file path=word/charts/colors22.xml><?xml version="1.0" encoding="utf-8"?>
<cs:colorStyle xmlns:cs="http://schemas.microsoft.com/office/drawing/2012/chartStyle" xmlns:a="http://schemas.openxmlformats.org/drawingml/2006/main" meth="withinLinear" id="18">
  <a:schemeClr val="accent5"/>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6.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6.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17.xml><?xml version="1.0" encoding="utf-8"?>
<cs:chartStyle xmlns:cs="http://schemas.microsoft.com/office/drawing/2012/chartStyle" xmlns:a="http://schemas.openxmlformats.org/drawingml/2006/main" id="10019">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solidFill>
          <a:schemeClr val="bg1"/>
        </a:solid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charts/style22.xml><?xml version="1.0" encoding="utf-8"?>
<cs:chartStyle xmlns:cs="http://schemas.microsoft.com/office/drawing/2012/chartStyle" xmlns:a="http://schemas.openxmlformats.org/drawingml/2006/main" id="102">
  <cs:axisTitle>
    <cs:lnRef idx="0"/>
    <cs:fillRef idx="0"/>
    <cs:effectRef idx="0"/>
    <cs:fontRef idx="minor">
      <a:schemeClr val="tx1"/>
    </cs:fontRef>
    <cs:defRPr sz="1000" b="1" kern="1200"/>
  </cs:axisTitle>
  <cs:categoryAxis>
    <cs:lnRef idx="1">
      <a:schemeClr val="tx1">
        <a:tint val="75000"/>
      </a:schemeClr>
    </cs:lnRef>
    <cs:fillRef idx="0"/>
    <cs:effectRef idx="0"/>
    <cs:fontRef idx="minor">
      <a:schemeClr val="tx1"/>
    </cs:fontRef>
    <cs:spPr>
      <a:ln>
        <a:round/>
      </a:ln>
    </cs:spPr>
    <cs:defRPr sz="1000" kern="1200"/>
  </cs:categoryAxis>
  <cs:chartArea mods="allowNoFillOverride allowNoLineOverride">
    <cs:lnRef idx="1">
      <a:schemeClr val="tx1">
        <a:tint val="75000"/>
      </a:schemeClr>
    </cs:lnRef>
    <cs:fillRef idx="1">
      <a:schemeClr val="bg1"/>
    </cs:fillRef>
    <cs:effectRef idx="0"/>
    <cs:fontRef idx="minor">
      <a:schemeClr val="tx1"/>
    </cs:fontRef>
    <cs:spPr>
      <a:ln>
        <a:round/>
      </a:ln>
    </cs:spPr>
    <cs:defRPr sz="1000" kern="1200"/>
  </cs:chartArea>
  <cs:dataLabel>
    <cs:lnRef idx="0"/>
    <cs:fillRef idx="0"/>
    <cs:effectRef idx="0"/>
    <cs:fontRef idx="minor">
      <a:schemeClr val="tx1"/>
    </cs:fontRef>
    <cs:defRPr sz="1000" kern="1200"/>
  </cs:dataLabel>
  <cs:dataLabelCallout>
    <cs:lnRef idx="0"/>
    <cs:fillRef idx="0"/>
    <cs:effectRef idx="0"/>
    <cs:fontRef idx="minor">
      <a:schemeClr val="dk1"/>
    </cs:fontRef>
    <cs:spPr>
      <a:solidFill>
        <a:schemeClr val="lt1"/>
      </a:solidFill>
      <a:ln>
        <a:solidFill>
          <a:schemeClr val="dk1">
            <a:lumMod val="65000"/>
            <a:lumOff val="35000"/>
          </a:schemeClr>
        </a:solidFill>
      </a:ln>
    </cs:spPr>
    <cs:defRPr sz="1000" kern="1200"/>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1">
      <cs:styleClr val="auto"/>
    </cs:lnRef>
    <cs:lineWidthScale>3</cs:lineWidthScale>
    <cs:fillRef idx="0"/>
    <cs:effectRef idx="0"/>
    <cs:fontRef idx="minor">
      <a:schemeClr val="tx1"/>
    </cs:fontRef>
    <cs:spPr>
      <a:ln cap="rnd">
        <a:round/>
      </a:ln>
    </cs:spPr>
  </cs:dataPointLine>
  <cs:dataPointMarker>
    <cs:lnRef idx="1">
      <cs:styleClr val="auto"/>
    </cs:lnRef>
    <cs:fillRef idx="1">
      <cs:styleClr val="auto"/>
    </cs:fillRef>
    <cs:effectRef idx="0"/>
    <cs:fontRef idx="minor">
      <a:schemeClr val="tx1"/>
    </cs:fontRef>
    <cs:spPr>
      <a:ln>
        <a:round/>
      </a:ln>
    </cs:spPr>
  </cs:dataPointMarker>
  <cs:dataPointMarkerLayout/>
  <cs:dataPointWireframe>
    <cs:lnRef idx="1">
      <cs:styleClr val="auto"/>
    </cs:lnRef>
    <cs:fillRef idx="0"/>
    <cs:effectRef idx="0"/>
    <cs:fontRef idx="minor">
      <a:schemeClr val="tx1"/>
    </cs:fontRef>
    <cs:spPr>
      <a:ln>
        <a:round/>
      </a:ln>
    </cs:spPr>
  </cs:dataPointWireframe>
  <cs:dataTable>
    <cs:lnRef idx="1">
      <a:schemeClr val="tx1">
        <a:tint val="75000"/>
      </a:schemeClr>
    </cs:lnRef>
    <cs:fillRef idx="0"/>
    <cs:effectRef idx="0"/>
    <cs:fontRef idx="minor">
      <a:schemeClr val="tx1"/>
    </cs:fontRef>
    <cs:spPr>
      <a:ln>
        <a:round/>
      </a:ln>
    </cs:spPr>
    <cs:defRPr sz="1000" kern="1200"/>
  </cs:dataTable>
  <cs:downBar>
    <cs:lnRef idx="1">
      <a:schemeClr val="tx1"/>
    </cs:lnRef>
    <cs:fillRef idx="1">
      <a:schemeClr val="dk1">
        <a:tint val="95000"/>
      </a:schemeClr>
    </cs:fillRef>
    <cs:effectRef idx="0"/>
    <cs:fontRef idx="minor">
      <a:schemeClr val="tx1"/>
    </cs:fontRef>
    <cs:spPr>
      <a:ln>
        <a:round/>
      </a:ln>
    </cs:spPr>
  </cs:downBar>
  <cs:dropLine>
    <cs:lnRef idx="1">
      <a:schemeClr val="tx1"/>
    </cs:lnRef>
    <cs:fillRef idx="0"/>
    <cs:effectRef idx="0"/>
    <cs:fontRef idx="minor">
      <a:schemeClr val="tx1"/>
    </cs:fontRef>
    <cs:spPr>
      <a:ln>
        <a:round/>
      </a:ln>
    </cs:spPr>
  </cs:dropLine>
  <cs:errorBar>
    <cs:lnRef idx="1">
      <a:schemeClr val="tx1"/>
    </cs:lnRef>
    <cs:fillRef idx="1">
      <a:schemeClr val="tx1"/>
    </cs:fillRef>
    <cs:effectRef idx="0"/>
    <cs:fontRef idx="minor">
      <a:schemeClr val="tx1"/>
    </cs:fontRef>
    <cs:spPr>
      <a:ln>
        <a:round/>
      </a:ln>
    </cs:spPr>
  </cs:errorBar>
  <cs:floor>
    <cs:lnRef idx="1">
      <a:schemeClr val="tx1">
        <a:tint val="75000"/>
      </a:schemeClr>
    </cs:lnRef>
    <cs:fillRef idx="0"/>
    <cs:effectRef idx="0"/>
    <cs:fontRef idx="minor">
      <a:schemeClr val="tx1"/>
    </cs:fontRef>
    <cs:spPr>
      <a:ln>
        <a:round/>
      </a:ln>
    </cs:spPr>
  </cs:floor>
  <cs:gridlineMajor>
    <cs:lnRef idx="1">
      <a:schemeClr val="tx1">
        <a:tint val="75000"/>
      </a:schemeClr>
    </cs:lnRef>
    <cs:fillRef idx="0"/>
    <cs:effectRef idx="0"/>
    <cs:fontRef idx="minor">
      <a:schemeClr val="tx1"/>
    </cs:fontRef>
    <cs:spPr>
      <a:ln>
        <a:round/>
      </a:ln>
    </cs:spPr>
  </cs:gridlineMajor>
  <cs:gridlineMinor>
    <cs:lnRef idx="1">
      <a:schemeClr val="tx1">
        <a:tint val="50000"/>
      </a:schemeClr>
    </cs:lnRef>
    <cs:fillRef idx="0"/>
    <cs:effectRef idx="0"/>
    <cs:fontRef idx="minor">
      <a:schemeClr val="tx1"/>
    </cs:fontRef>
    <cs:spPr>
      <a:ln>
        <a:round/>
      </a:ln>
    </cs:spPr>
  </cs:gridlineMinor>
  <cs:hiLoLine>
    <cs:lnRef idx="1">
      <a:schemeClr val="tx1"/>
    </cs:lnRef>
    <cs:fillRef idx="0"/>
    <cs:effectRef idx="0"/>
    <cs:fontRef idx="minor">
      <a:schemeClr val="tx1"/>
    </cs:fontRef>
    <cs:spPr>
      <a:ln>
        <a:round/>
      </a:ln>
    </cs:spPr>
  </cs:hiLoLine>
  <cs:leaderLine>
    <cs:lnRef idx="1">
      <a:schemeClr val="tx1"/>
    </cs:lnRef>
    <cs:fillRef idx="0"/>
    <cs:effectRef idx="0"/>
    <cs:fontRef idx="minor">
      <a:schemeClr val="tx1"/>
    </cs:fontRef>
    <cs:spPr>
      <a:ln>
        <a:round/>
      </a:ln>
    </cs:spPr>
  </cs:leaderLine>
  <cs:legend>
    <cs:lnRef idx="0"/>
    <cs:fillRef idx="0"/>
    <cs:effectRef idx="0"/>
    <cs:fontRef idx="minor">
      <a:schemeClr val="tx1"/>
    </cs:fontRef>
    <cs:defRPr sz="1000" kern="1200"/>
  </cs:legend>
  <cs:plotArea mods="allowNoFillOverride allowNoLineOverride">
    <cs:lnRef idx="0"/>
    <cs:fillRef idx="1">
      <a:schemeClr val="bg1"/>
    </cs:fillRef>
    <cs:effectRef idx="0"/>
    <cs:fontRef idx="minor">
      <a:schemeClr val="tx1"/>
    </cs:fontRef>
  </cs:plotArea>
  <cs:plotArea3D>
    <cs:lnRef idx="0"/>
    <cs:fillRef idx="0"/>
    <cs:effectRef idx="0"/>
    <cs:fontRef idx="minor">
      <a:schemeClr val="tx1"/>
    </cs:fontRef>
  </cs:plotArea3D>
  <cs:seriesAxis>
    <cs:lnRef idx="1">
      <a:schemeClr val="tx1">
        <a:tint val="75000"/>
      </a:schemeClr>
    </cs:lnRef>
    <cs:fillRef idx="0"/>
    <cs:effectRef idx="0"/>
    <cs:fontRef idx="minor">
      <a:schemeClr val="tx1"/>
    </cs:fontRef>
    <cs:spPr>
      <a:ln>
        <a:round/>
      </a:ln>
    </cs:spPr>
    <cs:defRPr sz="1000" kern="1200"/>
  </cs:seriesAxis>
  <cs:seriesLine>
    <cs:lnRef idx="1">
      <a:schemeClr val="tx1"/>
    </cs:lnRef>
    <cs:fillRef idx="0"/>
    <cs:effectRef idx="0"/>
    <cs:fontRef idx="minor">
      <a:schemeClr val="tx1"/>
    </cs:fontRef>
    <cs:spPr>
      <a:ln>
        <a:round/>
      </a:ln>
    </cs:spPr>
  </cs:seriesLine>
  <cs:title>
    <cs:lnRef idx="0"/>
    <cs:fillRef idx="0"/>
    <cs:effectRef idx="0"/>
    <cs:fontRef idx="minor">
      <a:schemeClr val="tx1"/>
    </cs:fontRef>
    <cs:defRPr sz="1800" b="1" kern="1200"/>
  </cs:title>
  <cs:trendline>
    <cs:lnRef idx="1">
      <a:schemeClr val="tx1"/>
    </cs:lnRef>
    <cs:fillRef idx="0"/>
    <cs:effectRef idx="0"/>
    <cs:fontRef idx="minor">
      <a:schemeClr val="tx1"/>
    </cs:fontRef>
    <cs:spPr>
      <a:ln cap="rnd">
        <a:round/>
      </a:ln>
    </cs:spPr>
  </cs:trendline>
  <cs:trendlineLabel>
    <cs:lnRef idx="0"/>
    <cs:fillRef idx="0"/>
    <cs:effectRef idx="0"/>
    <cs:fontRef idx="minor">
      <a:schemeClr val="tx1"/>
    </cs:fontRef>
    <cs:defRPr sz="1000" kern="1200"/>
  </cs:trendlineLabel>
  <cs:upBar>
    <cs:lnRef idx="1">
      <a:schemeClr val="tx1"/>
    </cs:lnRef>
    <cs:fillRef idx="1">
      <a:schemeClr val="dk1">
        <a:tint val="5000"/>
      </a:schemeClr>
    </cs:fillRef>
    <cs:effectRef idx="0"/>
    <cs:fontRef idx="minor">
      <a:schemeClr val="tx1"/>
    </cs:fontRef>
    <cs:spPr>
      <a:ln>
        <a:round/>
      </a:ln>
    </cs:spPr>
  </cs:upBar>
  <cs:valueAxis>
    <cs:lnRef idx="1">
      <a:schemeClr val="tx1">
        <a:tint val="75000"/>
      </a:schemeClr>
    </cs:lnRef>
    <cs:fillRef idx="0"/>
    <cs:effectRef idx="0"/>
    <cs:fontRef idx="minor">
      <a:schemeClr val="tx1"/>
    </cs:fontRef>
    <cs:spPr>
      <a:ln>
        <a:round/>
      </a:ln>
    </cs:spPr>
    <cs:defRPr sz="1000" kern="1200"/>
  </cs:valueAxis>
  <cs:wall>
    <cs:lnRef idx="0"/>
    <cs:fillRef idx="0"/>
    <cs:effectRef idx="0"/>
    <cs:fontRef idx="minor">
      <a:schemeClr val="tx1"/>
    </cs:fontRef>
  </cs:wall>
</cs:chartStyle>
</file>

<file path=word/glossary/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A7DF2113BC84988AC653F937B869E52"/>
        <w:style w:val=""/>
        <w:category>
          <w:name w:val="常规"/>
          <w:gallery w:val="placeholder"/>
        </w:category>
        <w:types>
          <w:type w:val="bbPlcHdr"/>
        </w:types>
        <w:behaviors>
          <w:behavior w:val="content"/>
        </w:behaviors>
        <w:description w:val=""/>
        <w:guid w:val="{CCC19E6C-F05C-44C1-B9B0-AB5549CC6D93}"/>
      </w:docPartPr>
      <w:docPartBody>
        <w:p>
          <w:pPr>
            <w:pStyle w:val="4"/>
            <w:rPr>
              <w:rFonts w:hint="eastAsia"/>
            </w:rPr>
          </w:pPr>
          <w:r>
            <w:rPr>
              <w:lang w:val="zh-CN"/>
            </w:rPr>
            <w:t>[在此处键入]</w:t>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32462"/>
    <w:rsid w:val="000202AF"/>
    <w:rsid w:val="00033511"/>
    <w:rsid w:val="00061815"/>
    <w:rsid w:val="00096427"/>
    <w:rsid w:val="000C513D"/>
    <w:rsid w:val="00176706"/>
    <w:rsid w:val="00176D52"/>
    <w:rsid w:val="00196F29"/>
    <w:rsid w:val="001A6A8F"/>
    <w:rsid w:val="001D5A22"/>
    <w:rsid w:val="001D7381"/>
    <w:rsid w:val="001E0203"/>
    <w:rsid w:val="00262310"/>
    <w:rsid w:val="002A0007"/>
    <w:rsid w:val="002B6266"/>
    <w:rsid w:val="002D795F"/>
    <w:rsid w:val="003108EF"/>
    <w:rsid w:val="00341C85"/>
    <w:rsid w:val="003E4F87"/>
    <w:rsid w:val="00414D3F"/>
    <w:rsid w:val="00433488"/>
    <w:rsid w:val="004653EA"/>
    <w:rsid w:val="004A77A0"/>
    <w:rsid w:val="00532462"/>
    <w:rsid w:val="00585FEA"/>
    <w:rsid w:val="005B3912"/>
    <w:rsid w:val="005C7598"/>
    <w:rsid w:val="006206E5"/>
    <w:rsid w:val="0062713A"/>
    <w:rsid w:val="006A0886"/>
    <w:rsid w:val="006A2C06"/>
    <w:rsid w:val="006B39BB"/>
    <w:rsid w:val="007064AC"/>
    <w:rsid w:val="00731DBD"/>
    <w:rsid w:val="00732BE6"/>
    <w:rsid w:val="00744DA6"/>
    <w:rsid w:val="00757BB2"/>
    <w:rsid w:val="007B330D"/>
    <w:rsid w:val="007C609E"/>
    <w:rsid w:val="008D5780"/>
    <w:rsid w:val="008F1387"/>
    <w:rsid w:val="00912C77"/>
    <w:rsid w:val="009255EC"/>
    <w:rsid w:val="00936C11"/>
    <w:rsid w:val="00955955"/>
    <w:rsid w:val="00976834"/>
    <w:rsid w:val="00996501"/>
    <w:rsid w:val="009D5877"/>
    <w:rsid w:val="00A354E2"/>
    <w:rsid w:val="00A4142A"/>
    <w:rsid w:val="00AC1224"/>
    <w:rsid w:val="00B542A3"/>
    <w:rsid w:val="00B61A81"/>
    <w:rsid w:val="00B70510"/>
    <w:rsid w:val="00BF7880"/>
    <w:rsid w:val="00C46ABE"/>
    <w:rsid w:val="00CE6729"/>
    <w:rsid w:val="00CE76D0"/>
    <w:rsid w:val="00CF7F45"/>
    <w:rsid w:val="00D12B3B"/>
    <w:rsid w:val="00D15E10"/>
    <w:rsid w:val="00D52466"/>
    <w:rsid w:val="00D715ED"/>
    <w:rsid w:val="00D81B9A"/>
    <w:rsid w:val="00D92F8D"/>
    <w:rsid w:val="00DB417A"/>
    <w:rsid w:val="00DD0428"/>
    <w:rsid w:val="00DD421F"/>
    <w:rsid w:val="00E9250A"/>
    <w:rsid w:val="00F1146A"/>
    <w:rsid w:val="00F613D7"/>
    <w:rsid w:val="00F80B9B"/>
    <w:rsid w:val="00FA5472"/>
    <w:rsid w:val="00FC57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uiPriority="1" w:name="Default Paragraph Font"/>
    <w:lsdException w:qFormat="1" w:uiPriority="99" w:name="Normal Table"/>
  </w:latentStyles>
  <w:style w:type="paragraph" w:default="1" w:styleId="1">
    <w:name w:val="Normal"/>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 w:type="character" w:default="1" w:styleId="2">
    <w:name w:val="Default Paragraph Font"/>
    <w:semiHidden/>
    <w:unhideWhenUsed/>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A7DF2113BC84988AC653F937B869E52"/>
    <w:qFormat/>
    <w:uiPriority w:val="0"/>
    <w:pPr>
      <w:widowControl w:val="0"/>
      <w:spacing w:after="160" w:line="278" w:lineRule="auto"/>
    </w:pPr>
    <w:rPr>
      <w:rFonts w:asciiTheme="minorHAnsi" w:hAnsiTheme="minorHAnsi" w:eastAsiaTheme="minorEastAsia" w:cstheme="minorBidi"/>
      <w:kern w:val="2"/>
      <w:sz w:val="22"/>
      <w:szCs w:val="24"/>
      <w:lang w:val="en-US" w:eastAsia="zh-CN" w:bidi="ar-SA"/>
      <w14:ligatures w14:val="standardContextual"/>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8.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9.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0.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3.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6.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19.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0.xml><?xml version="1.0" encoding="utf-8"?>
<a:themeOverride xmlns:a="http://schemas.openxmlformats.org/drawingml/2006/main">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2.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Gothic"/>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9FD1BB-8468-4381-B344-02B2A34111CF}">
  <ds:schemaRefs/>
</ds:datastoreItem>
</file>

<file path=docProps/app.xml><?xml version="1.0" encoding="utf-8"?>
<Properties xmlns="http://schemas.openxmlformats.org/officeDocument/2006/extended-properties" xmlns:vt="http://schemas.openxmlformats.org/officeDocument/2006/docPropsVTypes">
  <Template>Normal</Template>
  <Pages>27</Pages>
  <Words>12234</Words>
  <Characters>20985</Characters>
  <Lines>649</Lines>
  <Paragraphs>374</Paragraphs>
  <TotalTime>4</TotalTime>
  <ScaleCrop>false</ScaleCrop>
  <LinksUpToDate>false</LinksUpToDate>
  <CharactersWithSpaces>22716</CharactersWithSpaces>
  <Application>WPS Office_12.1.0.16250_F1E327BC-269C-435d-A152-05C5408002CA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2026-01-13T02:06:00Z</dcterms:created>
  <dc:creator>强 罗</dc:creator>
  <cp:lastModifiedBy>Etein.</cp:lastModifiedBy>
  <dcterms:modified xsi:type="dcterms:W3CDTF">2026-03-25T07:39:43Z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eyJoZGlkIjoiMzZjNzRlNjcyNmM5NGY1YjZmYzc5MzY0MjcyMDM4M2MiLCJ1c2VySWQiOiIzOTI4MzU2MjAifQ==</vt:lpwstr>
  </property>
  <property fmtid="{D5CDD505-2E9C-101B-9397-08002B2CF9AE}" pid="3" name="KSOProductBuildVer">
    <vt:lpwstr>2052-12.1.0.16250</vt:lpwstr>
  </property>
  <property fmtid="{D5CDD505-2E9C-101B-9397-08002B2CF9AE}" pid="4" name="ICV">
    <vt:lpwstr>5770013363A24D63A9998D7439416111_13</vt:lpwstr>
  </property>
</Properties>
</file>