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4.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5.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6.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7.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8.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9.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10.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11.xml" ContentType="application/vnd.openxmlformats-officedocument.themeOverrid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12.xml" ContentType="application/vnd.openxmlformats-officedocument.themeOverrid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13.xml" ContentType="application/vnd.openxmlformats-officedocument.themeOverrid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14.xml" ContentType="application/vnd.openxmlformats-officedocument.themeOverrid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pPr w:leftFromText="180" w:rightFromText="180" w:vertAnchor="text" w:tblpXSpec="right" w:tblpY="1"/>
        <w:tblOverlap w:val="never"/>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30" w:type="dxa"/>
          <w:right w:w="40" w:type="dxa"/>
        </w:tblCellMar>
        <w:tblLook w:val="04A0" w:firstRow="1" w:lastRow="0" w:firstColumn="1" w:lastColumn="0" w:noHBand="0" w:noVBand="1"/>
        <w:tblCaption w:val="[Table_Main]"/>
        <w:tblDescription w:val="表格隐藏唯一标识（请勿删除或修改）"/>
      </w:tblPr>
      <w:tblGrid>
        <w:gridCol w:w="62"/>
        <w:gridCol w:w="4269"/>
        <w:gridCol w:w="2100"/>
        <w:gridCol w:w="1218"/>
        <w:gridCol w:w="3062"/>
        <w:gridCol w:w="63"/>
      </w:tblGrid>
      <w:tr w:rsidR="00CA1CB5" w14:paraId="401D380C" w14:textId="77777777">
        <w:trPr>
          <w:gridAfter w:val="1"/>
          <w:wAfter w:w="63" w:type="dxa"/>
          <w:trHeight w:hRule="exact" w:val="23"/>
        </w:trPr>
        <w:tc>
          <w:tcPr>
            <w:tcW w:w="6470" w:type="dxa"/>
            <w:gridSpan w:val="3"/>
            <w:tcMar>
              <w:top w:w="60" w:type="dxa"/>
              <w:left w:w="120" w:type="dxa"/>
            </w:tcMar>
          </w:tcPr>
          <w:p w14:paraId="0A8FF9E8" w14:textId="77777777" w:rsidR="00CA1CB5" w:rsidRDefault="00EE3BC1">
            <w:pPr>
              <w:pStyle w:val="EFAFPHdrInfo3"/>
              <w:rPr>
                <w:rFonts w:eastAsia="楷体_GB2312" w:cs="Calibri"/>
                <w:color w:val="FFFFFF" w:themeColor="background1"/>
                <w:sz w:val="21"/>
                <w:szCs w:val="21"/>
                <w:lang w:eastAsia="zh-CN"/>
              </w:rPr>
            </w:pPr>
            <w:r>
              <w:rPr>
                <w:rFonts w:eastAsia="楷体_GB2312" w:cs="Calibri" w:hint="eastAsia"/>
                <w:color w:val="FFFFFF" w:themeColor="background1"/>
                <w:sz w:val="21"/>
                <w:szCs w:val="21"/>
                <w:lang w:eastAsia="zh-CN"/>
              </w:rPr>
              <w:t>0</w:t>
            </w:r>
            <w:r>
              <w:rPr>
                <w:rFonts w:eastAsia="楷体_GB2312" w:cs="Calibri" w:hint="eastAsia"/>
                <w:color w:val="FFFFFF" w:themeColor="background1"/>
                <w:sz w:val="21"/>
                <w:szCs w:val="21"/>
                <w:lang w:eastAsia="zh-CN"/>
              </w:rPr>
              <w:t>；【】跑不过</w:t>
            </w:r>
            <w:proofErr w:type="gramStart"/>
            <w:r>
              <w:rPr>
                <w:rFonts w:eastAsia="楷体_GB2312" w:cs="Calibri" w:hint="eastAsia"/>
                <w:color w:val="FFFFFF" w:themeColor="background1"/>
                <w:sz w:val="21"/>
                <w:szCs w:val="21"/>
                <w:lang w:eastAsia="zh-CN"/>
              </w:rPr>
              <w:t>【</w:t>
            </w:r>
            <w:proofErr w:type="gramEnd"/>
            <w:r>
              <w:rPr>
                <w:rFonts w:eastAsia="楷体_GB2312" w:cs="Calibri" w:hint="eastAsia"/>
                <w:color w:val="FFFFFF" w:themeColor="background1"/>
                <w:sz w:val="21"/>
                <w:szCs w:val="21"/>
                <w:lang w:eastAsia="zh-CN"/>
              </w:rPr>
              <w:t>M</w:t>
            </w:r>
            <w:r>
              <w:rPr>
                <w:rFonts w:eastAsia="楷体_GB2312" w:cs="Calibri"/>
                <w:color w:val="FFFFFF" w:themeColor="background1"/>
                <w:sz w:val="21"/>
                <w:szCs w:val="21"/>
                <w:lang w:eastAsia="zh-CN"/>
              </w:rPr>
              <w:t>[</w:t>
            </w:r>
            <w:proofErr w:type="spellStart"/>
            <w:r>
              <w:rPr>
                <w:rFonts w:eastAsia="楷体_GB2312" w:cs="Calibri"/>
                <w:color w:val="FFFFFF" w:themeColor="background1"/>
                <w:sz w:val="21"/>
                <w:szCs w:val="21"/>
                <w:lang w:eastAsia="zh-CN"/>
              </w:rPr>
              <w:t>Table_Main</w:t>
            </w:r>
            <w:proofErr w:type="spellEnd"/>
            <w:r>
              <w:rPr>
                <w:rFonts w:eastAsia="楷体_GB2312" w:cs="Calibri"/>
                <w:color w:val="FFFFFF" w:themeColor="background1"/>
                <w:sz w:val="21"/>
                <w:szCs w:val="21"/>
                <w:lang w:eastAsia="zh-CN"/>
              </w:rPr>
              <w:t>]</w:t>
            </w:r>
          </w:p>
        </w:tc>
        <w:tc>
          <w:tcPr>
            <w:tcW w:w="1224" w:type="dxa"/>
            <w:vAlign w:val="center"/>
          </w:tcPr>
          <w:p w14:paraId="5072DD19" w14:textId="77777777" w:rsidR="00CA1CB5" w:rsidRDefault="00CA1CB5">
            <w:pPr>
              <w:pStyle w:val="EFAFPFrameText115pt"/>
              <w:framePr w:wrap="auto" w:xAlign="left" w:yAlign="inline"/>
              <w:rPr>
                <w:rFonts w:eastAsia="楷体_GB2312" w:cs="Calibri"/>
                <w:highlight w:val="yellow"/>
              </w:rPr>
            </w:pPr>
          </w:p>
        </w:tc>
        <w:tc>
          <w:tcPr>
            <w:tcW w:w="3080" w:type="dxa"/>
          </w:tcPr>
          <w:p w14:paraId="6198DB2D" w14:textId="77777777" w:rsidR="00CA1CB5" w:rsidRDefault="00CA1CB5">
            <w:pPr>
              <w:pStyle w:val="EFAFPFrameText115ptRight"/>
              <w:framePr w:wrap="auto" w:xAlign="left" w:yAlign="inline"/>
              <w:rPr>
                <w:rFonts w:eastAsia="楷体_GB2312" w:cs="Calibri"/>
                <w:highlight w:val="yellow"/>
              </w:rPr>
            </w:pPr>
          </w:p>
        </w:tc>
      </w:tr>
      <w:tr w:rsidR="00CA1CB5" w14:paraId="4FFEFD29" w14:textId="77777777">
        <w:trPr>
          <w:gridAfter w:val="1"/>
          <w:wAfter w:w="63" w:type="dxa"/>
          <w:trHeight w:hRule="exact" w:val="318"/>
        </w:trPr>
        <w:tc>
          <w:tcPr>
            <w:tcW w:w="6470" w:type="dxa"/>
            <w:gridSpan w:val="3"/>
            <w:tcMar>
              <w:top w:w="60" w:type="dxa"/>
              <w:left w:w="119" w:type="dxa"/>
              <w:right w:w="0" w:type="dxa"/>
            </w:tcMar>
            <w:vAlign w:val="center"/>
          </w:tcPr>
          <w:p w14:paraId="3BFBF103" w14:textId="77777777" w:rsidR="00CA1CB5" w:rsidRDefault="00EE3BC1">
            <w:pPr>
              <w:pStyle w:val="EFAFPFrameText115pt"/>
              <w:framePr w:wrap="auto" w:xAlign="left" w:yAlign="inline"/>
              <w:rPr>
                <w:rFonts w:eastAsia="楷体_GB2312" w:cs="Calibri"/>
                <w:b w:val="0"/>
                <w:sz w:val="16"/>
                <w:lang w:eastAsia="zh-CN"/>
              </w:rPr>
            </w:pPr>
            <w:r>
              <w:rPr>
                <w:rFonts w:eastAsia="楷体_GB2312" w:cs="Calibri"/>
                <w:b w:val="0"/>
                <w:sz w:val="16"/>
                <w:lang w:eastAsia="zh-CN"/>
              </w:rPr>
              <w:t>研究报告</w:t>
            </w:r>
            <w:r>
              <w:rPr>
                <w:rFonts w:eastAsia="楷体_GB2312" w:cs="Calibri"/>
                <w:b w:val="0"/>
                <w:sz w:val="16"/>
                <w:lang w:eastAsia="zh-CN"/>
              </w:rPr>
              <w:t>Research Report</w:t>
            </w:r>
          </w:p>
        </w:tc>
        <w:tc>
          <w:tcPr>
            <w:tcW w:w="4304" w:type="dxa"/>
            <w:gridSpan w:val="2"/>
          </w:tcPr>
          <w:p w14:paraId="4B59D2F6" w14:textId="77777777" w:rsidR="00CA1CB5" w:rsidRDefault="00CA1CB5">
            <w:pPr>
              <w:pStyle w:val="EFAFPHdrInfo3"/>
              <w:rPr>
                <w:rFonts w:eastAsia="楷体_GB2312" w:cs="Calibri"/>
                <w:color w:val="A7242B"/>
                <w:sz w:val="16"/>
                <w:szCs w:val="16"/>
                <w:lang w:eastAsia="zh-CN"/>
              </w:rPr>
            </w:pPr>
          </w:p>
        </w:tc>
      </w:tr>
      <w:tr w:rsidR="00CA1CB5" w14:paraId="67AFBEAF" w14:textId="77777777">
        <w:trPr>
          <w:gridAfter w:val="1"/>
          <w:wAfter w:w="63" w:type="dxa"/>
          <w:trHeight w:hRule="exact" w:val="276"/>
        </w:trPr>
        <w:tc>
          <w:tcPr>
            <w:tcW w:w="6470" w:type="dxa"/>
            <w:gridSpan w:val="3"/>
            <w:tcMar>
              <w:top w:w="60" w:type="dxa"/>
              <w:left w:w="119" w:type="dxa"/>
              <w:right w:w="0" w:type="dxa"/>
            </w:tcMar>
            <w:vAlign w:val="center"/>
          </w:tcPr>
          <w:p w14:paraId="0442E6EA" w14:textId="006EB853" w:rsidR="00CA1CB5" w:rsidRDefault="008F4948">
            <w:pPr>
              <w:pStyle w:val="EFAFPFrameText115pt"/>
              <w:framePr w:wrap="auto" w:xAlign="left" w:yAlign="inline"/>
              <w:rPr>
                <w:rFonts w:eastAsia="楷体_GB2312" w:cs="Calibri"/>
                <w:b w:val="0"/>
                <w:sz w:val="20"/>
                <w:szCs w:val="20"/>
                <w:lang w:eastAsia="zh-CN"/>
              </w:rPr>
            </w:pPr>
            <w:r>
              <w:rPr>
                <w:rFonts w:eastAsia="楷体_GB2312" w:cs="Calibri" w:hint="eastAsia"/>
                <w:b w:val="0"/>
                <w:sz w:val="20"/>
                <w:szCs w:val="20"/>
                <w:lang w:eastAsia="zh-CN"/>
              </w:rPr>
              <w:t>1</w:t>
            </w:r>
            <w:r w:rsidR="00496F6A">
              <w:rPr>
                <w:rFonts w:eastAsia="楷体_GB2312" w:cs="Calibri" w:hint="eastAsia"/>
                <w:b w:val="0"/>
                <w:sz w:val="20"/>
                <w:szCs w:val="20"/>
                <w:lang w:eastAsia="zh-CN"/>
              </w:rPr>
              <w:t>6</w:t>
            </w:r>
            <w:r w:rsidR="00EE3BC1">
              <w:rPr>
                <w:rFonts w:eastAsia="楷体_GB2312" w:cs="Calibri"/>
                <w:b w:val="0"/>
                <w:sz w:val="20"/>
                <w:szCs w:val="20"/>
              </w:rPr>
              <w:t xml:space="preserve"> </w:t>
            </w:r>
            <w:r>
              <w:rPr>
                <w:rFonts w:eastAsia="楷体_GB2312" w:cs="Calibri" w:hint="eastAsia"/>
                <w:b w:val="0"/>
                <w:sz w:val="20"/>
                <w:szCs w:val="20"/>
                <w:lang w:eastAsia="zh-CN"/>
              </w:rPr>
              <w:t>Mar</w:t>
            </w:r>
            <w:r w:rsidR="00EE3BC1">
              <w:rPr>
                <w:rFonts w:eastAsia="楷体_GB2312" w:cs="Calibri"/>
                <w:b w:val="0"/>
                <w:sz w:val="20"/>
                <w:szCs w:val="20"/>
              </w:rPr>
              <w:t xml:space="preserve"> 202</w:t>
            </w:r>
            <w:r>
              <w:rPr>
                <w:rFonts w:eastAsia="楷体_GB2312" w:cs="Calibri" w:hint="eastAsia"/>
                <w:b w:val="0"/>
                <w:sz w:val="20"/>
                <w:szCs w:val="20"/>
                <w:lang w:eastAsia="zh-CN"/>
              </w:rPr>
              <w:t>6</w:t>
            </w:r>
          </w:p>
        </w:tc>
        <w:tc>
          <w:tcPr>
            <w:tcW w:w="4304" w:type="dxa"/>
            <w:gridSpan w:val="2"/>
          </w:tcPr>
          <w:p w14:paraId="15A14A65" w14:textId="77777777" w:rsidR="00CA1CB5" w:rsidRDefault="00CA1CB5">
            <w:pPr>
              <w:pStyle w:val="EFAFPHdrInfo3"/>
              <w:rPr>
                <w:rFonts w:eastAsia="楷体_GB2312" w:cs="Calibri"/>
                <w:color w:val="A7242B"/>
                <w:sz w:val="16"/>
                <w:szCs w:val="16"/>
                <w:lang w:eastAsia="zh-CN"/>
              </w:rPr>
            </w:pPr>
          </w:p>
        </w:tc>
      </w:tr>
      <w:tr w:rsidR="00CA1CB5" w14:paraId="32C6E220" w14:textId="77777777">
        <w:trPr>
          <w:gridAfter w:val="1"/>
          <w:wAfter w:w="63" w:type="dxa"/>
          <w:trHeight w:hRule="exact" w:val="57"/>
        </w:trPr>
        <w:tc>
          <w:tcPr>
            <w:tcW w:w="10774" w:type="dxa"/>
            <w:gridSpan w:val="5"/>
            <w:tcMar>
              <w:top w:w="60" w:type="dxa"/>
              <w:left w:w="119" w:type="dxa"/>
              <w:right w:w="0" w:type="dxa"/>
            </w:tcMar>
          </w:tcPr>
          <w:p w14:paraId="5C33300A" w14:textId="77777777" w:rsidR="00CA1CB5" w:rsidRDefault="00CA1CB5">
            <w:pPr>
              <w:pStyle w:val="EFAFPFrameText115ptRight"/>
              <w:framePr w:wrap="auto" w:xAlign="left" w:yAlign="inline"/>
              <w:jc w:val="left"/>
              <w:rPr>
                <w:rFonts w:eastAsia="楷体_GB2312" w:cs="Calibri"/>
                <w:sz w:val="40"/>
                <w:szCs w:val="40"/>
                <w:lang w:eastAsia="zh-CN"/>
              </w:rPr>
            </w:pPr>
          </w:p>
        </w:tc>
      </w:tr>
      <w:tr w:rsidR="00CA1CB5" w14:paraId="5D6C27E8" w14:textId="77777777">
        <w:trPr>
          <w:gridAfter w:val="1"/>
          <w:wAfter w:w="63" w:type="dxa"/>
          <w:trHeight w:hRule="exact" w:val="601"/>
        </w:trPr>
        <w:tc>
          <w:tcPr>
            <w:tcW w:w="10774" w:type="dxa"/>
            <w:gridSpan w:val="5"/>
            <w:tcMar>
              <w:top w:w="60" w:type="dxa"/>
              <w:left w:w="119" w:type="dxa"/>
              <w:right w:w="0" w:type="dxa"/>
            </w:tcMar>
          </w:tcPr>
          <w:p w14:paraId="12DDAE15" w14:textId="1DB8A458" w:rsidR="00CA1CB5" w:rsidRDefault="00E71399">
            <w:pPr>
              <w:pStyle w:val="EFAFPFrameText115ptRight"/>
              <w:framePr w:wrap="auto" w:xAlign="left" w:yAlign="inline"/>
              <w:jc w:val="left"/>
              <w:rPr>
                <w:rFonts w:eastAsia="楷体_GB2312" w:cs="Calibri"/>
                <w:sz w:val="40"/>
                <w:szCs w:val="40"/>
                <w:lang w:eastAsia="zh-CN"/>
              </w:rPr>
            </w:pPr>
            <w:r w:rsidRPr="00E71399">
              <w:rPr>
                <w:rFonts w:eastAsia="楷体_GB2312" w:cs="Calibri"/>
                <w:sz w:val="40"/>
                <w:szCs w:val="40"/>
                <w:lang w:eastAsia="zh-CN"/>
              </w:rPr>
              <w:t xml:space="preserve">L'Oréal </w:t>
            </w:r>
            <w:r>
              <w:rPr>
                <w:rFonts w:eastAsia="楷体_GB2312" w:cs="Calibri" w:hint="eastAsia"/>
                <w:sz w:val="40"/>
                <w:szCs w:val="40"/>
                <w:lang w:eastAsia="zh-CN"/>
              </w:rPr>
              <w:t>Group</w:t>
            </w:r>
            <w:r w:rsidR="001B7270" w:rsidRPr="003C4674">
              <w:rPr>
                <w:rFonts w:eastAsia="楷体_GB2312" w:cs="Calibri"/>
                <w:sz w:val="40"/>
                <w:szCs w:val="40"/>
                <w:lang w:eastAsia="zh-CN"/>
              </w:rPr>
              <w:t xml:space="preserve"> (</w:t>
            </w:r>
            <w:r w:rsidR="00FF0BCD">
              <w:rPr>
                <w:rFonts w:eastAsia="楷体_GB2312" w:cs="Calibri" w:hint="eastAsia"/>
                <w:sz w:val="40"/>
                <w:szCs w:val="40"/>
                <w:lang w:eastAsia="zh-CN"/>
              </w:rPr>
              <w:t>LRLCY US &amp;</w:t>
            </w:r>
            <w:r w:rsidR="008F4948">
              <w:rPr>
                <w:rFonts w:eastAsia="楷体_GB2312" w:cs="Calibri" w:hint="eastAsia"/>
                <w:sz w:val="40"/>
                <w:szCs w:val="40"/>
                <w:lang w:eastAsia="zh-CN"/>
              </w:rPr>
              <w:t xml:space="preserve"> OR PA &amp; 0NZM L</w:t>
            </w:r>
            <w:r w:rsidR="001B7270" w:rsidRPr="003C4674">
              <w:rPr>
                <w:rFonts w:eastAsia="楷体_GB2312" w:cs="Calibri"/>
                <w:sz w:val="40"/>
                <w:szCs w:val="40"/>
                <w:lang w:eastAsia="zh-CN"/>
              </w:rPr>
              <w:t>)</w:t>
            </w:r>
          </w:p>
        </w:tc>
      </w:tr>
      <w:tr w:rsidR="00CA1CB5" w14:paraId="580341E2" w14:textId="77777777">
        <w:trPr>
          <w:gridAfter w:val="1"/>
          <w:wAfter w:w="63" w:type="dxa"/>
          <w:trHeight w:hRule="exact" w:val="851"/>
        </w:trPr>
        <w:tc>
          <w:tcPr>
            <w:tcW w:w="10774" w:type="dxa"/>
            <w:gridSpan w:val="5"/>
            <w:tcMar>
              <w:top w:w="60" w:type="dxa"/>
              <w:left w:w="119" w:type="dxa"/>
              <w:right w:w="0" w:type="dxa"/>
            </w:tcMar>
          </w:tcPr>
          <w:p w14:paraId="1943C5AD" w14:textId="0CA700A2" w:rsidR="00CA1CB5" w:rsidRPr="00935975" w:rsidRDefault="00FD3661">
            <w:pPr>
              <w:pStyle w:val="EFAFPHdrInfo3"/>
              <w:rPr>
                <w:rFonts w:eastAsia="楷体_GB2312" w:cs="Calibri"/>
                <w:b w:val="0"/>
                <w:color w:val="23558C"/>
                <w:lang w:eastAsia="zh-CN"/>
              </w:rPr>
            </w:pPr>
            <w:r w:rsidRPr="00FD3661">
              <w:rPr>
                <w:rFonts w:eastAsia="楷体_GB2312" w:cs="Calibri"/>
                <w:b w:val="0"/>
                <w:color w:val="23558C"/>
                <w:lang w:eastAsia="zh-CN"/>
              </w:rPr>
              <w:t>Enduring Power and Innovation Driving the Global Beauty Leader</w:t>
            </w:r>
            <w:r w:rsidRPr="00FD3661">
              <w:rPr>
                <w:rFonts w:eastAsia="楷体_GB2312" w:cs="Calibri" w:hint="eastAsia"/>
                <w:b w:val="0"/>
                <w:color w:val="23558C"/>
                <w:lang w:eastAsia="zh-CN"/>
              </w:rPr>
              <w:t xml:space="preserve"> </w:t>
            </w:r>
            <w:r w:rsidR="00CC0955">
              <w:rPr>
                <w:rFonts w:eastAsia="楷体_GB2312" w:cs="Calibri" w:hint="eastAsia"/>
                <w:b w:val="0"/>
                <w:color w:val="23558C"/>
                <w:lang w:eastAsia="zh-CN"/>
              </w:rPr>
              <w:t>-</w:t>
            </w:r>
            <w:r w:rsidR="000154C7">
              <w:rPr>
                <w:rFonts w:eastAsia="楷体_GB2312"/>
                <w:b w:val="0"/>
                <w:color w:val="215E99"/>
              </w:rPr>
              <w:t xml:space="preserve"> Initiation</w:t>
            </w:r>
          </w:p>
        </w:tc>
      </w:tr>
      <w:tr w:rsidR="00CA1CB5" w14:paraId="6A76F7E0" w14:textId="77777777">
        <w:trPr>
          <w:gridAfter w:val="1"/>
          <w:wAfter w:w="63" w:type="dxa"/>
          <w:trHeight w:val="78"/>
        </w:trPr>
        <w:tc>
          <w:tcPr>
            <w:tcW w:w="10774" w:type="dxa"/>
            <w:gridSpan w:val="5"/>
            <w:tcMar>
              <w:top w:w="60" w:type="dxa"/>
              <w:left w:w="119" w:type="dxa"/>
              <w:right w:w="0" w:type="dxa"/>
            </w:tcMar>
          </w:tcPr>
          <w:p w14:paraId="1003523F" w14:textId="77777777" w:rsidR="00CA1CB5" w:rsidRDefault="00CA1CB5">
            <w:pPr>
              <w:pStyle w:val="EFAFPFrameText115ptRight"/>
              <w:framePr w:wrap="auto" w:xAlign="left" w:yAlign="inline"/>
              <w:rPr>
                <w:rFonts w:eastAsia="楷体_GB2312" w:cs="Calibri"/>
                <w:szCs w:val="24"/>
                <w:lang w:eastAsia="zh-CN"/>
              </w:rPr>
            </w:pPr>
          </w:p>
        </w:tc>
      </w:tr>
      <w:tr w:rsidR="00CA1CB5" w14:paraId="1881E503" w14:textId="77777777">
        <w:trPr>
          <w:gridAfter w:val="1"/>
          <w:wAfter w:w="63" w:type="dxa"/>
          <w:trHeight w:hRule="exact" w:val="113"/>
        </w:trPr>
        <w:tc>
          <w:tcPr>
            <w:tcW w:w="10774" w:type="dxa"/>
            <w:gridSpan w:val="5"/>
            <w:tcMar>
              <w:left w:w="119" w:type="dxa"/>
            </w:tcMar>
          </w:tcPr>
          <w:p w14:paraId="71104708" w14:textId="77777777" w:rsidR="00CA1CB5" w:rsidRDefault="00CA1CB5">
            <w:pPr>
              <w:pStyle w:val="EFAFPFrameText115ptRight"/>
              <w:framePr w:wrap="auto" w:xAlign="left" w:yAlign="inline"/>
              <w:rPr>
                <w:rFonts w:eastAsia="楷体_GB2312" w:cs="Calibri"/>
              </w:rPr>
            </w:pPr>
          </w:p>
        </w:tc>
      </w:tr>
      <w:tr w:rsidR="00CA1CB5" w14:paraId="0FDFC160" w14:textId="77777777">
        <w:trPr>
          <w:gridBefore w:val="1"/>
          <w:wBefore w:w="63" w:type="dxa"/>
          <w:trHeight w:val="227"/>
        </w:trPr>
        <w:tc>
          <w:tcPr>
            <w:tcW w:w="4294" w:type="dxa"/>
            <w:tcMar>
              <w:left w:w="57" w:type="dxa"/>
            </w:tcMar>
          </w:tcPr>
          <w:tbl>
            <w:tblPr>
              <w:tblStyle w:val="ae"/>
              <w:tblW w:w="4071" w:type="dxa"/>
              <w:tblBorders>
                <w:top w:val="single" w:sz="12" w:space="0" w:color="23558C"/>
                <w:left w:val="single" w:sz="4" w:space="0" w:color="23558C"/>
                <w:bottom w:val="none" w:sz="0" w:space="0" w:color="auto"/>
                <w:right w:val="single" w:sz="4" w:space="0" w:color="23558C"/>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Info]"/>
              <w:tblDescription w:val="表格隐藏唯一标识（请勿删除或修改）"/>
            </w:tblPr>
            <w:tblGrid>
              <w:gridCol w:w="1724"/>
              <w:gridCol w:w="2347"/>
            </w:tblGrid>
            <w:tr w:rsidR="00CA1CB5" w14:paraId="613F2B7C" w14:textId="77777777">
              <w:trPr>
                <w:trHeight w:hRule="exact" w:val="23"/>
              </w:trPr>
              <w:tc>
                <w:tcPr>
                  <w:tcW w:w="4071" w:type="dxa"/>
                  <w:gridSpan w:val="2"/>
                  <w:tcBorders>
                    <w:top w:val="nil"/>
                    <w:left w:val="nil"/>
                    <w:bottom w:val="nil"/>
                    <w:right w:val="nil"/>
                  </w:tcBorders>
                </w:tcPr>
                <w:p w14:paraId="4A3B552B" w14:textId="77777777" w:rsidR="00CA1CB5" w:rsidRDefault="00EE3BC1">
                  <w:pPr>
                    <w:pStyle w:val="EFAFPColFrameTextLeft"/>
                    <w:framePr w:w="0" w:hRule="auto" w:wrap="around" w:vAnchor="text" w:hAnchor="text" w:xAlign="right" w:y="1" w:anchorLock="0"/>
                    <w:suppressOverlap/>
                    <w:rPr>
                      <w:rFonts w:eastAsia="楷体_GB2312" w:cs="Calibri"/>
                      <w:sz w:val="21"/>
                      <w:szCs w:val="21"/>
                    </w:rPr>
                  </w:pPr>
                  <w:r>
                    <w:rPr>
                      <w:rFonts w:eastAsia="楷体_GB2312" w:cs="Calibri"/>
                      <w:color w:val="FFFFFF" w:themeColor="background1"/>
                      <w:sz w:val="21"/>
                      <w:szCs w:val="21"/>
                    </w:rPr>
                    <w:t>[</w:t>
                  </w:r>
                  <w:proofErr w:type="spellStart"/>
                  <w:r>
                    <w:rPr>
                      <w:rFonts w:eastAsia="楷体_GB2312" w:cs="Calibri"/>
                      <w:color w:val="FFFFFF" w:themeColor="background1"/>
                      <w:sz w:val="21"/>
                      <w:szCs w:val="21"/>
                    </w:rPr>
                    <w:t>Table_Info</w:t>
                  </w:r>
                  <w:proofErr w:type="spellEnd"/>
                  <w:r>
                    <w:rPr>
                      <w:rFonts w:eastAsia="楷体_GB2312" w:cs="Calibri"/>
                      <w:color w:val="FFFFFF" w:themeColor="background1"/>
                      <w:sz w:val="21"/>
                      <w:szCs w:val="21"/>
                    </w:rPr>
                    <w:t>]</w:t>
                  </w:r>
                </w:p>
              </w:tc>
            </w:tr>
            <w:tr w:rsidR="00CA1CB5" w14:paraId="34B832F2" w14:textId="77777777">
              <w:trPr>
                <w:trHeight w:hRule="exact" w:val="284"/>
              </w:trPr>
              <w:tc>
                <w:tcPr>
                  <w:tcW w:w="4071" w:type="dxa"/>
                  <w:gridSpan w:val="2"/>
                  <w:tcBorders>
                    <w:top w:val="nil"/>
                  </w:tcBorders>
                  <w:shd w:val="clear" w:color="auto" w:fill="23558C"/>
                  <w:tcMar>
                    <w:left w:w="0" w:type="dxa"/>
                  </w:tcMar>
                </w:tcPr>
                <w:p w14:paraId="4F741E38" w14:textId="77777777" w:rsidR="00CA1CB5" w:rsidRDefault="00EE3BC1">
                  <w:pPr>
                    <w:pStyle w:val="EFAFPColFrameHeading"/>
                    <w:framePr w:w="0" w:hRule="auto" w:wrap="around" w:vAnchor="text" w:hAnchor="text" w:xAlign="right" w:y="1" w:anchorLock="0"/>
                    <w:ind w:right="85" w:firstLine="85"/>
                    <w:suppressOverlap/>
                    <w:jc w:val="center"/>
                    <w:rPr>
                      <w:rFonts w:eastAsia="楷体_GB2312" w:cs="Calibri"/>
                      <w:i/>
                      <w:sz w:val="22"/>
                      <w:szCs w:val="22"/>
                    </w:rPr>
                  </w:pPr>
                  <w:r>
                    <w:rPr>
                      <w:rFonts w:eastAsia="楷体_GB2312" w:cs="Calibri" w:hint="eastAsia"/>
                      <w:i/>
                      <w:color w:val="FFFFFF" w:themeColor="background1"/>
                      <w:sz w:val="22"/>
                      <w:szCs w:val="22"/>
                    </w:rPr>
                    <w:t>评级调整</w:t>
                  </w:r>
                  <w:r>
                    <w:rPr>
                      <w:rFonts w:eastAsia="楷体_GB2312" w:cs="Calibri"/>
                      <w:i/>
                      <w:color w:val="FFFFFF" w:themeColor="background1"/>
                      <w:sz w:val="22"/>
                      <w:szCs w:val="22"/>
                    </w:rPr>
                    <w:t>Rating adjustment</w:t>
                  </w:r>
                </w:p>
              </w:tc>
            </w:tr>
            <w:tr w:rsidR="00CA1CB5" w14:paraId="7360253C" w14:textId="77777777">
              <w:trPr>
                <w:trHeight w:hRule="exact" w:val="170"/>
              </w:trPr>
              <w:tc>
                <w:tcPr>
                  <w:tcW w:w="4071" w:type="dxa"/>
                  <w:gridSpan w:val="2"/>
                  <w:tcMar>
                    <w:left w:w="0" w:type="dxa"/>
                  </w:tcMar>
                </w:tcPr>
                <w:p w14:paraId="19873746" w14:textId="77777777" w:rsidR="00CA1CB5" w:rsidRDefault="00CA1CB5">
                  <w:pPr>
                    <w:pStyle w:val="EFAFPColFrameHeading"/>
                    <w:framePr w:w="0" w:hRule="auto" w:wrap="around" w:vAnchor="text" w:hAnchor="text" w:xAlign="right" w:y="1" w:anchorLock="0"/>
                    <w:ind w:right="85" w:firstLine="85"/>
                    <w:suppressOverlap/>
                    <w:rPr>
                      <w:rFonts w:eastAsia="楷体_GB2312" w:cs="Calibri"/>
                    </w:rPr>
                  </w:pPr>
                </w:p>
              </w:tc>
            </w:tr>
            <w:tr w:rsidR="00CA1CB5" w14:paraId="240E54F5" w14:textId="77777777">
              <w:trPr>
                <w:trHeight w:hRule="exact" w:val="240"/>
              </w:trPr>
              <w:tc>
                <w:tcPr>
                  <w:tcW w:w="1724" w:type="dxa"/>
                </w:tcPr>
                <w:p w14:paraId="4A816076" w14:textId="77777777" w:rsidR="00CA1CB5" w:rsidRDefault="00EE3BC1">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评级</w:t>
                  </w:r>
                </w:p>
              </w:tc>
              <w:tc>
                <w:tcPr>
                  <w:tcW w:w="2347" w:type="dxa"/>
                </w:tcPr>
                <w:p w14:paraId="605E7DD6" w14:textId="77777777" w:rsidR="00CA1CB5" w:rsidRDefault="00CA1CB5">
                  <w:pPr>
                    <w:pStyle w:val="EFAFPColFrameTextRight"/>
                    <w:framePr w:w="0" w:hRule="auto" w:wrap="around" w:vAnchor="text" w:hAnchor="text" w:xAlign="right" w:y="1" w:anchorLock="0"/>
                    <w:ind w:right="85" w:firstLine="85"/>
                    <w:suppressOverlap/>
                    <w:rPr>
                      <w:rFonts w:eastAsia="楷体_GB2312" w:cs="Calibri"/>
                      <w:color w:val="C8242B"/>
                    </w:rPr>
                  </w:pPr>
                </w:p>
              </w:tc>
            </w:tr>
            <w:tr w:rsidR="00CA1CB5" w14:paraId="7FD5DB85" w14:textId="77777777">
              <w:trPr>
                <w:trHeight w:hRule="exact" w:val="240"/>
              </w:trPr>
              <w:tc>
                <w:tcPr>
                  <w:tcW w:w="1724" w:type="dxa"/>
                </w:tcPr>
                <w:p w14:paraId="54DE0927" w14:textId="77777777" w:rsidR="00CA1CB5" w:rsidRDefault="00EE3BC1">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现价</w:t>
                  </w:r>
                </w:p>
              </w:tc>
              <w:tc>
                <w:tcPr>
                  <w:tcW w:w="2347" w:type="dxa"/>
                </w:tcPr>
                <w:p w14:paraId="65120850" w14:textId="77777777" w:rsidR="00CA1CB5" w:rsidRDefault="00CA1CB5">
                  <w:pPr>
                    <w:pStyle w:val="EFAFPColFrameTextRight"/>
                    <w:framePr w:w="0" w:hRule="auto" w:wrap="around" w:vAnchor="text" w:hAnchor="text" w:xAlign="right" w:y="1" w:anchorLock="0"/>
                    <w:ind w:right="85" w:firstLine="85"/>
                    <w:suppressOverlap/>
                    <w:rPr>
                      <w:rFonts w:eastAsia="楷体_GB2312" w:cs="Calibri"/>
                      <w:color w:val="C8242B"/>
                    </w:rPr>
                  </w:pPr>
                </w:p>
              </w:tc>
            </w:tr>
            <w:tr w:rsidR="00CA1CB5" w14:paraId="6AC31B91" w14:textId="77777777">
              <w:trPr>
                <w:trHeight w:hRule="exact" w:val="240"/>
              </w:trPr>
              <w:tc>
                <w:tcPr>
                  <w:tcW w:w="1724" w:type="dxa"/>
                </w:tcPr>
                <w:p w14:paraId="4A538430" w14:textId="77777777" w:rsidR="00CA1CB5" w:rsidRDefault="00EE3BC1">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目标价</w:t>
                  </w:r>
                </w:p>
              </w:tc>
              <w:tc>
                <w:tcPr>
                  <w:tcW w:w="2347" w:type="dxa"/>
                </w:tcPr>
                <w:p w14:paraId="0102FD7B" w14:textId="77777777" w:rsidR="00CA1CB5" w:rsidRDefault="00CA1CB5">
                  <w:pPr>
                    <w:pStyle w:val="EFAFPColFrameTextRight"/>
                    <w:framePr w:w="0" w:hRule="auto" w:wrap="around" w:vAnchor="text" w:hAnchor="text" w:xAlign="right" w:y="1" w:anchorLock="0"/>
                    <w:ind w:right="85" w:firstLine="85"/>
                    <w:suppressOverlap/>
                    <w:rPr>
                      <w:rFonts w:eastAsia="楷体_GB2312" w:cs="Calibri"/>
                      <w:color w:val="C8242B"/>
                    </w:rPr>
                  </w:pPr>
                </w:p>
              </w:tc>
            </w:tr>
            <w:tr w:rsidR="00CA1CB5" w14:paraId="3F7FE405" w14:textId="77777777">
              <w:trPr>
                <w:trHeight w:hRule="exact" w:val="240"/>
              </w:trPr>
              <w:tc>
                <w:tcPr>
                  <w:tcW w:w="1724" w:type="dxa"/>
                </w:tcPr>
                <w:p w14:paraId="5A05793E" w14:textId="77777777" w:rsidR="00CA1CB5" w:rsidRDefault="00EE3BC1">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市值</w:t>
                  </w:r>
                </w:p>
              </w:tc>
              <w:tc>
                <w:tcPr>
                  <w:tcW w:w="2347" w:type="dxa"/>
                </w:tcPr>
                <w:p w14:paraId="1F093696" w14:textId="77777777" w:rsidR="00CA1CB5" w:rsidRDefault="00CA1CB5">
                  <w:pPr>
                    <w:pStyle w:val="EFAFPColFrameTextRight"/>
                    <w:framePr w:w="0" w:hRule="auto" w:wrap="around" w:vAnchor="text" w:hAnchor="text" w:xAlign="right" w:y="1" w:anchorLock="0"/>
                    <w:ind w:right="85" w:firstLine="85"/>
                    <w:suppressOverlap/>
                    <w:rPr>
                      <w:rFonts w:eastAsia="楷体_GB2312" w:cs="Calibri"/>
                      <w:color w:val="C8242B"/>
                    </w:rPr>
                  </w:pPr>
                </w:p>
              </w:tc>
            </w:tr>
            <w:tr w:rsidR="00CA1CB5" w14:paraId="4B1E8888" w14:textId="77777777">
              <w:trPr>
                <w:trHeight w:hRule="exact" w:val="240"/>
              </w:trPr>
              <w:tc>
                <w:tcPr>
                  <w:tcW w:w="1724" w:type="dxa"/>
                </w:tcPr>
                <w:p w14:paraId="285B7141" w14:textId="77777777" w:rsidR="00CA1CB5" w:rsidRDefault="00EE3BC1">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发行股票数目</w:t>
                  </w:r>
                </w:p>
              </w:tc>
              <w:tc>
                <w:tcPr>
                  <w:tcW w:w="2347" w:type="dxa"/>
                </w:tcPr>
                <w:p w14:paraId="5714917F" w14:textId="77777777" w:rsidR="00CA1CB5" w:rsidRDefault="00CA1CB5">
                  <w:pPr>
                    <w:pStyle w:val="EFAFPColFrameTextRight"/>
                    <w:framePr w:w="0" w:hRule="auto" w:wrap="around" w:vAnchor="text" w:hAnchor="text" w:xAlign="right" w:y="1" w:anchorLock="0"/>
                    <w:ind w:right="85" w:firstLine="85"/>
                    <w:suppressOverlap/>
                    <w:rPr>
                      <w:rFonts w:eastAsia="楷体_GB2312" w:cs="Calibri"/>
                      <w:color w:val="C8242B"/>
                    </w:rPr>
                  </w:pPr>
                </w:p>
              </w:tc>
            </w:tr>
            <w:tr w:rsidR="00CA1CB5" w14:paraId="21E4651F" w14:textId="77777777">
              <w:trPr>
                <w:trHeight w:hRule="exact" w:val="240"/>
              </w:trPr>
              <w:tc>
                <w:tcPr>
                  <w:tcW w:w="1724" w:type="dxa"/>
                </w:tcPr>
                <w:p w14:paraId="6D68A99D" w14:textId="77777777" w:rsidR="00CA1CB5" w:rsidRDefault="00EE3BC1">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1</w:t>
                  </w:r>
                  <w:r>
                    <w:rPr>
                      <w:rFonts w:eastAsia="楷体_GB2312" w:cs="Calibri"/>
                      <w:b w:val="0"/>
                    </w:rPr>
                    <w:t>年股价最高最低值</w:t>
                  </w:r>
                </w:p>
              </w:tc>
              <w:tc>
                <w:tcPr>
                  <w:tcW w:w="2347" w:type="dxa"/>
                </w:tcPr>
                <w:p w14:paraId="633FCE90" w14:textId="77777777" w:rsidR="00CA1CB5" w:rsidRDefault="00CA1CB5">
                  <w:pPr>
                    <w:pStyle w:val="EFAFPColFrameTextRight"/>
                    <w:framePr w:w="0" w:hRule="auto" w:wrap="around" w:vAnchor="text" w:hAnchor="text" w:xAlign="right" w:y="1" w:anchorLock="0"/>
                    <w:ind w:right="85" w:firstLine="85"/>
                    <w:suppressOverlap/>
                    <w:rPr>
                      <w:rFonts w:eastAsia="楷体_GB2312" w:cs="Calibri"/>
                      <w:color w:val="C8242B"/>
                    </w:rPr>
                  </w:pPr>
                </w:p>
              </w:tc>
            </w:tr>
            <w:tr w:rsidR="00CA1CB5" w14:paraId="1D7DDA64" w14:textId="77777777">
              <w:trPr>
                <w:trHeight w:hRule="exact" w:val="238"/>
              </w:trPr>
              <w:tc>
                <w:tcPr>
                  <w:tcW w:w="4071" w:type="dxa"/>
                  <w:gridSpan w:val="2"/>
                </w:tcPr>
                <w:p w14:paraId="520824F0" w14:textId="77777777" w:rsidR="00CA1CB5" w:rsidRDefault="00EE3BC1">
                  <w:pPr>
                    <w:pStyle w:val="EFAFPColFrameTextLeft"/>
                    <w:framePr w:w="0" w:hRule="auto" w:wrap="around" w:vAnchor="text" w:hAnchor="text" w:xAlign="right" w:y="1" w:anchorLock="0"/>
                    <w:ind w:left="85"/>
                    <w:suppressOverlap/>
                    <w:rPr>
                      <w:rFonts w:eastAsia="楷体_GB2312" w:cs="Calibri"/>
                      <w:i/>
                      <w:iCs/>
                    </w:rPr>
                  </w:pPr>
                  <w:r>
                    <w:rPr>
                      <w:rFonts w:eastAsia="楷体_GB2312" w:cs="Calibri" w:hint="eastAsia"/>
                      <w:i/>
                      <w:iCs/>
                    </w:rPr>
                    <w:t>注：现价</w:t>
                  </w:r>
                  <w:r>
                    <w:rPr>
                      <w:rFonts w:eastAsia="楷体_GB2312" w:cs="Calibri" w:hint="eastAsia"/>
                      <w:i/>
                      <w:iCs/>
                    </w:rPr>
                    <w:t>xx</w:t>
                  </w:r>
                  <w:r>
                    <w:rPr>
                      <w:rFonts w:eastAsia="楷体_GB2312" w:cs="Calibri" w:hint="eastAsia"/>
                      <w:i/>
                      <w:iCs/>
                    </w:rPr>
                    <w:t>为</w:t>
                  </w:r>
                  <w:proofErr w:type="spellStart"/>
                  <w:r>
                    <w:rPr>
                      <w:rFonts w:eastAsia="楷体_GB2312" w:cs="Calibri" w:hint="eastAsia"/>
                      <w:i/>
                      <w:iCs/>
                    </w:rPr>
                    <w:t>yyyy</w:t>
                  </w:r>
                  <w:proofErr w:type="spellEnd"/>
                  <w:r>
                    <w:rPr>
                      <w:rFonts w:eastAsia="楷体_GB2312" w:cs="Calibri" w:hint="eastAsia"/>
                      <w:i/>
                      <w:iCs/>
                    </w:rPr>
                    <w:t>年</w:t>
                  </w:r>
                  <w:r>
                    <w:rPr>
                      <w:rFonts w:eastAsia="楷体_GB2312" w:cs="Calibri" w:hint="eastAsia"/>
                      <w:i/>
                      <w:iCs/>
                    </w:rPr>
                    <w:t>M</w:t>
                  </w:r>
                  <w:r>
                    <w:rPr>
                      <w:rFonts w:eastAsia="楷体_GB2312" w:cs="Calibri" w:hint="eastAsia"/>
                      <w:i/>
                      <w:iCs/>
                    </w:rPr>
                    <w:t>月</w:t>
                  </w:r>
                  <w:r>
                    <w:rPr>
                      <w:rFonts w:eastAsia="楷体_GB2312" w:cs="Calibri" w:hint="eastAsia"/>
                      <w:i/>
                      <w:iCs/>
                    </w:rPr>
                    <w:t>d</w:t>
                  </w:r>
                  <w:r>
                    <w:rPr>
                      <w:rFonts w:eastAsia="楷体_GB2312" w:cs="Calibri" w:hint="eastAsia"/>
                      <w:i/>
                      <w:iCs/>
                    </w:rPr>
                    <w:t>日收盘价</w:t>
                  </w:r>
                </w:p>
              </w:tc>
            </w:tr>
            <w:tr w:rsidR="00CA1CB5" w14:paraId="47EDCDE5" w14:textId="77777777">
              <w:trPr>
                <w:trHeight w:hRule="exact" w:val="238"/>
              </w:trPr>
              <w:tc>
                <w:tcPr>
                  <w:tcW w:w="4071" w:type="dxa"/>
                  <w:gridSpan w:val="2"/>
                </w:tcPr>
                <w:p w14:paraId="002FE195" w14:textId="77777777" w:rsidR="00CA1CB5" w:rsidRDefault="00CA1CB5">
                  <w:pPr>
                    <w:pStyle w:val="EFAFPColFrameTextLeft"/>
                    <w:framePr w:w="0" w:hRule="auto" w:wrap="around" w:vAnchor="text" w:hAnchor="text" w:xAlign="right" w:y="1" w:anchorLock="0"/>
                    <w:ind w:left="85"/>
                    <w:suppressOverlap/>
                    <w:rPr>
                      <w:rFonts w:eastAsia="楷体_GB2312" w:cs="Calibri"/>
                    </w:rPr>
                  </w:pPr>
                </w:p>
              </w:tc>
            </w:tr>
            <w:tr w:rsidR="00CA1CB5" w14:paraId="7A6AB266" w14:textId="77777777">
              <w:trPr>
                <w:trHeight w:val="729"/>
              </w:trPr>
              <w:tc>
                <w:tcPr>
                  <w:tcW w:w="4071" w:type="dxa"/>
                  <w:gridSpan w:val="2"/>
                  <w:vAlign w:val="center"/>
                </w:tcPr>
                <w:p w14:paraId="0900AFF3" w14:textId="77777777" w:rsidR="00CA1CB5" w:rsidRDefault="00EE3BC1" w:rsidP="00053455">
                  <w:pPr>
                    <w:framePr w:hSpace="180" w:wrap="around" w:vAnchor="text" w:hAnchor="text" w:xAlign="right" w:y="1"/>
                    <w:suppressOverlap/>
                    <w:jc w:val="center"/>
                    <w:rPr>
                      <w:rFonts w:eastAsia="楷体_GB2312" w:cs="Calibri"/>
                    </w:rPr>
                  </w:pPr>
                  <w:r>
                    <w:rPr>
                      <w:rFonts w:eastAsia="楷体_GB2312"/>
                      <w:noProof/>
                    </w:rPr>
                    <w:drawing>
                      <wp:inline distT="0" distB="0" distL="0" distR="0" wp14:anchorId="35C8A2EB" wp14:editId="6D1EDD92">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8"/>
                                <a:stretch>
                                  <a:fillRect/>
                                </a:stretch>
                              </pic:blipFill>
                              <pic:spPr>
                                <a:xfrm>
                                  <a:off x="0" y="0"/>
                                  <a:ext cx="2286000" cy="1016000"/>
                                </a:xfrm>
                                <a:prstGeom prst="rect">
                                  <a:avLst/>
                                </a:prstGeom>
                              </pic:spPr>
                            </pic:pic>
                          </a:graphicData>
                        </a:graphic>
                      </wp:inline>
                    </w:drawing>
                  </w:r>
                </w:p>
              </w:tc>
            </w:tr>
            <w:tr w:rsidR="00CA1CB5" w14:paraId="5723EB01" w14:textId="77777777">
              <w:trPr>
                <w:trHeight w:val="729"/>
              </w:trPr>
              <w:tc>
                <w:tcPr>
                  <w:tcW w:w="4071" w:type="dxa"/>
                  <w:gridSpan w:val="2"/>
                  <w:vAlign w:val="center"/>
                </w:tcPr>
                <w:p w14:paraId="6A4AEAF0" w14:textId="77777777" w:rsidR="00CA1CB5" w:rsidRDefault="00EE3BC1" w:rsidP="00053455">
                  <w:pPr>
                    <w:framePr w:hSpace="180" w:wrap="around" w:vAnchor="text" w:hAnchor="text" w:xAlign="right" w:y="1"/>
                    <w:suppressOverlap/>
                    <w:jc w:val="center"/>
                    <w:rPr>
                      <w:rFonts w:eastAsia="楷体_GB2312" w:cs="Calibri"/>
                    </w:rPr>
                  </w:pPr>
                  <w:r>
                    <w:rPr>
                      <w:rFonts w:eastAsia="楷体_GB2312"/>
                      <w:noProof/>
                    </w:rPr>
                    <w:drawing>
                      <wp:inline distT="0" distB="0" distL="0" distR="0" wp14:anchorId="54271FD3" wp14:editId="7BFCD02B">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9"/>
                                <a:stretch>
                                  <a:fillRect/>
                                </a:stretch>
                              </pic:blipFill>
                              <pic:spPr>
                                <a:xfrm>
                                  <a:off x="0" y="0"/>
                                  <a:ext cx="2286000" cy="624840"/>
                                </a:xfrm>
                                <a:prstGeom prst="rect">
                                  <a:avLst/>
                                </a:prstGeom>
                              </pic:spPr>
                            </pic:pic>
                          </a:graphicData>
                        </a:graphic>
                      </wp:inline>
                    </w:drawing>
                  </w:r>
                </w:p>
              </w:tc>
            </w:tr>
            <w:tr w:rsidR="00CA1CB5" w14:paraId="20FEC562" w14:textId="77777777">
              <w:trPr>
                <w:trHeight w:hRule="exact" w:val="180"/>
              </w:trPr>
              <w:tc>
                <w:tcPr>
                  <w:tcW w:w="4071" w:type="dxa"/>
                  <w:gridSpan w:val="2"/>
                </w:tcPr>
                <w:p w14:paraId="17FB5BD5" w14:textId="77777777" w:rsidR="00CA1CB5" w:rsidRDefault="00EE3BC1" w:rsidP="00053455">
                  <w:pPr>
                    <w:pStyle w:val="EFAFPColFrameSource"/>
                    <w:framePr w:w="0" w:hRule="auto" w:wrap="around" w:vAnchor="text" w:hAnchor="text" w:xAlign="right" w:y="1" w:anchorLock="0"/>
                    <w:ind w:right="85" w:firstLine="85"/>
                    <w:suppressOverlap/>
                    <w:rPr>
                      <w:rFonts w:eastAsia="楷体_GB2312" w:cs="Calibri"/>
                      <w:i/>
                      <w:iCs/>
                    </w:rPr>
                  </w:pPr>
                  <w:r>
                    <w:rPr>
                      <w:rFonts w:eastAsia="楷体_GB2312" w:cs="Calibri"/>
                      <w:i/>
                      <w:iCs/>
                    </w:rPr>
                    <w:t>资料来源：</w:t>
                  </w:r>
                  <w:r>
                    <w:rPr>
                      <w:rFonts w:eastAsia="楷体_GB2312" w:cs="Calibri"/>
                      <w:i/>
                      <w:iCs/>
                    </w:rPr>
                    <w:t xml:space="preserve"> </w:t>
                  </w:r>
                  <w:r>
                    <w:rPr>
                      <w:rFonts w:eastAsia="楷体_GB2312" w:cs="Calibri" w:hint="eastAsia"/>
                      <w:i/>
                      <w:iCs/>
                    </w:rPr>
                    <w:t>xxx</w:t>
                  </w:r>
                </w:p>
              </w:tc>
            </w:tr>
            <w:tr w:rsidR="00CA1CB5" w14:paraId="03E89E7F" w14:textId="77777777">
              <w:trPr>
                <w:trHeight w:hRule="exact" w:val="227"/>
              </w:trPr>
              <w:tc>
                <w:tcPr>
                  <w:tcW w:w="4071" w:type="dxa"/>
                  <w:gridSpan w:val="2"/>
                  <w:tcMar>
                    <w:top w:w="0" w:type="dxa"/>
                    <w:left w:w="0" w:type="dxa"/>
                  </w:tcMar>
                </w:tcPr>
                <w:p w14:paraId="68E7139F" w14:textId="77777777" w:rsidR="00CA1CB5" w:rsidRDefault="00CA1CB5">
                  <w:pPr>
                    <w:pStyle w:val="EFAFPColFrameTextLeft"/>
                    <w:framePr w:w="0" w:hRule="auto" w:wrap="around" w:vAnchor="text" w:hAnchor="text" w:xAlign="right" w:y="1" w:anchorLock="0"/>
                    <w:ind w:right="85" w:firstLine="85"/>
                    <w:suppressOverlap/>
                    <w:rPr>
                      <w:rFonts w:eastAsia="楷体_GB2312" w:cs="Calibri"/>
                    </w:rPr>
                  </w:pPr>
                </w:p>
              </w:tc>
            </w:tr>
            <w:tr w:rsidR="00CA1CB5" w14:paraId="3A2FD05C" w14:textId="77777777">
              <w:tc>
                <w:tcPr>
                  <w:tcW w:w="4071" w:type="dxa"/>
                  <w:gridSpan w:val="2"/>
                </w:tcPr>
                <w:tbl>
                  <w:tblPr>
                    <w:tblStyle w:val="ae"/>
                    <w:tblW w:w="4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_Profit]"/>
                    <w:tblDescription w:val="表格隐藏唯一标识（请勿删除或修改）"/>
                  </w:tblPr>
                  <w:tblGrid>
                    <w:gridCol w:w="1060"/>
                    <w:gridCol w:w="703"/>
                    <w:gridCol w:w="53"/>
                    <w:gridCol w:w="721"/>
                    <w:gridCol w:w="30"/>
                    <w:gridCol w:w="738"/>
                    <w:gridCol w:w="14"/>
                    <w:gridCol w:w="752"/>
                  </w:tblGrid>
                  <w:tr w:rsidR="00CA1CB5" w14:paraId="68FBBFAC" w14:textId="77777777">
                    <w:trPr>
                      <w:trHeight w:hRule="exact" w:val="23"/>
                    </w:trPr>
                    <w:tc>
                      <w:tcPr>
                        <w:tcW w:w="1225" w:type="dxa"/>
                        <w:vAlign w:val="center"/>
                      </w:tcPr>
                      <w:p w14:paraId="0E15188D" w14:textId="77777777" w:rsidR="00CA1CB5" w:rsidRDefault="00EE3BC1" w:rsidP="00053455">
                        <w:pPr>
                          <w:framePr w:hSpace="180" w:wrap="around" w:vAnchor="text" w:hAnchor="text" w:xAlign="right" w:y="1"/>
                          <w:ind w:right="85"/>
                          <w:suppressOverlap/>
                          <w:rPr>
                            <w:rFonts w:eastAsia="楷体_GB2312" w:cs="Calibri"/>
                          </w:rPr>
                        </w:pPr>
                        <w:r>
                          <w:rPr>
                            <w:rFonts w:eastAsia="楷体_GB2312" w:cs="Calibri"/>
                            <w:color w:val="FFFFFF" w:themeColor="background1"/>
                          </w:rPr>
                          <w:t>[</w:t>
                        </w:r>
                        <w:proofErr w:type="spellStart"/>
                        <w:r>
                          <w:rPr>
                            <w:rFonts w:eastAsia="楷体_GB2312" w:cs="Calibri"/>
                            <w:color w:val="FFFFFF" w:themeColor="background1"/>
                          </w:rPr>
                          <w:t>Table_Profit</w:t>
                        </w:r>
                        <w:proofErr w:type="spellEnd"/>
                        <w:r>
                          <w:rPr>
                            <w:rFonts w:eastAsia="楷体_GB2312" w:cs="Calibri"/>
                            <w:color w:val="FFFFFF" w:themeColor="background1"/>
                          </w:rPr>
                          <w:t>]</w:t>
                        </w:r>
                      </w:p>
                    </w:tc>
                    <w:tc>
                      <w:tcPr>
                        <w:tcW w:w="795" w:type="dxa"/>
                        <w:vAlign w:val="center"/>
                      </w:tcPr>
                      <w:p w14:paraId="5A5B855B" w14:textId="77777777" w:rsidR="00CA1CB5" w:rsidRDefault="00CA1CB5" w:rsidP="00053455">
                        <w:pPr>
                          <w:framePr w:hSpace="180" w:wrap="around" w:vAnchor="text" w:hAnchor="text" w:xAlign="right" w:y="1"/>
                          <w:ind w:right="85"/>
                          <w:suppressOverlap/>
                          <w:jc w:val="right"/>
                          <w:rPr>
                            <w:rFonts w:eastAsia="楷体_GB2312" w:cs="Calibri"/>
                            <w:b/>
                            <w:bCs/>
                            <w:color w:val="000000"/>
                            <w:sz w:val="14"/>
                            <w:szCs w:val="14"/>
                          </w:rPr>
                        </w:pPr>
                      </w:p>
                    </w:tc>
                    <w:tc>
                      <w:tcPr>
                        <w:tcW w:w="879" w:type="dxa"/>
                        <w:gridSpan w:val="2"/>
                        <w:vAlign w:val="center"/>
                      </w:tcPr>
                      <w:p w14:paraId="0417CD61" w14:textId="77777777" w:rsidR="00CA1CB5" w:rsidRDefault="00CA1CB5" w:rsidP="00053455">
                        <w:pPr>
                          <w:framePr w:hSpace="180" w:wrap="around" w:vAnchor="text" w:hAnchor="text" w:xAlign="right" w:y="1"/>
                          <w:ind w:right="85"/>
                          <w:suppressOverlap/>
                          <w:jc w:val="right"/>
                          <w:rPr>
                            <w:rFonts w:eastAsia="楷体_GB2312" w:cs="Calibri"/>
                            <w:b/>
                            <w:bCs/>
                            <w:color w:val="000000"/>
                            <w:sz w:val="14"/>
                            <w:szCs w:val="14"/>
                          </w:rPr>
                        </w:pPr>
                      </w:p>
                    </w:tc>
                    <w:tc>
                      <w:tcPr>
                        <w:tcW w:w="870" w:type="dxa"/>
                        <w:gridSpan w:val="2"/>
                        <w:vAlign w:val="center"/>
                      </w:tcPr>
                      <w:p w14:paraId="202EA322" w14:textId="77777777" w:rsidR="00CA1CB5" w:rsidRDefault="00CA1CB5" w:rsidP="00053455">
                        <w:pPr>
                          <w:framePr w:hSpace="180" w:wrap="around" w:vAnchor="text" w:hAnchor="text" w:xAlign="right" w:y="1"/>
                          <w:ind w:right="85"/>
                          <w:suppressOverlap/>
                          <w:jc w:val="right"/>
                          <w:rPr>
                            <w:rFonts w:eastAsia="楷体_GB2312" w:cs="Calibri"/>
                            <w:b/>
                            <w:bCs/>
                            <w:color w:val="000000"/>
                            <w:sz w:val="14"/>
                            <w:szCs w:val="14"/>
                          </w:rPr>
                        </w:pPr>
                      </w:p>
                    </w:tc>
                    <w:tc>
                      <w:tcPr>
                        <w:tcW w:w="869" w:type="dxa"/>
                        <w:gridSpan w:val="2"/>
                        <w:vAlign w:val="center"/>
                      </w:tcPr>
                      <w:p w14:paraId="38351F3A" w14:textId="77777777" w:rsidR="00CA1CB5" w:rsidRDefault="00CA1CB5" w:rsidP="00053455">
                        <w:pPr>
                          <w:framePr w:hSpace="180" w:wrap="around" w:vAnchor="text" w:hAnchor="text" w:xAlign="right" w:y="1"/>
                          <w:ind w:right="85"/>
                          <w:suppressOverlap/>
                          <w:jc w:val="right"/>
                          <w:rPr>
                            <w:rFonts w:eastAsia="楷体_GB2312" w:cs="Calibri"/>
                            <w:b/>
                            <w:bCs/>
                            <w:color w:val="000000"/>
                            <w:sz w:val="14"/>
                            <w:szCs w:val="14"/>
                          </w:rPr>
                        </w:pPr>
                      </w:p>
                    </w:tc>
                  </w:tr>
                  <w:tr w:rsidR="00CA1CB5" w14:paraId="5285BDD2" w14:textId="77777777">
                    <w:trPr>
                      <w:trHeight w:val="284"/>
                    </w:trPr>
                    <w:tc>
                      <w:tcPr>
                        <w:tcW w:w="1225" w:type="dxa"/>
                        <w:vAlign w:val="center"/>
                      </w:tcPr>
                      <w:p w14:paraId="1CF50DE4" w14:textId="77777777" w:rsidR="00CA1CB5" w:rsidRDefault="00CA1CB5" w:rsidP="00053455">
                        <w:pPr>
                          <w:pStyle w:val="EFAFPColFrameHeading"/>
                          <w:framePr w:w="0" w:hRule="auto" w:wrap="around" w:vAnchor="text" w:hAnchor="text" w:xAlign="right" w:y="1" w:anchorLock="0"/>
                          <w:ind w:right="85"/>
                          <w:suppressOverlap/>
                          <w:rPr>
                            <w:rFonts w:eastAsia="楷体_GB2312" w:cs="Calibri"/>
                            <w:b w:val="0"/>
                            <w:sz w:val="14"/>
                          </w:rPr>
                        </w:pPr>
                      </w:p>
                    </w:tc>
                    <w:tc>
                      <w:tcPr>
                        <w:tcW w:w="853" w:type="dxa"/>
                        <w:gridSpan w:val="2"/>
                        <w:vAlign w:val="center"/>
                      </w:tcPr>
                      <w:p w14:paraId="0022A698" w14:textId="77777777" w:rsidR="00CA1CB5" w:rsidRDefault="00CA1CB5" w:rsidP="00053455">
                        <w:pPr>
                          <w:framePr w:hSpace="180" w:wrap="around" w:vAnchor="text" w:hAnchor="text" w:xAlign="right" w:y="1"/>
                          <w:suppressOverlap/>
                          <w:jc w:val="right"/>
                          <w:rPr>
                            <w:rFonts w:eastAsia="楷体_GB2312" w:cs="Calibri"/>
                            <w:color w:val="23558C"/>
                            <w:sz w:val="14"/>
                            <w:szCs w:val="14"/>
                          </w:rPr>
                        </w:pPr>
                      </w:p>
                    </w:tc>
                    <w:tc>
                      <w:tcPr>
                        <w:tcW w:w="853" w:type="dxa"/>
                        <w:gridSpan w:val="2"/>
                        <w:vAlign w:val="center"/>
                      </w:tcPr>
                      <w:p w14:paraId="4C5DC2A0" w14:textId="77777777" w:rsidR="00CA1CB5" w:rsidRDefault="00CA1CB5" w:rsidP="00053455">
                        <w:pPr>
                          <w:framePr w:hSpace="180" w:wrap="around" w:vAnchor="text" w:hAnchor="text" w:xAlign="right" w:y="1"/>
                          <w:suppressOverlap/>
                          <w:jc w:val="right"/>
                          <w:rPr>
                            <w:rFonts w:eastAsia="楷体_GB2312" w:cs="Calibri"/>
                            <w:color w:val="23558C"/>
                            <w:sz w:val="14"/>
                            <w:szCs w:val="14"/>
                          </w:rPr>
                        </w:pPr>
                      </w:p>
                    </w:tc>
                    <w:tc>
                      <w:tcPr>
                        <w:tcW w:w="853" w:type="dxa"/>
                        <w:gridSpan w:val="2"/>
                        <w:vAlign w:val="center"/>
                      </w:tcPr>
                      <w:p w14:paraId="440050D0" w14:textId="77777777" w:rsidR="00CA1CB5" w:rsidRDefault="00CA1CB5" w:rsidP="00053455">
                        <w:pPr>
                          <w:framePr w:hSpace="180" w:wrap="around" w:vAnchor="text" w:hAnchor="text" w:xAlign="right" w:y="1"/>
                          <w:suppressOverlap/>
                          <w:jc w:val="right"/>
                          <w:rPr>
                            <w:rFonts w:eastAsia="楷体_GB2312" w:cs="Calibri"/>
                            <w:color w:val="23558C"/>
                            <w:sz w:val="14"/>
                            <w:szCs w:val="14"/>
                          </w:rPr>
                        </w:pPr>
                      </w:p>
                    </w:tc>
                    <w:tc>
                      <w:tcPr>
                        <w:tcW w:w="854" w:type="dxa"/>
                        <w:vAlign w:val="center"/>
                      </w:tcPr>
                      <w:p w14:paraId="5B2917DF" w14:textId="77777777" w:rsidR="00CA1CB5" w:rsidRDefault="00CA1CB5" w:rsidP="00053455">
                        <w:pPr>
                          <w:framePr w:hSpace="180" w:wrap="around" w:vAnchor="text" w:hAnchor="text" w:xAlign="right" w:y="1"/>
                          <w:suppressOverlap/>
                          <w:jc w:val="right"/>
                          <w:rPr>
                            <w:rFonts w:eastAsia="楷体_GB2312" w:cs="Calibri"/>
                            <w:color w:val="23558C"/>
                            <w:sz w:val="14"/>
                            <w:szCs w:val="14"/>
                          </w:rPr>
                        </w:pPr>
                      </w:p>
                    </w:tc>
                  </w:tr>
                  <w:tr w:rsidR="00CA1CB5" w14:paraId="64BB5298" w14:textId="77777777">
                    <w:trPr>
                      <w:trHeight w:val="227"/>
                    </w:trPr>
                    <w:tc>
                      <w:tcPr>
                        <w:tcW w:w="1225" w:type="dxa"/>
                        <w:tcMar>
                          <w:right w:w="0" w:type="dxa"/>
                        </w:tcMar>
                        <w:vAlign w:val="center"/>
                      </w:tcPr>
                      <w:p w14:paraId="6FD00C22"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营业收入</w:t>
                        </w:r>
                      </w:p>
                    </w:tc>
                    <w:tc>
                      <w:tcPr>
                        <w:tcW w:w="853" w:type="dxa"/>
                        <w:gridSpan w:val="2"/>
                        <w:vAlign w:val="center"/>
                      </w:tcPr>
                      <w:p w14:paraId="1B6E754E" w14:textId="77777777" w:rsidR="00CA1CB5" w:rsidRDefault="00CA1CB5" w:rsidP="00053455">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7796FC09"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764FE924"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72AFFE4A" w14:textId="77777777" w:rsidR="00CA1CB5" w:rsidRDefault="00CA1CB5" w:rsidP="00053455">
                        <w:pPr>
                          <w:framePr w:hSpace="180" w:wrap="around" w:vAnchor="text" w:hAnchor="text" w:xAlign="right" w:y="1"/>
                          <w:suppressOverlap/>
                          <w:jc w:val="right"/>
                          <w:rPr>
                            <w:rFonts w:eastAsia="楷体_GB2312" w:cs="Calibri"/>
                            <w:sz w:val="14"/>
                            <w:szCs w:val="14"/>
                          </w:rPr>
                        </w:pPr>
                      </w:p>
                    </w:tc>
                  </w:tr>
                  <w:tr w:rsidR="00CA1CB5" w14:paraId="035175F4" w14:textId="77777777">
                    <w:trPr>
                      <w:trHeight w:val="227"/>
                    </w:trPr>
                    <w:tc>
                      <w:tcPr>
                        <w:tcW w:w="1225" w:type="dxa"/>
                        <w:tcMar>
                          <w:right w:w="0" w:type="dxa"/>
                        </w:tcMar>
                        <w:vAlign w:val="center"/>
                      </w:tcPr>
                      <w:p w14:paraId="015C78D9"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w:t>
                        </w:r>
                      </w:p>
                    </w:tc>
                    <w:tc>
                      <w:tcPr>
                        <w:tcW w:w="853" w:type="dxa"/>
                        <w:gridSpan w:val="2"/>
                        <w:vAlign w:val="center"/>
                      </w:tcPr>
                      <w:p w14:paraId="5394D853" w14:textId="77777777" w:rsidR="00CA1CB5" w:rsidRDefault="00CA1CB5" w:rsidP="00053455">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103BCA8A"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0D5BBAA"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028D570E" w14:textId="77777777" w:rsidR="00CA1CB5" w:rsidRDefault="00CA1CB5" w:rsidP="00053455">
                        <w:pPr>
                          <w:framePr w:hSpace="180" w:wrap="around" w:vAnchor="text" w:hAnchor="text" w:xAlign="right" w:y="1"/>
                          <w:suppressOverlap/>
                          <w:jc w:val="right"/>
                          <w:rPr>
                            <w:rFonts w:eastAsia="楷体_GB2312" w:cs="Calibri"/>
                            <w:sz w:val="14"/>
                            <w:szCs w:val="14"/>
                          </w:rPr>
                        </w:pPr>
                      </w:p>
                    </w:tc>
                  </w:tr>
                  <w:tr w:rsidR="00CA1CB5" w14:paraId="0A252CC0" w14:textId="77777777">
                    <w:trPr>
                      <w:trHeight w:val="227"/>
                    </w:trPr>
                    <w:tc>
                      <w:tcPr>
                        <w:tcW w:w="1225" w:type="dxa"/>
                        <w:tcMar>
                          <w:right w:w="0" w:type="dxa"/>
                        </w:tcMar>
                        <w:vAlign w:val="center"/>
                      </w:tcPr>
                      <w:p w14:paraId="6726B827"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净利润</w:t>
                        </w:r>
                      </w:p>
                    </w:tc>
                    <w:tc>
                      <w:tcPr>
                        <w:tcW w:w="853" w:type="dxa"/>
                        <w:gridSpan w:val="2"/>
                        <w:vAlign w:val="center"/>
                      </w:tcPr>
                      <w:p w14:paraId="5373AEF1" w14:textId="77777777" w:rsidR="00CA1CB5" w:rsidRDefault="00CA1CB5" w:rsidP="00053455">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180B32A3"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00A25DF4"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6FFAF8BC" w14:textId="77777777" w:rsidR="00CA1CB5" w:rsidRDefault="00CA1CB5" w:rsidP="00053455">
                        <w:pPr>
                          <w:framePr w:hSpace="180" w:wrap="around" w:vAnchor="text" w:hAnchor="text" w:xAlign="right" w:y="1"/>
                          <w:suppressOverlap/>
                          <w:jc w:val="right"/>
                          <w:rPr>
                            <w:rFonts w:eastAsia="楷体_GB2312" w:cs="Calibri"/>
                            <w:sz w:val="14"/>
                            <w:szCs w:val="14"/>
                          </w:rPr>
                        </w:pPr>
                      </w:p>
                    </w:tc>
                  </w:tr>
                  <w:tr w:rsidR="00CA1CB5" w14:paraId="2C710773" w14:textId="77777777">
                    <w:trPr>
                      <w:trHeight w:val="227"/>
                    </w:trPr>
                    <w:tc>
                      <w:tcPr>
                        <w:tcW w:w="1225" w:type="dxa"/>
                        <w:tcMar>
                          <w:right w:w="0" w:type="dxa"/>
                        </w:tcMar>
                        <w:vAlign w:val="center"/>
                      </w:tcPr>
                      <w:p w14:paraId="4F3288B5"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w:t>
                        </w:r>
                      </w:p>
                    </w:tc>
                    <w:tc>
                      <w:tcPr>
                        <w:tcW w:w="853" w:type="dxa"/>
                        <w:gridSpan w:val="2"/>
                        <w:vAlign w:val="center"/>
                      </w:tcPr>
                      <w:p w14:paraId="60B3621E" w14:textId="77777777" w:rsidR="00CA1CB5" w:rsidRDefault="00CA1CB5" w:rsidP="00053455">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5CC7F4FC"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7E0E4A73"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054B14FE" w14:textId="77777777" w:rsidR="00CA1CB5" w:rsidRDefault="00CA1CB5" w:rsidP="00053455">
                        <w:pPr>
                          <w:framePr w:hSpace="180" w:wrap="around" w:vAnchor="text" w:hAnchor="text" w:xAlign="right" w:y="1"/>
                          <w:suppressOverlap/>
                          <w:jc w:val="right"/>
                          <w:rPr>
                            <w:rFonts w:eastAsia="楷体_GB2312" w:cs="Calibri"/>
                            <w:sz w:val="14"/>
                            <w:szCs w:val="14"/>
                          </w:rPr>
                        </w:pPr>
                      </w:p>
                    </w:tc>
                  </w:tr>
                  <w:tr w:rsidR="00CA1CB5" w14:paraId="7395C960" w14:textId="77777777">
                    <w:trPr>
                      <w:trHeight w:val="227"/>
                    </w:trPr>
                    <w:tc>
                      <w:tcPr>
                        <w:tcW w:w="1225" w:type="dxa"/>
                        <w:tcMar>
                          <w:right w:w="0" w:type="dxa"/>
                        </w:tcMar>
                        <w:vAlign w:val="center"/>
                      </w:tcPr>
                      <w:p w14:paraId="0737A2F1"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全面摊薄</w:t>
                        </w:r>
                        <w:r>
                          <w:rPr>
                            <w:rFonts w:eastAsia="楷体_GB2312" w:cs="Calibri"/>
                            <w:b w:val="0"/>
                            <w:sz w:val="14"/>
                          </w:rPr>
                          <w:t>EPS</w:t>
                        </w:r>
                      </w:p>
                    </w:tc>
                    <w:tc>
                      <w:tcPr>
                        <w:tcW w:w="853" w:type="dxa"/>
                        <w:gridSpan w:val="2"/>
                        <w:vAlign w:val="center"/>
                      </w:tcPr>
                      <w:p w14:paraId="7C72BB0F" w14:textId="77777777" w:rsidR="00CA1CB5" w:rsidRDefault="00CA1CB5" w:rsidP="00053455">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587F218A"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203684F9"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66981620" w14:textId="77777777" w:rsidR="00CA1CB5" w:rsidRDefault="00CA1CB5" w:rsidP="00053455">
                        <w:pPr>
                          <w:framePr w:hSpace="180" w:wrap="around" w:vAnchor="text" w:hAnchor="text" w:xAlign="right" w:y="1"/>
                          <w:suppressOverlap/>
                          <w:jc w:val="right"/>
                          <w:rPr>
                            <w:rFonts w:eastAsia="楷体_GB2312" w:cs="Calibri"/>
                            <w:sz w:val="14"/>
                            <w:szCs w:val="14"/>
                          </w:rPr>
                        </w:pPr>
                      </w:p>
                    </w:tc>
                  </w:tr>
                  <w:tr w:rsidR="00CA1CB5" w14:paraId="12177D06" w14:textId="77777777">
                    <w:trPr>
                      <w:trHeight w:val="227"/>
                    </w:trPr>
                    <w:tc>
                      <w:tcPr>
                        <w:tcW w:w="1225" w:type="dxa"/>
                        <w:tcMar>
                          <w:right w:w="0" w:type="dxa"/>
                        </w:tcMar>
                        <w:vAlign w:val="center"/>
                      </w:tcPr>
                      <w:p w14:paraId="545B5C76"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毛利率</w:t>
                        </w:r>
                      </w:p>
                    </w:tc>
                    <w:tc>
                      <w:tcPr>
                        <w:tcW w:w="853" w:type="dxa"/>
                        <w:gridSpan w:val="2"/>
                        <w:vAlign w:val="center"/>
                      </w:tcPr>
                      <w:p w14:paraId="4FF70CFB" w14:textId="77777777" w:rsidR="00CA1CB5" w:rsidRDefault="00CA1CB5" w:rsidP="00053455">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53B9EB86"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1E8D5490"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2EF1ECD5" w14:textId="77777777" w:rsidR="00CA1CB5" w:rsidRDefault="00CA1CB5" w:rsidP="00053455">
                        <w:pPr>
                          <w:framePr w:hSpace="180" w:wrap="around" w:vAnchor="text" w:hAnchor="text" w:xAlign="right" w:y="1"/>
                          <w:suppressOverlap/>
                          <w:jc w:val="right"/>
                          <w:rPr>
                            <w:rFonts w:eastAsia="楷体_GB2312" w:cs="Calibri"/>
                            <w:sz w:val="14"/>
                            <w:szCs w:val="14"/>
                          </w:rPr>
                        </w:pPr>
                      </w:p>
                    </w:tc>
                  </w:tr>
                  <w:tr w:rsidR="00CA1CB5" w14:paraId="5EACFDEF" w14:textId="77777777">
                    <w:trPr>
                      <w:trHeight w:val="227"/>
                    </w:trPr>
                    <w:tc>
                      <w:tcPr>
                        <w:tcW w:w="1225" w:type="dxa"/>
                        <w:tcMar>
                          <w:right w:w="0" w:type="dxa"/>
                        </w:tcMar>
                        <w:vAlign w:val="center"/>
                      </w:tcPr>
                      <w:p w14:paraId="2A241A42"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净资产收益率</w:t>
                        </w:r>
                      </w:p>
                    </w:tc>
                    <w:tc>
                      <w:tcPr>
                        <w:tcW w:w="853" w:type="dxa"/>
                        <w:gridSpan w:val="2"/>
                        <w:vAlign w:val="center"/>
                      </w:tcPr>
                      <w:p w14:paraId="46102FF7"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760CF656"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A5338C0"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15B5132A" w14:textId="77777777" w:rsidR="00CA1CB5" w:rsidRDefault="00CA1CB5" w:rsidP="00053455">
                        <w:pPr>
                          <w:framePr w:hSpace="180" w:wrap="around" w:vAnchor="text" w:hAnchor="text" w:xAlign="right" w:y="1"/>
                          <w:suppressOverlap/>
                          <w:jc w:val="right"/>
                          <w:rPr>
                            <w:rFonts w:eastAsia="楷体_GB2312" w:cs="Calibri"/>
                            <w:sz w:val="14"/>
                            <w:szCs w:val="14"/>
                          </w:rPr>
                        </w:pPr>
                      </w:p>
                    </w:tc>
                  </w:tr>
                  <w:tr w:rsidR="00CA1CB5" w14:paraId="5B38A97E" w14:textId="77777777">
                    <w:trPr>
                      <w:trHeight w:val="227"/>
                    </w:trPr>
                    <w:tc>
                      <w:tcPr>
                        <w:tcW w:w="1225" w:type="dxa"/>
                        <w:tcMar>
                          <w:right w:w="0" w:type="dxa"/>
                        </w:tcMar>
                        <w:vAlign w:val="center"/>
                      </w:tcPr>
                      <w:p w14:paraId="2D96A533" w14:textId="77777777" w:rsidR="00CA1CB5" w:rsidRDefault="00EE3BC1" w:rsidP="00053455">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市盈率</w:t>
                        </w:r>
                      </w:p>
                    </w:tc>
                    <w:tc>
                      <w:tcPr>
                        <w:tcW w:w="853" w:type="dxa"/>
                        <w:gridSpan w:val="2"/>
                        <w:vAlign w:val="center"/>
                      </w:tcPr>
                      <w:p w14:paraId="074C542C"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1645C9C5"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0E5A3D5F" w14:textId="77777777" w:rsidR="00CA1CB5" w:rsidRDefault="00CA1CB5" w:rsidP="00053455">
                        <w:pPr>
                          <w:framePr w:hSpace="180" w:wrap="around" w:vAnchor="text" w:hAnchor="text" w:xAlign="right" w:y="1"/>
                          <w:suppressOverlap/>
                          <w:jc w:val="right"/>
                          <w:rPr>
                            <w:rFonts w:eastAsia="楷体_GB2312" w:cs="Calibri"/>
                            <w:sz w:val="14"/>
                            <w:szCs w:val="14"/>
                          </w:rPr>
                        </w:pPr>
                      </w:p>
                    </w:tc>
                    <w:tc>
                      <w:tcPr>
                        <w:tcW w:w="854" w:type="dxa"/>
                        <w:vAlign w:val="center"/>
                      </w:tcPr>
                      <w:p w14:paraId="36F11ED5" w14:textId="77777777" w:rsidR="00CA1CB5" w:rsidRDefault="00CA1CB5" w:rsidP="00053455">
                        <w:pPr>
                          <w:framePr w:hSpace="180" w:wrap="around" w:vAnchor="text" w:hAnchor="text" w:xAlign="right" w:y="1"/>
                          <w:suppressOverlap/>
                          <w:jc w:val="right"/>
                          <w:rPr>
                            <w:rFonts w:eastAsia="楷体_GB2312" w:cs="Calibri"/>
                            <w:sz w:val="14"/>
                            <w:szCs w:val="14"/>
                          </w:rPr>
                        </w:pPr>
                      </w:p>
                    </w:tc>
                  </w:tr>
                </w:tbl>
                <w:p w14:paraId="27CB37FE" w14:textId="77777777" w:rsidR="00CA1CB5" w:rsidRDefault="00CA1CB5" w:rsidP="00053455">
                  <w:pPr>
                    <w:framePr w:hSpace="180" w:wrap="around" w:vAnchor="text" w:hAnchor="text" w:xAlign="right" w:y="1"/>
                    <w:ind w:right="85" w:firstLine="85"/>
                    <w:suppressOverlap/>
                    <w:rPr>
                      <w:rFonts w:eastAsia="楷体_GB2312" w:cs="Calibri"/>
                    </w:rPr>
                  </w:pPr>
                </w:p>
              </w:tc>
            </w:tr>
            <w:tr w:rsidR="00CA1CB5" w14:paraId="110845EF" w14:textId="77777777">
              <w:trPr>
                <w:trHeight w:val="216"/>
              </w:trPr>
              <w:tc>
                <w:tcPr>
                  <w:tcW w:w="4071" w:type="dxa"/>
                  <w:gridSpan w:val="2"/>
                </w:tcPr>
                <w:p w14:paraId="57591F07" w14:textId="77777777" w:rsidR="00CA1CB5" w:rsidRDefault="00EE3BC1" w:rsidP="00053455">
                  <w:pPr>
                    <w:framePr w:hSpace="180" w:wrap="around" w:vAnchor="text" w:hAnchor="text" w:xAlign="right" w:y="1"/>
                    <w:ind w:right="85" w:firstLine="85"/>
                    <w:suppressOverlap/>
                    <w:rPr>
                      <w:rFonts w:eastAsia="楷体_GB2312" w:cs="Calibri"/>
                      <w:i/>
                      <w:iCs/>
                      <w:color w:val="000000"/>
                      <w:sz w:val="12"/>
                    </w:rPr>
                  </w:pPr>
                  <w:r>
                    <w:rPr>
                      <w:rFonts w:eastAsia="楷体_GB2312" w:cs="Calibri"/>
                      <w:i/>
                      <w:iCs/>
                      <w:color w:val="000000"/>
                      <w:sz w:val="12"/>
                    </w:rPr>
                    <w:t>资料来源：公司信息</w:t>
                  </w:r>
                  <w:r>
                    <w:rPr>
                      <w:rFonts w:eastAsia="楷体_GB2312" w:cs="Calibri"/>
                      <w:i/>
                      <w:iCs/>
                      <w:color w:val="000000"/>
                      <w:sz w:val="12"/>
                    </w:rPr>
                    <w:t xml:space="preserve">, </w:t>
                  </w:r>
                  <w:r>
                    <w:rPr>
                      <w:rFonts w:eastAsia="楷体_GB2312" w:cs="Calibri" w:hint="eastAsia"/>
                      <w:i/>
                      <w:iCs/>
                      <w:color w:val="000000"/>
                      <w:sz w:val="12"/>
                    </w:rPr>
                    <w:t>xxx</w:t>
                  </w:r>
                </w:p>
              </w:tc>
            </w:tr>
          </w:tbl>
          <w:p w14:paraId="056F9501" w14:textId="77777777" w:rsidR="00CA1CB5" w:rsidRDefault="00CA1CB5">
            <w:pPr>
              <w:tabs>
                <w:tab w:val="left" w:pos="2845"/>
              </w:tabs>
              <w:rPr>
                <w:rFonts w:eastAsiaTheme="minorEastAsia"/>
              </w:rPr>
            </w:pPr>
          </w:p>
        </w:tc>
        <w:tc>
          <w:tcPr>
            <w:tcW w:w="6480" w:type="dxa"/>
            <w:gridSpan w:val="4"/>
          </w:tcPr>
          <w:p w14:paraId="24B3FD2A" w14:textId="38AD0994" w:rsidR="00CA1CB5" w:rsidRPr="00B35018" w:rsidRDefault="00536760" w:rsidP="00B35018">
            <w:pPr>
              <w:pStyle w:val="EFAFPBodyText2"/>
              <w:jc w:val="both"/>
              <w:rPr>
                <w:rFonts w:eastAsia="楷体" w:cs="Calibri"/>
                <w:lang w:eastAsia="zh-CN"/>
              </w:rPr>
            </w:pPr>
            <w:r w:rsidRPr="00536760">
              <w:rPr>
                <w:rFonts w:asciiTheme="minorHAnsi" w:eastAsia="楷体" w:hAnsiTheme="minorHAnsi" w:cstheme="minorHAnsi"/>
                <w:b/>
                <w:snapToGrid w:val="0"/>
                <w:color w:val="23558C"/>
                <w:lang w:eastAsia="zh-CN"/>
              </w:rPr>
              <w:t>L'Oréal Group: Global Beauty Leader</w:t>
            </w:r>
            <w:r>
              <w:rPr>
                <w:rFonts w:asciiTheme="minorHAnsi" w:eastAsia="楷体" w:hAnsiTheme="minorHAnsi" w:cstheme="minorHAnsi" w:hint="eastAsia"/>
                <w:b/>
                <w:snapToGrid w:val="0"/>
                <w:color w:val="23558C"/>
                <w:lang w:eastAsia="zh-CN"/>
              </w:rPr>
              <w:t>.</w:t>
            </w:r>
            <w:r w:rsidR="00B35018">
              <w:t xml:space="preserve"> </w:t>
            </w:r>
            <w:r w:rsidR="00B35018" w:rsidRPr="00B35018">
              <w:rPr>
                <w:rFonts w:eastAsia="楷体" w:cs="Calibri"/>
                <w:lang w:eastAsia="zh-CN"/>
              </w:rPr>
              <w:t>Founded in 1909 and headquartered in Paris, France, L'Oréal is the undisputed leader in the global beauty and personal care industry. In 2025, the Group recorded revenue of €44.052 billion and has consistently held the No.1 position in global beauty market share for many years (≈18.0% in 2024).The business is organized into four divisions (2025 revenue breakdown):</w:t>
            </w:r>
            <w:r w:rsidR="00B35018" w:rsidRPr="00B35018">
              <w:rPr>
                <w:rFonts w:ascii="宋体" w:eastAsia="宋体" w:hAnsi="宋体" w:cs="宋体"/>
                <w:sz w:val="24"/>
              </w:rPr>
              <w:t xml:space="preserve"> </w:t>
            </w:r>
            <w:r w:rsidR="00B35018" w:rsidRPr="00B35018">
              <w:rPr>
                <w:rFonts w:eastAsia="楷体" w:cs="Calibri"/>
              </w:rPr>
              <w:t>Consumer Products: €16.090 billion (36.5%)</w:t>
            </w:r>
            <w:r w:rsidR="00B35018">
              <w:rPr>
                <w:rFonts w:eastAsia="楷体" w:cs="Calibri" w:hint="eastAsia"/>
                <w:lang w:eastAsia="zh-CN"/>
              </w:rPr>
              <w:t>,</w:t>
            </w:r>
            <w:r w:rsidR="00B35018" w:rsidRPr="00B35018">
              <w:rPr>
                <w:rFonts w:eastAsia="楷体" w:cs="Calibri"/>
                <w:lang w:eastAsia="zh-CN"/>
              </w:rPr>
              <w:t>Luxury Products: €15.595 billion (35.4%)</w:t>
            </w:r>
            <w:r w:rsidR="00B35018">
              <w:rPr>
                <w:rFonts w:eastAsia="楷体" w:cs="Calibri" w:hint="eastAsia"/>
                <w:lang w:eastAsia="zh-CN"/>
              </w:rPr>
              <w:t>,</w:t>
            </w:r>
            <w:r w:rsidR="00B35018" w:rsidRPr="00B35018">
              <w:rPr>
                <w:rFonts w:eastAsia="楷体" w:cs="Calibri"/>
              </w:rPr>
              <w:t>Dermatological Beauty: €7.204 billion (16.4%)</w:t>
            </w:r>
            <w:r w:rsidR="00B35018">
              <w:rPr>
                <w:rFonts w:eastAsia="楷体" w:cs="Calibri" w:hint="eastAsia"/>
                <w:lang w:eastAsia="zh-CN"/>
              </w:rPr>
              <w:t>,</w:t>
            </w:r>
            <w:r w:rsidR="00B35018" w:rsidRPr="00B35018">
              <w:rPr>
                <w:rFonts w:eastAsia="楷体" w:cs="Calibri"/>
              </w:rPr>
              <w:t>Professional Products: €5.163 billion (11.7%)</w:t>
            </w:r>
            <w:r w:rsidR="00B35018">
              <w:rPr>
                <w:rFonts w:eastAsia="楷体" w:cs="Calibri" w:hint="eastAsia"/>
                <w:lang w:eastAsia="zh-CN"/>
              </w:rPr>
              <w:t>.</w:t>
            </w:r>
            <w:r w:rsidR="00172890" w:rsidRPr="00172890">
              <w:rPr>
                <w:rFonts w:eastAsia="楷体" w:cs="Calibri"/>
                <w:lang w:eastAsia="zh-CN"/>
              </w:rPr>
              <w:t>L'Oréal manages over 40 international brands spanning the full price spectrum from mass to ultra-luxury.</w:t>
            </w:r>
          </w:p>
          <w:p w14:paraId="2803F7C5" w14:textId="67CC8640" w:rsidR="00CA1CB5" w:rsidRPr="007C6B17" w:rsidRDefault="00172890">
            <w:pPr>
              <w:pStyle w:val="EFAFPBodyText2"/>
              <w:jc w:val="both"/>
              <w:rPr>
                <w:rFonts w:eastAsia="楷体" w:cs="Calibri"/>
                <w:lang w:eastAsia="zh-CN"/>
              </w:rPr>
            </w:pPr>
            <w:r w:rsidRPr="007C6B17">
              <w:rPr>
                <w:rFonts w:eastAsia="楷体" w:cs="Calibri"/>
                <w:b/>
                <w:bCs/>
                <w:color w:val="23558C"/>
                <w:lang w:eastAsia="zh-CN"/>
              </w:rPr>
              <w:t>Global Beauty Market: Mature, Steady Growth with Increasing Concentration.</w:t>
            </w:r>
            <w:r w:rsidRPr="007C6B17">
              <w:rPr>
                <w:rFonts w:cs="Calibri"/>
              </w:rPr>
              <w:t xml:space="preserve"> </w:t>
            </w:r>
            <w:r w:rsidRPr="007C6B17">
              <w:rPr>
                <w:rFonts w:eastAsia="楷体" w:cs="Calibri"/>
                <w:lang w:eastAsia="zh-CN"/>
              </w:rPr>
              <w:t>The global beauty market has entered a mature phase of stable expansion. Market size grew from USD 473.2 billion in 2016 to USD 677.19 billion in 2025 (CAGR 4.06%), and is projected to rise from USD 703.31 billion in 2026 to USD 799.07 billion in 2030 (CAGR 3.24%).</w:t>
            </w:r>
            <w:r w:rsidRPr="007C6B17">
              <w:rPr>
                <w:rFonts w:eastAsia="楷体" w:cs="Calibri"/>
              </w:rPr>
              <w:t>Key structural trends include:</w:t>
            </w:r>
            <w:r w:rsidR="007C6B17" w:rsidRPr="007C6B17">
              <w:rPr>
                <w:rFonts w:eastAsia="宋体" w:cs="Calibri"/>
                <w:sz w:val="24"/>
              </w:rPr>
              <w:t xml:space="preserve"> </w:t>
            </w:r>
            <w:r w:rsidR="007C6B17" w:rsidRPr="007C6B17">
              <w:rPr>
                <w:rFonts w:eastAsia="楷体" w:cs="Calibri"/>
              </w:rPr>
              <w:t>Luxury/Prestige categories expected to grow at 7–9% CAGR (2023–2028), outperforming the overall market (~6%)</w:t>
            </w:r>
            <w:r w:rsidR="007C6B17" w:rsidRPr="007C6B17">
              <w:rPr>
                <w:rFonts w:eastAsia="楷体" w:cs="Calibri"/>
                <w:lang w:eastAsia="zh-CN"/>
              </w:rPr>
              <w:t>;</w:t>
            </w:r>
            <w:r w:rsidR="007C6B17" w:rsidRPr="007C6B17">
              <w:rPr>
                <w:rFonts w:eastAsia="楷体" w:cs="Calibri"/>
              </w:rPr>
              <w:t>Functional/efficacious skincare at 7–9% CAGR (vs. overall skincare 5–6%)</w:t>
            </w:r>
            <w:r w:rsidR="007C6B17">
              <w:rPr>
                <w:rFonts w:eastAsia="楷体" w:cs="Calibri" w:hint="eastAsia"/>
                <w:lang w:eastAsia="zh-CN"/>
              </w:rPr>
              <w:t>.</w:t>
            </w:r>
            <w:r w:rsidR="007C6B17" w:rsidRPr="007C6B17">
              <w:rPr>
                <w:rFonts w:eastAsia="楷体" w:cs="Calibri"/>
              </w:rPr>
              <w:t>The industry exhibits a clear Matthew effect: the top 10 players increased their combined global share by 5.2 percentage points from 2020 to 2024, reaching ≈38%.</w:t>
            </w:r>
          </w:p>
          <w:p w14:paraId="7EC62BCD" w14:textId="4808F596" w:rsidR="00380947" w:rsidRPr="00380947" w:rsidRDefault="007C6B17" w:rsidP="00380947">
            <w:pPr>
              <w:pStyle w:val="EFAFPBodyText2"/>
              <w:jc w:val="both"/>
              <w:rPr>
                <w:rFonts w:eastAsia="楷体" w:cs="Calibri"/>
                <w:lang w:eastAsia="zh-CN"/>
              </w:rPr>
            </w:pPr>
            <w:r w:rsidRPr="00380947">
              <w:rPr>
                <w:rFonts w:eastAsia="楷体" w:cs="Calibri"/>
                <w:b/>
                <w:bCs/>
                <w:color w:val="23558C"/>
                <w:lang w:eastAsia="zh-CN"/>
              </w:rPr>
              <w:t>L'Oréal’s Five Mutually Reinforcing Competitive Moats</w:t>
            </w:r>
            <w:r w:rsidR="00D6606F">
              <w:rPr>
                <w:rFonts w:eastAsia="楷体" w:cs="Calibri" w:hint="eastAsia"/>
                <w:b/>
                <w:bCs/>
                <w:color w:val="23558C"/>
                <w:lang w:eastAsia="zh-CN"/>
              </w:rPr>
              <w:t xml:space="preserve">. </w:t>
            </w:r>
            <w:r w:rsidRPr="00380947">
              <w:rPr>
                <w:rFonts w:eastAsia="楷体" w:cs="Calibri"/>
                <w:lang w:eastAsia="zh-CN"/>
              </w:rPr>
              <w:t>1)</w:t>
            </w:r>
            <w:r w:rsidRPr="00380947">
              <w:rPr>
                <w:rFonts w:eastAsia="宋体" w:cs="Calibri"/>
                <w:sz w:val="24"/>
              </w:rPr>
              <w:t xml:space="preserve"> </w:t>
            </w:r>
            <w:r w:rsidRPr="00380947">
              <w:rPr>
                <w:rFonts w:eastAsia="楷体" w:cs="Calibri"/>
              </w:rPr>
              <w:t>R&amp;D and Innovation Leadership</w:t>
            </w:r>
            <w:r w:rsidRPr="00380947">
              <w:rPr>
                <w:rFonts w:eastAsia="楷体" w:cs="Calibri"/>
                <w:lang w:eastAsia="zh-CN"/>
              </w:rPr>
              <w:t>;2)</w:t>
            </w:r>
            <w:r w:rsidRPr="00380947">
              <w:rPr>
                <w:rFonts w:eastAsia="宋体" w:cs="Calibri"/>
                <w:sz w:val="24"/>
              </w:rPr>
              <w:t xml:space="preserve"> </w:t>
            </w:r>
            <w:r w:rsidRPr="00380947">
              <w:rPr>
                <w:rFonts w:eastAsia="楷体" w:cs="Calibri"/>
              </w:rPr>
              <w:t>Broad and Well-Managed Brand Portfolio</w:t>
            </w:r>
            <w:r w:rsidR="00380947" w:rsidRPr="00380947">
              <w:rPr>
                <w:rFonts w:eastAsia="楷体" w:cs="Calibri"/>
                <w:lang w:eastAsia="zh-CN"/>
              </w:rPr>
              <w:t>;3)</w:t>
            </w:r>
            <w:r w:rsidR="00380947" w:rsidRPr="00380947">
              <w:rPr>
                <w:rFonts w:eastAsia="宋体" w:cs="Calibri"/>
                <w:sz w:val="24"/>
              </w:rPr>
              <w:t xml:space="preserve"> </w:t>
            </w:r>
            <w:r w:rsidR="00380947" w:rsidRPr="00380947">
              <w:rPr>
                <w:rFonts w:eastAsia="楷体" w:cs="Calibri"/>
              </w:rPr>
              <w:t>Global Scale with Localized Executio</w:t>
            </w:r>
            <w:r w:rsidR="00380947" w:rsidRPr="00380947">
              <w:rPr>
                <w:rFonts w:eastAsia="楷体" w:cs="Calibri"/>
                <w:lang w:eastAsia="zh-CN"/>
              </w:rPr>
              <w:t>n;4)</w:t>
            </w:r>
            <w:r w:rsidR="00380947" w:rsidRPr="00380947">
              <w:rPr>
                <w:rFonts w:eastAsia="宋体" w:cs="Calibri"/>
                <w:sz w:val="24"/>
              </w:rPr>
              <w:t xml:space="preserve"> </w:t>
            </w:r>
            <w:r w:rsidR="00380947" w:rsidRPr="00380947">
              <w:rPr>
                <w:rFonts w:eastAsia="楷体" w:cs="Calibri"/>
              </w:rPr>
              <w:t>Comprehensive Omnichannel Coverage</w:t>
            </w:r>
            <w:r w:rsidR="00380947" w:rsidRPr="00380947">
              <w:rPr>
                <w:rFonts w:eastAsia="楷体" w:cs="Calibri"/>
                <w:lang w:eastAsia="zh-CN"/>
              </w:rPr>
              <w:t>;5)</w:t>
            </w:r>
            <w:r w:rsidR="00380947" w:rsidRPr="00380947">
              <w:rPr>
                <w:rFonts w:eastAsia="宋体" w:cs="Calibri"/>
                <w:sz w:val="24"/>
              </w:rPr>
              <w:t xml:space="preserve"> </w:t>
            </w:r>
            <w:r w:rsidR="00380947" w:rsidRPr="00380947">
              <w:rPr>
                <w:rFonts w:eastAsia="楷体" w:cs="Calibri"/>
              </w:rPr>
              <w:t>Digital &amp; Beauty Tech Advantage</w:t>
            </w:r>
            <w:r w:rsidR="00380947" w:rsidRPr="00380947">
              <w:rPr>
                <w:rFonts w:eastAsia="楷体" w:cs="Calibri"/>
                <w:lang w:eastAsia="zh-CN"/>
              </w:rPr>
              <w:t>.</w:t>
            </w:r>
          </w:p>
          <w:p w14:paraId="61756503" w14:textId="088D2C0B" w:rsidR="00E07523" w:rsidRPr="00E07523" w:rsidRDefault="00D6606F" w:rsidP="00E07523">
            <w:pPr>
              <w:pStyle w:val="EFAFPBodyText2"/>
              <w:jc w:val="both"/>
              <w:rPr>
                <w:rFonts w:eastAsia="楷体" w:cs="Calibri"/>
              </w:rPr>
            </w:pPr>
            <w:r w:rsidRPr="00D6606F">
              <w:rPr>
                <w:rFonts w:eastAsia="楷体" w:cs="Calibri"/>
                <w:b/>
                <w:bCs/>
                <w:color w:val="23558C"/>
              </w:rPr>
              <w:t>Growth Drivers: Organic Momentum + Strategic Acquisitions</w:t>
            </w:r>
            <w:r>
              <w:rPr>
                <w:rFonts w:eastAsia="楷体" w:cs="Calibri" w:hint="eastAsia"/>
                <w:b/>
                <w:bCs/>
                <w:color w:val="23558C"/>
                <w:lang w:eastAsia="zh-CN"/>
              </w:rPr>
              <w:t>.</w:t>
            </w:r>
            <w:r>
              <w:t xml:space="preserve"> </w:t>
            </w:r>
            <w:r w:rsidRPr="00D6606F">
              <w:rPr>
                <w:rFonts w:eastAsia="楷体" w:cs="Calibri"/>
              </w:rPr>
              <w:t>Focus on high-growth categories and emerging markets:</w:t>
            </w:r>
            <w:r w:rsidR="007F2F0B">
              <w:rPr>
                <w:rFonts w:eastAsia="楷体" w:cs="Calibri" w:hint="eastAsia"/>
                <w:lang w:eastAsia="zh-CN"/>
              </w:rPr>
              <w:t>1)</w:t>
            </w:r>
            <w:r w:rsidR="007F2F0B">
              <w:t xml:space="preserve"> </w:t>
            </w:r>
            <w:r w:rsidR="007F2F0B" w:rsidRPr="007F2F0B">
              <w:rPr>
                <w:rFonts w:eastAsia="楷体" w:cs="Calibri"/>
                <w:lang w:eastAsia="zh-CN"/>
              </w:rPr>
              <w:t>Dermatological Beauty (Strongest Engine) — driven by patented actives (</w:t>
            </w:r>
            <w:proofErr w:type="spellStart"/>
            <w:r w:rsidR="007F2F0B" w:rsidRPr="007F2F0B">
              <w:rPr>
                <w:rFonts w:eastAsia="楷体" w:cs="Calibri"/>
                <w:lang w:eastAsia="zh-CN"/>
              </w:rPr>
              <w:t>Melasyl</w:t>
            </w:r>
            <w:proofErr w:type="spellEnd"/>
            <w:r w:rsidR="007F2F0B" w:rsidRPr="007F2F0B">
              <w:rPr>
                <w:rFonts w:eastAsia="楷体" w:cs="Calibri"/>
                <w:lang w:eastAsia="zh-CN"/>
              </w:rPr>
              <w:t>™, P-</w:t>
            </w:r>
            <w:proofErr w:type="spellStart"/>
            <w:r w:rsidR="007F2F0B" w:rsidRPr="007F2F0B">
              <w:rPr>
                <w:rFonts w:eastAsia="楷体" w:cs="Calibri"/>
                <w:lang w:eastAsia="zh-CN"/>
              </w:rPr>
              <w:t>Tiox</w:t>
            </w:r>
            <w:proofErr w:type="spellEnd"/>
            <w:r w:rsidR="007F2F0B" w:rsidRPr="007F2F0B">
              <w:rPr>
                <w:rFonts w:eastAsia="楷体" w:cs="Calibri"/>
                <w:lang w:eastAsia="zh-CN"/>
              </w:rPr>
              <w:t>), cross-category scalp care expansion, and digital-first / city-by-city penetration in India, Mainland China, Southeast Asia, Latin America, and GCC</w:t>
            </w:r>
            <w:r w:rsidR="007F2F0B">
              <w:rPr>
                <w:rFonts w:eastAsia="楷体" w:cs="Calibri" w:hint="eastAsia"/>
                <w:lang w:eastAsia="zh-CN"/>
              </w:rPr>
              <w:t>. 2)</w:t>
            </w:r>
            <w:r w:rsidR="007F2F0B">
              <w:t xml:space="preserve"> </w:t>
            </w:r>
            <w:r w:rsidR="007F2F0B" w:rsidRPr="007F2F0B">
              <w:rPr>
                <w:rFonts w:eastAsia="楷体" w:cs="Calibri"/>
                <w:lang w:eastAsia="zh-CN"/>
              </w:rPr>
              <w:t>Luxury Products — capturing fragrance structural upgrade and ultra-premium gaps via Creed and the €4 billion Kering beauty alliance (licensing Bottega Veneta, Balenciaga, Gucci, etc.).</w:t>
            </w:r>
            <w:r w:rsidR="007F2F0B">
              <w:rPr>
                <w:rFonts w:eastAsia="楷体" w:cs="Calibri" w:hint="eastAsia"/>
                <w:lang w:eastAsia="zh-CN"/>
              </w:rPr>
              <w:t>3)</w:t>
            </w:r>
            <w:r w:rsidR="00E07523" w:rsidRPr="00E07523">
              <w:rPr>
                <w:rFonts w:ascii="宋体" w:eastAsia="宋体" w:hAnsi="宋体" w:cs="宋体"/>
                <w:sz w:val="24"/>
              </w:rPr>
              <w:t xml:space="preserve"> </w:t>
            </w:r>
            <w:r w:rsidR="00E07523" w:rsidRPr="00E07523">
              <w:rPr>
                <w:rFonts w:eastAsia="楷体" w:cs="Calibri"/>
              </w:rPr>
              <w:t>Bolt-on Acquisitions — continuously strengthening the global brand operating platform.</w:t>
            </w:r>
          </w:p>
          <w:p w14:paraId="3D0AADAA" w14:textId="440A1F9C" w:rsidR="00CA1CB5" w:rsidRPr="00E07523" w:rsidRDefault="00E07523" w:rsidP="00E07523">
            <w:pPr>
              <w:pStyle w:val="EFAFPBodyText2"/>
              <w:jc w:val="both"/>
              <w:rPr>
                <w:rFonts w:eastAsia="楷体" w:cs="Calibri"/>
                <w:lang w:eastAsia="zh-CN"/>
              </w:rPr>
            </w:pPr>
            <w:r w:rsidRPr="00E07523">
              <w:rPr>
                <w:rFonts w:eastAsia="楷体" w:cs="Calibri"/>
                <w:b/>
                <w:bCs/>
                <w:color w:val="23558C"/>
                <w:lang w:eastAsia="zh-CN"/>
              </w:rPr>
              <w:t>Valuation and Recommendation.</w:t>
            </w:r>
            <w:r w:rsidR="00746D7E">
              <w:rPr>
                <w:rFonts w:eastAsia="楷体" w:cs="Calibri" w:hint="eastAsia"/>
                <w:b/>
                <w:bCs/>
                <w:color w:val="23558C"/>
                <w:lang w:eastAsia="zh-CN"/>
              </w:rPr>
              <w:t xml:space="preserve"> </w:t>
            </w:r>
            <w:r w:rsidRPr="00E07523">
              <w:rPr>
                <w:rFonts w:eastAsia="楷体" w:cs="Calibri"/>
                <w:lang w:eastAsia="zh-CN"/>
              </w:rPr>
              <w:t>We forecast 2026–2029 revenue at €46.055 / €48.398 / €50.953 billion and net profit at €6.786 / €7.382 / €7.932 billion.</w:t>
            </w:r>
            <w:r w:rsidR="00746D7E">
              <w:rPr>
                <w:rFonts w:eastAsia="楷体" w:cs="Calibri" w:hint="eastAsia"/>
                <w:lang w:eastAsia="zh-CN"/>
              </w:rPr>
              <w:t xml:space="preserve"> </w:t>
            </w:r>
            <w:r w:rsidRPr="00E07523">
              <w:rPr>
                <w:rFonts w:eastAsia="楷体" w:cs="Calibri"/>
                <w:lang w:eastAsia="zh-CN"/>
              </w:rPr>
              <w:t>Using a DCF valuation model, we initiate coverage with an Outperform rating and a target price of €408.</w:t>
            </w:r>
          </w:p>
          <w:p w14:paraId="0A6B7C09" w14:textId="536B6BD4" w:rsidR="00CA1CB5" w:rsidRPr="00746D7E" w:rsidRDefault="00E07523" w:rsidP="00746D7E">
            <w:pPr>
              <w:pStyle w:val="EFAFPBodyText2"/>
              <w:jc w:val="both"/>
              <w:rPr>
                <w:rFonts w:ascii="楷体" w:eastAsia="楷体" w:hAnsi="楷体" w:cs="Calibri" w:hint="eastAsia"/>
                <w:b/>
                <w:bCs/>
                <w:color w:val="23558C"/>
                <w:lang w:eastAsia="zh-CN"/>
              </w:rPr>
            </w:pPr>
            <w:r>
              <w:rPr>
                <w:rFonts w:ascii="楷体" w:eastAsia="楷体" w:hAnsi="楷体" w:cs="Calibri" w:hint="eastAsia"/>
                <w:b/>
                <w:bCs/>
                <w:color w:val="23558C"/>
                <w:lang w:eastAsia="zh-CN"/>
              </w:rPr>
              <w:t>Risk</w:t>
            </w:r>
            <w:r w:rsidR="00746D7E">
              <w:rPr>
                <w:rFonts w:ascii="楷体" w:eastAsia="楷体" w:hAnsi="楷体" w:cs="Calibri" w:hint="eastAsia"/>
                <w:b/>
                <w:bCs/>
                <w:color w:val="23558C"/>
                <w:lang w:eastAsia="zh-CN"/>
              </w:rPr>
              <w:t xml:space="preserve">: </w:t>
            </w:r>
            <w:r w:rsidR="00746D7E" w:rsidRPr="00746D7E">
              <w:rPr>
                <w:rFonts w:eastAsia="楷体" w:cs="Calibri"/>
              </w:rPr>
              <w:t xml:space="preserve">Raw material price volatility; supply chain disruptions; intensified competition; shifts in consumer </w:t>
            </w:r>
            <w:proofErr w:type="gramStart"/>
            <w:r w:rsidR="00746D7E" w:rsidRPr="00746D7E">
              <w:rPr>
                <w:rFonts w:eastAsia="楷体" w:cs="Calibri"/>
              </w:rPr>
              <w:t>preferences.</w:t>
            </w:r>
            <w:r w:rsidR="00EE3BC1" w:rsidRPr="00746D7E">
              <w:rPr>
                <w:rFonts w:eastAsia="楷体" w:cs="Calibri"/>
              </w:rPr>
              <w:t>.</w:t>
            </w:r>
            <w:proofErr w:type="gramEnd"/>
          </w:p>
          <w:p w14:paraId="58820AA8" w14:textId="77777777" w:rsidR="00CA1CB5" w:rsidRDefault="00CA1CB5">
            <w:pPr>
              <w:pStyle w:val="EFAFPBodyText2"/>
              <w:jc w:val="both"/>
              <w:rPr>
                <w:rFonts w:ascii="楷体" w:eastAsia="楷体" w:hAnsi="楷体" w:cs="Calibri" w:hint="eastAsia"/>
                <w:lang w:eastAsia="zh-CN"/>
              </w:rPr>
            </w:pPr>
          </w:p>
        </w:tc>
      </w:tr>
      <w:tr w:rsidR="00CA1CB5" w14:paraId="6957D911" w14:textId="77777777">
        <w:trPr>
          <w:gridAfter w:val="1"/>
          <w:wAfter w:w="63" w:type="dxa"/>
          <w:trHeight w:val="1112"/>
        </w:trPr>
        <w:tc>
          <w:tcPr>
            <w:tcW w:w="10774" w:type="dxa"/>
            <w:gridSpan w:val="5"/>
            <w:tcMar>
              <w:left w:w="57" w:type="dxa"/>
            </w:tcMar>
          </w:tcPr>
          <w:p w14:paraId="160A3A66" w14:textId="77777777" w:rsidR="00CA1CB5" w:rsidRDefault="00CA1CB5">
            <w:pPr>
              <w:pStyle w:val="EFAFPBodyText2"/>
              <w:spacing w:after="0"/>
              <w:jc w:val="both"/>
              <w:rPr>
                <w:rFonts w:eastAsia="楷体_GB2312" w:cs="Calibri"/>
                <w:bCs/>
                <w:kern w:val="28"/>
                <w:lang w:eastAsia="zh-CN"/>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gridCol w:w="2551"/>
              <w:gridCol w:w="2693"/>
              <w:gridCol w:w="2694"/>
            </w:tblGrid>
            <w:tr w:rsidR="00CA1CB5" w14:paraId="193C289C" w14:textId="77777777">
              <w:trPr>
                <w:cantSplit/>
                <w:trHeight w:hRule="exact" w:val="23"/>
              </w:trPr>
              <w:tc>
                <w:tcPr>
                  <w:tcW w:w="2694" w:type="dxa"/>
                  <w:tcMar>
                    <w:right w:w="60" w:type="dxa"/>
                  </w:tcMar>
                </w:tcPr>
                <w:p w14:paraId="216F0936" w14:textId="77777777" w:rsidR="00CA1CB5" w:rsidRDefault="00EE3BC1" w:rsidP="008748F0">
                  <w:pPr>
                    <w:pStyle w:val="EFAFPColFrameText8pt"/>
                    <w:framePr w:w="0" w:hRule="auto" w:wrap="around" w:vAnchor="text" w:hAnchor="text" w:xAlign="right" w:y="1" w:anchorLock="0"/>
                    <w:suppressOverlap/>
                    <w:rPr>
                      <w:rFonts w:eastAsia="宋体"/>
                      <w:color w:val="FFFFFF" w:themeColor="background1"/>
                    </w:rPr>
                  </w:pPr>
                  <w:r>
                    <w:rPr>
                      <w:rFonts w:eastAsia="宋体" w:hint="eastAsia"/>
                      <w:color w:val="FFFFFF" w:themeColor="background1"/>
                    </w:rPr>
                    <w:t>[</w:t>
                  </w:r>
                  <w:proofErr w:type="spellStart"/>
                  <w:r>
                    <w:rPr>
                      <w:rFonts w:eastAsia="宋体"/>
                      <w:color w:val="FFFFFF" w:themeColor="background1"/>
                    </w:rPr>
                    <w:t>Table_Author</w:t>
                  </w:r>
                  <w:proofErr w:type="spellEnd"/>
                  <w:r>
                    <w:rPr>
                      <w:rFonts w:eastAsia="宋体"/>
                      <w:color w:val="FFFFFF" w:themeColor="background1"/>
                    </w:rPr>
                    <w:t>]</w:t>
                  </w:r>
                </w:p>
              </w:tc>
              <w:tc>
                <w:tcPr>
                  <w:tcW w:w="2551" w:type="dxa"/>
                </w:tcPr>
                <w:p w14:paraId="3BC13243" w14:textId="77777777" w:rsidR="00CA1CB5" w:rsidRDefault="00CA1CB5" w:rsidP="008748F0">
                  <w:pPr>
                    <w:pStyle w:val="EFAFPColFrameText8pt"/>
                    <w:framePr w:w="0" w:hRule="auto" w:wrap="around" w:vAnchor="text" w:hAnchor="text" w:xAlign="right" w:y="1" w:anchorLock="0"/>
                    <w:suppressOverlap/>
                    <w:rPr>
                      <w:rFonts w:eastAsia="MS Gothic"/>
                      <w:color w:val="FFFFFF" w:themeColor="background1"/>
                    </w:rPr>
                  </w:pPr>
                </w:p>
              </w:tc>
              <w:tc>
                <w:tcPr>
                  <w:tcW w:w="2693" w:type="dxa"/>
                </w:tcPr>
                <w:p w14:paraId="7DB1FF6A" w14:textId="77777777" w:rsidR="00CA1CB5" w:rsidRDefault="00CA1CB5" w:rsidP="008748F0">
                  <w:pPr>
                    <w:pStyle w:val="EFAFPColFrameText8pt"/>
                    <w:framePr w:w="0" w:hRule="auto" w:wrap="around" w:vAnchor="text" w:hAnchor="text" w:xAlign="right" w:y="1" w:anchorLock="0"/>
                    <w:suppressOverlap/>
                    <w:rPr>
                      <w:rFonts w:eastAsia="MS Gothic"/>
                      <w:color w:val="FFFFFF" w:themeColor="background1"/>
                    </w:rPr>
                  </w:pPr>
                </w:p>
              </w:tc>
              <w:tc>
                <w:tcPr>
                  <w:tcW w:w="2694" w:type="dxa"/>
                </w:tcPr>
                <w:p w14:paraId="30A085DC" w14:textId="77777777" w:rsidR="00CA1CB5" w:rsidRDefault="00CA1CB5" w:rsidP="008748F0">
                  <w:pPr>
                    <w:pStyle w:val="EFAFPColFrameText8pt"/>
                    <w:framePr w:w="0" w:hRule="auto" w:wrap="around" w:vAnchor="text" w:hAnchor="text" w:xAlign="right" w:y="1" w:anchorLock="0"/>
                    <w:suppressOverlap/>
                    <w:rPr>
                      <w:rFonts w:eastAsia="MS Gothic"/>
                      <w:color w:val="FFFFFF" w:themeColor="background1"/>
                    </w:rPr>
                  </w:pPr>
                </w:p>
              </w:tc>
            </w:tr>
            <w:tr w:rsidR="00CA1CB5" w14:paraId="1641BA3D" w14:textId="77777777">
              <w:trPr>
                <w:cantSplit/>
                <w:trHeight w:val="119"/>
              </w:trPr>
              <w:tc>
                <w:tcPr>
                  <w:tcW w:w="2694" w:type="dxa"/>
                </w:tcPr>
                <w:p w14:paraId="33EE9A6D" w14:textId="77777777" w:rsidR="00CA1CB5" w:rsidRDefault="00EE3BC1" w:rsidP="008748F0">
                  <w:pPr>
                    <w:pStyle w:val="EFAFPColFrameAnalystName"/>
                    <w:framePr w:w="0" w:hRule="auto" w:wrap="around" w:vAnchor="text" w:hAnchor="text" w:xAlign="right" w:y="1" w:anchorLock="0"/>
                    <w:suppressOverlap/>
                    <w:rPr>
                      <w:rFonts w:eastAsia="楷体_GB2312"/>
                    </w:rPr>
                  </w:pPr>
                  <w:r>
                    <w:rPr>
                      <w:rFonts w:eastAsia="楷体_GB2312" w:hint="eastAsia"/>
                    </w:rPr>
                    <w:t>Bin Yang</w:t>
                  </w:r>
                </w:p>
              </w:tc>
              <w:tc>
                <w:tcPr>
                  <w:tcW w:w="2551" w:type="dxa"/>
                </w:tcPr>
                <w:p w14:paraId="63A71273" w14:textId="77777777" w:rsidR="00CA1CB5" w:rsidRDefault="00CA1CB5" w:rsidP="008748F0">
                  <w:pPr>
                    <w:pStyle w:val="EFAFPColFrameAnalystName"/>
                    <w:framePr w:w="0" w:hRule="auto" w:wrap="around" w:vAnchor="text" w:hAnchor="text" w:xAlign="right" w:y="1" w:anchorLock="0"/>
                    <w:suppressOverlap/>
                    <w:rPr>
                      <w:rFonts w:eastAsia="楷体_GB2312"/>
                    </w:rPr>
                  </w:pPr>
                </w:p>
              </w:tc>
              <w:tc>
                <w:tcPr>
                  <w:tcW w:w="2693" w:type="dxa"/>
                </w:tcPr>
                <w:p w14:paraId="1B7BB13A" w14:textId="77777777" w:rsidR="00CA1CB5" w:rsidRDefault="00CA1CB5" w:rsidP="008748F0">
                  <w:pPr>
                    <w:pStyle w:val="EFAFPColFrameAnalystName"/>
                    <w:framePr w:w="0" w:hRule="auto" w:wrap="around" w:vAnchor="text" w:hAnchor="text" w:xAlign="right" w:y="1" w:anchorLock="0"/>
                    <w:suppressOverlap/>
                    <w:rPr>
                      <w:rFonts w:eastAsia="楷体_GB2312"/>
                    </w:rPr>
                  </w:pPr>
                </w:p>
              </w:tc>
              <w:tc>
                <w:tcPr>
                  <w:tcW w:w="2694" w:type="dxa"/>
                </w:tcPr>
                <w:p w14:paraId="734AC3AD" w14:textId="77777777" w:rsidR="00CA1CB5" w:rsidRDefault="00CA1CB5" w:rsidP="008748F0">
                  <w:pPr>
                    <w:pStyle w:val="EFAFPColFrameAnalystName"/>
                    <w:framePr w:w="0" w:hRule="auto" w:wrap="around" w:vAnchor="text" w:hAnchor="text" w:xAlign="right" w:y="1" w:anchorLock="0"/>
                    <w:suppressOverlap/>
                    <w:rPr>
                      <w:rFonts w:eastAsia="楷体_GB2312"/>
                    </w:rPr>
                  </w:pPr>
                </w:p>
              </w:tc>
            </w:tr>
            <w:tr w:rsidR="00CA1CB5" w14:paraId="224977F3" w14:textId="77777777">
              <w:trPr>
                <w:cantSplit/>
                <w:trHeight w:val="184"/>
              </w:trPr>
              <w:tc>
                <w:tcPr>
                  <w:tcW w:w="2694" w:type="dxa"/>
                </w:tcPr>
                <w:p w14:paraId="72926955" w14:textId="77777777" w:rsidR="00CA1CB5" w:rsidRDefault="00EE3BC1" w:rsidP="008748F0">
                  <w:pPr>
                    <w:pStyle w:val="EFAFPColFrameAnalystName"/>
                    <w:framePr w:w="0" w:hRule="auto" w:wrap="around" w:vAnchor="text" w:hAnchor="text" w:xAlign="right" w:y="1" w:anchorLock="0"/>
                    <w:suppressOverlap/>
                    <w:rPr>
                      <w:rFonts w:eastAsia="楷体_GB2312"/>
                      <w:b w:val="0"/>
                    </w:rPr>
                  </w:pPr>
                  <w:r>
                    <w:rPr>
                      <w:rFonts w:eastAsia="楷体_GB2312" w:hint="eastAsia"/>
                      <w:b w:val="0"/>
                    </w:rPr>
                    <w:t>harryyang</w:t>
                  </w:r>
                  <w:r>
                    <w:rPr>
                      <w:rFonts w:eastAsia="楷体_GB2312"/>
                      <w:b w:val="0"/>
                    </w:rPr>
                    <w:t>@</w:t>
                  </w:r>
                  <w:r>
                    <w:rPr>
                      <w:rFonts w:eastAsia="楷体_GB2312" w:hint="eastAsia"/>
                      <w:b w:val="0"/>
                    </w:rPr>
                    <w:t>hfisec</w:t>
                  </w:r>
                  <w:r>
                    <w:rPr>
                      <w:rFonts w:eastAsia="楷体_GB2312"/>
                      <w:b w:val="0"/>
                    </w:rPr>
                    <w:t>.com</w:t>
                  </w:r>
                  <w:r>
                    <w:rPr>
                      <w:rFonts w:eastAsia="楷体_GB2312" w:hint="eastAsia"/>
                      <w:b w:val="0"/>
                    </w:rPr>
                    <w:t>.hk</w:t>
                  </w:r>
                </w:p>
              </w:tc>
              <w:tc>
                <w:tcPr>
                  <w:tcW w:w="2551" w:type="dxa"/>
                </w:tcPr>
                <w:p w14:paraId="75DFE467"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693" w:type="dxa"/>
                </w:tcPr>
                <w:p w14:paraId="294A2D71"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694" w:type="dxa"/>
                </w:tcPr>
                <w:p w14:paraId="1DBE22CB"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r>
            <w:tr w:rsidR="00CA1CB5" w14:paraId="1F5A995E" w14:textId="77777777">
              <w:trPr>
                <w:cantSplit/>
                <w:trHeight w:val="119"/>
              </w:trPr>
              <w:tc>
                <w:tcPr>
                  <w:tcW w:w="2694" w:type="dxa"/>
                </w:tcPr>
                <w:p w14:paraId="778B7393"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551" w:type="dxa"/>
                </w:tcPr>
                <w:p w14:paraId="3BDDC77D"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693" w:type="dxa"/>
                </w:tcPr>
                <w:p w14:paraId="463ACE44"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694" w:type="dxa"/>
                </w:tcPr>
                <w:p w14:paraId="5907E7F5"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r>
            <w:tr w:rsidR="00CA1CB5" w14:paraId="378C9F01" w14:textId="77777777">
              <w:trPr>
                <w:cantSplit/>
                <w:trHeight w:val="119"/>
              </w:trPr>
              <w:tc>
                <w:tcPr>
                  <w:tcW w:w="2694" w:type="dxa"/>
                </w:tcPr>
                <w:p w14:paraId="71BA6C2F"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551" w:type="dxa"/>
                </w:tcPr>
                <w:p w14:paraId="17D53A64"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693" w:type="dxa"/>
                </w:tcPr>
                <w:p w14:paraId="6A2DD6C8"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c>
                <w:tcPr>
                  <w:tcW w:w="2694" w:type="dxa"/>
                </w:tcPr>
                <w:p w14:paraId="7B95A94B" w14:textId="77777777" w:rsidR="00CA1CB5" w:rsidRDefault="00CA1CB5" w:rsidP="008748F0">
                  <w:pPr>
                    <w:pStyle w:val="EFAFPColFrameAnalystName"/>
                    <w:framePr w:w="0" w:hRule="auto" w:wrap="around" w:vAnchor="text" w:hAnchor="text" w:xAlign="right" w:y="1" w:anchorLock="0"/>
                    <w:suppressOverlap/>
                    <w:rPr>
                      <w:rFonts w:eastAsia="楷体_GB2312"/>
                      <w:b w:val="0"/>
                    </w:rPr>
                  </w:pPr>
                </w:p>
              </w:tc>
            </w:tr>
          </w:tbl>
          <w:p w14:paraId="28BCAD7A" w14:textId="77777777" w:rsidR="00CA1CB5" w:rsidRDefault="00CA1CB5">
            <w:pPr>
              <w:pStyle w:val="EFAFPBodyText2"/>
              <w:spacing w:after="0"/>
              <w:jc w:val="both"/>
              <w:rPr>
                <w:rFonts w:eastAsia="楷体_GB2312" w:cs="Calibri"/>
                <w:bCs/>
                <w:kern w:val="28"/>
                <w:lang w:eastAsia="zh-CN"/>
              </w:rPr>
            </w:pPr>
          </w:p>
        </w:tc>
      </w:tr>
    </w:tbl>
    <w:p w14:paraId="6A2F4068" w14:textId="77777777" w:rsidR="00CA1CB5" w:rsidRDefault="00CA1CB5">
      <w:pPr>
        <w:rPr>
          <w:rFonts w:eastAsiaTheme="minorEastAsia"/>
        </w:rPr>
        <w:sectPr w:rsidR="00CA1CB5">
          <w:headerReference w:type="even" r:id="rId10"/>
          <w:headerReference w:type="default" r:id="rId11"/>
          <w:footerReference w:type="even" r:id="rId12"/>
          <w:footerReference w:type="default" r:id="rId13"/>
          <w:headerReference w:type="first" r:id="rId14"/>
          <w:footerReference w:type="first" r:id="rId15"/>
          <w:type w:val="continuous"/>
          <w:pgSz w:w="11910" w:h="16840"/>
          <w:pgMar w:top="567" w:right="567" w:bottom="1021" w:left="567" w:header="567" w:footer="918" w:gutter="0"/>
          <w:cols w:space="425"/>
          <w:docGrid w:linePitch="299"/>
        </w:sectPr>
      </w:pPr>
    </w:p>
    <w:sdt>
      <w:sdtPr>
        <w:rPr>
          <w:rFonts w:ascii="Times New Roman Regular" w:eastAsia="楷体" w:hAnsi="Times New Roman Regular" w:cs="Times New Roman Regular"/>
          <w:b/>
          <w:snapToGrid w:val="0"/>
          <w:color w:val="auto"/>
          <w:sz w:val="16"/>
          <w:szCs w:val="32"/>
          <w:lang w:val="zh-CN" w:eastAsia="ja-JP"/>
        </w:rPr>
        <w:id w:val="393165253"/>
        <w:docPartObj>
          <w:docPartGallery w:val="Table of Contents"/>
          <w:docPartUnique/>
        </w:docPartObj>
      </w:sdtPr>
      <w:sdtEndPr>
        <w:rPr>
          <w:rFonts w:asciiTheme="majorHAnsi" w:eastAsiaTheme="majorEastAsia" w:hAnsiTheme="majorHAnsi" w:cs="Calibri" w:hint="eastAsia"/>
          <w:bCs/>
          <w:snapToGrid/>
          <w:color w:val="0F4761" w:themeColor="accent1" w:themeShade="BF"/>
          <w:sz w:val="32"/>
          <w:szCs w:val="48"/>
        </w:rPr>
      </w:sdtEndPr>
      <w:sdtContent>
        <w:sdt>
          <w:sdtPr>
            <w:rPr>
              <w:rFonts w:ascii="Calibri" w:eastAsia="MS Mincho" w:hAnsi="Calibri" w:cs="Calibri"/>
              <w:b/>
              <w:snapToGrid w:val="0"/>
              <w:color w:val="auto"/>
              <w:sz w:val="16"/>
              <w:szCs w:val="16"/>
              <w:lang w:val="zh-CN" w:eastAsia="ja-JP"/>
            </w:rPr>
            <w:id w:val="1839496058"/>
            <w:docPartObj>
              <w:docPartGallery w:val="Table of Contents"/>
              <w:docPartUnique/>
            </w:docPartObj>
          </w:sdtPr>
          <w:sdtEndPr>
            <w:rPr>
              <w:bCs/>
              <w:lang w:eastAsia="zh-CN"/>
            </w:rPr>
          </w:sdtEndPr>
          <w:sdtContent>
            <w:p w14:paraId="2418D398" w14:textId="77777777" w:rsidR="0061061C" w:rsidRDefault="0061061C" w:rsidP="0061061C">
              <w:pPr>
                <w:pStyle w:val="TOC10"/>
                <w:rPr>
                  <w:rFonts w:ascii="Calibri" w:eastAsia="宋体" w:hAnsi="Calibri" w:cs="Calibri"/>
                  <w:b/>
                  <w:color w:val="auto"/>
                </w:rPr>
              </w:pPr>
              <w:r>
                <w:rPr>
                  <w:rFonts w:ascii="Calibri" w:eastAsia="宋体" w:hAnsi="Calibri" w:cs="Calibri"/>
                  <w:b/>
                  <w:color w:val="auto"/>
                  <w:lang w:val="zh-CN"/>
                </w:rPr>
                <w:t>Contents</w:t>
              </w:r>
            </w:p>
            <w:p w14:paraId="0EE6981A" w14:textId="22EE499E" w:rsidR="00D8278B" w:rsidRDefault="0061061C">
              <w:pPr>
                <w:pStyle w:val="TOC1"/>
                <w:tabs>
                  <w:tab w:val="right" w:leader="dot" w:pos="7733"/>
                </w:tabs>
                <w:rPr>
                  <w:rFonts w:cstheme="minorBidi" w:hint="eastAsia"/>
                  <w:noProof/>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24295873" w:history="1">
                <w:r w:rsidR="00D8278B" w:rsidRPr="00F37C1F">
                  <w:rPr>
                    <w:rStyle w:val="af0"/>
                    <w:rFonts w:ascii="Calibri" w:eastAsia="楷体" w:hAnsi="Calibri" w:cs="Calibri" w:hint="eastAsia"/>
                    <w:b/>
                    <w:bCs/>
                    <w:noProof/>
                  </w:rPr>
                  <w:t xml:space="preserve">1 </w:t>
                </w:r>
                <w:r w:rsidR="00D8278B" w:rsidRPr="00F37C1F">
                  <w:rPr>
                    <w:rStyle w:val="af0"/>
                    <w:rFonts w:ascii="Calibri" w:eastAsia="Helvetica Neue" w:hAnsi="Calibri" w:cs="Calibri" w:hint="eastAsia"/>
                    <w:b/>
                    <w:noProof/>
                    <w:shd w:val="clear" w:color="auto" w:fill="FFFFFF"/>
                    <w:lang w:bidi="ar"/>
                  </w:rPr>
                  <w:t>L'Or</w:t>
                </w:r>
                <w:r w:rsidR="00D8278B" w:rsidRPr="00F37C1F">
                  <w:rPr>
                    <w:rStyle w:val="af0"/>
                    <w:rFonts w:ascii="Calibri" w:eastAsia="Helvetica Neue" w:hAnsi="Calibri" w:cs="Calibri" w:hint="eastAsia"/>
                    <w:b/>
                    <w:noProof/>
                    <w:shd w:val="clear" w:color="auto" w:fill="FFFFFF"/>
                    <w:lang w:bidi="ar"/>
                  </w:rPr>
                  <w:t>é</w:t>
                </w:r>
                <w:r w:rsidR="00D8278B" w:rsidRPr="00F37C1F">
                  <w:rPr>
                    <w:rStyle w:val="af0"/>
                    <w:rFonts w:ascii="Calibri" w:eastAsia="Helvetica Neue" w:hAnsi="Calibri" w:cs="Calibri" w:hint="eastAsia"/>
                    <w:b/>
                    <w:noProof/>
                    <w:shd w:val="clear" w:color="auto" w:fill="FFFFFF"/>
                    <w:lang w:bidi="ar"/>
                  </w:rPr>
                  <w:t>al: Global Leader in Beauty &amp; Personal Care</w:t>
                </w:r>
                <w:r w:rsidR="00D8278B">
                  <w:rPr>
                    <w:rFonts w:hint="eastAsia"/>
                    <w:noProof/>
                    <w:webHidden/>
                  </w:rPr>
                  <w:tab/>
                </w:r>
                <w:r w:rsidR="00D8278B">
                  <w:rPr>
                    <w:rFonts w:hint="eastAsia"/>
                    <w:noProof/>
                    <w:webHidden/>
                  </w:rPr>
                  <w:fldChar w:fldCharType="begin"/>
                </w:r>
                <w:r w:rsidR="00D8278B">
                  <w:rPr>
                    <w:rFonts w:hint="eastAsia"/>
                    <w:noProof/>
                    <w:webHidden/>
                  </w:rPr>
                  <w:instrText xml:space="preserve"> </w:instrText>
                </w:r>
                <w:r w:rsidR="00D8278B">
                  <w:rPr>
                    <w:noProof/>
                    <w:webHidden/>
                  </w:rPr>
                  <w:instrText>PAGEREF _Toc224295873 \h</w:instrText>
                </w:r>
                <w:r w:rsidR="00D8278B">
                  <w:rPr>
                    <w:rFonts w:hint="eastAsia"/>
                    <w:noProof/>
                    <w:webHidden/>
                  </w:rPr>
                  <w:instrText xml:space="preserve"> </w:instrText>
                </w:r>
                <w:r w:rsidR="00D8278B">
                  <w:rPr>
                    <w:rFonts w:hint="eastAsia"/>
                    <w:noProof/>
                    <w:webHidden/>
                  </w:rPr>
                </w:r>
                <w:r w:rsidR="00D8278B">
                  <w:rPr>
                    <w:rFonts w:hint="eastAsia"/>
                    <w:noProof/>
                    <w:webHidden/>
                  </w:rPr>
                  <w:fldChar w:fldCharType="separate"/>
                </w:r>
                <w:r w:rsidR="00D8278B">
                  <w:rPr>
                    <w:rFonts w:hint="eastAsia"/>
                    <w:noProof/>
                    <w:webHidden/>
                  </w:rPr>
                  <w:t>3</w:t>
                </w:r>
                <w:r w:rsidR="00D8278B">
                  <w:rPr>
                    <w:rFonts w:hint="eastAsia"/>
                    <w:noProof/>
                    <w:webHidden/>
                  </w:rPr>
                  <w:fldChar w:fldCharType="end"/>
                </w:r>
              </w:hyperlink>
            </w:p>
            <w:p w14:paraId="3F65DF3C" w14:textId="2EAA0826" w:rsidR="00D8278B" w:rsidRDefault="00D8278B">
              <w:pPr>
                <w:pStyle w:val="TOC2"/>
                <w:tabs>
                  <w:tab w:val="right" w:leader="dot" w:pos="7733"/>
                </w:tabs>
                <w:rPr>
                  <w:rFonts w:cstheme="minorBidi" w:hint="eastAsia"/>
                  <w:noProof/>
                  <w:kern w:val="2"/>
                  <w:szCs w:val="24"/>
                  <w14:ligatures w14:val="standardContextual"/>
                </w:rPr>
              </w:pPr>
              <w:hyperlink w:anchor="_Toc224295874" w:history="1">
                <w:r w:rsidRPr="00F37C1F">
                  <w:rPr>
                    <w:rStyle w:val="af0"/>
                    <w:rFonts w:ascii="Calibri" w:eastAsia="楷体" w:hAnsi="Calibri" w:cs="Calibri" w:hint="eastAsia"/>
                    <w:noProof/>
                  </w:rPr>
                  <w:t>1.1 Company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231C6B5" w14:textId="55878BA1" w:rsidR="00D8278B" w:rsidRDefault="00D8278B">
              <w:pPr>
                <w:pStyle w:val="TOC2"/>
                <w:tabs>
                  <w:tab w:val="right" w:leader="dot" w:pos="7733"/>
                </w:tabs>
                <w:rPr>
                  <w:rFonts w:cstheme="minorBidi" w:hint="eastAsia"/>
                  <w:noProof/>
                  <w:kern w:val="2"/>
                  <w:szCs w:val="24"/>
                  <w14:ligatures w14:val="standardContextual"/>
                </w:rPr>
              </w:pPr>
              <w:hyperlink w:anchor="_Toc224295875" w:history="1">
                <w:r w:rsidRPr="00F37C1F">
                  <w:rPr>
                    <w:rStyle w:val="af0"/>
                    <w:rFonts w:ascii="Calibri" w:eastAsia="楷体" w:hAnsi="Calibri" w:cs="Calibri" w:hint="eastAsia"/>
                    <w:noProof/>
                  </w:rPr>
                  <w:t>1.2 Ownership Structure &amp;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AA0D34A" w14:textId="63C350C5" w:rsidR="00D8278B" w:rsidRDefault="00D8278B">
              <w:pPr>
                <w:pStyle w:val="TOC2"/>
                <w:tabs>
                  <w:tab w:val="right" w:leader="dot" w:pos="7733"/>
                </w:tabs>
                <w:rPr>
                  <w:rFonts w:cstheme="minorBidi" w:hint="eastAsia"/>
                  <w:noProof/>
                  <w:kern w:val="2"/>
                  <w:szCs w:val="24"/>
                  <w14:ligatures w14:val="standardContextual"/>
                </w:rPr>
              </w:pPr>
              <w:hyperlink w:anchor="_Toc224295876" w:history="1">
                <w:r w:rsidRPr="00F37C1F">
                  <w:rPr>
                    <w:rStyle w:val="af0"/>
                    <w:rFonts w:ascii="Calibri" w:eastAsia="楷体" w:hAnsi="Calibri" w:cs="Calibri" w:hint="eastAsia"/>
                    <w:noProof/>
                  </w:rPr>
                  <w:t>1.3 Core Product Categories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6D686F0" w14:textId="7DE74DB4" w:rsidR="00D8278B" w:rsidRDefault="00D8278B">
              <w:pPr>
                <w:pStyle w:val="TOC2"/>
                <w:tabs>
                  <w:tab w:val="right" w:leader="dot" w:pos="7733"/>
                </w:tabs>
                <w:rPr>
                  <w:rFonts w:cstheme="minorBidi" w:hint="eastAsia"/>
                  <w:noProof/>
                  <w:kern w:val="2"/>
                  <w:szCs w:val="24"/>
                  <w14:ligatures w14:val="standardContextual"/>
                </w:rPr>
              </w:pPr>
              <w:hyperlink w:anchor="_Toc224295877" w:history="1">
                <w:r w:rsidRPr="00F37C1F">
                  <w:rPr>
                    <w:rStyle w:val="af0"/>
                    <w:rFonts w:ascii="Calibri" w:eastAsia="楷体" w:hAnsi="Calibri" w:cs="Calibri" w:hint="eastAsia"/>
                    <w:noProof/>
                  </w:rPr>
                  <w:t>1.4 Financial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F0382D8" w14:textId="780B0EDC" w:rsidR="00D8278B" w:rsidRDefault="00D8278B">
              <w:pPr>
                <w:pStyle w:val="TOC1"/>
                <w:tabs>
                  <w:tab w:val="right" w:leader="dot" w:pos="7733"/>
                </w:tabs>
                <w:rPr>
                  <w:rFonts w:cstheme="minorBidi" w:hint="eastAsia"/>
                  <w:noProof/>
                  <w:kern w:val="2"/>
                  <w:szCs w:val="24"/>
                  <w14:ligatures w14:val="standardContextual"/>
                </w:rPr>
              </w:pPr>
              <w:hyperlink w:anchor="_Toc224295878" w:history="1">
                <w:r w:rsidRPr="00F37C1F">
                  <w:rPr>
                    <w:rStyle w:val="af0"/>
                    <w:rFonts w:ascii="Calibri" w:eastAsia="楷体" w:hAnsi="Calibri" w:cs="Calibri" w:hint="eastAsia"/>
                    <w:b/>
                    <w:bCs/>
                    <w:noProof/>
                  </w:rPr>
                  <w:t xml:space="preserve">2 </w:t>
                </w:r>
                <w:r w:rsidRPr="00F37C1F">
                  <w:rPr>
                    <w:rStyle w:val="af0"/>
                    <w:rFonts w:ascii="Calibri" w:eastAsia="Helvetica Neue" w:hAnsi="Calibri" w:cs="Calibri" w:hint="eastAsia"/>
                    <w:b/>
                    <w:noProof/>
                    <w:shd w:val="clear" w:color="auto" w:fill="FFFFFF"/>
                    <w:lang w:bidi="ar"/>
                  </w:rPr>
                  <w:t>Global Beauty Market: Steady Upward Growth, Strong Players Maintain Dominance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4BF9A9F" w14:textId="29E64FF5" w:rsidR="00D8278B" w:rsidRDefault="00D8278B">
              <w:pPr>
                <w:pStyle w:val="TOC2"/>
                <w:tabs>
                  <w:tab w:val="right" w:leader="dot" w:pos="7733"/>
                </w:tabs>
                <w:rPr>
                  <w:rFonts w:cstheme="minorBidi" w:hint="eastAsia"/>
                  <w:noProof/>
                  <w:kern w:val="2"/>
                  <w:szCs w:val="24"/>
                  <w14:ligatures w14:val="standardContextual"/>
                </w:rPr>
              </w:pPr>
              <w:hyperlink w:anchor="_Toc224295879" w:history="1">
                <w:r w:rsidRPr="00F37C1F">
                  <w:rPr>
                    <w:rStyle w:val="af0"/>
                    <w:rFonts w:ascii="Calibri" w:eastAsia="楷体" w:hAnsi="Calibri" w:cs="楷体" w:hint="eastAsia"/>
                    <w:noProof/>
                  </w:rPr>
                  <w:t>2.1 Stable Overall Growth, Outperformance in Premium Segment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59B8CDF" w14:textId="338DCB7B" w:rsidR="00D8278B" w:rsidRDefault="00D8278B">
              <w:pPr>
                <w:pStyle w:val="TOC2"/>
                <w:tabs>
                  <w:tab w:val="right" w:leader="dot" w:pos="7733"/>
                </w:tabs>
                <w:rPr>
                  <w:rFonts w:cstheme="minorBidi" w:hint="eastAsia"/>
                  <w:noProof/>
                  <w:kern w:val="2"/>
                  <w:szCs w:val="24"/>
                  <w14:ligatures w14:val="standardContextual"/>
                </w:rPr>
              </w:pPr>
              <w:hyperlink w:anchor="_Toc224295880" w:history="1">
                <w:r w:rsidRPr="00F37C1F">
                  <w:rPr>
                    <w:rStyle w:val="af0"/>
                    <w:rFonts w:ascii="Calibri" w:eastAsia="楷体" w:hAnsi="Calibri" w:cs="楷体" w:hint="eastAsia"/>
                    <w:noProof/>
                  </w:rPr>
                  <w:t>2.2 Competitive Landscape: Significant Matthew Effect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B7808F3" w14:textId="396145D8" w:rsidR="00D8278B" w:rsidRDefault="00D8278B">
              <w:pPr>
                <w:pStyle w:val="TOC1"/>
                <w:tabs>
                  <w:tab w:val="right" w:leader="dot" w:pos="7733"/>
                </w:tabs>
                <w:rPr>
                  <w:rFonts w:cstheme="minorBidi" w:hint="eastAsia"/>
                  <w:noProof/>
                  <w:kern w:val="2"/>
                  <w:szCs w:val="24"/>
                  <w14:ligatures w14:val="standardContextual"/>
                </w:rPr>
              </w:pPr>
              <w:hyperlink w:anchor="_Toc224295881" w:history="1">
                <w:r w:rsidRPr="00F37C1F">
                  <w:rPr>
                    <w:rStyle w:val="af0"/>
                    <w:rFonts w:ascii="Calibri" w:eastAsia="楷体" w:hAnsi="Calibri" w:cs="Calibri" w:hint="eastAsia"/>
                    <w:b/>
                    <w:bCs/>
                    <w:noProof/>
                  </w:rPr>
                  <w:t>3 Five Core Competitive Strengths Building a Corporate Moat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6FC2620" w14:textId="05DBF344" w:rsidR="00D8278B" w:rsidRDefault="00D8278B">
              <w:pPr>
                <w:pStyle w:val="TOC2"/>
                <w:tabs>
                  <w:tab w:val="right" w:leader="dot" w:pos="7733"/>
                </w:tabs>
                <w:rPr>
                  <w:rFonts w:cstheme="minorBidi" w:hint="eastAsia"/>
                  <w:noProof/>
                  <w:kern w:val="2"/>
                  <w:szCs w:val="24"/>
                  <w14:ligatures w14:val="standardContextual"/>
                </w:rPr>
              </w:pPr>
              <w:hyperlink w:anchor="_Toc224295882" w:history="1">
                <w:r w:rsidRPr="00F37C1F">
                  <w:rPr>
                    <w:rStyle w:val="af0"/>
                    <w:rFonts w:ascii="Calibri" w:eastAsia="楷体" w:hAnsi="Calibri" w:cs="Calibri" w:hint="eastAsia"/>
                    <w:noProof/>
                  </w:rPr>
                  <w:t>3.1 Consumer Products Division: Premium Technology at Accessible Prices, Deep Channel Penetration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24F56EB" w14:textId="23FE96BC" w:rsidR="00D8278B" w:rsidRDefault="00D8278B">
              <w:pPr>
                <w:pStyle w:val="TOC2"/>
                <w:tabs>
                  <w:tab w:val="right" w:leader="dot" w:pos="7733"/>
                </w:tabs>
                <w:rPr>
                  <w:rFonts w:cstheme="minorBidi" w:hint="eastAsia"/>
                  <w:noProof/>
                  <w:kern w:val="2"/>
                  <w:szCs w:val="24"/>
                  <w14:ligatures w14:val="standardContextual"/>
                </w:rPr>
              </w:pPr>
              <w:hyperlink w:anchor="_Toc224295883" w:history="1">
                <w:r w:rsidRPr="00F37C1F">
                  <w:rPr>
                    <w:rStyle w:val="af0"/>
                    <w:rFonts w:ascii="Calibri" w:eastAsia="楷体" w:hAnsi="Calibri" w:cs="Calibri" w:hint="eastAsia"/>
                    <w:noProof/>
                  </w:rPr>
                  <w:t>3.2 L'Or</w:t>
                </w:r>
                <w:r w:rsidRPr="00F37C1F">
                  <w:rPr>
                    <w:rStyle w:val="af0"/>
                    <w:rFonts w:ascii="Calibri" w:eastAsia="楷体" w:hAnsi="Calibri" w:cs="Calibri" w:hint="eastAsia"/>
                    <w:noProof/>
                  </w:rPr>
                  <w:t>é</w:t>
                </w:r>
                <w:r w:rsidRPr="00F37C1F">
                  <w:rPr>
                    <w:rStyle w:val="af0"/>
                    <w:rFonts w:ascii="Calibri" w:eastAsia="楷体" w:hAnsi="Calibri" w:cs="Calibri" w:hint="eastAsia"/>
                    <w:noProof/>
                  </w:rPr>
                  <w:t>al Luxe Division: Strong Brand-Building Capabilities Establish Brand Premium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8C63F2E" w14:textId="2ECA438E" w:rsidR="00D8278B" w:rsidRDefault="00D8278B">
              <w:pPr>
                <w:pStyle w:val="TOC2"/>
                <w:tabs>
                  <w:tab w:val="right" w:leader="dot" w:pos="7733"/>
                </w:tabs>
                <w:rPr>
                  <w:rFonts w:cstheme="minorBidi" w:hint="eastAsia"/>
                  <w:noProof/>
                  <w:kern w:val="2"/>
                  <w:szCs w:val="24"/>
                  <w14:ligatures w14:val="standardContextual"/>
                </w:rPr>
              </w:pPr>
              <w:hyperlink w:anchor="_Toc224295884" w:history="1">
                <w:r w:rsidRPr="00F37C1F">
                  <w:rPr>
                    <w:rStyle w:val="af0"/>
                    <w:rFonts w:ascii="Calibri" w:eastAsia="楷体" w:hAnsi="Calibri" w:cs="Calibri" w:hint="eastAsia"/>
                    <w:noProof/>
                  </w:rPr>
                  <w:t>3.3 Professional Products Division:</w:t>
                </w:r>
                <w:r w:rsidRPr="00F37C1F">
                  <w:rPr>
                    <w:rStyle w:val="af0"/>
                    <w:rFonts w:hint="eastAsia"/>
                    <w:noProof/>
                  </w:rPr>
                  <w:t xml:space="preserve"> </w:t>
                </w:r>
                <w:r w:rsidRPr="00F37C1F">
                  <w:rPr>
                    <w:rStyle w:val="af0"/>
                    <w:rFonts w:ascii="Calibri" w:eastAsia="楷体" w:hAnsi="Calibri" w:cs="Calibri" w:hint="eastAsia"/>
                    <w:noProof/>
                  </w:rPr>
                  <w:t>Specialized Products &amp; Channel Partnerships Build Brand Moats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87277F7" w14:textId="13FC874A" w:rsidR="00D8278B" w:rsidRDefault="00D8278B">
              <w:pPr>
                <w:pStyle w:val="TOC2"/>
                <w:tabs>
                  <w:tab w:val="right" w:leader="dot" w:pos="7733"/>
                </w:tabs>
                <w:rPr>
                  <w:rFonts w:cstheme="minorBidi" w:hint="eastAsia"/>
                  <w:noProof/>
                  <w:kern w:val="2"/>
                  <w:szCs w:val="24"/>
                  <w14:ligatures w14:val="standardContextual"/>
                </w:rPr>
              </w:pPr>
              <w:hyperlink w:anchor="_Toc224295885" w:history="1">
                <w:r w:rsidRPr="00F37C1F">
                  <w:rPr>
                    <w:rStyle w:val="af0"/>
                    <w:rFonts w:ascii="Calibri" w:eastAsia="楷体" w:hAnsi="Calibri" w:cs="Calibri" w:hint="eastAsia"/>
                    <w:noProof/>
                  </w:rPr>
                  <w:t>3.4 Dermatological Beauty Division:</w:t>
                </w:r>
                <w:r w:rsidRPr="00F37C1F">
                  <w:rPr>
                    <w:rStyle w:val="af0"/>
                    <w:rFonts w:hint="eastAsia"/>
                    <w:noProof/>
                  </w:rPr>
                  <w:t xml:space="preserve"> </w:t>
                </w:r>
                <w:r w:rsidRPr="00F37C1F">
                  <w:rPr>
                    <w:rStyle w:val="af0"/>
                    <w:rFonts w:ascii="Calibri" w:eastAsia="楷体" w:hAnsi="Calibri" w:cs="Calibri" w:hint="eastAsia"/>
                    <w:noProof/>
                  </w:rPr>
                  <w:t>Science-Backed Skincare Solving Consumer Pain Points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A7117AC" w14:textId="58665128" w:rsidR="00D8278B" w:rsidRDefault="00D8278B">
              <w:pPr>
                <w:pStyle w:val="TOC1"/>
                <w:tabs>
                  <w:tab w:val="right" w:leader="dot" w:pos="7733"/>
                </w:tabs>
                <w:rPr>
                  <w:rFonts w:cstheme="minorBidi" w:hint="eastAsia"/>
                  <w:noProof/>
                  <w:kern w:val="2"/>
                  <w:szCs w:val="24"/>
                  <w14:ligatures w14:val="standardContextual"/>
                </w:rPr>
              </w:pPr>
              <w:hyperlink w:anchor="_Toc224295886" w:history="1">
                <w:r w:rsidRPr="00F37C1F">
                  <w:rPr>
                    <w:rStyle w:val="af0"/>
                    <w:rFonts w:ascii="Calibri" w:eastAsia="楷体" w:hAnsi="Calibri" w:cs="Calibri" w:hint="eastAsia"/>
                    <w:b/>
                    <w:bCs/>
                    <w:noProof/>
                  </w:rPr>
                  <w:t>4 Future Highlights: Driving Growth Through Organic Expansion and External Acquisitions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FA5EC42" w14:textId="200349B8" w:rsidR="00D8278B" w:rsidRDefault="00D8278B">
              <w:pPr>
                <w:pStyle w:val="TOC2"/>
                <w:tabs>
                  <w:tab w:val="right" w:leader="dot" w:pos="7733"/>
                </w:tabs>
                <w:rPr>
                  <w:rFonts w:cstheme="minorBidi" w:hint="eastAsia"/>
                  <w:noProof/>
                  <w:kern w:val="2"/>
                  <w:szCs w:val="24"/>
                  <w14:ligatures w14:val="standardContextual"/>
                </w:rPr>
              </w:pPr>
              <w:hyperlink w:anchor="_Toc224295887" w:history="1">
                <w:r w:rsidRPr="00F37C1F">
                  <w:rPr>
                    <w:rStyle w:val="af0"/>
                    <w:rFonts w:ascii="Calibri" w:eastAsia="楷体" w:hAnsi="Calibri" w:cs="Calibri" w:hint="eastAsia"/>
                    <w:noProof/>
                  </w:rPr>
                  <w:t>4.1 L'Or</w:t>
                </w:r>
                <w:r w:rsidRPr="00F37C1F">
                  <w:rPr>
                    <w:rStyle w:val="af0"/>
                    <w:rFonts w:ascii="Calibri" w:eastAsia="楷体" w:hAnsi="Calibri" w:cs="Calibri" w:hint="eastAsia"/>
                    <w:noProof/>
                  </w:rPr>
                  <w:t>é</w:t>
                </w:r>
                <w:r w:rsidRPr="00F37C1F">
                  <w:rPr>
                    <w:rStyle w:val="af0"/>
                    <w:rFonts w:ascii="Calibri" w:eastAsia="楷体" w:hAnsi="Calibri" w:cs="Calibri" w:hint="eastAsia"/>
                    <w:noProof/>
                  </w:rPr>
                  <w:t>al Luxe Division: Capitalizing on Structural Upgrades in Fragrances and Filling Super-Premium Gaps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B65AAD2" w14:textId="7A7DD01D" w:rsidR="00D8278B" w:rsidRDefault="00D8278B">
              <w:pPr>
                <w:pStyle w:val="TOC2"/>
                <w:tabs>
                  <w:tab w:val="right" w:leader="dot" w:pos="7733"/>
                </w:tabs>
                <w:rPr>
                  <w:rFonts w:cstheme="minorBidi" w:hint="eastAsia"/>
                  <w:noProof/>
                  <w:kern w:val="2"/>
                  <w:szCs w:val="24"/>
                  <w14:ligatures w14:val="standardContextual"/>
                </w:rPr>
              </w:pPr>
              <w:hyperlink w:anchor="_Toc224295888" w:history="1">
                <w:r w:rsidRPr="00F37C1F">
                  <w:rPr>
                    <w:rStyle w:val="af0"/>
                    <w:rFonts w:ascii="Calibri" w:eastAsia="楷体" w:hAnsi="Calibri" w:cs="Calibri" w:hint="eastAsia"/>
                    <w:noProof/>
                  </w:rPr>
                  <w:t>4.2 Dermatological Beauty Division: Targeting Consumer Needs to Accelerate Emerging Market Penetration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6570418" w14:textId="3F635480" w:rsidR="00D8278B" w:rsidRDefault="00D8278B">
              <w:pPr>
                <w:pStyle w:val="TOC2"/>
                <w:tabs>
                  <w:tab w:val="right" w:leader="dot" w:pos="7733"/>
                </w:tabs>
                <w:rPr>
                  <w:rFonts w:cstheme="minorBidi" w:hint="eastAsia"/>
                  <w:noProof/>
                  <w:kern w:val="2"/>
                  <w:szCs w:val="24"/>
                  <w14:ligatures w14:val="standardContextual"/>
                </w:rPr>
              </w:pPr>
              <w:hyperlink w:anchor="_Toc224295889" w:history="1">
                <w:r w:rsidRPr="00F37C1F">
                  <w:rPr>
                    <w:rStyle w:val="af0"/>
                    <w:rFonts w:ascii="Calibri" w:eastAsia="楷体" w:hAnsi="Calibri" w:cs="Calibri" w:hint="eastAsia"/>
                    <w:noProof/>
                  </w:rPr>
                  <w:t>4.3 Expanding through Acquisitions: Continuously strengthen the international brand operating platform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344E355" w14:textId="79E2BA52" w:rsidR="00D8278B" w:rsidRDefault="00D8278B">
              <w:pPr>
                <w:pStyle w:val="TOC1"/>
                <w:tabs>
                  <w:tab w:val="right" w:leader="dot" w:pos="7733"/>
                </w:tabs>
                <w:rPr>
                  <w:rFonts w:cstheme="minorBidi" w:hint="eastAsia"/>
                  <w:noProof/>
                  <w:kern w:val="2"/>
                  <w:szCs w:val="24"/>
                  <w14:ligatures w14:val="standardContextual"/>
                </w:rPr>
              </w:pPr>
              <w:hyperlink w:anchor="_Toc224295890" w:history="1">
                <w:r w:rsidRPr="00F37C1F">
                  <w:rPr>
                    <w:rStyle w:val="af0"/>
                    <w:rFonts w:ascii="楷体" w:eastAsia="楷体" w:hAnsi="楷体" w:cs="楷体" w:hint="eastAsia"/>
                    <w:b/>
                    <w:bCs/>
                    <w:noProof/>
                  </w:rPr>
                  <w:t>5.</w:t>
                </w:r>
                <w:r w:rsidRPr="00F37C1F">
                  <w:rPr>
                    <w:rStyle w:val="af0"/>
                    <w:rFonts w:ascii="Calibri" w:eastAsia="楷体" w:hAnsi="Calibri" w:cs="Calibri" w:hint="eastAsia"/>
                    <w:b/>
                    <w:bCs/>
                    <w:noProof/>
                  </w:rPr>
                  <w:t>Valuation and investment rating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4D2332F" w14:textId="11210A81" w:rsidR="00D8278B" w:rsidRDefault="00D8278B">
              <w:pPr>
                <w:pStyle w:val="TOC2"/>
                <w:tabs>
                  <w:tab w:val="right" w:leader="dot" w:pos="7733"/>
                </w:tabs>
                <w:rPr>
                  <w:rFonts w:cstheme="minorBidi" w:hint="eastAsia"/>
                  <w:noProof/>
                  <w:kern w:val="2"/>
                  <w:szCs w:val="24"/>
                  <w14:ligatures w14:val="standardContextual"/>
                </w:rPr>
              </w:pPr>
              <w:hyperlink w:anchor="_Toc224295891" w:history="1">
                <w:r w:rsidRPr="00F37C1F">
                  <w:rPr>
                    <w:rStyle w:val="af0"/>
                    <w:rFonts w:ascii="Calibri" w:eastAsia="楷体" w:hAnsi="Calibri" w:cs="Calibri" w:hint="eastAsia"/>
                    <w:noProof/>
                  </w:rPr>
                  <w:t>5.1 Profit Forecast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F025CED" w14:textId="0384C5B0" w:rsidR="00D8278B" w:rsidRDefault="00D8278B">
              <w:pPr>
                <w:pStyle w:val="TOC2"/>
                <w:tabs>
                  <w:tab w:val="right" w:leader="dot" w:pos="7733"/>
                </w:tabs>
                <w:rPr>
                  <w:rFonts w:cstheme="minorBidi" w:hint="eastAsia"/>
                  <w:noProof/>
                  <w:kern w:val="2"/>
                  <w:szCs w:val="24"/>
                  <w14:ligatures w14:val="standardContextual"/>
                </w:rPr>
              </w:pPr>
              <w:hyperlink w:anchor="_Toc224295892" w:history="1">
                <w:r w:rsidRPr="00F37C1F">
                  <w:rPr>
                    <w:rStyle w:val="af0"/>
                    <w:rFonts w:ascii="Calibri" w:eastAsia="楷体" w:hAnsi="Calibri" w:cs="Calibri" w:hint="eastAsia"/>
                    <w:noProof/>
                  </w:rPr>
                  <w:t>5.2 Valuation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8B3DB8C" w14:textId="08A52A20" w:rsidR="00D8278B" w:rsidRDefault="00D8278B">
              <w:pPr>
                <w:pStyle w:val="TOC1"/>
                <w:tabs>
                  <w:tab w:val="right" w:leader="dot" w:pos="7733"/>
                </w:tabs>
                <w:rPr>
                  <w:rFonts w:cstheme="minorBidi" w:hint="eastAsia"/>
                  <w:noProof/>
                  <w:kern w:val="2"/>
                  <w:szCs w:val="24"/>
                  <w14:ligatures w14:val="standardContextual"/>
                </w:rPr>
              </w:pPr>
              <w:hyperlink w:anchor="_Toc224295893" w:history="1">
                <w:r w:rsidRPr="00F37C1F">
                  <w:rPr>
                    <w:rStyle w:val="af0"/>
                    <w:rFonts w:ascii="Calibri" w:eastAsia="楷体" w:hAnsi="Calibri" w:cs="Calibri" w:hint="eastAsia"/>
                    <w:b/>
                    <w:bCs/>
                    <w:noProof/>
                  </w:rPr>
                  <w:t>6.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_Toc224295893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E890E77" w14:textId="46FA4F9E" w:rsidR="0061061C" w:rsidRDefault="0061061C" w:rsidP="0061061C">
              <w:pPr>
                <w:rPr>
                  <w:rFonts w:cs="Calibri"/>
                  <w:b/>
                  <w:bCs/>
                  <w:lang w:val="zh-CN"/>
                </w:rPr>
              </w:pPr>
              <w:r>
                <w:rPr>
                  <w:rFonts w:cs="Calibri"/>
                  <w:bCs/>
                  <w:lang w:val="zh-CN"/>
                </w:rPr>
                <w:fldChar w:fldCharType="end"/>
              </w:r>
            </w:p>
          </w:sdtContent>
        </w:sdt>
        <w:p w14:paraId="6C051AC7" w14:textId="1AFCEE95" w:rsidR="00CA1CB5" w:rsidRDefault="001E398C" w:rsidP="0061061C">
          <w:pPr>
            <w:pStyle w:val="TOC10"/>
            <w:rPr>
              <w:rFonts w:cs="Calibri" w:hint="eastAsia"/>
            </w:rPr>
          </w:pPr>
        </w:p>
      </w:sdtContent>
    </w:sdt>
    <w:p w14:paraId="1AE13477" w14:textId="77777777" w:rsidR="00CA1CB5" w:rsidRDefault="00CA1CB5">
      <w:pPr>
        <w:pStyle w:val="EFABodyText"/>
        <w:rPr>
          <w:rFonts w:eastAsia="宋体" w:cs="Calibri"/>
          <w:lang w:eastAsia="zh-CN"/>
        </w:rPr>
      </w:pPr>
    </w:p>
    <w:p w14:paraId="4CA6698F" w14:textId="77777777" w:rsidR="00CA1CB5" w:rsidRDefault="00CA1CB5">
      <w:pPr>
        <w:rPr>
          <w:rFonts w:eastAsiaTheme="minorEastAsia"/>
        </w:rPr>
      </w:pPr>
    </w:p>
    <w:p w14:paraId="272C72DC" w14:textId="77777777" w:rsidR="00CA1CB5" w:rsidRDefault="00CA1CB5">
      <w:pPr>
        <w:rPr>
          <w:rFonts w:eastAsiaTheme="minorEastAsia"/>
        </w:rPr>
      </w:pPr>
    </w:p>
    <w:p w14:paraId="0CAEF4A3" w14:textId="406B270F" w:rsidR="00CA1CB5" w:rsidRPr="006C5E21" w:rsidRDefault="00EE3BC1">
      <w:pPr>
        <w:pStyle w:val="1"/>
        <w:spacing w:beforeLines="100" w:before="240" w:afterLines="100" w:after="240"/>
        <w:jc w:val="both"/>
        <w:rPr>
          <w:rFonts w:ascii="Calibri" w:eastAsiaTheme="minorEastAsia" w:hAnsi="Calibri" w:cs="Calibri"/>
          <w:b/>
          <w:color w:val="215E99" w:themeColor="text2" w:themeTint="BF"/>
          <w:sz w:val="28"/>
          <w:szCs w:val="28"/>
          <w:shd w:val="clear" w:color="auto" w:fill="FFFFFF"/>
          <w:lang w:bidi="ar"/>
        </w:rPr>
      </w:pPr>
      <w:bookmarkStart w:id="0" w:name="_Toc220275537"/>
      <w:bookmarkStart w:id="1" w:name="_Toc224295873"/>
      <w:r>
        <w:rPr>
          <w:rFonts w:ascii="Calibri" w:eastAsia="楷体" w:hAnsi="Calibri" w:cs="Calibri"/>
          <w:b/>
          <w:bCs/>
          <w:color w:val="215E99" w:themeColor="text2" w:themeTint="BF"/>
          <w:sz w:val="28"/>
          <w:szCs w:val="28"/>
        </w:rPr>
        <w:lastRenderedPageBreak/>
        <w:t xml:space="preserve">1 </w:t>
      </w:r>
      <w:bookmarkEnd w:id="0"/>
      <w:r w:rsidR="006C5E21" w:rsidRPr="006C5E21">
        <w:rPr>
          <w:rFonts w:ascii="Calibri" w:eastAsia="Helvetica Neue" w:hAnsi="Calibri" w:cs="Calibri"/>
          <w:b/>
          <w:color w:val="215E99" w:themeColor="text2" w:themeTint="BF"/>
          <w:sz w:val="28"/>
          <w:szCs w:val="28"/>
          <w:shd w:val="clear" w:color="auto" w:fill="FFFFFF"/>
          <w:lang w:bidi="ar"/>
        </w:rPr>
        <w:t>L'Oréal: Global Leader in Beauty &amp; Personal Care</w:t>
      </w:r>
      <w:bookmarkEnd w:id="1"/>
    </w:p>
    <w:p w14:paraId="2EEBC045" w14:textId="77777777" w:rsidR="00CA1CB5" w:rsidRDefault="00EE3BC1">
      <w:pPr>
        <w:pStyle w:val="211"/>
        <w:jc w:val="both"/>
        <w:rPr>
          <w:rFonts w:ascii="Calibri" w:eastAsia="楷体" w:hAnsi="Calibri" w:cs="Calibri"/>
          <w:color w:val="23558C"/>
          <w:sz w:val="24"/>
          <w:szCs w:val="24"/>
        </w:rPr>
      </w:pPr>
      <w:bookmarkStart w:id="2" w:name="_Toc220275538"/>
      <w:bookmarkStart w:id="3" w:name="_Toc224295874"/>
      <w:r>
        <w:rPr>
          <w:rFonts w:ascii="Calibri" w:eastAsia="楷体" w:hAnsi="Calibri" w:cs="Calibri"/>
          <w:color w:val="23558C"/>
          <w:sz w:val="24"/>
          <w:szCs w:val="24"/>
        </w:rPr>
        <w:t xml:space="preserve">1.1 </w:t>
      </w:r>
      <w:bookmarkEnd w:id="2"/>
      <w:r>
        <w:rPr>
          <w:rFonts w:ascii="Calibri" w:eastAsia="楷体" w:hAnsi="Calibri" w:cs="Calibri"/>
          <w:color w:val="23558C"/>
          <w:sz w:val="24"/>
          <w:szCs w:val="24"/>
        </w:rPr>
        <w:t>Company Overview</w:t>
      </w:r>
      <w:bookmarkEnd w:id="3"/>
    </w:p>
    <w:p w14:paraId="2ED5C46B" w14:textId="0B70566E" w:rsidR="00CA1CB5" w:rsidRDefault="006C5E21">
      <w:pPr>
        <w:rPr>
          <w:rFonts w:eastAsiaTheme="minorEastAsia" w:cs="Calibri"/>
          <w:color w:val="0F1115"/>
          <w:sz w:val="22"/>
          <w:szCs w:val="22"/>
          <w:shd w:val="clear" w:color="auto" w:fill="FFFFFF"/>
          <w:lang w:bidi="ar"/>
        </w:rPr>
      </w:pPr>
      <w:r w:rsidRPr="006C5E21">
        <w:rPr>
          <w:rFonts w:eastAsia="Helvetica Neue" w:cs="Calibri"/>
          <w:color w:val="0F1115"/>
          <w:sz w:val="22"/>
          <w:szCs w:val="22"/>
          <w:shd w:val="clear" w:color="auto" w:fill="FFFFFF"/>
          <w:lang w:bidi="ar"/>
        </w:rPr>
        <w:t xml:space="preserve">L'Oréal is a global leader in beauty, founded in 1909 and headquartered in France. Its core business encompasses a broad range of beauty products, including skincare, cosmetics, fragrances, hair </w:t>
      </w:r>
      <w:proofErr w:type="spellStart"/>
      <w:r w:rsidRPr="006C5E21">
        <w:rPr>
          <w:rFonts w:eastAsia="Helvetica Neue" w:cs="Calibri"/>
          <w:color w:val="0F1115"/>
          <w:sz w:val="22"/>
          <w:szCs w:val="22"/>
          <w:shd w:val="clear" w:color="auto" w:fill="FFFFFF"/>
          <w:lang w:bidi="ar"/>
        </w:rPr>
        <w:t>colouring</w:t>
      </w:r>
      <w:proofErr w:type="spellEnd"/>
      <w:r w:rsidRPr="006C5E21">
        <w:rPr>
          <w:rFonts w:eastAsia="Helvetica Neue" w:cs="Calibri"/>
          <w:color w:val="0F1115"/>
          <w:sz w:val="22"/>
          <w:szCs w:val="22"/>
          <w:shd w:val="clear" w:color="auto" w:fill="FFFFFF"/>
          <w:lang w:bidi="ar"/>
        </w:rPr>
        <w:t>, and personal care. Over a century of scientific innovation, strategic expansion, and social responsibility, L'Oréal has established itself as the world's foremost beauty company. Its corporate development can be divided into six distinct phases:</w:t>
      </w:r>
    </w:p>
    <w:p w14:paraId="52B61C7F" w14:textId="77777777" w:rsidR="006C5E21" w:rsidRPr="006C5E21" w:rsidRDefault="006C5E21">
      <w:pPr>
        <w:rPr>
          <w:rFonts w:eastAsiaTheme="minorEastAsia" w:cs="Calibri"/>
          <w:color w:val="0F1115"/>
          <w:sz w:val="22"/>
          <w:szCs w:val="22"/>
          <w:shd w:val="clear" w:color="auto" w:fill="FFFFFF"/>
          <w:lang w:bidi="ar"/>
        </w:rPr>
      </w:pPr>
    </w:p>
    <w:p w14:paraId="4C175E2C" w14:textId="77777777" w:rsidR="006C5E21" w:rsidRPr="006C5E21" w:rsidRDefault="006C5E21" w:rsidP="006C5E21">
      <w:pPr>
        <w:rPr>
          <w:rFonts w:eastAsiaTheme="minorEastAsia" w:cs="Calibri"/>
          <w:b/>
          <w:bCs/>
          <w:color w:val="0F1115"/>
          <w:sz w:val="22"/>
          <w:szCs w:val="22"/>
          <w:shd w:val="clear" w:color="auto" w:fill="FFFFFF"/>
          <w:lang w:bidi="ar"/>
        </w:rPr>
      </w:pPr>
      <w:r w:rsidRPr="006C5E21">
        <w:rPr>
          <w:rFonts w:eastAsiaTheme="minorEastAsia" w:cs="Calibri"/>
          <w:b/>
          <w:bCs/>
          <w:color w:val="0F1115"/>
          <w:sz w:val="22"/>
          <w:szCs w:val="22"/>
          <w:shd w:val="clear" w:color="auto" w:fill="FFFFFF"/>
          <w:lang w:bidi="ar"/>
        </w:rPr>
        <w:t>Phase 1 — 1909–1956: Founding and Brand Building</w:t>
      </w:r>
    </w:p>
    <w:p w14:paraId="37849A26" w14:textId="77777777" w:rsidR="006C5E21" w:rsidRDefault="006C5E21" w:rsidP="006C5E21">
      <w:pPr>
        <w:rPr>
          <w:rFonts w:eastAsiaTheme="minorEastAsia" w:cs="Calibri"/>
          <w:color w:val="0F1115"/>
          <w:sz w:val="22"/>
          <w:szCs w:val="22"/>
          <w:shd w:val="clear" w:color="auto" w:fill="FFFFFF"/>
          <w:lang w:bidi="ar"/>
        </w:rPr>
      </w:pPr>
      <w:r w:rsidRPr="006C5E21">
        <w:rPr>
          <w:rFonts w:eastAsiaTheme="minorEastAsia" w:cs="Calibri"/>
          <w:color w:val="0F1115"/>
          <w:sz w:val="22"/>
          <w:szCs w:val="22"/>
          <w:shd w:val="clear" w:color="auto" w:fill="FFFFFF"/>
          <w:lang w:bidi="ar"/>
        </w:rPr>
        <w:t xml:space="preserve">Founder and chemist Eugène Schueller placed scientific innovation at the heart of the company, laying the groundwork for the L'Oréal brand. In 1909, he established the Société Française des </w:t>
      </w:r>
      <w:proofErr w:type="spellStart"/>
      <w:r w:rsidRPr="006C5E21">
        <w:rPr>
          <w:rFonts w:eastAsiaTheme="minorEastAsia" w:cs="Calibri"/>
          <w:color w:val="0F1115"/>
          <w:sz w:val="22"/>
          <w:szCs w:val="22"/>
          <w:shd w:val="clear" w:color="auto" w:fill="FFFFFF"/>
          <w:lang w:bidi="ar"/>
        </w:rPr>
        <w:t>Teintures</w:t>
      </w:r>
      <w:proofErr w:type="spellEnd"/>
      <w:r w:rsidRPr="006C5E21">
        <w:rPr>
          <w:rFonts w:eastAsiaTheme="minorEastAsia" w:cs="Calibri"/>
          <w:color w:val="0F1115"/>
          <w:sz w:val="22"/>
          <w:szCs w:val="22"/>
          <w:shd w:val="clear" w:color="auto" w:fill="FFFFFF"/>
          <w:lang w:bidi="ar"/>
        </w:rPr>
        <w:t xml:space="preserve"> </w:t>
      </w:r>
      <w:proofErr w:type="spellStart"/>
      <w:r w:rsidRPr="006C5E21">
        <w:rPr>
          <w:rFonts w:eastAsiaTheme="minorEastAsia" w:cs="Calibri"/>
          <w:color w:val="0F1115"/>
          <w:sz w:val="22"/>
          <w:szCs w:val="22"/>
          <w:shd w:val="clear" w:color="auto" w:fill="FFFFFF"/>
          <w:lang w:bidi="ar"/>
        </w:rPr>
        <w:t>Inoffensives</w:t>
      </w:r>
      <w:proofErr w:type="spellEnd"/>
      <w:r w:rsidRPr="006C5E21">
        <w:rPr>
          <w:rFonts w:eastAsiaTheme="minorEastAsia" w:cs="Calibri"/>
          <w:color w:val="0F1115"/>
          <w:sz w:val="22"/>
          <w:szCs w:val="22"/>
          <w:shd w:val="clear" w:color="auto" w:fill="FFFFFF"/>
          <w:lang w:bidi="ar"/>
        </w:rPr>
        <w:t xml:space="preserve"> pour </w:t>
      </w:r>
      <w:proofErr w:type="spellStart"/>
      <w:r w:rsidRPr="006C5E21">
        <w:rPr>
          <w:rFonts w:eastAsiaTheme="minorEastAsia" w:cs="Calibri"/>
          <w:color w:val="0F1115"/>
          <w:sz w:val="22"/>
          <w:szCs w:val="22"/>
          <w:shd w:val="clear" w:color="auto" w:fill="FFFFFF"/>
          <w:lang w:bidi="ar"/>
        </w:rPr>
        <w:t>Cheveux</w:t>
      </w:r>
      <w:proofErr w:type="spellEnd"/>
      <w:r w:rsidRPr="006C5E21">
        <w:rPr>
          <w:rFonts w:eastAsiaTheme="minorEastAsia" w:cs="Calibri"/>
          <w:color w:val="0F1115"/>
          <w:sz w:val="22"/>
          <w:szCs w:val="22"/>
          <w:shd w:val="clear" w:color="auto" w:fill="FFFFFF"/>
          <w:lang w:bidi="ar"/>
        </w:rPr>
        <w:t xml:space="preserve"> and introduced a mild hair dye called '</w:t>
      </w:r>
      <w:proofErr w:type="spellStart"/>
      <w:r w:rsidRPr="006C5E21">
        <w:rPr>
          <w:rFonts w:eastAsiaTheme="minorEastAsia" w:cs="Calibri"/>
          <w:color w:val="0F1115"/>
          <w:sz w:val="22"/>
          <w:szCs w:val="22"/>
          <w:shd w:val="clear" w:color="auto" w:fill="FFFFFF"/>
          <w:lang w:bidi="ar"/>
        </w:rPr>
        <w:t>L'Auréale</w:t>
      </w:r>
      <w:proofErr w:type="spellEnd"/>
      <w:r w:rsidRPr="006C5E21">
        <w:rPr>
          <w:rFonts w:eastAsiaTheme="minorEastAsia" w:cs="Calibri"/>
          <w:color w:val="0F1115"/>
          <w:sz w:val="22"/>
          <w:szCs w:val="22"/>
          <w:shd w:val="clear" w:color="auto" w:fill="FFFFFF"/>
          <w:lang w:bidi="ar"/>
        </w:rPr>
        <w:t xml:space="preserve">' (inspired by a popular hairstyle of the era). In 1934, the company launched the world's first soap-free shampoo; in 1935, it introduced Ambre Solaire, pioneering the suncare category; and in 1939, the company was officially renamed </w:t>
      </w:r>
      <w:proofErr w:type="spellStart"/>
      <w:r w:rsidRPr="006C5E21">
        <w:rPr>
          <w:rFonts w:eastAsiaTheme="minorEastAsia" w:cs="Calibri"/>
          <w:color w:val="0F1115"/>
          <w:sz w:val="22"/>
          <w:szCs w:val="22"/>
          <w:shd w:val="clear" w:color="auto" w:fill="FFFFFF"/>
          <w:lang w:bidi="ar"/>
        </w:rPr>
        <w:t>L'Or</w:t>
      </w:r>
      <w:proofErr w:type="spellEnd"/>
      <w:r w:rsidRPr="006C5E21">
        <w:rPr>
          <w:rFonts w:eastAsiaTheme="minorEastAsia" w:cs="Calibri" w:hint="eastAsia"/>
          <w:color w:val="0F1115"/>
          <w:sz w:val="22"/>
          <w:szCs w:val="22"/>
          <w:shd w:val="clear" w:color="auto" w:fill="FFFFFF"/>
          <w:lang w:bidi="ar"/>
        </w:rPr>
        <w:t>é</w:t>
      </w:r>
      <w:r w:rsidRPr="006C5E21">
        <w:rPr>
          <w:rFonts w:eastAsiaTheme="minorEastAsia" w:cs="Calibri"/>
          <w:color w:val="0F1115"/>
          <w:sz w:val="22"/>
          <w:szCs w:val="22"/>
          <w:shd w:val="clear" w:color="auto" w:fill="FFFFFF"/>
          <w:lang w:bidi="ar"/>
        </w:rPr>
        <w:t>al and relocated its headquarters to 14 Rue Royale, Paris.</w:t>
      </w:r>
    </w:p>
    <w:p w14:paraId="7C785796" w14:textId="77777777" w:rsidR="006C5E21" w:rsidRPr="006C5E21" w:rsidRDefault="006C5E21" w:rsidP="006C5E21">
      <w:pPr>
        <w:rPr>
          <w:rFonts w:eastAsiaTheme="minorEastAsia" w:cs="Calibri"/>
          <w:color w:val="0F1115"/>
          <w:sz w:val="22"/>
          <w:szCs w:val="22"/>
          <w:shd w:val="clear" w:color="auto" w:fill="FFFFFF"/>
          <w:lang w:bidi="ar"/>
        </w:rPr>
      </w:pPr>
    </w:p>
    <w:p w14:paraId="751A6750" w14:textId="77777777" w:rsidR="006C5E21" w:rsidRPr="006C5E21" w:rsidRDefault="006C5E21" w:rsidP="006C5E21">
      <w:pPr>
        <w:rPr>
          <w:rFonts w:eastAsiaTheme="minorEastAsia" w:cs="Calibri"/>
          <w:b/>
          <w:bCs/>
          <w:color w:val="0F1115"/>
          <w:sz w:val="22"/>
          <w:szCs w:val="22"/>
          <w:shd w:val="clear" w:color="auto" w:fill="FFFFFF"/>
          <w:lang w:bidi="ar"/>
        </w:rPr>
      </w:pPr>
      <w:r w:rsidRPr="006C5E21">
        <w:rPr>
          <w:rFonts w:eastAsiaTheme="minorEastAsia" w:cs="Calibri"/>
          <w:b/>
          <w:bCs/>
          <w:color w:val="0F1115"/>
          <w:sz w:val="22"/>
          <w:szCs w:val="22"/>
          <w:shd w:val="clear" w:color="auto" w:fill="FFFFFF"/>
          <w:lang w:bidi="ar"/>
        </w:rPr>
        <w:t>Phase 2 — 1957–1983: Seizing Opportunities and Growth Through Acquisitions</w:t>
      </w:r>
    </w:p>
    <w:p w14:paraId="10FA5B28" w14:textId="77777777" w:rsidR="006C5E21" w:rsidRDefault="006C5E21" w:rsidP="006C5E21">
      <w:pPr>
        <w:rPr>
          <w:rFonts w:eastAsiaTheme="minorEastAsia" w:cs="Calibri"/>
          <w:color w:val="0F1115"/>
          <w:sz w:val="22"/>
          <w:szCs w:val="22"/>
          <w:shd w:val="clear" w:color="auto" w:fill="FFFFFF"/>
          <w:lang w:bidi="ar"/>
        </w:rPr>
      </w:pPr>
      <w:r w:rsidRPr="006C5E21">
        <w:rPr>
          <w:rFonts w:eastAsiaTheme="minorEastAsia" w:cs="Calibri"/>
          <w:color w:val="0F1115"/>
          <w:sz w:val="22"/>
          <w:szCs w:val="22"/>
          <w:shd w:val="clear" w:color="auto" w:fill="FFFFFF"/>
          <w:lang w:bidi="ar"/>
        </w:rPr>
        <w:t xml:space="preserve">Under Chairman François Dalle and his 'Seize the Moment' philosophy, the company focused on R&amp;D and consumer needs, expanding through strategic acquisitions. L'Oréal listed on the Paris Stock Exchange in 1963 and went on to acquire brands including Mixa, Lancôme, </w:t>
      </w:r>
      <w:proofErr w:type="spellStart"/>
      <w:r w:rsidRPr="006C5E21">
        <w:rPr>
          <w:rFonts w:eastAsiaTheme="minorEastAsia" w:cs="Calibri"/>
          <w:color w:val="0F1115"/>
          <w:sz w:val="22"/>
          <w:szCs w:val="22"/>
          <w:shd w:val="clear" w:color="auto" w:fill="FFFFFF"/>
          <w:lang w:bidi="ar"/>
        </w:rPr>
        <w:t>Biotherm</w:t>
      </w:r>
      <w:proofErr w:type="spellEnd"/>
      <w:r w:rsidRPr="006C5E21">
        <w:rPr>
          <w:rFonts w:eastAsiaTheme="minorEastAsia" w:cs="Calibri"/>
          <w:color w:val="0F1115"/>
          <w:sz w:val="22"/>
          <w:szCs w:val="22"/>
          <w:shd w:val="clear" w:color="auto" w:fill="FFFFFF"/>
          <w:lang w:bidi="ar"/>
        </w:rPr>
        <w:t xml:space="preserve">, and Laboratoires Garnier. Landmark product launches during this period included </w:t>
      </w:r>
      <w:proofErr w:type="spellStart"/>
      <w:r w:rsidRPr="006C5E21">
        <w:rPr>
          <w:rFonts w:eastAsiaTheme="minorEastAsia" w:cs="Calibri"/>
          <w:color w:val="0F1115"/>
          <w:sz w:val="22"/>
          <w:szCs w:val="22"/>
          <w:shd w:val="clear" w:color="auto" w:fill="FFFFFF"/>
          <w:lang w:bidi="ar"/>
        </w:rPr>
        <w:t>Kérastase</w:t>
      </w:r>
      <w:proofErr w:type="spellEnd"/>
      <w:r w:rsidRPr="006C5E21">
        <w:rPr>
          <w:rFonts w:eastAsiaTheme="minorEastAsia" w:cs="Calibri"/>
          <w:color w:val="0F1115"/>
          <w:sz w:val="22"/>
          <w:szCs w:val="22"/>
          <w:shd w:val="clear" w:color="auto" w:fill="FFFFFF"/>
          <w:lang w:bidi="ar"/>
        </w:rPr>
        <w:t xml:space="preserve"> haircare, the Lancôme Ô fragrance, Cacharel Anaïs </w:t>
      </w:r>
      <w:proofErr w:type="spellStart"/>
      <w:r w:rsidRPr="006C5E21">
        <w:rPr>
          <w:rFonts w:eastAsiaTheme="minorEastAsia" w:cs="Calibri"/>
          <w:color w:val="0F1115"/>
          <w:sz w:val="22"/>
          <w:szCs w:val="22"/>
          <w:shd w:val="clear" w:color="auto" w:fill="FFFFFF"/>
          <w:lang w:bidi="ar"/>
        </w:rPr>
        <w:t>Anaïs</w:t>
      </w:r>
      <w:proofErr w:type="spellEnd"/>
      <w:r w:rsidRPr="006C5E21">
        <w:rPr>
          <w:rFonts w:eastAsiaTheme="minorEastAsia" w:cs="Calibri"/>
          <w:color w:val="0F1115"/>
          <w:sz w:val="22"/>
          <w:szCs w:val="22"/>
          <w:shd w:val="clear" w:color="auto" w:fill="FFFFFF"/>
          <w:lang w:bidi="ar"/>
        </w:rPr>
        <w:t xml:space="preserve">, </w:t>
      </w:r>
      <w:proofErr w:type="spellStart"/>
      <w:r w:rsidRPr="006C5E21">
        <w:rPr>
          <w:rFonts w:eastAsiaTheme="minorEastAsia" w:cs="Calibri"/>
          <w:color w:val="0F1115"/>
          <w:sz w:val="22"/>
          <w:szCs w:val="22"/>
          <w:shd w:val="clear" w:color="auto" w:fill="FFFFFF"/>
          <w:lang w:bidi="ar"/>
        </w:rPr>
        <w:t>Elsève</w:t>
      </w:r>
      <w:proofErr w:type="spellEnd"/>
      <w:r w:rsidRPr="006C5E21">
        <w:rPr>
          <w:rFonts w:eastAsiaTheme="minorEastAsia" w:cs="Calibri"/>
          <w:color w:val="0F1115"/>
          <w:sz w:val="22"/>
          <w:szCs w:val="22"/>
          <w:shd w:val="clear" w:color="auto" w:fill="FFFFFF"/>
          <w:lang w:bidi="ar"/>
        </w:rPr>
        <w:t xml:space="preserve"> shampoo, Garnier Ultra Doux, and the </w:t>
      </w:r>
      <w:proofErr w:type="spellStart"/>
      <w:r w:rsidRPr="006C5E21">
        <w:rPr>
          <w:rFonts w:eastAsiaTheme="minorEastAsia" w:cs="Calibri"/>
          <w:color w:val="0F1115"/>
          <w:sz w:val="22"/>
          <w:szCs w:val="22"/>
          <w:shd w:val="clear" w:color="auto" w:fill="FFFFFF"/>
          <w:lang w:bidi="ar"/>
        </w:rPr>
        <w:t>Plénitude</w:t>
      </w:r>
      <w:proofErr w:type="spellEnd"/>
      <w:r w:rsidRPr="006C5E21">
        <w:rPr>
          <w:rFonts w:eastAsiaTheme="minorEastAsia" w:cs="Calibri"/>
          <w:color w:val="0F1115"/>
          <w:sz w:val="22"/>
          <w:szCs w:val="22"/>
          <w:shd w:val="clear" w:color="auto" w:fill="FFFFFF"/>
          <w:lang w:bidi="ar"/>
        </w:rPr>
        <w:t xml:space="preserve"> </w:t>
      </w:r>
      <w:proofErr w:type="spellStart"/>
      <w:r w:rsidRPr="006C5E21">
        <w:rPr>
          <w:rFonts w:eastAsiaTheme="minorEastAsia" w:cs="Calibri"/>
          <w:color w:val="0F1115"/>
          <w:sz w:val="22"/>
          <w:szCs w:val="22"/>
          <w:shd w:val="clear" w:color="auto" w:fill="FFFFFF"/>
          <w:lang w:bidi="ar"/>
        </w:rPr>
        <w:t>Revitalift</w:t>
      </w:r>
      <w:proofErr w:type="spellEnd"/>
      <w:r w:rsidRPr="006C5E21">
        <w:rPr>
          <w:rFonts w:eastAsiaTheme="minorEastAsia" w:cs="Calibri"/>
          <w:color w:val="0F1115"/>
          <w:sz w:val="22"/>
          <w:szCs w:val="22"/>
          <w:shd w:val="clear" w:color="auto" w:fill="FFFFFF"/>
          <w:lang w:bidi="ar"/>
        </w:rPr>
        <w:t xml:space="preserve"> skincare line.</w:t>
      </w:r>
    </w:p>
    <w:p w14:paraId="37EC5341" w14:textId="77777777" w:rsidR="006C5E21" w:rsidRPr="006C5E21" w:rsidRDefault="006C5E21" w:rsidP="006C5E21">
      <w:pPr>
        <w:rPr>
          <w:rFonts w:eastAsiaTheme="minorEastAsia" w:cs="Calibri"/>
          <w:color w:val="0F1115"/>
          <w:sz w:val="22"/>
          <w:szCs w:val="22"/>
          <w:shd w:val="clear" w:color="auto" w:fill="FFFFFF"/>
          <w:lang w:bidi="ar"/>
        </w:rPr>
      </w:pPr>
    </w:p>
    <w:p w14:paraId="6F87C101" w14:textId="77777777" w:rsidR="006C5E21" w:rsidRPr="006C5E21" w:rsidRDefault="006C5E21" w:rsidP="006C5E21">
      <w:pPr>
        <w:rPr>
          <w:rFonts w:eastAsiaTheme="minorEastAsia" w:cs="Calibri"/>
          <w:b/>
          <w:bCs/>
          <w:color w:val="0F1115"/>
          <w:sz w:val="22"/>
          <w:szCs w:val="22"/>
          <w:shd w:val="clear" w:color="auto" w:fill="FFFFFF"/>
          <w:lang w:bidi="ar"/>
        </w:rPr>
      </w:pPr>
      <w:r w:rsidRPr="006C5E21">
        <w:rPr>
          <w:rFonts w:eastAsiaTheme="minorEastAsia" w:cs="Calibri"/>
          <w:b/>
          <w:bCs/>
          <w:color w:val="0F1115"/>
          <w:sz w:val="22"/>
          <w:szCs w:val="22"/>
          <w:shd w:val="clear" w:color="auto" w:fill="FFFFFF"/>
          <w:lang w:bidi="ar"/>
        </w:rPr>
        <w:t>Phase 3 — 1984–1987: Deepening the 'Beauty Science' Strategy and Entering Men's Care</w:t>
      </w:r>
    </w:p>
    <w:p w14:paraId="46043B66" w14:textId="77777777" w:rsidR="006C5E21" w:rsidRDefault="006C5E21" w:rsidP="006C5E21">
      <w:pPr>
        <w:rPr>
          <w:rFonts w:eastAsiaTheme="minorEastAsia" w:cs="Calibri"/>
          <w:color w:val="0F1115"/>
          <w:sz w:val="22"/>
          <w:szCs w:val="22"/>
          <w:shd w:val="clear" w:color="auto" w:fill="FFFFFF"/>
          <w:lang w:bidi="ar"/>
        </w:rPr>
      </w:pPr>
      <w:r w:rsidRPr="006C5E21">
        <w:rPr>
          <w:rFonts w:eastAsiaTheme="minorEastAsia" w:cs="Calibri"/>
          <w:color w:val="0F1115"/>
          <w:sz w:val="22"/>
          <w:szCs w:val="22"/>
          <w:shd w:val="clear" w:color="auto" w:fill="FFFFFF"/>
          <w:lang w:bidi="ar"/>
        </w:rPr>
        <w:t xml:space="preserve">Under CEO Charles Zviak, the company made substantial investments in R&amp;D. In 1984, it secured the Ralph Lauren fragrance </w:t>
      </w:r>
      <w:proofErr w:type="spellStart"/>
      <w:r w:rsidRPr="006C5E21">
        <w:rPr>
          <w:rFonts w:eastAsiaTheme="minorEastAsia" w:cs="Calibri"/>
          <w:color w:val="0F1115"/>
          <w:sz w:val="22"/>
          <w:szCs w:val="22"/>
          <w:shd w:val="clear" w:color="auto" w:fill="FFFFFF"/>
          <w:lang w:bidi="ar"/>
        </w:rPr>
        <w:t>licence</w:t>
      </w:r>
      <w:proofErr w:type="spellEnd"/>
      <w:r w:rsidRPr="006C5E21">
        <w:rPr>
          <w:rFonts w:eastAsiaTheme="minorEastAsia" w:cs="Calibri"/>
          <w:color w:val="0F1115"/>
          <w:sz w:val="22"/>
          <w:szCs w:val="22"/>
          <w:shd w:val="clear" w:color="auto" w:fill="FFFFFF"/>
          <w:lang w:bidi="ar"/>
        </w:rPr>
        <w:t xml:space="preserve"> for the US market; in 1985, </w:t>
      </w:r>
      <w:proofErr w:type="spellStart"/>
      <w:r w:rsidRPr="006C5E21">
        <w:rPr>
          <w:rFonts w:eastAsiaTheme="minorEastAsia" w:cs="Calibri"/>
          <w:color w:val="0F1115"/>
          <w:sz w:val="22"/>
          <w:szCs w:val="22"/>
          <w:shd w:val="clear" w:color="auto" w:fill="FFFFFF"/>
          <w:lang w:bidi="ar"/>
        </w:rPr>
        <w:t>Biotherm</w:t>
      </w:r>
      <w:proofErr w:type="spellEnd"/>
      <w:r w:rsidRPr="006C5E21">
        <w:rPr>
          <w:rFonts w:eastAsiaTheme="minorEastAsia" w:cs="Calibri"/>
          <w:color w:val="0F1115"/>
          <w:sz w:val="22"/>
          <w:szCs w:val="22"/>
          <w:shd w:val="clear" w:color="auto" w:fill="FFFFFF"/>
          <w:lang w:bidi="ar"/>
        </w:rPr>
        <w:t xml:space="preserve"> launched a men's skincare range; and in 1986, Vichy introduced men's skincare products.</w:t>
      </w:r>
    </w:p>
    <w:p w14:paraId="1BFB9508" w14:textId="77777777" w:rsidR="006C5E21" w:rsidRPr="006C5E21" w:rsidRDefault="006C5E21" w:rsidP="006C5E21">
      <w:pPr>
        <w:rPr>
          <w:rFonts w:eastAsiaTheme="minorEastAsia" w:cs="Calibri"/>
          <w:color w:val="0F1115"/>
          <w:sz w:val="22"/>
          <w:szCs w:val="22"/>
          <w:shd w:val="clear" w:color="auto" w:fill="FFFFFF"/>
          <w:lang w:bidi="ar"/>
        </w:rPr>
      </w:pPr>
    </w:p>
    <w:p w14:paraId="2B679198" w14:textId="77777777" w:rsidR="006C5E21" w:rsidRPr="006C5E21" w:rsidRDefault="006C5E21" w:rsidP="006C5E21">
      <w:pPr>
        <w:rPr>
          <w:rFonts w:eastAsiaTheme="minorEastAsia" w:cs="Calibri"/>
          <w:b/>
          <w:bCs/>
          <w:color w:val="0F1115"/>
          <w:sz w:val="22"/>
          <w:szCs w:val="22"/>
          <w:shd w:val="clear" w:color="auto" w:fill="FFFFFF"/>
          <w:lang w:bidi="ar"/>
        </w:rPr>
      </w:pPr>
      <w:r w:rsidRPr="006C5E21">
        <w:rPr>
          <w:rFonts w:eastAsiaTheme="minorEastAsia" w:cs="Calibri"/>
          <w:b/>
          <w:bCs/>
          <w:color w:val="0F1115"/>
          <w:sz w:val="22"/>
          <w:szCs w:val="22"/>
          <w:shd w:val="clear" w:color="auto" w:fill="FFFFFF"/>
          <w:lang w:bidi="ar"/>
        </w:rPr>
        <w:t>Phase 4 — 1988–2005: Becoming the Undisputed Leader in Beauty</w:t>
      </w:r>
    </w:p>
    <w:p w14:paraId="3F495062" w14:textId="77777777" w:rsidR="006C5E21" w:rsidRDefault="006C5E21" w:rsidP="006C5E21">
      <w:pPr>
        <w:rPr>
          <w:rFonts w:eastAsiaTheme="minorEastAsia" w:cs="Calibri"/>
          <w:color w:val="0F1115"/>
          <w:sz w:val="22"/>
          <w:szCs w:val="22"/>
          <w:shd w:val="clear" w:color="auto" w:fill="FFFFFF"/>
          <w:lang w:bidi="ar"/>
        </w:rPr>
      </w:pPr>
      <w:r w:rsidRPr="006C5E21">
        <w:rPr>
          <w:rFonts w:eastAsiaTheme="minorEastAsia" w:cs="Calibri"/>
          <w:color w:val="0F1115"/>
          <w:sz w:val="22"/>
          <w:szCs w:val="22"/>
          <w:shd w:val="clear" w:color="auto" w:fill="FFFFFF"/>
          <w:lang w:bidi="ar"/>
        </w:rPr>
        <w:t xml:space="preserve">Under President Lindsey Owen-Jones, L'Oréal became the world's number-one cosmetics company through strategic acquisitions, including Helena Rubinstein, the Giorgio Armani fragrance </w:t>
      </w:r>
      <w:proofErr w:type="spellStart"/>
      <w:r w:rsidRPr="006C5E21">
        <w:rPr>
          <w:rFonts w:eastAsiaTheme="minorEastAsia" w:cs="Calibri"/>
          <w:color w:val="0F1115"/>
          <w:sz w:val="22"/>
          <w:szCs w:val="22"/>
          <w:shd w:val="clear" w:color="auto" w:fill="FFFFFF"/>
          <w:lang w:bidi="ar"/>
        </w:rPr>
        <w:t>licence</w:t>
      </w:r>
      <w:proofErr w:type="spellEnd"/>
      <w:r w:rsidRPr="006C5E21">
        <w:rPr>
          <w:rFonts w:eastAsiaTheme="minorEastAsia" w:cs="Calibri"/>
          <w:color w:val="0F1115"/>
          <w:sz w:val="22"/>
          <w:szCs w:val="22"/>
          <w:shd w:val="clear" w:color="auto" w:fill="FFFFFF"/>
          <w:lang w:bidi="ar"/>
        </w:rPr>
        <w:t xml:space="preserve">, La Roche-Posay, Maybelline, Kiehl's, and </w:t>
      </w:r>
      <w:proofErr w:type="spellStart"/>
      <w:r w:rsidRPr="006C5E21">
        <w:rPr>
          <w:rFonts w:eastAsiaTheme="minorEastAsia" w:cs="Calibri"/>
          <w:color w:val="0F1115"/>
          <w:sz w:val="22"/>
          <w:szCs w:val="22"/>
          <w:shd w:val="clear" w:color="auto" w:fill="FFFFFF"/>
          <w:lang w:bidi="ar"/>
        </w:rPr>
        <w:t>SkinCeuticals</w:t>
      </w:r>
      <w:proofErr w:type="spellEnd"/>
      <w:r w:rsidRPr="006C5E21">
        <w:rPr>
          <w:rFonts w:eastAsiaTheme="minorEastAsia" w:cs="Calibri"/>
          <w:color w:val="0F1115"/>
          <w:sz w:val="22"/>
          <w:szCs w:val="22"/>
          <w:shd w:val="clear" w:color="auto" w:fill="FFFFFF"/>
          <w:lang w:bidi="ar"/>
        </w:rPr>
        <w:t xml:space="preserve">. The group also launched the L'Oréal–UNESCO 'For Women in Science' international </w:t>
      </w:r>
      <w:proofErr w:type="spellStart"/>
      <w:r w:rsidRPr="006C5E21">
        <w:rPr>
          <w:rFonts w:eastAsiaTheme="minorEastAsia" w:cs="Calibri"/>
          <w:color w:val="0F1115"/>
          <w:sz w:val="22"/>
          <w:szCs w:val="22"/>
          <w:shd w:val="clear" w:color="auto" w:fill="FFFFFF"/>
          <w:lang w:bidi="ar"/>
        </w:rPr>
        <w:t>programme</w:t>
      </w:r>
      <w:proofErr w:type="spellEnd"/>
      <w:r w:rsidRPr="006C5E21">
        <w:rPr>
          <w:rFonts w:eastAsiaTheme="minorEastAsia" w:cs="Calibri"/>
          <w:color w:val="0F1115"/>
          <w:sz w:val="22"/>
          <w:szCs w:val="22"/>
          <w:shd w:val="clear" w:color="auto" w:fill="FFFFFF"/>
          <w:lang w:bidi="ar"/>
        </w:rPr>
        <w:t xml:space="preserve"> during this period.</w:t>
      </w:r>
    </w:p>
    <w:p w14:paraId="5FE939C1" w14:textId="77777777" w:rsidR="006C5E21" w:rsidRPr="006C5E21" w:rsidRDefault="006C5E21" w:rsidP="006C5E21">
      <w:pPr>
        <w:rPr>
          <w:rFonts w:eastAsiaTheme="minorEastAsia" w:cs="Calibri"/>
          <w:color w:val="0F1115"/>
          <w:sz w:val="22"/>
          <w:szCs w:val="22"/>
          <w:shd w:val="clear" w:color="auto" w:fill="FFFFFF"/>
          <w:lang w:bidi="ar"/>
        </w:rPr>
      </w:pPr>
    </w:p>
    <w:p w14:paraId="7A9D831C" w14:textId="77777777" w:rsidR="006C5E21" w:rsidRPr="006C5E21" w:rsidRDefault="006C5E21" w:rsidP="006C5E21">
      <w:pPr>
        <w:rPr>
          <w:rFonts w:eastAsiaTheme="minorEastAsia" w:cs="Calibri"/>
          <w:b/>
          <w:bCs/>
          <w:color w:val="0F1115"/>
          <w:sz w:val="22"/>
          <w:szCs w:val="22"/>
          <w:shd w:val="clear" w:color="auto" w:fill="FFFFFF"/>
          <w:lang w:bidi="ar"/>
        </w:rPr>
      </w:pPr>
      <w:r w:rsidRPr="006C5E21">
        <w:rPr>
          <w:rFonts w:eastAsiaTheme="minorEastAsia" w:cs="Calibri"/>
          <w:b/>
          <w:bCs/>
          <w:color w:val="0F1115"/>
          <w:sz w:val="22"/>
          <w:szCs w:val="22"/>
          <w:shd w:val="clear" w:color="auto" w:fill="FFFFFF"/>
          <w:lang w:bidi="ar"/>
        </w:rPr>
        <w:t>Phase 5 — 2006–2021: Introducing the 'Beauty for All' Mission</w:t>
      </w:r>
    </w:p>
    <w:p w14:paraId="07BBBC44" w14:textId="77777777" w:rsidR="006C5E21" w:rsidRDefault="006C5E21" w:rsidP="006C5E21">
      <w:pPr>
        <w:rPr>
          <w:rFonts w:eastAsiaTheme="minorEastAsia" w:cs="Calibri"/>
          <w:color w:val="0F1115"/>
          <w:sz w:val="22"/>
          <w:szCs w:val="22"/>
          <w:shd w:val="clear" w:color="auto" w:fill="FFFFFF"/>
          <w:lang w:bidi="ar"/>
        </w:rPr>
      </w:pPr>
      <w:r w:rsidRPr="006C5E21">
        <w:rPr>
          <w:rFonts w:eastAsiaTheme="minorEastAsia" w:cs="Calibri"/>
          <w:color w:val="0F1115"/>
          <w:sz w:val="22"/>
          <w:szCs w:val="22"/>
          <w:shd w:val="clear" w:color="auto" w:fill="FFFFFF"/>
          <w:lang w:bidi="ar"/>
        </w:rPr>
        <w:t>Under CEO Jean-Paul Agon, the group adopted a 'Beauty for All' mission, with an emphasis on diversity, inclusivity, and sustainable responsibility.</w:t>
      </w:r>
    </w:p>
    <w:p w14:paraId="31728CF1" w14:textId="77777777" w:rsidR="006C5E21" w:rsidRPr="006C5E21" w:rsidRDefault="006C5E21" w:rsidP="006C5E21">
      <w:pPr>
        <w:rPr>
          <w:rFonts w:eastAsiaTheme="minorEastAsia" w:cs="Calibri"/>
          <w:color w:val="0F1115"/>
          <w:sz w:val="22"/>
          <w:szCs w:val="22"/>
          <w:shd w:val="clear" w:color="auto" w:fill="FFFFFF"/>
          <w:lang w:bidi="ar"/>
        </w:rPr>
      </w:pPr>
    </w:p>
    <w:p w14:paraId="4832302E" w14:textId="77777777" w:rsidR="006C5E21" w:rsidRPr="006C5E21" w:rsidRDefault="006C5E21" w:rsidP="006C5E21">
      <w:pPr>
        <w:rPr>
          <w:rFonts w:eastAsiaTheme="minorEastAsia" w:cs="Calibri"/>
          <w:b/>
          <w:bCs/>
          <w:color w:val="0F1115"/>
          <w:sz w:val="22"/>
          <w:szCs w:val="22"/>
          <w:shd w:val="clear" w:color="auto" w:fill="FFFFFF"/>
          <w:lang w:bidi="ar"/>
        </w:rPr>
      </w:pPr>
      <w:r w:rsidRPr="006C5E21">
        <w:rPr>
          <w:rFonts w:eastAsiaTheme="minorEastAsia" w:cs="Calibri"/>
          <w:b/>
          <w:bCs/>
          <w:color w:val="0F1115"/>
          <w:sz w:val="22"/>
          <w:szCs w:val="22"/>
          <w:shd w:val="clear" w:color="auto" w:fill="FFFFFF"/>
          <w:lang w:bidi="ar"/>
        </w:rPr>
        <w:t>Phase 6 — 2021 to Present: Creating Beauty That Moves the World Forward</w:t>
      </w:r>
    </w:p>
    <w:p w14:paraId="6090DA45" w14:textId="486F2662" w:rsidR="006C5E21" w:rsidRPr="006C5E21" w:rsidRDefault="006C5E21" w:rsidP="006C5E21">
      <w:pPr>
        <w:rPr>
          <w:rFonts w:eastAsiaTheme="minorEastAsia" w:cs="Calibri"/>
          <w:color w:val="0F1115"/>
          <w:sz w:val="22"/>
          <w:szCs w:val="22"/>
          <w:shd w:val="clear" w:color="auto" w:fill="FFFFFF"/>
          <w:lang w:bidi="ar"/>
        </w:rPr>
      </w:pPr>
      <w:r w:rsidRPr="006C5E21">
        <w:rPr>
          <w:rFonts w:eastAsiaTheme="minorEastAsia" w:cs="Calibri"/>
          <w:color w:val="0F1115"/>
          <w:sz w:val="22"/>
          <w:szCs w:val="22"/>
          <w:shd w:val="clear" w:color="auto" w:fill="FFFFFF"/>
          <w:lang w:bidi="ar"/>
        </w:rPr>
        <w:t xml:space="preserve">Under CEO Nicolas Hieronimus, the group focuses on high-quality, scientifically validated, and ethically produced products, accelerating its Beauty Tech and sustainability agenda. Key milestones include the reopening of the historic La Roche-Posay thermal </w:t>
      </w:r>
      <w:proofErr w:type="spellStart"/>
      <w:r w:rsidRPr="006C5E21">
        <w:rPr>
          <w:rFonts w:eastAsiaTheme="minorEastAsia" w:cs="Calibri"/>
          <w:color w:val="0F1115"/>
          <w:sz w:val="22"/>
          <w:szCs w:val="22"/>
          <w:shd w:val="clear" w:color="auto" w:fill="FFFFFF"/>
          <w:lang w:bidi="ar"/>
        </w:rPr>
        <w:t>centre</w:t>
      </w:r>
      <w:proofErr w:type="spellEnd"/>
      <w:r w:rsidRPr="006C5E21">
        <w:rPr>
          <w:rFonts w:eastAsiaTheme="minorEastAsia" w:cs="Calibri"/>
          <w:color w:val="0F1115"/>
          <w:sz w:val="22"/>
          <w:szCs w:val="22"/>
          <w:shd w:val="clear" w:color="auto" w:fill="FFFFFF"/>
          <w:lang w:bidi="ar"/>
        </w:rPr>
        <w:t xml:space="preserve"> in France (2022), the acquisition of Aesop (2023), the </w:t>
      </w:r>
      <w:r w:rsidRPr="006C5E21">
        <w:rPr>
          <w:rFonts w:eastAsiaTheme="minorEastAsia" w:cs="Calibri"/>
          <w:color w:val="0F1115"/>
          <w:sz w:val="22"/>
          <w:szCs w:val="22"/>
          <w:shd w:val="clear" w:color="auto" w:fill="FFFFFF"/>
          <w:lang w:bidi="ar"/>
        </w:rPr>
        <w:lastRenderedPageBreak/>
        <w:t xml:space="preserve">inauguration of the François Dalle Beauty Research Space, a collaboration with the Louvre and Lancôme, the acquisition of the Miu </w:t>
      </w:r>
      <w:proofErr w:type="spellStart"/>
      <w:r w:rsidRPr="006C5E21">
        <w:rPr>
          <w:rFonts w:eastAsiaTheme="minorEastAsia" w:cs="Calibri"/>
          <w:color w:val="0F1115"/>
          <w:sz w:val="22"/>
          <w:szCs w:val="22"/>
          <w:shd w:val="clear" w:color="auto" w:fill="FFFFFF"/>
          <w:lang w:bidi="ar"/>
        </w:rPr>
        <w:t>Miu</w:t>
      </w:r>
      <w:proofErr w:type="spellEnd"/>
      <w:r w:rsidRPr="006C5E21">
        <w:rPr>
          <w:rFonts w:eastAsiaTheme="minorEastAsia" w:cs="Calibri"/>
          <w:color w:val="0F1115"/>
          <w:sz w:val="22"/>
          <w:szCs w:val="22"/>
          <w:shd w:val="clear" w:color="auto" w:fill="FFFFFF"/>
          <w:lang w:bidi="ar"/>
        </w:rPr>
        <w:t xml:space="preserve"> </w:t>
      </w:r>
      <w:proofErr w:type="spellStart"/>
      <w:r w:rsidRPr="006C5E21">
        <w:rPr>
          <w:rFonts w:eastAsiaTheme="minorEastAsia" w:cs="Calibri"/>
          <w:color w:val="0F1115"/>
          <w:sz w:val="22"/>
          <w:szCs w:val="22"/>
          <w:shd w:val="clear" w:color="auto" w:fill="FFFFFF"/>
          <w:lang w:bidi="ar"/>
        </w:rPr>
        <w:t>licence</w:t>
      </w:r>
      <w:proofErr w:type="spellEnd"/>
      <w:r w:rsidRPr="006C5E21">
        <w:rPr>
          <w:rFonts w:eastAsiaTheme="minorEastAsia" w:cs="Calibri"/>
          <w:color w:val="0F1115"/>
          <w:sz w:val="22"/>
          <w:szCs w:val="22"/>
          <w:shd w:val="clear" w:color="auto" w:fill="FFFFFF"/>
          <w:lang w:bidi="ar"/>
        </w:rPr>
        <w:t xml:space="preserve"> (2024), and the group's inaugural keynote address at CES Las Vegas as the first beauty company to do so. Looking ahead, L'Oréal aims to 'invent the beauty of the future' through Beauty Tech, green science, biotechnology, and artificial intelligence.</w:t>
      </w:r>
    </w:p>
    <w:p w14:paraId="4D43A620" w14:textId="77777777" w:rsidR="006C5E21" w:rsidRPr="006C5E21" w:rsidRDefault="006C5E21">
      <w:pPr>
        <w:rPr>
          <w:rFonts w:ascii="Times New Roman Regular" w:eastAsiaTheme="minorEastAsia" w:hAnsi="Times New Roman Regular" w:cs="Times New Roman Regular"/>
          <w:b/>
          <w:bCs/>
          <w:sz w:val="22"/>
          <w:szCs w:val="22"/>
          <w:u w:val="single"/>
        </w:rPr>
      </w:pPr>
    </w:p>
    <w:tbl>
      <w:tblPr>
        <w:tblW w:w="7466" w:type="dxa"/>
        <w:tblLayout w:type="fixed"/>
        <w:tblLook w:val="04A0" w:firstRow="1" w:lastRow="0" w:firstColumn="1" w:lastColumn="0" w:noHBand="0" w:noVBand="1"/>
      </w:tblPr>
      <w:tblGrid>
        <w:gridCol w:w="7466"/>
      </w:tblGrid>
      <w:tr w:rsidR="00CA1CB5" w:rsidRPr="009D4128" w14:paraId="1166D9AC" w14:textId="77777777">
        <w:trPr>
          <w:trHeight w:val="302"/>
        </w:trPr>
        <w:tc>
          <w:tcPr>
            <w:tcW w:w="7466" w:type="dxa"/>
            <w:tcBorders>
              <w:bottom w:val="single" w:sz="4" w:space="0" w:color="auto"/>
            </w:tcBorders>
            <w:tcMar>
              <w:left w:w="0" w:type="dxa"/>
              <w:right w:w="28" w:type="dxa"/>
            </w:tcMar>
          </w:tcPr>
          <w:p w14:paraId="59DD1476" w14:textId="1F4653E3" w:rsidR="00CA1CB5" w:rsidRPr="009D4128" w:rsidRDefault="00EE3BC1">
            <w:pPr>
              <w:rPr>
                <w:rFonts w:eastAsia="宋体" w:cs="Calibri"/>
                <w:b/>
                <w:bCs/>
                <w:sz w:val="20"/>
                <w:szCs w:val="20"/>
              </w:rPr>
            </w:pPr>
            <w:r w:rsidRPr="009D4128">
              <w:rPr>
                <w:rFonts w:eastAsia="宋体" w:cs="Calibri"/>
                <w:b/>
                <w:bCs/>
                <w:sz w:val="20"/>
                <w:szCs w:val="20"/>
              </w:rPr>
              <w:t xml:space="preserve">Figure: </w:t>
            </w:r>
            <w:r w:rsidR="006C5E21" w:rsidRPr="006C5E21">
              <w:rPr>
                <w:rStyle w:val="af"/>
                <w:rFonts w:eastAsia="Helvetica Neue" w:cs="Calibri"/>
                <w:b w:val="0"/>
                <w:bCs/>
                <w:color w:val="0F1115"/>
                <w:sz w:val="20"/>
                <w:szCs w:val="20"/>
                <w:shd w:val="clear" w:color="auto" w:fill="FFFFFF"/>
                <w:lang w:bidi="ar"/>
              </w:rPr>
              <w:t>L'Oréal Corporate Milestones</w:t>
            </w:r>
          </w:p>
        </w:tc>
      </w:tr>
      <w:tr w:rsidR="00CA1CB5" w14:paraId="2E4D7713" w14:textId="77777777" w:rsidTr="003F7B8B">
        <w:trPr>
          <w:trHeight w:val="856"/>
        </w:trPr>
        <w:tc>
          <w:tcPr>
            <w:tcW w:w="7466" w:type="dxa"/>
            <w:tcBorders>
              <w:top w:val="single" w:sz="4" w:space="0" w:color="auto"/>
              <w:bottom w:val="single" w:sz="4" w:space="0" w:color="auto"/>
            </w:tcBorders>
            <w:vAlign w:val="center"/>
          </w:tcPr>
          <w:p w14:paraId="31B9570E" w14:textId="7DB82A05" w:rsidR="00CA1CB5" w:rsidRDefault="005B43C4">
            <w:pPr>
              <w:spacing w:beforeLines="20" w:before="48" w:afterLines="20" w:after="48"/>
              <w:jc w:val="center"/>
              <w:textAlignment w:val="center"/>
              <w:rPr>
                <w:rFonts w:eastAsia="宋体" w:cs="Calibri"/>
                <w:b/>
                <w:bCs/>
                <w:sz w:val="20"/>
                <w:szCs w:val="20"/>
              </w:rPr>
            </w:pPr>
            <w:r>
              <w:rPr>
                <w:noProof/>
                <w:snapToGrid/>
              </w:rPr>
              <w:drawing>
                <wp:inline distT="0" distB="0" distL="0" distR="0" wp14:anchorId="1D30F9DB" wp14:editId="7AEDF9BB">
                  <wp:extent cx="4603750" cy="2269490"/>
                  <wp:effectExtent l="0" t="0" r="6350" b="0"/>
                  <wp:docPr id="792417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17880" name=""/>
                          <pic:cNvPicPr/>
                        </pic:nvPicPr>
                        <pic:blipFill>
                          <a:blip r:embed="rId16"/>
                          <a:stretch>
                            <a:fillRect/>
                          </a:stretch>
                        </pic:blipFill>
                        <pic:spPr>
                          <a:xfrm>
                            <a:off x="0" y="0"/>
                            <a:ext cx="4603750" cy="2269490"/>
                          </a:xfrm>
                          <a:prstGeom prst="rect">
                            <a:avLst/>
                          </a:prstGeom>
                        </pic:spPr>
                      </pic:pic>
                    </a:graphicData>
                  </a:graphic>
                </wp:inline>
              </w:drawing>
            </w:r>
          </w:p>
        </w:tc>
      </w:tr>
      <w:tr w:rsidR="00CA1CB5" w14:paraId="156FCC4E" w14:textId="77777777">
        <w:trPr>
          <w:trHeight w:val="64"/>
        </w:trPr>
        <w:tc>
          <w:tcPr>
            <w:tcW w:w="7466" w:type="dxa"/>
            <w:tcBorders>
              <w:top w:val="single" w:sz="4" w:space="0" w:color="auto"/>
            </w:tcBorders>
            <w:tcMar>
              <w:left w:w="0" w:type="dxa"/>
              <w:right w:w="28" w:type="dxa"/>
            </w:tcMar>
            <w:vAlign w:val="center"/>
          </w:tcPr>
          <w:p w14:paraId="6CDDD636" w14:textId="74B4206C" w:rsidR="00CA1CB5" w:rsidRDefault="00EE3BC1">
            <w:pPr>
              <w:spacing w:line="240" w:lineRule="atLeast"/>
              <w:jc w:val="both"/>
              <w:textAlignment w:val="center"/>
              <w:rPr>
                <w:rFonts w:cs="Calibri"/>
                <w:sz w:val="20"/>
                <w:szCs w:val="20"/>
              </w:rPr>
            </w:pPr>
            <w:r>
              <w:rPr>
                <w:rFonts w:eastAsia="楷体" w:cs="Calibri"/>
                <w:b/>
                <w:bCs/>
                <w:sz w:val="20"/>
                <w:szCs w:val="20"/>
              </w:rPr>
              <w:t xml:space="preserve">Source: </w:t>
            </w:r>
            <w:r w:rsidR="006C5E21" w:rsidRPr="006C5E21">
              <w:rPr>
                <w:rFonts w:eastAsia="楷体" w:cs="Calibri"/>
                <w:sz w:val="20"/>
                <w:szCs w:val="20"/>
              </w:rPr>
              <w:t>L'Oréal Annual Reports, HFI</w:t>
            </w:r>
          </w:p>
        </w:tc>
      </w:tr>
    </w:tbl>
    <w:p w14:paraId="7CFD9B62" w14:textId="77777777" w:rsidR="00CA1CB5" w:rsidRDefault="00CA1CB5">
      <w:pPr>
        <w:rPr>
          <w:rFonts w:eastAsiaTheme="minorEastAsia" w:cs="Calibri"/>
          <w:sz w:val="22"/>
          <w:szCs w:val="22"/>
        </w:rPr>
      </w:pPr>
    </w:p>
    <w:p w14:paraId="283EF0A5" w14:textId="77777777" w:rsidR="00CA1CB5" w:rsidRDefault="00EE3BC1">
      <w:pPr>
        <w:pStyle w:val="211"/>
        <w:jc w:val="both"/>
        <w:rPr>
          <w:rFonts w:ascii="Calibri" w:eastAsia="楷体" w:hAnsi="Calibri" w:cs="Calibri"/>
          <w:color w:val="23558C"/>
          <w:sz w:val="24"/>
          <w:szCs w:val="24"/>
        </w:rPr>
      </w:pPr>
      <w:bookmarkStart w:id="4" w:name="_Toc220275539"/>
      <w:bookmarkStart w:id="5" w:name="_Toc224295875"/>
      <w:r>
        <w:rPr>
          <w:rFonts w:ascii="Calibri" w:eastAsia="楷体" w:hAnsi="Calibri" w:cs="Calibri"/>
          <w:color w:val="23558C"/>
          <w:sz w:val="24"/>
          <w:szCs w:val="24"/>
        </w:rPr>
        <w:t xml:space="preserve">1.2 </w:t>
      </w:r>
      <w:bookmarkEnd w:id="4"/>
      <w:r>
        <w:rPr>
          <w:rStyle w:val="af0"/>
          <w:rFonts w:ascii="Calibri" w:eastAsia="楷体" w:hAnsi="Calibri" w:cs="Calibri"/>
          <w:bCs w:val="0"/>
          <w:color w:val="215E99" w:themeColor="text2" w:themeTint="BF"/>
          <w:sz w:val="24"/>
          <w:szCs w:val="24"/>
          <w:u w:val="none"/>
        </w:rPr>
        <w:t>Ownership Structure &amp; Management</w:t>
      </w:r>
      <w:bookmarkEnd w:id="5"/>
      <w:r>
        <w:rPr>
          <w:rStyle w:val="af0"/>
          <w:rFonts w:ascii="Calibri" w:eastAsia="楷体" w:hAnsi="Calibri" w:cs="Calibri"/>
          <w:bCs w:val="0"/>
          <w:color w:val="215E99" w:themeColor="text2" w:themeTint="BF"/>
          <w:sz w:val="24"/>
          <w:szCs w:val="24"/>
          <w:u w:val="none"/>
        </w:rPr>
        <w:t xml:space="preserve"> </w:t>
      </w:r>
    </w:p>
    <w:p w14:paraId="6F78C314" w14:textId="49F19B04" w:rsidR="00CA1CB5" w:rsidRPr="009D4128" w:rsidRDefault="006C5E21" w:rsidP="009D4128">
      <w:pPr>
        <w:pStyle w:val="ab"/>
        <w:spacing w:after="320"/>
        <w:rPr>
          <w:rFonts w:ascii="Calibri" w:eastAsiaTheme="minorEastAsia" w:hAnsi="Calibri" w:cs="Calibri"/>
          <w:sz w:val="22"/>
          <w:szCs w:val="22"/>
        </w:rPr>
      </w:pPr>
      <w:r w:rsidRPr="006C5E21">
        <w:rPr>
          <w:rStyle w:val="af"/>
          <w:rFonts w:ascii="Calibri" w:eastAsia="Helvetica Neue" w:hAnsi="Calibri" w:cs="Calibri"/>
          <w:b w:val="0"/>
          <w:color w:val="0F1115"/>
          <w:sz w:val="22"/>
          <w:szCs w:val="22"/>
        </w:rPr>
        <w:t xml:space="preserve">L'Oréal's shareholder structure is </w:t>
      </w:r>
      <w:proofErr w:type="spellStart"/>
      <w:r w:rsidRPr="006C5E21">
        <w:rPr>
          <w:rStyle w:val="af"/>
          <w:rFonts w:ascii="Calibri" w:eastAsia="Helvetica Neue" w:hAnsi="Calibri" w:cs="Calibri"/>
          <w:b w:val="0"/>
          <w:color w:val="0F1115"/>
          <w:sz w:val="22"/>
          <w:szCs w:val="22"/>
        </w:rPr>
        <w:t>characterised</w:t>
      </w:r>
      <w:proofErr w:type="spellEnd"/>
      <w:r w:rsidRPr="006C5E21">
        <w:rPr>
          <w:rStyle w:val="af"/>
          <w:rFonts w:ascii="Calibri" w:eastAsia="Helvetica Neue" w:hAnsi="Calibri" w:cs="Calibri"/>
          <w:b w:val="0"/>
          <w:color w:val="0F1115"/>
          <w:sz w:val="22"/>
          <w:szCs w:val="22"/>
        </w:rPr>
        <w:t xml:space="preserve"> by considerable stability and concentrated family control. The largest shareholder is the Bettencourt Meyers family, holding 34.76% of shares. Nestlé is the second-largest shareholder with a 20.14% stake. Employee share ownership stands at 1.05%, with staff participating in the company's equity incentive scheme. The remaining shares are held by international and French institutional investors, providing a diversified shareholder base. This ownership structure ensures stable corporate governance while preserving the family's pivotal role in strategic decision-making.</w:t>
      </w:r>
    </w:p>
    <w:tbl>
      <w:tblPr>
        <w:tblW w:w="7466" w:type="dxa"/>
        <w:tblLayout w:type="fixed"/>
        <w:tblLook w:val="04A0" w:firstRow="1" w:lastRow="0" w:firstColumn="1" w:lastColumn="0" w:noHBand="0" w:noVBand="1"/>
      </w:tblPr>
      <w:tblGrid>
        <w:gridCol w:w="7466"/>
      </w:tblGrid>
      <w:tr w:rsidR="00CA1CB5" w:rsidRPr="0061061C" w14:paraId="7A936B22" w14:textId="77777777">
        <w:trPr>
          <w:trHeight w:val="302"/>
        </w:trPr>
        <w:tc>
          <w:tcPr>
            <w:tcW w:w="7466" w:type="dxa"/>
            <w:tcBorders>
              <w:bottom w:val="single" w:sz="4" w:space="0" w:color="auto"/>
            </w:tcBorders>
            <w:tcMar>
              <w:left w:w="0" w:type="dxa"/>
              <w:right w:w="28" w:type="dxa"/>
            </w:tcMar>
          </w:tcPr>
          <w:p w14:paraId="06E0D68C" w14:textId="1C5B236A" w:rsidR="00CA1CB5" w:rsidRPr="0061061C" w:rsidRDefault="00EE3BC1">
            <w:pPr>
              <w:rPr>
                <w:rFonts w:cs="Calibri"/>
                <w:b/>
                <w:sz w:val="20"/>
                <w:szCs w:val="20"/>
              </w:rPr>
            </w:pPr>
            <w:bookmarkStart w:id="6" w:name="_Hlk216641008"/>
            <w:r w:rsidRPr="0061061C">
              <w:rPr>
                <w:rStyle w:val="af"/>
                <w:rFonts w:eastAsia="Helvetica Neue" w:cs="Calibri"/>
                <w:color w:val="0F1115"/>
                <w:sz w:val="20"/>
                <w:szCs w:val="20"/>
                <w:shd w:val="clear" w:color="auto" w:fill="FFFFFF"/>
                <w:lang w:bidi="ar"/>
              </w:rPr>
              <w:t>Figure:</w:t>
            </w:r>
            <w:r w:rsidRPr="006C5E21">
              <w:rPr>
                <w:rStyle w:val="af"/>
                <w:rFonts w:eastAsia="Helvetica Neue" w:cs="Calibri"/>
                <w:b w:val="0"/>
                <w:bCs/>
                <w:color w:val="0F1115"/>
                <w:sz w:val="20"/>
                <w:szCs w:val="20"/>
                <w:shd w:val="clear" w:color="auto" w:fill="FFFFFF"/>
                <w:lang w:bidi="ar"/>
              </w:rPr>
              <w:t xml:space="preserve"> </w:t>
            </w:r>
            <w:r w:rsidR="006C5E21" w:rsidRPr="006C5E21">
              <w:rPr>
                <w:rStyle w:val="af"/>
                <w:rFonts w:eastAsia="Helvetica Neue" w:cs="Calibri"/>
                <w:b w:val="0"/>
                <w:bCs/>
                <w:color w:val="0F1115"/>
                <w:sz w:val="20"/>
                <w:szCs w:val="20"/>
                <w:shd w:val="clear" w:color="auto" w:fill="FFFFFF"/>
                <w:lang w:bidi="ar"/>
              </w:rPr>
              <w:t>L'Oréal Group Ownership Structure</w:t>
            </w:r>
          </w:p>
        </w:tc>
      </w:tr>
      <w:tr w:rsidR="00CA1CB5" w14:paraId="08537C4D" w14:textId="77777777">
        <w:trPr>
          <w:trHeight w:val="856"/>
        </w:trPr>
        <w:tc>
          <w:tcPr>
            <w:tcW w:w="7466" w:type="dxa"/>
            <w:tcBorders>
              <w:top w:val="single" w:sz="4" w:space="0" w:color="auto"/>
              <w:bottom w:val="single" w:sz="4" w:space="0" w:color="auto"/>
            </w:tcBorders>
            <w:vAlign w:val="center"/>
          </w:tcPr>
          <w:p w14:paraId="0481F2FD" w14:textId="2F40F6A8" w:rsidR="00CA1CB5" w:rsidRDefault="003F7B8B">
            <w:pPr>
              <w:spacing w:beforeLines="20" w:before="48" w:afterLines="20" w:after="48"/>
              <w:jc w:val="center"/>
              <w:textAlignment w:val="center"/>
              <w:rPr>
                <w:rFonts w:eastAsia="宋体" w:cs="Calibri"/>
                <w:b/>
                <w:bCs/>
                <w:sz w:val="20"/>
                <w:szCs w:val="20"/>
              </w:rPr>
            </w:pPr>
            <w:r>
              <w:rPr>
                <w:noProof/>
                <w:snapToGrid/>
              </w:rPr>
              <w:drawing>
                <wp:inline distT="0" distB="0" distL="0" distR="0" wp14:anchorId="6A4359C7" wp14:editId="34D823D3">
                  <wp:extent cx="4603750" cy="1353820"/>
                  <wp:effectExtent l="0" t="0" r="6350" b="0"/>
                  <wp:docPr id="1740813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3390" name=""/>
                          <pic:cNvPicPr/>
                        </pic:nvPicPr>
                        <pic:blipFill>
                          <a:blip r:embed="rId17"/>
                          <a:stretch>
                            <a:fillRect/>
                          </a:stretch>
                        </pic:blipFill>
                        <pic:spPr>
                          <a:xfrm>
                            <a:off x="0" y="0"/>
                            <a:ext cx="4603750" cy="1353820"/>
                          </a:xfrm>
                          <a:prstGeom prst="rect">
                            <a:avLst/>
                          </a:prstGeom>
                        </pic:spPr>
                      </pic:pic>
                    </a:graphicData>
                  </a:graphic>
                </wp:inline>
              </w:drawing>
            </w:r>
          </w:p>
        </w:tc>
      </w:tr>
      <w:tr w:rsidR="00CA1CB5" w14:paraId="3B85B8C9" w14:textId="77777777">
        <w:trPr>
          <w:trHeight w:val="64"/>
        </w:trPr>
        <w:tc>
          <w:tcPr>
            <w:tcW w:w="7466" w:type="dxa"/>
            <w:tcBorders>
              <w:top w:val="single" w:sz="4" w:space="0" w:color="auto"/>
            </w:tcBorders>
            <w:tcMar>
              <w:left w:w="0" w:type="dxa"/>
              <w:right w:w="28" w:type="dxa"/>
            </w:tcMar>
            <w:vAlign w:val="center"/>
          </w:tcPr>
          <w:p w14:paraId="05D445C8" w14:textId="599D4CF7" w:rsidR="00CA1CB5" w:rsidRDefault="00EE3BC1">
            <w:pPr>
              <w:spacing w:line="240" w:lineRule="atLeast"/>
              <w:jc w:val="both"/>
              <w:textAlignment w:val="center"/>
              <w:rPr>
                <w:rFonts w:cs="Calibri"/>
                <w:sz w:val="20"/>
                <w:szCs w:val="20"/>
              </w:rPr>
            </w:pPr>
            <w:r>
              <w:rPr>
                <w:rFonts w:eastAsia="楷体" w:cs="Calibri"/>
                <w:b/>
                <w:bCs/>
                <w:sz w:val="20"/>
                <w:szCs w:val="20"/>
              </w:rPr>
              <w:t>Source:</w:t>
            </w:r>
            <w:r w:rsidRPr="006C5E21">
              <w:rPr>
                <w:rFonts w:eastAsia="楷体" w:cs="Calibri"/>
                <w:sz w:val="20"/>
                <w:szCs w:val="20"/>
              </w:rPr>
              <w:t xml:space="preserve"> </w:t>
            </w:r>
            <w:r w:rsidR="006C5E21" w:rsidRPr="006C5E21">
              <w:rPr>
                <w:rFonts w:eastAsia="楷体" w:cs="Calibri"/>
                <w:sz w:val="20"/>
                <w:szCs w:val="20"/>
              </w:rPr>
              <w:t>Company Financial Reports, HFI</w:t>
            </w:r>
          </w:p>
        </w:tc>
      </w:tr>
      <w:bookmarkEnd w:id="6"/>
    </w:tbl>
    <w:p w14:paraId="140EDA87" w14:textId="77777777" w:rsidR="00CA1CB5" w:rsidRDefault="00CA1CB5">
      <w:pPr>
        <w:widowControl w:val="0"/>
        <w:jc w:val="both"/>
        <w:rPr>
          <w:rFonts w:asciiTheme="minorHAnsi" w:eastAsia="楷体" w:hAnsiTheme="minorHAnsi" w:cstheme="minorHAnsi" w:hint="eastAsia"/>
          <w:kern w:val="2"/>
          <w:sz w:val="22"/>
          <w:szCs w:val="22"/>
        </w:rPr>
      </w:pPr>
    </w:p>
    <w:p w14:paraId="61AC87B4" w14:textId="77777777" w:rsidR="006C5E21" w:rsidRDefault="006C5E21" w:rsidP="006C5E21">
      <w:pPr>
        <w:pStyle w:val="ab"/>
        <w:shd w:val="clear" w:color="auto" w:fill="FFFFFF"/>
        <w:rPr>
          <w:rStyle w:val="af"/>
          <w:rFonts w:ascii="Calibri" w:eastAsiaTheme="minorEastAsia" w:hAnsi="Calibri" w:cs="Calibri"/>
          <w:b w:val="0"/>
          <w:color w:val="0F1115"/>
          <w:sz w:val="22"/>
          <w:szCs w:val="22"/>
          <w:shd w:val="clear" w:color="auto" w:fill="FFFFFF"/>
        </w:rPr>
      </w:pPr>
      <w:r w:rsidRPr="005C7909">
        <w:rPr>
          <w:rStyle w:val="af"/>
          <w:rFonts w:ascii="Calibri" w:eastAsia="Helvetica Neue" w:hAnsi="Calibri" w:cs="Calibri"/>
          <w:bCs/>
          <w:color w:val="0F1115"/>
          <w:sz w:val="22"/>
          <w:szCs w:val="22"/>
          <w:shd w:val="clear" w:color="auto" w:fill="FFFFFF"/>
        </w:rPr>
        <w:t xml:space="preserve">L'Oréal's management structure consists of an effective Executive Committee and a Board of Directors. </w:t>
      </w:r>
      <w:r w:rsidRPr="006C5E21">
        <w:rPr>
          <w:rStyle w:val="af"/>
          <w:rFonts w:ascii="Calibri" w:eastAsia="Helvetica Neue" w:hAnsi="Calibri" w:cs="Calibri"/>
          <w:b w:val="0"/>
          <w:color w:val="0F1115"/>
          <w:sz w:val="22"/>
          <w:szCs w:val="22"/>
          <w:shd w:val="clear" w:color="auto" w:fill="FFFFFF"/>
        </w:rPr>
        <w:t xml:space="preserve">The Executive Committee is responsible for translating the Board's strategic direction into operational practice and managing the group's global operations; its members lead the group's various divisions, functional departments, and regional markets. The Board of Directors comprises a number of independent and </w:t>
      </w:r>
      <w:r w:rsidRPr="006C5E21">
        <w:rPr>
          <w:rStyle w:val="af"/>
          <w:rFonts w:ascii="Calibri" w:eastAsia="Helvetica Neue" w:hAnsi="Calibri" w:cs="Calibri"/>
          <w:b w:val="0"/>
          <w:color w:val="0F1115"/>
          <w:sz w:val="22"/>
          <w:szCs w:val="22"/>
          <w:shd w:val="clear" w:color="auto" w:fill="FFFFFF"/>
        </w:rPr>
        <w:lastRenderedPageBreak/>
        <w:t>experienced directors, including members of the founding family and external directors, ensuring transparency and independence in corporate governance.</w:t>
      </w:r>
    </w:p>
    <w:p w14:paraId="2A98B190" w14:textId="77777777" w:rsidR="006C5E21" w:rsidRPr="006C5E21" w:rsidRDefault="006C5E21" w:rsidP="006C5E21">
      <w:pPr>
        <w:pStyle w:val="ab"/>
        <w:shd w:val="clear" w:color="auto" w:fill="FFFFFF"/>
        <w:rPr>
          <w:rStyle w:val="af"/>
          <w:rFonts w:ascii="Calibri" w:eastAsiaTheme="minorEastAsia" w:hAnsi="Calibri" w:cs="Calibri"/>
          <w:b w:val="0"/>
          <w:color w:val="0F1115"/>
          <w:sz w:val="22"/>
          <w:szCs w:val="22"/>
          <w:shd w:val="clear" w:color="auto" w:fill="FFFFFF"/>
        </w:rPr>
      </w:pPr>
    </w:p>
    <w:p w14:paraId="37485181" w14:textId="0D1B0C1E" w:rsidR="00CA1CB5" w:rsidRPr="005C7909" w:rsidRDefault="006C5E21" w:rsidP="006C5E21">
      <w:pPr>
        <w:pStyle w:val="ab"/>
        <w:shd w:val="clear" w:color="auto" w:fill="FFFFFF"/>
        <w:rPr>
          <w:rFonts w:ascii="Calibri" w:eastAsia="Helvetica Neue" w:hAnsi="Calibri" w:cs="Calibri"/>
          <w:bCs/>
          <w:color w:val="0F1115"/>
          <w:sz w:val="22"/>
          <w:szCs w:val="22"/>
          <w:u w:val="single"/>
          <w:shd w:val="clear" w:color="auto" w:fill="FFFFFF"/>
        </w:rPr>
      </w:pPr>
      <w:r w:rsidRPr="005C7909">
        <w:rPr>
          <w:rStyle w:val="af"/>
          <w:rFonts w:ascii="Calibri" w:eastAsia="Helvetica Neue" w:hAnsi="Calibri" w:cs="Calibri"/>
          <w:bCs/>
          <w:color w:val="0F1115"/>
          <w:sz w:val="22"/>
          <w:szCs w:val="22"/>
          <w:u w:val="single"/>
          <w:shd w:val="clear" w:color="auto" w:fill="FFFFFF"/>
        </w:rPr>
        <w:t>L'Oréal's leadership team provides strong strategic support through a stable governance structure and diverse leadership, reinforcing the group's leading position in the global beauty industry and driving its continuous innovation and sustainable development.</w:t>
      </w:r>
    </w:p>
    <w:tbl>
      <w:tblPr>
        <w:tblW w:w="7466" w:type="dxa"/>
        <w:tblLayout w:type="fixed"/>
        <w:tblLook w:val="04A0" w:firstRow="1" w:lastRow="0" w:firstColumn="1" w:lastColumn="0" w:noHBand="0" w:noVBand="1"/>
      </w:tblPr>
      <w:tblGrid>
        <w:gridCol w:w="7466"/>
      </w:tblGrid>
      <w:tr w:rsidR="00CA1CB5" w14:paraId="7701DCE8" w14:textId="77777777">
        <w:trPr>
          <w:trHeight w:val="302"/>
        </w:trPr>
        <w:tc>
          <w:tcPr>
            <w:tcW w:w="7466" w:type="dxa"/>
            <w:tcBorders>
              <w:bottom w:val="single" w:sz="4" w:space="0" w:color="auto"/>
            </w:tcBorders>
            <w:tcMar>
              <w:left w:w="0" w:type="dxa"/>
              <w:right w:w="28" w:type="dxa"/>
            </w:tcMar>
          </w:tcPr>
          <w:p w14:paraId="6C6B9A0D" w14:textId="0CA83F6B" w:rsidR="00CA1CB5" w:rsidRDefault="006C5E21">
            <w:pPr>
              <w:rPr>
                <w:rFonts w:eastAsia="楷体" w:cs="Calibri"/>
                <w:sz w:val="20"/>
                <w:szCs w:val="20"/>
              </w:rPr>
            </w:pPr>
            <w:r w:rsidRPr="006C5E21">
              <w:rPr>
                <w:rStyle w:val="af"/>
                <w:rFonts w:eastAsia="Helvetica Neue" w:cs="Calibri"/>
                <w:color w:val="0F1115"/>
                <w:sz w:val="20"/>
                <w:szCs w:val="20"/>
                <w:shd w:val="clear" w:color="auto" w:fill="FFFFFF"/>
                <w:lang w:bidi="ar"/>
              </w:rPr>
              <w:t>Table: Senior Management Team</w:t>
            </w:r>
          </w:p>
        </w:tc>
      </w:tr>
      <w:tr w:rsidR="00CA1CB5" w14:paraId="02B901BC" w14:textId="77777777">
        <w:trPr>
          <w:trHeight w:val="856"/>
        </w:trPr>
        <w:tc>
          <w:tcPr>
            <w:tcW w:w="7466" w:type="dxa"/>
            <w:tcBorders>
              <w:top w:val="single" w:sz="4" w:space="0" w:color="auto"/>
              <w:bottom w:val="single" w:sz="4" w:space="0" w:color="auto"/>
            </w:tcBorders>
            <w:vAlign w:val="center"/>
          </w:tcPr>
          <w:p w14:paraId="1D84979C" w14:textId="68F89F0D" w:rsidR="00CA1CB5" w:rsidRDefault="00F13761">
            <w:pPr>
              <w:spacing w:beforeLines="20" w:before="48" w:afterLines="20" w:after="48"/>
              <w:jc w:val="both"/>
              <w:textAlignment w:val="center"/>
              <w:rPr>
                <w:rFonts w:eastAsia="宋体" w:cs="Calibri"/>
                <w:b/>
                <w:bCs/>
                <w:sz w:val="20"/>
                <w:szCs w:val="20"/>
              </w:rPr>
            </w:pPr>
            <w:r w:rsidRPr="00F13761">
              <w:rPr>
                <w:rFonts w:eastAsia="宋体" w:cs="Calibri"/>
                <w:b/>
                <w:bCs/>
                <w:noProof/>
                <w:sz w:val="20"/>
                <w:szCs w:val="20"/>
              </w:rPr>
              <w:drawing>
                <wp:inline distT="0" distB="0" distL="0" distR="0" wp14:anchorId="485C700C" wp14:editId="47C4EE59">
                  <wp:extent cx="4598670" cy="7383780"/>
                  <wp:effectExtent l="0" t="0" r="0" b="7620"/>
                  <wp:docPr id="15142239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8670" cy="7383780"/>
                          </a:xfrm>
                          <a:prstGeom prst="rect">
                            <a:avLst/>
                          </a:prstGeom>
                          <a:noFill/>
                          <a:ln>
                            <a:noFill/>
                          </a:ln>
                        </pic:spPr>
                      </pic:pic>
                    </a:graphicData>
                  </a:graphic>
                </wp:inline>
              </w:drawing>
            </w:r>
          </w:p>
        </w:tc>
      </w:tr>
      <w:tr w:rsidR="00CA1CB5" w14:paraId="0127F49A" w14:textId="77777777">
        <w:trPr>
          <w:trHeight w:val="64"/>
        </w:trPr>
        <w:tc>
          <w:tcPr>
            <w:tcW w:w="7466" w:type="dxa"/>
            <w:tcBorders>
              <w:top w:val="single" w:sz="4" w:space="0" w:color="auto"/>
            </w:tcBorders>
            <w:tcMar>
              <w:left w:w="0" w:type="dxa"/>
              <w:right w:w="28" w:type="dxa"/>
            </w:tcMar>
            <w:vAlign w:val="center"/>
          </w:tcPr>
          <w:p w14:paraId="0E843668" w14:textId="34149D78" w:rsidR="00CA1CB5" w:rsidRDefault="00EE3BC1">
            <w:pPr>
              <w:spacing w:line="240" w:lineRule="atLeast"/>
              <w:jc w:val="both"/>
              <w:textAlignment w:val="center"/>
              <w:rPr>
                <w:rFonts w:cs="Calibri"/>
                <w:sz w:val="20"/>
                <w:szCs w:val="20"/>
              </w:rPr>
            </w:pPr>
            <w:r>
              <w:rPr>
                <w:rFonts w:eastAsia="楷体" w:cs="Calibri"/>
                <w:b/>
                <w:bCs/>
                <w:sz w:val="20"/>
                <w:szCs w:val="20"/>
              </w:rPr>
              <w:t xml:space="preserve">Source: </w:t>
            </w:r>
            <w:r w:rsidR="006C5E21" w:rsidRPr="006C5E21">
              <w:rPr>
                <w:rFonts w:eastAsia="楷体" w:cs="Calibri"/>
                <w:sz w:val="20"/>
                <w:szCs w:val="20"/>
              </w:rPr>
              <w:t>Company Financial Reports, HFI</w:t>
            </w:r>
          </w:p>
        </w:tc>
      </w:tr>
    </w:tbl>
    <w:p w14:paraId="74DF60A1" w14:textId="77777777" w:rsidR="00CA1CB5" w:rsidRDefault="00CA1CB5">
      <w:pPr>
        <w:widowControl w:val="0"/>
        <w:jc w:val="both"/>
        <w:rPr>
          <w:rFonts w:asciiTheme="minorHAnsi" w:eastAsia="楷体" w:hAnsiTheme="minorHAnsi" w:cstheme="minorHAnsi" w:hint="eastAsia"/>
          <w:kern w:val="2"/>
          <w:sz w:val="22"/>
          <w:szCs w:val="22"/>
        </w:rPr>
      </w:pPr>
    </w:p>
    <w:p w14:paraId="388AF288" w14:textId="741CA335" w:rsidR="00CA1CB5" w:rsidRDefault="00EE3BC1">
      <w:pPr>
        <w:pStyle w:val="211"/>
        <w:jc w:val="both"/>
        <w:rPr>
          <w:rFonts w:ascii="Calibri" w:eastAsia="Helvetica Neue" w:hAnsi="Calibri" w:cs="Calibri"/>
          <w:color w:val="800080"/>
          <w:sz w:val="24"/>
          <w:szCs w:val="24"/>
        </w:rPr>
      </w:pPr>
      <w:bookmarkStart w:id="7" w:name="_Toc220275540"/>
      <w:bookmarkStart w:id="8" w:name="_Toc224295876"/>
      <w:r>
        <w:rPr>
          <w:rFonts w:ascii="Calibri" w:eastAsia="楷体" w:hAnsi="Calibri" w:cs="Calibri"/>
          <w:color w:val="23558C"/>
          <w:sz w:val="24"/>
          <w:szCs w:val="24"/>
        </w:rPr>
        <w:t xml:space="preserve">1.3 </w:t>
      </w:r>
      <w:bookmarkEnd w:id="7"/>
      <w:r w:rsidR="006C5E21" w:rsidRPr="006C5E21">
        <w:rPr>
          <w:rFonts w:ascii="Calibri" w:eastAsia="楷体" w:hAnsi="Calibri" w:cs="Calibri"/>
          <w:color w:val="23558C"/>
          <w:sz w:val="24"/>
          <w:szCs w:val="24"/>
        </w:rPr>
        <w:t>Core Product Categories</w:t>
      </w:r>
      <w:bookmarkEnd w:id="8"/>
    </w:p>
    <w:p w14:paraId="5C7443D7" w14:textId="77777777" w:rsidR="006C5E21" w:rsidRPr="006C5E21" w:rsidRDefault="006C5E21" w:rsidP="006C5E21">
      <w:pPr>
        <w:widowControl w:val="0"/>
        <w:jc w:val="both"/>
        <w:rPr>
          <w:rFonts w:eastAsia="Helvetica Neue" w:cs="Calibri"/>
          <w:color w:val="0F1115"/>
          <w:sz w:val="22"/>
          <w:szCs w:val="22"/>
          <w:shd w:val="clear" w:color="auto" w:fill="FFFFFF"/>
        </w:rPr>
      </w:pPr>
      <w:r w:rsidRPr="006C5E21">
        <w:rPr>
          <w:rFonts w:eastAsia="Helvetica Neue" w:cs="Calibri"/>
          <w:color w:val="0F1115"/>
          <w:sz w:val="22"/>
          <w:szCs w:val="22"/>
          <w:shd w:val="clear" w:color="auto" w:fill="FFFFFF"/>
        </w:rPr>
        <w:t xml:space="preserve">L'Oréal's core products span a wide range of beauty and personal care segments, encompassing skincare, </w:t>
      </w:r>
      <w:proofErr w:type="spellStart"/>
      <w:r w:rsidRPr="006C5E21">
        <w:rPr>
          <w:rFonts w:eastAsia="Helvetica Neue" w:cs="Calibri"/>
          <w:color w:val="0F1115"/>
          <w:sz w:val="22"/>
          <w:szCs w:val="22"/>
          <w:shd w:val="clear" w:color="auto" w:fill="FFFFFF"/>
        </w:rPr>
        <w:t>colour</w:t>
      </w:r>
      <w:proofErr w:type="spellEnd"/>
      <w:r w:rsidRPr="006C5E21">
        <w:rPr>
          <w:rFonts w:eastAsia="Helvetica Neue" w:cs="Calibri"/>
          <w:color w:val="0F1115"/>
          <w:sz w:val="22"/>
          <w:szCs w:val="22"/>
          <w:shd w:val="clear" w:color="auto" w:fill="FFFFFF"/>
        </w:rPr>
        <w:t xml:space="preserve"> cosmetics, hair care, fragrances, and hair </w:t>
      </w:r>
      <w:proofErr w:type="spellStart"/>
      <w:r w:rsidRPr="006C5E21">
        <w:rPr>
          <w:rFonts w:eastAsia="Helvetica Neue" w:cs="Calibri"/>
          <w:color w:val="0F1115"/>
          <w:sz w:val="22"/>
          <w:szCs w:val="22"/>
          <w:shd w:val="clear" w:color="auto" w:fill="FFFFFF"/>
        </w:rPr>
        <w:t>colouring</w:t>
      </w:r>
      <w:proofErr w:type="spellEnd"/>
      <w:r w:rsidRPr="006C5E21">
        <w:rPr>
          <w:rFonts w:eastAsia="Helvetica Neue" w:cs="Calibri"/>
          <w:color w:val="0F1115"/>
          <w:sz w:val="22"/>
          <w:szCs w:val="22"/>
          <w:shd w:val="clear" w:color="auto" w:fill="FFFFFF"/>
        </w:rPr>
        <w:t>.</w:t>
      </w:r>
    </w:p>
    <w:p w14:paraId="054335DC" w14:textId="77777777" w:rsidR="006C5E21" w:rsidRDefault="006C5E21" w:rsidP="006C5E21">
      <w:pPr>
        <w:widowControl w:val="0"/>
        <w:jc w:val="both"/>
        <w:rPr>
          <w:rFonts w:eastAsiaTheme="minorEastAsia" w:cs="Calibri"/>
          <w:color w:val="0F1115"/>
          <w:sz w:val="22"/>
          <w:szCs w:val="22"/>
          <w:shd w:val="clear" w:color="auto" w:fill="FFFFFF"/>
        </w:rPr>
      </w:pPr>
    </w:p>
    <w:p w14:paraId="735B6A37" w14:textId="45C081E0" w:rsidR="006C5E21" w:rsidRDefault="006C5E21" w:rsidP="006C5E21">
      <w:pPr>
        <w:widowControl w:val="0"/>
        <w:jc w:val="both"/>
        <w:rPr>
          <w:rFonts w:eastAsiaTheme="minorEastAsia" w:cs="Calibri"/>
          <w:color w:val="0F1115"/>
          <w:sz w:val="22"/>
          <w:szCs w:val="22"/>
          <w:shd w:val="clear" w:color="auto" w:fill="FFFFFF"/>
        </w:rPr>
      </w:pPr>
      <w:r w:rsidRPr="006C5E21">
        <w:rPr>
          <w:rFonts w:eastAsia="Helvetica Neue" w:cs="Calibri"/>
          <w:b/>
          <w:bCs/>
          <w:color w:val="0F1115"/>
          <w:sz w:val="22"/>
          <w:szCs w:val="22"/>
          <w:shd w:val="clear" w:color="auto" w:fill="FFFFFF"/>
        </w:rPr>
        <w:t xml:space="preserve">Skincare: </w:t>
      </w:r>
      <w:r w:rsidRPr="006C5E21">
        <w:rPr>
          <w:rFonts w:eastAsia="Helvetica Neue" w:cs="Calibri"/>
          <w:color w:val="0F1115"/>
          <w:sz w:val="22"/>
          <w:szCs w:val="22"/>
          <w:shd w:val="clear" w:color="auto" w:fill="FFFFFF"/>
        </w:rPr>
        <w:t>L'Oréal's largest product category, covering the full price spectrum from mass to luxury. Core brands include L'Oréal Paris, Garnier, La Roche-Posay, CeraVe, and Vichy, with dermatology-focused brands registering especially strong growth.</w:t>
      </w:r>
    </w:p>
    <w:p w14:paraId="0E9E83D9" w14:textId="77777777" w:rsidR="006C5E21" w:rsidRPr="006C5E21" w:rsidRDefault="006C5E21" w:rsidP="006C5E21">
      <w:pPr>
        <w:widowControl w:val="0"/>
        <w:jc w:val="both"/>
        <w:rPr>
          <w:rFonts w:eastAsiaTheme="minorEastAsia" w:cs="Calibri"/>
          <w:color w:val="0F1115"/>
          <w:sz w:val="22"/>
          <w:szCs w:val="22"/>
          <w:shd w:val="clear" w:color="auto" w:fill="FFFFFF"/>
        </w:rPr>
      </w:pPr>
    </w:p>
    <w:p w14:paraId="1506BB64" w14:textId="09915890" w:rsidR="006C5E21" w:rsidRDefault="00ED3898" w:rsidP="006C5E21">
      <w:pPr>
        <w:widowControl w:val="0"/>
        <w:jc w:val="both"/>
        <w:rPr>
          <w:rFonts w:eastAsiaTheme="minorEastAsia" w:cs="Calibri"/>
          <w:color w:val="0F1115"/>
          <w:sz w:val="22"/>
          <w:szCs w:val="22"/>
          <w:shd w:val="clear" w:color="auto" w:fill="FFFFFF"/>
        </w:rPr>
      </w:pPr>
      <w:r w:rsidRPr="006C5E21">
        <w:rPr>
          <w:rFonts w:eastAsia="Helvetica Neue" w:cs="Calibri"/>
          <w:b/>
          <w:bCs/>
          <w:color w:val="0F1115"/>
          <w:sz w:val="22"/>
          <w:szCs w:val="22"/>
          <w:shd w:val="clear" w:color="auto" w:fill="FFFFFF"/>
        </w:rPr>
        <w:t>Color</w:t>
      </w:r>
      <w:r w:rsidR="006C5E21" w:rsidRPr="006C5E21">
        <w:rPr>
          <w:rFonts w:eastAsia="Helvetica Neue" w:cs="Calibri"/>
          <w:b/>
          <w:bCs/>
          <w:color w:val="0F1115"/>
          <w:sz w:val="22"/>
          <w:szCs w:val="22"/>
          <w:shd w:val="clear" w:color="auto" w:fill="FFFFFF"/>
        </w:rPr>
        <w:t xml:space="preserve"> Cosmetics:</w:t>
      </w:r>
      <w:r w:rsidR="006C5E21" w:rsidRPr="006C5E21">
        <w:rPr>
          <w:rFonts w:eastAsia="Helvetica Neue" w:cs="Calibri"/>
          <w:color w:val="0F1115"/>
          <w:sz w:val="22"/>
          <w:szCs w:val="22"/>
          <w:shd w:val="clear" w:color="auto" w:fill="FFFFFF"/>
        </w:rPr>
        <w:t xml:space="preserve"> Another key business pillar, spanning face, eye, and lip make-up. Through internationally </w:t>
      </w:r>
      <w:r w:rsidRPr="006C5E21">
        <w:rPr>
          <w:rFonts w:eastAsia="Helvetica Neue" w:cs="Calibri"/>
          <w:color w:val="0F1115"/>
          <w:sz w:val="22"/>
          <w:szCs w:val="22"/>
          <w:shd w:val="clear" w:color="auto" w:fill="FFFFFF"/>
        </w:rPr>
        <w:t>recognized</w:t>
      </w:r>
      <w:r w:rsidR="006C5E21" w:rsidRPr="006C5E21">
        <w:rPr>
          <w:rFonts w:eastAsia="Helvetica Neue" w:cs="Calibri"/>
          <w:color w:val="0F1115"/>
          <w:sz w:val="22"/>
          <w:szCs w:val="22"/>
          <w:shd w:val="clear" w:color="auto" w:fill="FFFFFF"/>
        </w:rPr>
        <w:t xml:space="preserve"> brands such as Maybelline New York, NYX Professional Makeup, and L'Oréal Paris, the group commands a significant share of the global </w:t>
      </w:r>
      <w:r w:rsidRPr="006C5E21">
        <w:rPr>
          <w:rFonts w:eastAsia="Helvetica Neue" w:cs="Calibri"/>
          <w:color w:val="0F1115"/>
          <w:sz w:val="22"/>
          <w:szCs w:val="22"/>
          <w:shd w:val="clear" w:color="auto" w:fill="FFFFFF"/>
        </w:rPr>
        <w:t>color</w:t>
      </w:r>
      <w:r w:rsidR="006C5E21" w:rsidRPr="006C5E21">
        <w:rPr>
          <w:rFonts w:eastAsia="Helvetica Neue" w:cs="Calibri"/>
          <w:color w:val="0F1115"/>
          <w:sz w:val="22"/>
          <w:szCs w:val="22"/>
          <w:shd w:val="clear" w:color="auto" w:fill="FFFFFF"/>
        </w:rPr>
        <w:t xml:space="preserve"> cosmetics market.</w:t>
      </w:r>
    </w:p>
    <w:p w14:paraId="70C24732" w14:textId="77777777" w:rsidR="006C5E21" w:rsidRPr="006C5E21" w:rsidRDefault="006C5E21" w:rsidP="006C5E21">
      <w:pPr>
        <w:widowControl w:val="0"/>
        <w:jc w:val="both"/>
        <w:rPr>
          <w:rFonts w:eastAsiaTheme="minorEastAsia" w:cs="Calibri"/>
          <w:color w:val="0F1115"/>
          <w:sz w:val="22"/>
          <w:szCs w:val="22"/>
          <w:shd w:val="clear" w:color="auto" w:fill="FFFFFF"/>
        </w:rPr>
      </w:pPr>
    </w:p>
    <w:p w14:paraId="3E4FA519" w14:textId="3A384771" w:rsidR="006C5E21" w:rsidRDefault="006C5E21" w:rsidP="006C5E21">
      <w:pPr>
        <w:widowControl w:val="0"/>
        <w:jc w:val="both"/>
        <w:rPr>
          <w:rFonts w:eastAsiaTheme="minorEastAsia" w:cs="Calibri"/>
          <w:color w:val="0F1115"/>
          <w:sz w:val="22"/>
          <w:szCs w:val="22"/>
          <w:shd w:val="clear" w:color="auto" w:fill="FFFFFF"/>
        </w:rPr>
      </w:pPr>
      <w:r w:rsidRPr="006C5E21">
        <w:rPr>
          <w:rFonts w:eastAsia="Helvetica Neue" w:cs="Calibri"/>
          <w:b/>
          <w:bCs/>
          <w:color w:val="0F1115"/>
          <w:sz w:val="22"/>
          <w:szCs w:val="22"/>
          <w:shd w:val="clear" w:color="auto" w:fill="FFFFFF"/>
        </w:rPr>
        <w:t xml:space="preserve">Hair Care &amp; Cleansing: </w:t>
      </w:r>
      <w:r w:rsidRPr="006C5E21">
        <w:rPr>
          <w:rFonts w:eastAsia="Helvetica Neue" w:cs="Calibri"/>
          <w:color w:val="0F1115"/>
          <w:sz w:val="22"/>
          <w:szCs w:val="22"/>
          <w:shd w:val="clear" w:color="auto" w:fill="FFFFFF"/>
        </w:rPr>
        <w:t xml:space="preserve">L'Oréal's hair care portfolio includes shampoos, conditioners, and styling products, anchored by key brands such as L'Oréal </w:t>
      </w:r>
      <w:r w:rsidR="00ED3898" w:rsidRPr="006C5E21">
        <w:rPr>
          <w:rFonts w:eastAsia="Helvetica Neue" w:cs="Calibri"/>
          <w:color w:val="0F1115"/>
          <w:sz w:val="22"/>
          <w:szCs w:val="22"/>
          <w:shd w:val="clear" w:color="auto" w:fill="FFFFFF"/>
        </w:rPr>
        <w:t>Professional</w:t>
      </w:r>
      <w:r w:rsidRPr="006C5E21">
        <w:rPr>
          <w:rFonts w:eastAsia="Helvetica Neue" w:cs="Calibri"/>
          <w:color w:val="0F1115"/>
          <w:sz w:val="22"/>
          <w:szCs w:val="22"/>
          <w:shd w:val="clear" w:color="auto" w:fill="FFFFFF"/>
        </w:rPr>
        <w:t xml:space="preserve">, </w:t>
      </w:r>
      <w:proofErr w:type="spellStart"/>
      <w:r w:rsidRPr="006C5E21">
        <w:rPr>
          <w:rFonts w:eastAsia="Helvetica Neue" w:cs="Calibri"/>
          <w:color w:val="0F1115"/>
          <w:sz w:val="22"/>
          <w:szCs w:val="22"/>
          <w:shd w:val="clear" w:color="auto" w:fill="FFFFFF"/>
        </w:rPr>
        <w:t>Kérastase</w:t>
      </w:r>
      <w:proofErr w:type="spellEnd"/>
      <w:r w:rsidRPr="006C5E21">
        <w:rPr>
          <w:rFonts w:eastAsia="Helvetica Neue" w:cs="Calibri"/>
          <w:color w:val="0F1115"/>
          <w:sz w:val="22"/>
          <w:szCs w:val="22"/>
          <w:shd w:val="clear" w:color="auto" w:fill="FFFFFF"/>
        </w:rPr>
        <w:t xml:space="preserve">, and Redken. In the premium haircare segment, </w:t>
      </w:r>
      <w:proofErr w:type="spellStart"/>
      <w:r w:rsidRPr="006C5E21">
        <w:rPr>
          <w:rFonts w:eastAsia="Helvetica Neue" w:cs="Calibri"/>
          <w:color w:val="0F1115"/>
          <w:sz w:val="22"/>
          <w:szCs w:val="22"/>
          <w:shd w:val="clear" w:color="auto" w:fill="FFFFFF"/>
        </w:rPr>
        <w:t>Kérastase</w:t>
      </w:r>
      <w:proofErr w:type="spellEnd"/>
      <w:r w:rsidRPr="006C5E21">
        <w:rPr>
          <w:rFonts w:eastAsia="Helvetica Neue" w:cs="Calibri"/>
          <w:color w:val="0F1115"/>
          <w:sz w:val="22"/>
          <w:szCs w:val="22"/>
          <w:shd w:val="clear" w:color="auto" w:fill="FFFFFF"/>
        </w:rPr>
        <w:t xml:space="preserve"> and Redken attract a large affluent consumer base through innovative care solutions and professional formulations.</w:t>
      </w:r>
    </w:p>
    <w:p w14:paraId="67CE9F97" w14:textId="77777777" w:rsidR="006C5E21" w:rsidRPr="006C5E21" w:rsidRDefault="006C5E21" w:rsidP="006C5E21">
      <w:pPr>
        <w:widowControl w:val="0"/>
        <w:jc w:val="both"/>
        <w:rPr>
          <w:rFonts w:eastAsiaTheme="minorEastAsia" w:cs="Calibri"/>
          <w:color w:val="0F1115"/>
          <w:sz w:val="22"/>
          <w:szCs w:val="22"/>
          <w:shd w:val="clear" w:color="auto" w:fill="FFFFFF"/>
        </w:rPr>
      </w:pPr>
    </w:p>
    <w:p w14:paraId="107D8BA6" w14:textId="77777777" w:rsidR="006C5E21" w:rsidRDefault="006C5E21" w:rsidP="006C5E21">
      <w:pPr>
        <w:widowControl w:val="0"/>
        <w:jc w:val="both"/>
        <w:rPr>
          <w:rFonts w:eastAsiaTheme="minorEastAsia" w:cs="Calibri"/>
          <w:color w:val="0F1115"/>
          <w:sz w:val="22"/>
          <w:szCs w:val="22"/>
          <w:shd w:val="clear" w:color="auto" w:fill="FFFFFF"/>
        </w:rPr>
      </w:pPr>
      <w:r w:rsidRPr="006C5E21">
        <w:rPr>
          <w:rFonts w:eastAsia="Helvetica Neue" w:cs="Calibri"/>
          <w:b/>
          <w:bCs/>
          <w:color w:val="0F1115"/>
          <w:sz w:val="22"/>
          <w:szCs w:val="22"/>
          <w:shd w:val="clear" w:color="auto" w:fill="FFFFFF"/>
        </w:rPr>
        <w:t xml:space="preserve">Fragrances: </w:t>
      </w:r>
      <w:r w:rsidRPr="006C5E21">
        <w:rPr>
          <w:rFonts w:eastAsia="Helvetica Neue" w:cs="Calibri"/>
          <w:color w:val="0F1115"/>
          <w:sz w:val="22"/>
          <w:szCs w:val="22"/>
          <w:shd w:val="clear" w:color="auto" w:fill="FFFFFF"/>
        </w:rPr>
        <w:t xml:space="preserve">Fragrances remain an important component of L'Oréal's Luxe division, with brands including Yves Saint Laurent, Lancôme, Valentino, and Prada enjoying strong global reputations. In 2024, new launches such as </w:t>
      </w:r>
      <w:proofErr w:type="spellStart"/>
      <w:r w:rsidRPr="006C5E21">
        <w:rPr>
          <w:rFonts w:eastAsia="Helvetica Neue" w:cs="Calibri"/>
          <w:color w:val="0F1115"/>
          <w:sz w:val="22"/>
          <w:szCs w:val="22"/>
          <w:shd w:val="clear" w:color="auto" w:fill="FFFFFF"/>
        </w:rPr>
        <w:t>Paradoxe</w:t>
      </w:r>
      <w:proofErr w:type="spellEnd"/>
      <w:r w:rsidRPr="006C5E21">
        <w:rPr>
          <w:rFonts w:eastAsia="Helvetica Neue" w:cs="Calibri"/>
          <w:color w:val="0F1115"/>
          <w:sz w:val="22"/>
          <w:szCs w:val="22"/>
          <w:shd w:val="clear" w:color="auto" w:fill="FFFFFF"/>
        </w:rPr>
        <w:t xml:space="preserve"> (Prada), Libre (Yves Saint Laurent), and </w:t>
      </w:r>
      <w:proofErr w:type="gramStart"/>
      <w:r w:rsidRPr="006C5E21">
        <w:rPr>
          <w:rFonts w:eastAsia="Helvetica Neue" w:cs="Calibri"/>
          <w:color w:val="0F1115"/>
          <w:sz w:val="22"/>
          <w:szCs w:val="22"/>
          <w:shd w:val="clear" w:color="auto" w:fill="FFFFFF"/>
        </w:rPr>
        <w:t>Born</w:t>
      </w:r>
      <w:proofErr w:type="gramEnd"/>
      <w:r w:rsidRPr="006C5E21">
        <w:rPr>
          <w:rFonts w:eastAsia="Helvetica Neue" w:cs="Calibri"/>
          <w:color w:val="0F1115"/>
          <w:sz w:val="22"/>
          <w:szCs w:val="22"/>
          <w:shd w:val="clear" w:color="auto" w:fill="FFFFFF"/>
        </w:rPr>
        <w:t xml:space="preserve"> in Roma (Valentino) performed strongly, sustaining growth in the luxury fragrance market.</w:t>
      </w:r>
    </w:p>
    <w:p w14:paraId="6A5FB4D7" w14:textId="77777777" w:rsidR="006C5E21" w:rsidRPr="006C5E21" w:rsidRDefault="006C5E21" w:rsidP="006C5E21">
      <w:pPr>
        <w:widowControl w:val="0"/>
        <w:jc w:val="both"/>
        <w:rPr>
          <w:rFonts w:eastAsiaTheme="minorEastAsia" w:cs="Calibri"/>
          <w:color w:val="0F1115"/>
          <w:sz w:val="22"/>
          <w:szCs w:val="22"/>
          <w:shd w:val="clear" w:color="auto" w:fill="FFFFFF"/>
        </w:rPr>
      </w:pPr>
    </w:p>
    <w:p w14:paraId="3B63116F" w14:textId="5B141F6A" w:rsidR="006C5E21" w:rsidRDefault="006C5E21" w:rsidP="006C5E21">
      <w:pPr>
        <w:widowControl w:val="0"/>
        <w:jc w:val="both"/>
        <w:rPr>
          <w:rFonts w:eastAsiaTheme="minorEastAsia" w:cs="Calibri"/>
          <w:color w:val="0F1115"/>
          <w:sz w:val="22"/>
          <w:szCs w:val="22"/>
          <w:shd w:val="clear" w:color="auto" w:fill="FFFFFF"/>
        </w:rPr>
      </w:pPr>
      <w:r w:rsidRPr="006C5E21">
        <w:rPr>
          <w:rFonts w:eastAsia="Helvetica Neue" w:cs="Calibri"/>
          <w:b/>
          <w:bCs/>
          <w:color w:val="0F1115"/>
          <w:sz w:val="22"/>
          <w:szCs w:val="22"/>
          <w:shd w:val="clear" w:color="auto" w:fill="FFFFFF"/>
        </w:rPr>
        <w:t xml:space="preserve">Hair </w:t>
      </w:r>
      <w:r w:rsidR="00ED3898" w:rsidRPr="006C5E21">
        <w:rPr>
          <w:rFonts w:eastAsia="Helvetica Neue" w:cs="Calibri"/>
          <w:b/>
          <w:bCs/>
          <w:color w:val="0F1115"/>
          <w:sz w:val="22"/>
          <w:szCs w:val="22"/>
          <w:shd w:val="clear" w:color="auto" w:fill="FFFFFF"/>
        </w:rPr>
        <w:t>Coloring</w:t>
      </w:r>
      <w:r w:rsidRPr="006C5E21">
        <w:rPr>
          <w:rFonts w:eastAsia="Helvetica Neue" w:cs="Calibri"/>
          <w:b/>
          <w:bCs/>
          <w:color w:val="0F1115"/>
          <w:sz w:val="22"/>
          <w:szCs w:val="22"/>
          <w:shd w:val="clear" w:color="auto" w:fill="FFFFFF"/>
        </w:rPr>
        <w:t xml:space="preserve">: </w:t>
      </w:r>
      <w:r w:rsidRPr="006C5E21">
        <w:rPr>
          <w:rFonts w:eastAsia="Helvetica Neue" w:cs="Calibri"/>
          <w:color w:val="0F1115"/>
          <w:sz w:val="22"/>
          <w:szCs w:val="22"/>
          <w:shd w:val="clear" w:color="auto" w:fill="FFFFFF"/>
        </w:rPr>
        <w:t xml:space="preserve">Hair </w:t>
      </w:r>
      <w:r w:rsidR="00ED3898" w:rsidRPr="006C5E21">
        <w:rPr>
          <w:rFonts w:eastAsia="Helvetica Neue" w:cs="Calibri"/>
          <w:color w:val="0F1115"/>
          <w:sz w:val="22"/>
          <w:szCs w:val="22"/>
          <w:shd w:val="clear" w:color="auto" w:fill="FFFFFF"/>
        </w:rPr>
        <w:t>coloring</w:t>
      </w:r>
      <w:r w:rsidRPr="006C5E21">
        <w:rPr>
          <w:rFonts w:eastAsia="Helvetica Neue" w:cs="Calibri"/>
          <w:color w:val="0F1115"/>
          <w:sz w:val="22"/>
          <w:szCs w:val="22"/>
          <w:shd w:val="clear" w:color="auto" w:fill="FFFFFF"/>
        </w:rPr>
        <w:t xml:space="preserve"> encompasses dyes and treatment products. Brands such as L'Oréal Profession</w:t>
      </w:r>
      <w:r w:rsidR="00ED3898">
        <w:rPr>
          <w:rFonts w:eastAsiaTheme="minorEastAsia" w:cs="Calibri" w:hint="eastAsia"/>
          <w:color w:val="0F1115"/>
          <w:sz w:val="22"/>
          <w:szCs w:val="22"/>
          <w:shd w:val="clear" w:color="auto" w:fill="FFFFFF"/>
        </w:rPr>
        <w:t>a</w:t>
      </w:r>
      <w:r w:rsidRPr="006C5E21">
        <w:rPr>
          <w:rFonts w:eastAsia="Helvetica Neue" w:cs="Calibri"/>
          <w:color w:val="0F1115"/>
          <w:sz w:val="22"/>
          <w:szCs w:val="22"/>
          <w:shd w:val="clear" w:color="auto" w:fill="FFFFFF"/>
        </w:rPr>
        <w:t>l and Garnier continue to drive this sub-segment. In 2024, new product launches including Garnier Color Sensation attracted broad consumer interest with their accessible price points and innovative formulations.</w:t>
      </w:r>
    </w:p>
    <w:p w14:paraId="27BC2CF2" w14:textId="77777777" w:rsidR="006C5E21" w:rsidRPr="006C5E21" w:rsidRDefault="006C5E21" w:rsidP="006C5E21">
      <w:pPr>
        <w:widowControl w:val="0"/>
        <w:jc w:val="both"/>
        <w:rPr>
          <w:rFonts w:eastAsiaTheme="minorEastAsia" w:cs="Calibri"/>
          <w:color w:val="0F1115"/>
          <w:sz w:val="22"/>
          <w:szCs w:val="22"/>
          <w:shd w:val="clear" w:color="auto" w:fill="FFFFFF"/>
        </w:rPr>
      </w:pPr>
    </w:p>
    <w:p w14:paraId="6B484398" w14:textId="62A096A7" w:rsidR="00CA1CB5" w:rsidRPr="006C5E21" w:rsidRDefault="006C5E21" w:rsidP="006C5E21">
      <w:pPr>
        <w:widowControl w:val="0"/>
        <w:jc w:val="both"/>
        <w:rPr>
          <w:rFonts w:eastAsia="楷体" w:cs="Calibri"/>
          <w:kern w:val="2"/>
          <w:sz w:val="22"/>
          <w:szCs w:val="22"/>
        </w:rPr>
      </w:pPr>
      <w:r w:rsidRPr="006C5E21">
        <w:rPr>
          <w:rFonts w:eastAsia="Helvetica Neue" w:cs="Calibri"/>
          <w:b/>
          <w:bCs/>
          <w:color w:val="0F1115"/>
          <w:sz w:val="22"/>
          <w:szCs w:val="22"/>
          <w:shd w:val="clear" w:color="auto" w:fill="FFFFFF"/>
        </w:rPr>
        <w:t xml:space="preserve">Other Beauty &amp; Personal Care: </w:t>
      </w:r>
      <w:r w:rsidRPr="006C5E21">
        <w:rPr>
          <w:rFonts w:eastAsia="Helvetica Neue" w:cs="Calibri"/>
          <w:color w:val="0F1115"/>
          <w:sz w:val="22"/>
          <w:szCs w:val="22"/>
          <w:shd w:val="clear" w:color="auto" w:fill="FFFFFF"/>
        </w:rPr>
        <w:t xml:space="preserve">L'Oréal's portfolio also covers nail care, body care, and personal hygiene. Through brands such as </w:t>
      </w:r>
      <w:proofErr w:type="spellStart"/>
      <w:r w:rsidRPr="006C5E21">
        <w:rPr>
          <w:rFonts w:eastAsia="Helvetica Neue" w:cs="Calibri"/>
          <w:color w:val="0F1115"/>
          <w:sz w:val="22"/>
          <w:szCs w:val="22"/>
          <w:shd w:val="clear" w:color="auto" w:fill="FFFFFF"/>
        </w:rPr>
        <w:t>Biotherm</w:t>
      </w:r>
      <w:proofErr w:type="spellEnd"/>
      <w:r w:rsidRPr="006C5E21">
        <w:rPr>
          <w:rFonts w:eastAsia="Helvetica Neue" w:cs="Calibri"/>
          <w:color w:val="0F1115"/>
          <w:sz w:val="22"/>
          <w:szCs w:val="22"/>
          <w:shd w:val="clear" w:color="auto" w:fill="FFFFFF"/>
        </w:rPr>
        <w:t>, Mixa, and Yves Saint Laurent Beauty, the group continues to broaden its product offering to meet the needs of a wider consumer base.</w:t>
      </w:r>
    </w:p>
    <w:tbl>
      <w:tblPr>
        <w:tblW w:w="7466" w:type="dxa"/>
        <w:tblLayout w:type="fixed"/>
        <w:tblLook w:val="04A0" w:firstRow="1" w:lastRow="0" w:firstColumn="1" w:lastColumn="0" w:noHBand="0" w:noVBand="1"/>
      </w:tblPr>
      <w:tblGrid>
        <w:gridCol w:w="7466"/>
      </w:tblGrid>
      <w:tr w:rsidR="00CA1CB5" w14:paraId="54E054C3" w14:textId="77777777">
        <w:trPr>
          <w:trHeight w:val="302"/>
        </w:trPr>
        <w:tc>
          <w:tcPr>
            <w:tcW w:w="7466" w:type="dxa"/>
            <w:tcBorders>
              <w:bottom w:val="single" w:sz="4" w:space="0" w:color="auto"/>
            </w:tcBorders>
            <w:tcMar>
              <w:left w:w="0" w:type="dxa"/>
              <w:right w:w="28" w:type="dxa"/>
            </w:tcMar>
          </w:tcPr>
          <w:p w14:paraId="4E5603E5" w14:textId="752B3394" w:rsidR="00CA1CB5" w:rsidRDefault="006C5E21">
            <w:pPr>
              <w:spacing w:beforeLines="20" w:before="48" w:afterLines="20" w:after="48"/>
              <w:jc w:val="both"/>
              <w:textAlignment w:val="center"/>
              <w:rPr>
                <w:rFonts w:eastAsia="楷体" w:cs="Calibri"/>
                <w:b/>
                <w:sz w:val="20"/>
                <w:szCs w:val="20"/>
              </w:rPr>
            </w:pPr>
            <w:r w:rsidRPr="006C5E21">
              <w:rPr>
                <w:rFonts w:eastAsia="楷体" w:cs="Calibri"/>
                <w:b/>
                <w:sz w:val="20"/>
                <w:szCs w:val="20"/>
              </w:rPr>
              <w:t>Figure: L'Oréal Key Brands and Product Categories</w:t>
            </w:r>
          </w:p>
        </w:tc>
      </w:tr>
      <w:tr w:rsidR="00CA1CB5" w14:paraId="2763B5D3" w14:textId="77777777">
        <w:trPr>
          <w:trHeight w:val="856"/>
        </w:trPr>
        <w:tc>
          <w:tcPr>
            <w:tcW w:w="7466" w:type="dxa"/>
            <w:tcBorders>
              <w:top w:val="single" w:sz="4" w:space="0" w:color="auto"/>
              <w:bottom w:val="single" w:sz="4" w:space="0" w:color="auto"/>
            </w:tcBorders>
            <w:vAlign w:val="center"/>
          </w:tcPr>
          <w:p w14:paraId="3D209E3F" w14:textId="277DC0FF" w:rsidR="00CA1CB5" w:rsidRDefault="00962A49">
            <w:pPr>
              <w:spacing w:beforeLines="20" w:before="48" w:afterLines="20" w:after="48"/>
              <w:jc w:val="center"/>
              <w:textAlignment w:val="center"/>
              <w:rPr>
                <w:rFonts w:eastAsia="宋体" w:cs="Calibri"/>
                <w:b/>
                <w:bCs/>
                <w:sz w:val="20"/>
                <w:szCs w:val="20"/>
              </w:rPr>
            </w:pPr>
            <w:r w:rsidRPr="00962A49">
              <w:rPr>
                <w:rFonts w:eastAsia="宋体" w:cs="Calibri"/>
                <w:b/>
                <w:bCs/>
                <w:noProof/>
                <w:sz w:val="20"/>
                <w:szCs w:val="20"/>
              </w:rPr>
              <w:lastRenderedPageBreak/>
              <w:drawing>
                <wp:inline distT="0" distB="0" distL="0" distR="0" wp14:anchorId="37BF364C" wp14:editId="31F1E227">
                  <wp:extent cx="4601845" cy="2617470"/>
                  <wp:effectExtent l="0" t="0" r="8255" b="0"/>
                  <wp:docPr id="4314295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1845" cy="2617470"/>
                          </a:xfrm>
                          <a:prstGeom prst="rect">
                            <a:avLst/>
                          </a:prstGeom>
                          <a:noFill/>
                          <a:ln>
                            <a:noFill/>
                          </a:ln>
                        </pic:spPr>
                      </pic:pic>
                    </a:graphicData>
                  </a:graphic>
                </wp:inline>
              </w:drawing>
            </w:r>
          </w:p>
        </w:tc>
      </w:tr>
      <w:tr w:rsidR="00CA1CB5" w14:paraId="240DC17B" w14:textId="77777777">
        <w:trPr>
          <w:trHeight w:val="64"/>
        </w:trPr>
        <w:tc>
          <w:tcPr>
            <w:tcW w:w="7466" w:type="dxa"/>
            <w:tcBorders>
              <w:top w:val="single" w:sz="4" w:space="0" w:color="auto"/>
            </w:tcBorders>
            <w:tcMar>
              <w:left w:w="0" w:type="dxa"/>
              <w:right w:w="28" w:type="dxa"/>
            </w:tcMar>
            <w:vAlign w:val="center"/>
          </w:tcPr>
          <w:p w14:paraId="37431873" w14:textId="184CAEAA" w:rsidR="00CA1CB5" w:rsidRDefault="00EE3BC1">
            <w:pPr>
              <w:spacing w:line="240" w:lineRule="atLeast"/>
              <w:jc w:val="both"/>
              <w:textAlignment w:val="center"/>
              <w:rPr>
                <w:rFonts w:cs="Calibri"/>
                <w:sz w:val="20"/>
                <w:szCs w:val="20"/>
              </w:rPr>
            </w:pPr>
            <w:r>
              <w:rPr>
                <w:rFonts w:eastAsia="楷体" w:cs="Calibri"/>
                <w:b/>
                <w:bCs/>
                <w:sz w:val="20"/>
                <w:szCs w:val="20"/>
              </w:rPr>
              <w:t xml:space="preserve">Source: </w:t>
            </w:r>
            <w:r w:rsidR="006C5E21" w:rsidRPr="006C5E21">
              <w:rPr>
                <w:rFonts w:eastAsia="楷体" w:cs="Calibri"/>
                <w:sz w:val="20"/>
                <w:szCs w:val="20"/>
              </w:rPr>
              <w:t>Company Financial Reports, HFI</w:t>
            </w:r>
          </w:p>
        </w:tc>
      </w:tr>
    </w:tbl>
    <w:p w14:paraId="3DCE4012" w14:textId="77777777" w:rsidR="006C5E21" w:rsidRDefault="006C5E21">
      <w:pPr>
        <w:rPr>
          <w:rFonts w:eastAsiaTheme="minorEastAsia" w:cs="Calibri"/>
          <w:b/>
          <w:bCs/>
          <w:color w:val="0F1115"/>
          <w:sz w:val="22"/>
          <w:szCs w:val="22"/>
          <w:shd w:val="clear" w:color="auto" w:fill="FFFFFF"/>
          <w:lang w:bidi="ar"/>
        </w:rPr>
      </w:pPr>
      <w:bookmarkStart w:id="9" w:name="_Hlk216642019"/>
    </w:p>
    <w:p w14:paraId="4B93ED15" w14:textId="707CF8D9" w:rsidR="006C5E21" w:rsidRPr="006C5E21" w:rsidRDefault="006C5E21" w:rsidP="006C5E21">
      <w:pPr>
        <w:pStyle w:val="211"/>
        <w:ind w:right="42"/>
        <w:jc w:val="both"/>
        <w:rPr>
          <w:rFonts w:ascii="Calibri" w:eastAsia="Helvetica Neue" w:hAnsi="Calibri" w:cs="Calibri"/>
          <w:color w:val="800080"/>
          <w:sz w:val="24"/>
          <w:szCs w:val="24"/>
        </w:rPr>
      </w:pPr>
      <w:bookmarkStart w:id="10" w:name="_Toc224295877"/>
      <w:r>
        <w:rPr>
          <w:rFonts w:ascii="Calibri" w:eastAsia="楷体" w:hAnsi="Calibri" w:cs="Calibri"/>
          <w:color w:val="23558C"/>
          <w:sz w:val="24"/>
          <w:szCs w:val="24"/>
        </w:rPr>
        <w:t>1.</w:t>
      </w:r>
      <w:r>
        <w:rPr>
          <w:rFonts w:ascii="Calibri" w:eastAsia="楷体" w:hAnsi="Calibri" w:cs="Calibri" w:hint="eastAsia"/>
          <w:color w:val="23558C"/>
          <w:sz w:val="24"/>
          <w:szCs w:val="24"/>
        </w:rPr>
        <w:t>4</w:t>
      </w:r>
      <w:r>
        <w:rPr>
          <w:rFonts w:ascii="Calibri" w:eastAsia="楷体" w:hAnsi="Calibri" w:cs="Calibri"/>
          <w:color w:val="23558C"/>
          <w:sz w:val="24"/>
          <w:szCs w:val="24"/>
        </w:rPr>
        <w:t xml:space="preserve"> </w:t>
      </w:r>
      <w:r w:rsidRPr="006C5E21">
        <w:rPr>
          <w:rFonts w:ascii="Calibri" w:eastAsia="楷体" w:hAnsi="Calibri" w:cs="Calibri"/>
          <w:color w:val="23558C"/>
          <w:sz w:val="24"/>
          <w:szCs w:val="24"/>
        </w:rPr>
        <w:t>Financial Performance</w:t>
      </w:r>
      <w:bookmarkEnd w:id="10"/>
    </w:p>
    <w:p w14:paraId="1E04EED7" w14:textId="1389911F" w:rsidR="00CA1CB5" w:rsidRDefault="006C5E21">
      <w:pPr>
        <w:widowControl w:val="0"/>
        <w:jc w:val="both"/>
        <w:rPr>
          <w:rFonts w:eastAsiaTheme="minorEastAsia" w:cs="Calibri"/>
          <w:color w:val="0F1115"/>
          <w:sz w:val="22"/>
          <w:szCs w:val="22"/>
          <w:shd w:val="clear" w:color="auto" w:fill="FFFFFF"/>
          <w:lang w:bidi="ar"/>
        </w:rPr>
      </w:pPr>
      <w:r w:rsidRPr="00D7310D">
        <w:rPr>
          <w:rFonts w:eastAsia="Helvetica Neue" w:cs="Calibri"/>
          <w:b/>
          <w:bCs/>
          <w:color w:val="0F1115"/>
          <w:sz w:val="22"/>
          <w:szCs w:val="22"/>
          <w:shd w:val="clear" w:color="auto" w:fill="FFFFFF"/>
          <w:lang w:bidi="ar"/>
        </w:rPr>
        <w:t xml:space="preserve">L'Oréal's revenue demonstrated consistent and healthy growth from 2019 to 2025. </w:t>
      </w:r>
      <w:r w:rsidRPr="006C5E21">
        <w:rPr>
          <w:rFonts w:eastAsia="Helvetica Neue" w:cs="Calibri"/>
          <w:color w:val="0F1115"/>
          <w:sz w:val="22"/>
          <w:szCs w:val="22"/>
          <w:shd w:val="clear" w:color="auto" w:fill="FFFFFF"/>
          <w:lang w:bidi="ar"/>
        </w:rPr>
        <w:t>Group sales increased from €29.87 billion in 2019 to €44.05 billion in 2025, representing a CAGR of 6.7%, continuously reinforcing its position as the world's number-one beauty company. In 2020, the COVID-19 pandemic caused global beauty consumption to contract sharply, with group revenue declining 6.3% year-on-year to €27.99 billion. As restrictions eased in 2021, consumer demand rebounded strongly and revenue grew 15.3% to €32.29 billion. In 2022, despite elevated inflation and geopolitical disruption, the group maintained high-speed growth of +18.5%, reaching €38.26 billion, driven primarily by the Dermatological Beauty and L'Oréal Luxe divisions, and underpinned by the structural upgrading of global premium beauty demand. Revenue reached €41.18 billion in 2023 (+7.6% YoY), as cautious consumer sentiment in China weighed on North Asia, though strong performances in Europe and North America provided an effective offset. In 2024, group revenue reached €43.49 billion (+5.6% YoY); despite a -3.4% decline in North Asia, Latin America (+13.3%) and the SAPMENA region (+12.0%) emerged as key growth engines. Revenue grew further to €44.05 billion in 2025, up 1.3% reported (+4.0% organic at constant exchange rates), with the narrowing growth rate primarily attributable to currency headwinds from euro appreciatio</w:t>
      </w:r>
      <w:r w:rsidR="0025327C">
        <w:rPr>
          <w:rFonts w:eastAsiaTheme="minorEastAsia" w:cs="Calibri" w:hint="eastAsia"/>
          <w:color w:val="0F1115"/>
          <w:sz w:val="22"/>
          <w:szCs w:val="22"/>
          <w:shd w:val="clear" w:color="auto" w:fill="FFFFFF"/>
          <w:lang w:bidi="ar"/>
        </w:rPr>
        <w:t>n</w:t>
      </w:r>
      <w:r w:rsidRPr="006C5E21">
        <w:rPr>
          <w:rFonts w:eastAsia="Helvetica Neue" w:cs="Calibri"/>
          <w:color w:val="0F1115"/>
          <w:sz w:val="22"/>
          <w:szCs w:val="22"/>
          <w:shd w:val="clear" w:color="auto" w:fill="FFFFFF"/>
          <w:lang w:bidi="ar"/>
        </w:rPr>
        <w:t>.</w:t>
      </w:r>
    </w:p>
    <w:p w14:paraId="085881E0" w14:textId="77777777" w:rsidR="00ED3898" w:rsidRPr="00ED3898" w:rsidRDefault="00ED3898">
      <w:pPr>
        <w:widowControl w:val="0"/>
        <w:jc w:val="both"/>
        <w:rPr>
          <w:rFonts w:eastAsiaTheme="minorEastAsia" w:cs="Calibri"/>
          <w:kern w:val="2"/>
          <w:sz w:val="22"/>
          <w:szCs w:val="22"/>
        </w:rPr>
      </w:pPr>
    </w:p>
    <w:tbl>
      <w:tblPr>
        <w:tblW w:w="7466" w:type="dxa"/>
        <w:tblLayout w:type="fixed"/>
        <w:tblLook w:val="04A0" w:firstRow="1" w:lastRow="0" w:firstColumn="1" w:lastColumn="0" w:noHBand="0" w:noVBand="1"/>
      </w:tblPr>
      <w:tblGrid>
        <w:gridCol w:w="7466"/>
      </w:tblGrid>
      <w:tr w:rsidR="00CA1CB5" w14:paraId="6FD1016F" w14:textId="77777777">
        <w:trPr>
          <w:trHeight w:val="302"/>
        </w:trPr>
        <w:tc>
          <w:tcPr>
            <w:tcW w:w="7466" w:type="dxa"/>
            <w:tcBorders>
              <w:bottom w:val="single" w:sz="4" w:space="0" w:color="auto"/>
            </w:tcBorders>
            <w:tcMar>
              <w:left w:w="0" w:type="dxa"/>
              <w:right w:w="28" w:type="dxa"/>
            </w:tcMar>
          </w:tcPr>
          <w:p w14:paraId="3E4B74EA" w14:textId="55B82757" w:rsidR="00CA1CB5" w:rsidRPr="006C5E21" w:rsidRDefault="006C5E21">
            <w:pPr>
              <w:spacing w:beforeLines="20" w:before="48" w:afterLines="20" w:after="48"/>
              <w:jc w:val="both"/>
              <w:textAlignment w:val="center"/>
              <w:rPr>
                <w:rFonts w:eastAsia="楷体" w:cs="Calibri"/>
                <w:b/>
                <w:sz w:val="20"/>
                <w:szCs w:val="20"/>
              </w:rPr>
            </w:pPr>
            <w:r w:rsidRPr="006C5E21">
              <w:rPr>
                <w:rFonts w:eastAsia="楷体" w:cs="Calibri"/>
                <w:b/>
                <w:sz w:val="20"/>
                <w:szCs w:val="20"/>
              </w:rPr>
              <w:t>Figure: L'Oréal Revenue and Growth Rate 2020–2025 (€ million)</w:t>
            </w:r>
          </w:p>
        </w:tc>
      </w:tr>
      <w:tr w:rsidR="00CA1CB5" w14:paraId="2E9A5FE6" w14:textId="77777777" w:rsidTr="00F13761">
        <w:trPr>
          <w:trHeight w:val="856"/>
        </w:trPr>
        <w:tc>
          <w:tcPr>
            <w:tcW w:w="7466" w:type="dxa"/>
            <w:tcBorders>
              <w:top w:val="single" w:sz="4" w:space="0" w:color="auto"/>
              <w:bottom w:val="single" w:sz="4" w:space="0" w:color="auto"/>
            </w:tcBorders>
            <w:vAlign w:val="center"/>
          </w:tcPr>
          <w:p w14:paraId="4030E3A7" w14:textId="468A073A" w:rsidR="00CA1CB5" w:rsidRDefault="00F13761">
            <w:pPr>
              <w:spacing w:beforeLines="20" w:before="48" w:afterLines="20" w:after="48"/>
              <w:jc w:val="center"/>
              <w:textAlignment w:val="center"/>
              <w:rPr>
                <w:rFonts w:eastAsia="宋体" w:cs="Calibri"/>
                <w:b/>
                <w:bCs/>
                <w:sz w:val="20"/>
                <w:szCs w:val="20"/>
              </w:rPr>
            </w:pPr>
            <w:r>
              <w:rPr>
                <w:noProof/>
                <w:snapToGrid/>
              </w:rPr>
              <w:lastRenderedPageBreak/>
              <w:drawing>
                <wp:inline distT="0" distB="0" distL="0" distR="0" wp14:anchorId="384411DD" wp14:editId="266E244D">
                  <wp:extent cx="4603750" cy="2622550"/>
                  <wp:effectExtent l="0" t="0" r="6350" b="6350"/>
                  <wp:docPr id="467483196" name="图表 1">
                    <a:extLst xmlns:a="http://schemas.openxmlformats.org/drawingml/2006/main">
                      <a:ext uri="{FF2B5EF4-FFF2-40B4-BE49-F238E27FC236}">
                        <a16:creationId xmlns:a16="http://schemas.microsoft.com/office/drawing/2014/main" id="{AD34DD57-F515-D541-D7DB-AC529DBB80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CA1CB5" w14:paraId="726A8FB2" w14:textId="77777777">
        <w:trPr>
          <w:trHeight w:val="64"/>
        </w:trPr>
        <w:tc>
          <w:tcPr>
            <w:tcW w:w="7466" w:type="dxa"/>
            <w:tcBorders>
              <w:top w:val="single" w:sz="4" w:space="0" w:color="auto"/>
            </w:tcBorders>
            <w:tcMar>
              <w:left w:w="0" w:type="dxa"/>
              <w:right w:w="28" w:type="dxa"/>
            </w:tcMar>
            <w:vAlign w:val="center"/>
          </w:tcPr>
          <w:p w14:paraId="735DD969" w14:textId="73729A51" w:rsidR="00CA1CB5" w:rsidRDefault="00EE3BC1">
            <w:pPr>
              <w:spacing w:line="240" w:lineRule="atLeast"/>
              <w:jc w:val="both"/>
              <w:textAlignment w:val="center"/>
              <w:rPr>
                <w:rFonts w:cs="Calibri"/>
                <w:sz w:val="20"/>
                <w:szCs w:val="20"/>
              </w:rPr>
            </w:pPr>
            <w:r>
              <w:rPr>
                <w:rFonts w:eastAsia="楷体" w:cs="Calibri"/>
                <w:b/>
                <w:bCs/>
                <w:sz w:val="20"/>
                <w:szCs w:val="20"/>
              </w:rPr>
              <w:t xml:space="preserve">Source: </w:t>
            </w:r>
            <w:r w:rsidR="006C5E21" w:rsidRPr="006C5E21">
              <w:rPr>
                <w:rFonts w:eastAsia="楷体" w:cs="Calibri"/>
                <w:sz w:val="20"/>
                <w:szCs w:val="20"/>
              </w:rPr>
              <w:t>Company Financial Reports, HFI</w:t>
            </w:r>
          </w:p>
        </w:tc>
      </w:tr>
    </w:tbl>
    <w:p w14:paraId="7D1797EC" w14:textId="77777777" w:rsidR="00CA1CB5" w:rsidRDefault="00CA1CB5">
      <w:pPr>
        <w:widowControl w:val="0"/>
        <w:jc w:val="both"/>
        <w:rPr>
          <w:rFonts w:eastAsia="楷体" w:cs="Calibri"/>
          <w:kern w:val="2"/>
          <w:sz w:val="22"/>
          <w:szCs w:val="22"/>
        </w:rPr>
      </w:pPr>
    </w:p>
    <w:p w14:paraId="01799FB9" w14:textId="0EF5B97C" w:rsidR="00CA1CB5" w:rsidRDefault="00537D0C">
      <w:pPr>
        <w:widowControl w:val="0"/>
        <w:jc w:val="both"/>
        <w:rPr>
          <w:rFonts w:eastAsiaTheme="minorEastAsia" w:cs="Calibri"/>
          <w:color w:val="0F1115"/>
          <w:sz w:val="22"/>
          <w:szCs w:val="22"/>
          <w:shd w:val="clear" w:color="auto" w:fill="FFFFFF"/>
          <w:lang w:bidi="ar"/>
        </w:rPr>
      </w:pPr>
      <w:r w:rsidRPr="00D7310D">
        <w:rPr>
          <w:rFonts w:eastAsia="Helvetica Neue" w:cs="Calibri"/>
          <w:b/>
          <w:bCs/>
          <w:color w:val="0F1115"/>
          <w:sz w:val="22"/>
          <w:szCs w:val="22"/>
          <w:shd w:val="clear" w:color="auto" w:fill="FFFFFF"/>
          <w:lang w:bidi="ar"/>
        </w:rPr>
        <w:t xml:space="preserve">In terms of business structure, all four divisions contributed to group growth, though divergence was pronounced; the sustained high-speed expansion of the Dermatological Beauty Division represented the most significant structural change over the past six years. </w:t>
      </w:r>
      <w:r w:rsidRPr="00537D0C">
        <w:rPr>
          <w:rFonts w:eastAsia="Helvetica Neue" w:cs="Calibri"/>
          <w:color w:val="0F1115"/>
          <w:sz w:val="22"/>
          <w:szCs w:val="22"/>
          <w:shd w:val="clear" w:color="auto" w:fill="FFFFFF"/>
          <w:lang w:bidi="ar"/>
        </w:rPr>
        <w:t>From 2020 to 2025, consolidated group sales grew from €27.99 billion to €44.05 billion, with a CAGR of 9.5%. Among the four divisions, the Dermatological Beauty Division achieved a CAGR of 19.1%, followed by Professional Products at 10.8%, L'Oréal Luxe at 8.9%, and Consumer Products at 6.6%. In terms of revenue mix, the Dermatological Beauty Division's share rose sharply from 10.8% in 2020 to 16.4% in 2025, while Consumer Products narrowed from 41.8% to 36.5%, reflecting the group's broader transition from volume-driven expansion to higher value-added growth.</w:t>
      </w:r>
    </w:p>
    <w:p w14:paraId="34C3B19E" w14:textId="77777777" w:rsidR="0005701B" w:rsidRPr="0005701B" w:rsidRDefault="0005701B">
      <w:pPr>
        <w:widowControl w:val="0"/>
        <w:jc w:val="both"/>
        <w:rPr>
          <w:rFonts w:eastAsiaTheme="minorEastAsia" w:cs="Calibri"/>
          <w:color w:val="0F1115"/>
          <w:sz w:val="22"/>
          <w:szCs w:val="22"/>
          <w:shd w:val="clear" w:color="auto" w:fill="FFFFFF"/>
          <w:lang w:bidi="ar"/>
        </w:rPr>
      </w:pPr>
    </w:p>
    <w:tbl>
      <w:tblPr>
        <w:tblW w:w="7466" w:type="dxa"/>
        <w:tblLayout w:type="fixed"/>
        <w:tblLook w:val="04A0" w:firstRow="1" w:lastRow="0" w:firstColumn="1" w:lastColumn="0" w:noHBand="0" w:noVBand="1"/>
      </w:tblPr>
      <w:tblGrid>
        <w:gridCol w:w="7466"/>
      </w:tblGrid>
      <w:tr w:rsidR="00537D0C" w:rsidRPr="00537D0C" w14:paraId="5485995E" w14:textId="77777777" w:rsidTr="00816572">
        <w:trPr>
          <w:trHeight w:val="302"/>
        </w:trPr>
        <w:tc>
          <w:tcPr>
            <w:tcW w:w="7466" w:type="dxa"/>
            <w:tcBorders>
              <w:bottom w:val="single" w:sz="4" w:space="0" w:color="auto"/>
            </w:tcBorders>
            <w:tcMar>
              <w:left w:w="0" w:type="dxa"/>
              <w:right w:w="28" w:type="dxa"/>
            </w:tcMar>
          </w:tcPr>
          <w:p w14:paraId="01527CAD" w14:textId="77777777" w:rsidR="00537D0C" w:rsidRPr="00537D0C" w:rsidRDefault="00537D0C" w:rsidP="00816572">
            <w:pPr>
              <w:rPr>
                <w:rFonts w:eastAsia="楷体" w:cs="Calibri"/>
                <w:sz w:val="20"/>
                <w:szCs w:val="20"/>
              </w:rPr>
            </w:pPr>
            <w:r w:rsidRPr="00537D0C">
              <w:rPr>
                <w:rStyle w:val="af"/>
                <w:rFonts w:eastAsia="Helvetica Neue" w:cs="Calibri"/>
                <w:color w:val="0F1115"/>
                <w:sz w:val="20"/>
                <w:szCs w:val="20"/>
                <w:shd w:val="clear" w:color="auto" w:fill="FFFFFF"/>
                <w:lang w:bidi="ar"/>
              </w:rPr>
              <w:t>Figure: L'Oréal Revenue by Division (€ million)</w:t>
            </w:r>
          </w:p>
        </w:tc>
      </w:tr>
      <w:tr w:rsidR="00537D0C" w14:paraId="1858862C" w14:textId="77777777" w:rsidTr="00F13761">
        <w:trPr>
          <w:trHeight w:val="856"/>
        </w:trPr>
        <w:tc>
          <w:tcPr>
            <w:tcW w:w="7466" w:type="dxa"/>
            <w:tcBorders>
              <w:top w:val="single" w:sz="4" w:space="0" w:color="auto"/>
              <w:bottom w:val="single" w:sz="4" w:space="0" w:color="auto"/>
            </w:tcBorders>
            <w:vAlign w:val="center"/>
          </w:tcPr>
          <w:p w14:paraId="24597E8C" w14:textId="3C852436" w:rsidR="00537D0C" w:rsidRDefault="00F13761" w:rsidP="00816572">
            <w:pPr>
              <w:spacing w:beforeLines="20" w:before="48" w:afterLines="20" w:after="48"/>
              <w:jc w:val="center"/>
              <w:textAlignment w:val="center"/>
              <w:rPr>
                <w:rFonts w:eastAsia="宋体" w:cs="Calibri"/>
                <w:b/>
                <w:bCs/>
                <w:sz w:val="20"/>
                <w:szCs w:val="20"/>
              </w:rPr>
            </w:pPr>
            <w:r>
              <w:rPr>
                <w:noProof/>
                <w:snapToGrid/>
              </w:rPr>
              <w:drawing>
                <wp:inline distT="0" distB="0" distL="0" distR="0" wp14:anchorId="5ACAEF47" wp14:editId="364A5175">
                  <wp:extent cx="4569484" cy="2726445"/>
                  <wp:effectExtent l="0" t="0" r="2540" b="0"/>
                  <wp:docPr id="256598967" name="图表 1">
                    <a:extLst xmlns:a="http://schemas.openxmlformats.org/drawingml/2006/main">
                      <a:ext uri="{FF2B5EF4-FFF2-40B4-BE49-F238E27FC236}">
                        <a16:creationId xmlns:a16="http://schemas.microsoft.com/office/drawing/2014/main" id="{A2F5F62B-4D93-6ADA-8941-D5CA21E854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537D0C" w14:paraId="40CBD460" w14:textId="77777777" w:rsidTr="00816572">
        <w:trPr>
          <w:trHeight w:val="64"/>
        </w:trPr>
        <w:tc>
          <w:tcPr>
            <w:tcW w:w="7466" w:type="dxa"/>
            <w:tcBorders>
              <w:top w:val="single" w:sz="4" w:space="0" w:color="auto"/>
            </w:tcBorders>
            <w:tcMar>
              <w:left w:w="0" w:type="dxa"/>
              <w:right w:w="28" w:type="dxa"/>
            </w:tcMar>
            <w:vAlign w:val="center"/>
          </w:tcPr>
          <w:p w14:paraId="171FFA23" w14:textId="77777777" w:rsidR="00537D0C" w:rsidRDefault="00537D0C" w:rsidP="00816572">
            <w:pPr>
              <w:spacing w:line="240" w:lineRule="atLeast"/>
              <w:jc w:val="both"/>
              <w:textAlignment w:val="center"/>
              <w:rPr>
                <w:rFonts w:cs="Calibri"/>
                <w:sz w:val="20"/>
                <w:szCs w:val="20"/>
              </w:rPr>
            </w:pPr>
            <w:r>
              <w:rPr>
                <w:rFonts w:eastAsia="楷体" w:cs="Calibri"/>
                <w:b/>
                <w:bCs/>
                <w:sz w:val="20"/>
                <w:szCs w:val="20"/>
              </w:rPr>
              <w:t xml:space="preserve">Source: </w:t>
            </w:r>
            <w:r w:rsidRPr="00537D0C">
              <w:rPr>
                <w:rFonts w:eastAsia="楷体" w:cs="Calibri"/>
                <w:sz w:val="20"/>
                <w:szCs w:val="20"/>
              </w:rPr>
              <w:t>Company Financial Reports, HFI</w:t>
            </w:r>
          </w:p>
        </w:tc>
      </w:tr>
    </w:tbl>
    <w:p w14:paraId="486C7DF7" w14:textId="77777777" w:rsidR="00537D0C" w:rsidRPr="00537D0C" w:rsidRDefault="00537D0C">
      <w:pPr>
        <w:widowControl w:val="0"/>
        <w:jc w:val="both"/>
        <w:rPr>
          <w:rFonts w:eastAsiaTheme="minorEastAsia" w:cs="Calibri"/>
          <w:kern w:val="2"/>
          <w:sz w:val="22"/>
          <w:szCs w:val="22"/>
        </w:rPr>
      </w:pPr>
    </w:p>
    <w:p w14:paraId="37833613" w14:textId="405784A3" w:rsidR="00537D0C" w:rsidRPr="00DB4746" w:rsidRDefault="00537D0C" w:rsidP="00DB4746">
      <w:pPr>
        <w:pStyle w:val="af3"/>
        <w:numPr>
          <w:ilvl w:val="0"/>
          <w:numId w:val="8"/>
        </w:numPr>
        <w:spacing w:before="80" w:after="80"/>
        <w:rPr>
          <w:rFonts w:eastAsia="Helvetica Neue" w:cs="Calibri"/>
          <w:b/>
          <w:bCs/>
          <w:color w:val="0F1115"/>
          <w:sz w:val="22"/>
          <w:szCs w:val="22"/>
          <w:shd w:val="clear" w:color="auto" w:fill="FFFFFF"/>
          <w:lang w:bidi="ar"/>
        </w:rPr>
      </w:pPr>
      <w:r w:rsidRPr="00DB4746">
        <w:rPr>
          <w:rFonts w:eastAsia="Helvetica Neue" w:cs="Calibri"/>
          <w:b/>
          <w:bCs/>
          <w:color w:val="0F1115"/>
          <w:sz w:val="22"/>
          <w:szCs w:val="22"/>
          <w:shd w:val="clear" w:color="auto" w:fill="FFFFFF"/>
          <w:lang w:bidi="ar"/>
        </w:rPr>
        <w:t>Dermatological Beauty Division</w:t>
      </w:r>
    </w:p>
    <w:p w14:paraId="3FBE52B1" w14:textId="77777777" w:rsidR="00537D0C" w:rsidRPr="00537D0C" w:rsidRDefault="00537D0C" w:rsidP="00537D0C">
      <w:pPr>
        <w:spacing w:before="80" w:after="80"/>
        <w:jc w:val="both"/>
        <w:rPr>
          <w:rFonts w:eastAsia="Helvetica Neue" w:cs="Calibri"/>
          <w:color w:val="0F1115"/>
          <w:sz w:val="22"/>
          <w:szCs w:val="22"/>
          <w:shd w:val="clear" w:color="auto" w:fill="FFFFFF"/>
          <w:lang w:bidi="ar"/>
        </w:rPr>
      </w:pPr>
      <w:r w:rsidRPr="00DB4746">
        <w:rPr>
          <w:rFonts w:eastAsia="Helvetica Neue" w:cs="Calibri"/>
          <w:b/>
          <w:bCs/>
          <w:color w:val="0F1115"/>
          <w:sz w:val="22"/>
          <w:szCs w:val="22"/>
          <w:shd w:val="clear" w:color="auto" w:fill="FFFFFF"/>
          <w:lang w:bidi="ar"/>
        </w:rPr>
        <w:t>The fastest-growing and most profitable of the four divisions, with an operating profit margin of 26.1% in 2025.</w:t>
      </w:r>
      <w:r w:rsidRPr="00537D0C">
        <w:rPr>
          <w:rFonts w:eastAsia="Helvetica Neue" w:cs="Calibri"/>
          <w:color w:val="0F1115"/>
          <w:sz w:val="22"/>
          <w:szCs w:val="22"/>
          <w:shd w:val="clear" w:color="auto" w:fill="FFFFFF"/>
          <w:lang w:bidi="ar"/>
        </w:rPr>
        <w:t xml:space="preserve"> Revenue expanded from €3.01 billion in 2020 to €7.20 billion </w:t>
      </w:r>
      <w:r w:rsidRPr="00537D0C">
        <w:rPr>
          <w:rFonts w:eastAsia="Helvetica Neue" w:cs="Calibri"/>
          <w:color w:val="0F1115"/>
          <w:sz w:val="22"/>
          <w:szCs w:val="22"/>
          <w:shd w:val="clear" w:color="auto" w:fill="FFFFFF"/>
          <w:lang w:bidi="ar"/>
        </w:rPr>
        <w:lastRenderedPageBreak/>
        <w:t>in 2025 (CAGR 19.1%). The division maintained approximately 30% annual growth in 2021–2022, more than doubling in scale over five years. Growth moderated to 25.5%, 9.3%, and 2.5% from 2023 to 2025 respectively, yet the division continues to lead the group and to significantly outperform in the North Asia market.</w:t>
      </w:r>
    </w:p>
    <w:p w14:paraId="46C49689" w14:textId="77777777" w:rsidR="00CA1CB5" w:rsidRDefault="00CA1CB5">
      <w:pPr>
        <w:widowControl w:val="0"/>
        <w:jc w:val="both"/>
        <w:rPr>
          <w:rFonts w:asciiTheme="minorHAnsi" w:eastAsia="楷体" w:hAnsiTheme="minorHAnsi" w:cstheme="minorHAnsi" w:hint="eastAsia"/>
          <w:kern w:val="2"/>
          <w:sz w:val="22"/>
          <w:szCs w:val="22"/>
        </w:rPr>
      </w:pPr>
    </w:p>
    <w:tbl>
      <w:tblPr>
        <w:tblW w:w="7466" w:type="dxa"/>
        <w:tblLayout w:type="fixed"/>
        <w:tblLook w:val="04A0" w:firstRow="1" w:lastRow="0" w:firstColumn="1" w:lastColumn="0" w:noHBand="0" w:noVBand="1"/>
      </w:tblPr>
      <w:tblGrid>
        <w:gridCol w:w="7466"/>
      </w:tblGrid>
      <w:tr w:rsidR="00537D0C" w:rsidRPr="00537D0C" w14:paraId="69582FA6" w14:textId="77777777" w:rsidTr="00816572">
        <w:trPr>
          <w:trHeight w:val="302"/>
        </w:trPr>
        <w:tc>
          <w:tcPr>
            <w:tcW w:w="7466" w:type="dxa"/>
            <w:tcBorders>
              <w:bottom w:val="single" w:sz="4" w:space="0" w:color="auto"/>
            </w:tcBorders>
            <w:tcMar>
              <w:left w:w="0" w:type="dxa"/>
              <w:right w:w="28" w:type="dxa"/>
            </w:tcMar>
          </w:tcPr>
          <w:p w14:paraId="06F7BE9D" w14:textId="62B632B8" w:rsidR="00537D0C" w:rsidRPr="00537D0C" w:rsidRDefault="00537D0C" w:rsidP="00816572">
            <w:pPr>
              <w:rPr>
                <w:rFonts w:eastAsia="楷体" w:cs="Calibri"/>
                <w:sz w:val="20"/>
                <w:szCs w:val="20"/>
              </w:rPr>
            </w:pPr>
            <w:r w:rsidRPr="00537D0C">
              <w:rPr>
                <w:rStyle w:val="af"/>
                <w:rFonts w:eastAsia="Helvetica Neue" w:cs="Calibri"/>
                <w:color w:val="0F1115"/>
                <w:sz w:val="20"/>
                <w:szCs w:val="20"/>
                <w:shd w:val="clear" w:color="auto" w:fill="FFFFFF"/>
                <w:lang w:bidi="ar"/>
              </w:rPr>
              <w:t>Figure: Dermatological Beauty Division Revenue 2020–2025 (€ million)</w:t>
            </w:r>
          </w:p>
        </w:tc>
      </w:tr>
      <w:tr w:rsidR="00537D0C" w14:paraId="7899D954" w14:textId="77777777" w:rsidTr="00962A49">
        <w:trPr>
          <w:trHeight w:val="856"/>
        </w:trPr>
        <w:tc>
          <w:tcPr>
            <w:tcW w:w="7466" w:type="dxa"/>
            <w:tcBorders>
              <w:top w:val="single" w:sz="4" w:space="0" w:color="auto"/>
              <w:bottom w:val="single" w:sz="4" w:space="0" w:color="auto"/>
            </w:tcBorders>
            <w:vAlign w:val="center"/>
          </w:tcPr>
          <w:p w14:paraId="7728F05B" w14:textId="15A3CD67" w:rsidR="00537D0C" w:rsidRDefault="00962A49" w:rsidP="00816572">
            <w:pPr>
              <w:spacing w:beforeLines="20" w:before="48" w:afterLines="20" w:after="48"/>
              <w:jc w:val="center"/>
              <w:textAlignment w:val="center"/>
              <w:rPr>
                <w:rFonts w:eastAsia="宋体" w:cs="Calibri"/>
                <w:b/>
                <w:bCs/>
                <w:sz w:val="20"/>
                <w:szCs w:val="20"/>
              </w:rPr>
            </w:pPr>
            <w:r>
              <w:rPr>
                <w:noProof/>
                <w:snapToGrid/>
              </w:rPr>
              <w:drawing>
                <wp:inline distT="0" distB="0" distL="0" distR="0" wp14:anchorId="480BB7C4" wp14:editId="0495C1C2">
                  <wp:extent cx="4572000" cy="2432384"/>
                  <wp:effectExtent l="0" t="0" r="0" b="6350"/>
                  <wp:docPr id="1410757356" name="图表 1">
                    <a:extLst xmlns:a="http://schemas.openxmlformats.org/drawingml/2006/main">
                      <a:ext uri="{FF2B5EF4-FFF2-40B4-BE49-F238E27FC236}">
                        <a16:creationId xmlns:a16="http://schemas.microsoft.com/office/drawing/2014/main" id="{44D51E20-0C3A-2E92-2F45-B1E75B5F1A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537D0C" w14:paraId="69D864B2" w14:textId="77777777" w:rsidTr="00816572">
        <w:trPr>
          <w:trHeight w:val="64"/>
        </w:trPr>
        <w:tc>
          <w:tcPr>
            <w:tcW w:w="7466" w:type="dxa"/>
            <w:tcBorders>
              <w:top w:val="single" w:sz="4" w:space="0" w:color="auto"/>
            </w:tcBorders>
            <w:tcMar>
              <w:left w:w="0" w:type="dxa"/>
              <w:right w:w="28" w:type="dxa"/>
            </w:tcMar>
            <w:vAlign w:val="center"/>
          </w:tcPr>
          <w:p w14:paraId="41335889" w14:textId="77777777" w:rsidR="00537D0C" w:rsidRDefault="00537D0C" w:rsidP="00816572">
            <w:pPr>
              <w:spacing w:line="240" w:lineRule="atLeast"/>
              <w:jc w:val="both"/>
              <w:textAlignment w:val="center"/>
              <w:rPr>
                <w:rFonts w:cs="Calibri"/>
                <w:sz w:val="20"/>
                <w:szCs w:val="20"/>
              </w:rPr>
            </w:pPr>
            <w:r>
              <w:rPr>
                <w:rFonts w:eastAsia="楷体" w:cs="Calibri"/>
                <w:b/>
                <w:bCs/>
                <w:sz w:val="20"/>
                <w:szCs w:val="20"/>
              </w:rPr>
              <w:t xml:space="preserve">Source: </w:t>
            </w:r>
            <w:r w:rsidRPr="00537D0C">
              <w:rPr>
                <w:rFonts w:eastAsia="楷体" w:cs="Calibri"/>
                <w:sz w:val="20"/>
                <w:szCs w:val="20"/>
              </w:rPr>
              <w:t>Company Financial Reports, HFI</w:t>
            </w:r>
          </w:p>
        </w:tc>
      </w:tr>
    </w:tbl>
    <w:p w14:paraId="19FD41C4" w14:textId="77777777" w:rsidR="00537D0C" w:rsidRDefault="00537D0C">
      <w:pPr>
        <w:widowControl w:val="0"/>
        <w:jc w:val="both"/>
        <w:rPr>
          <w:rFonts w:asciiTheme="minorHAnsi" w:eastAsia="楷体" w:hAnsiTheme="minorHAnsi" w:cstheme="minorHAnsi" w:hint="eastAsia"/>
          <w:kern w:val="2"/>
          <w:sz w:val="22"/>
          <w:szCs w:val="22"/>
        </w:rPr>
      </w:pPr>
    </w:p>
    <w:p w14:paraId="4BBB3A7D" w14:textId="4BBAC768" w:rsidR="00537D0C" w:rsidRPr="00DB4746" w:rsidRDefault="00537D0C" w:rsidP="00DB4746">
      <w:pPr>
        <w:pStyle w:val="af3"/>
        <w:numPr>
          <w:ilvl w:val="0"/>
          <w:numId w:val="8"/>
        </w:numPr>
        <w:spacing w:before="80" w:after="80"/>
        <w:rPr>
          <w:rFonts w:eastAsia="Helvetica Neue" w:cs="Calibri"/>
          <w:b/>
          <w:bCs/>
          <w:color w:val="0F1115"/>
          <w:sz w:val="22"/>
          <w:szCs w:val="22"/>
          <w:shd w:val="clear" w:color="auto" w:fill="FFFFFF"/>
          <w:lang w:bidi="ar"/>
        </w:rPr>
      </w:pPr>
      <w:r w:rsidRPr="00DB4746">
        <w:rPr>
          <w:rFonts w:eastAsia="Helvetica Neue" w:cs="Calibri"/>
          <w:b/>
          <w:bCs/>
          <w:color w:val="0F1115"/>
          <w:sz w:val="22"/>
          <w:szCs w:val="22"/>
          <w:shd w:val="clear" w:color="auto" w:fill="FFFFFF"/>
          <w:lang w:bidi="ar"/>
        </w:rPr>
        <w:t>L'Oréal Luxe</w:t>
      </w:r>
      <w:r w:rsidR="00266435">
        <w:rPr>
          <w:rFonts w:eastAsiaTheme="minorEastAsia" w:cs="Calibri" w:hint="eastAsia"/>
          <w:b/>
          <w:bCs/>
          <w:color w:val="0F1115"/>
          <w:sz w:val="22"/>
          <w:szCs w:val="22"/>
          <w:shd w:val="clear" w:color="auto" w:fill="FFFFFF"/>
          <w:lang w:bidi="ar"/>
        </w:rPr>
        <w:t xml:space="preserve"> </w:t>
      </w:r>
      <w:r w:rsidR="00266435" w:rsidRPr="00DB4746">
        <w:rPr>
          <w:rFonts w:eastAsiaTheme="minorEastAsia" w:cs="Calibri"/>
          <w:b/>
          <w:bCs/>
          <w:color w:val="0F1115"/>
          <w:sz w:val="22"/>
          <w:szCs w:val="22"/>
          <w:shd w:val="clear" w:color="auto" w:fill="FFFFFF"/>
          <w:lang w:bidi="ar"/>
        </w:rPr>
        <w:t>Division</w:t>
      </w:r>
    </w:p>
    <w:p w14:paraId="68BF9EA1" w14:textId="2235F1E3" w:rsidR="00537D0C" w:rsidRDefault="00537D0C" w:rsidP="00537D0C">
      <w:pPr>
        <w:spacing w:before="80" w:after="80"/>
        <w:rPr>
          <w:rFonts w:eastAsiaTheme="minorEastAsia" w:cs="Calibri"/>
          <w:color w:val="0F1115"/>
          <w:sz w:val="22"/>
          <w:szCs w:val="22"/>
          <w:shd w:val="clear" w:color="auto" w:fill="FFFFFF"/>
          <w:lang w:bidi="ar"/>
        </w:rPr>
      </w:pPr>
      <w:r w:rsidRPr="00DB4746">
        <w:rPr>
          <w:rFonts w:eastAsia="Helvetica Neue" w:cs="Calibri"/>
          <w:b/>
          <w:bCs/>
          <w:color w:val="0F1115"/>
          <w:sz w:val="22"/>
          <w:szCs w:val="22"/>
          <w:shd w:val="clear" w:color="auto" w:fill="FFFFFF"/>
          <w:lang w:bidi="ar"/>
        </w:rPr>
        <w:t>L'Oréal Luxe generated revenue of €15.60 billion in 2025 (CAGR 8.9%) and became the group's largest division by revenue for the first time in 2021, surpassing the Consumer Products Division.</w:t>
      </w:r>
      <w:r w:rsidRPr="00537D0C">
        <w:rPr>
          <w:rFonts w:eastAsia="Helvetica Neue" w:cs="Calibri"/>
          <w:color w:val="0F1115"/>
          <w:sz w:val="22"/>
          <w:szCs w:val="22"/>
          <w:shd w:val="clear" w:color="auto" w:fill="FFFFFF"/>
          <w:lang w:bidi="ar"/>
        </w:rPr>
        <w:t xml:space="preserve"> Fragrances rebounded strongly, with luxury fragrance brands including YSL, Armani, and Prada growing more than 20% in 2022, driving the division to achieve 21.2% and 18.7% growth in 2021 and 2022 respectively. Growth narrowed significantly from 2023 to 2025, to 2.0%, 4.5%, and 0.0% respectively.</w:t>
      </w:r>
    </w:p>
    <w:p w14:paraId="3783B16C" w14:textId="77777777" w:rsidR="00266435" w:rsidRPr="00266435" w:rsidRDefault="00266435" w:rsidP="00537D0C">
      <w:pPr>
        <w:spacing w:before="80" w:after="80"/>
        <w:rPr>
          <w:rFonts w:eastAsiaTheme="minorEastAsia" w:cs="Calibri"/>
          <w:color w:val="0F1115"/>
          <w:sz w:val="22"/>
          <w:szCs w:val="22"/>
          <w:shd w:val="clear" w:color="auto" w:fill="FFFFFF"/>
          <w:lang w:bidi="ar"/>
        </w:rPr>
      </w:pPr>
    </w:p>
    <w:tbl>
      <w:tblPr>
        <w:tblW w:w="7466" w:type="dxa"/>
        <w:tblLayout w:type="fixed"/>
        <w:tblLook w:val="04A0" w:firstRow="1" w:lastRow="0" w:firstColumn="1" w:lastColumn="0" w:noHBand="0" w:noVBand="1"/>
      </w:tblPr>
      <w:tblGrid>
        <w:gridCol w:w="7466"/>
      </w:tblGrid>
      <w:tr w:rsidR="00537D0C" w:rsidRPr="00537D0C" w14:paraId="7CDFD0E8" w14:textId="77777777" w:rsidTr="00816572">
        <w:trPr>
          <w:trHeight w:val="302"/>
        </w:trPr>
        <w:tc>
          <w:tcPr>
            <w:tcW w:w="7466" w:type="dxa"/>
            <w:tcBorders>
              <w:bottom w:val="single" w:sz="4" w:space="0" w:color="auto"/>
            </w:tcBorders>
            <w:tcMar>
              <w:left w:w="0" w:type="dxa"/>
              <w:right w:w="28" w:type="dxa"/>
            </w:tcMar>
          </w:tcPr>
          <w:p w14:paraId="1A77B177" w14:textId="5977D2FA" w:rsidR="00537D0C" w:rsidRPr="00537D0C" w:rsidRDefault="00537D0C" w:rsidP="00816572">
            <w:pPr>
              <w:rPr>
                <w:rFonts w:eastAsia="楷体" w:cs="Calibri"/>
                <w:sz w:val="20"/>
                <w:szCs w:val="20"/>
              </w:rPr>
            </w:pPr>
            <w:r w:rsidRPr="00537D0C">
              <w:rPr>
                <w:rStyle w:val="af"/>
                <w:rFonts w:eastAsia="Helvetica Neue" w:cs="Calibri"/>
                <w:color w:val="0F1115"/>
                <w:sz w:val="20"/>
                <w:szCs w:val="20"/>
                <w:shd w:val="clear" w:color="auto" w:fill="FFFFFF"/>
                <w:lang w:bidi="ar"/>
              </w:rPr>
              <w:t>Figure: L'Oréal Luxe Revenue 2020–2025 (€ million)</w:t>
            </w:r>
          </w:p>
        </w:tc>
      </w:tr>
      <w:tr w:rsidR="00537D0C" w14:paraId="0BCA8023" w14:textId="77777777" w:rsidTr="00962A49">
        <w:trPr>
          <w:trHeight w:val="856"/>
        </w:trPr>
        <w:tc>
          <w:tcPr>
            <w:tcW w:w="7466" w:type="dxa"/>
            <w:tcBorders>
              <w:top w:val="single" w:sz="4" w:space="0" w:color="auto"/>
              <w:bottom w:val="single" w:sz="4" w:space="0" w:color="auto"/>
            </w:tcBorders>
            <w:vAlign w:val="center"/>
          </w:tcPr>
          <w:p w14:paraId="315E5AB4" w14:textId="062BF7C1" w:rsidR="00537D0C" w:rsidRDefault="00962A49" w:rsidP="00816572">
            <w:pPr>
              <w:spacing w:beforeLines="20" w:before="48" w:afterLines="20" w:after="48"/>
              <w:jc w:val="center"/>
              <w:textAlignment w:val="center"/>
              <w:rPr>
                <w:rFonts w:eastAsia="宋体" w:cs="Calibri"/>
                <w:b/>
                <w:bCs/>
                <w:sz w:val="20"/>
                <w:szCs w:val="20"/>
              </w:rPr>
            </w:pPr>
            <w:r>
              <w:rPr>
                <w:noProof/>
                <w:snapToGrid/>
              </w:rPr>
              <w:drawing>
                <wp:inline distT="0" distB="0" distL="0" distR="0" wp14:anchorId="5FCC551E" wp14:editId="3CEA4DF8">
                  <wp:extent cx="4572000" cy="2276976"/>
                  <wp:effectExtent l="0" t="0" r="0" b="0"/>
                  <wp:docPr id="1950622008" name="图表 1">
                    <a:extLst xmlns:a="http://schemas.openxmlformats.org/drawingml/2006/main">
                      <a:ext uri="{FF2B5EF4-FFF2-40B4-BE49-F238E27FC236}">
                        <a16:creationId xmlns:a16="http://schemas.microsoft.com/office/drawing/2014/main" id="{3E519610-A4CE-7113-CD4E-1F9118F603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537D0C" w14:paraId="5F8496A2" w14:textId="77777777" w:rsidTr="00816572">
        <w:trPr>
          <w:trHeight w:val="64"/>
        </w:trPr>
        <w:tc>
          <w:tcPr>
            <w:tcW w:w="7466" w:type="dxa"/>
            <w:tcBorders>
              <w:top w:val="single" w:sz="4" w:space="0" w:color="auto"/>
            </w:tcBorders>
            <w:tcMar>
              <w:left w:w="0" w:type="dxa"/>
              <w:right w:w="28" w:type="dxa"/>
            </w:tcMar>
            <w:vAlign w:val="center"/>
          </w:tcPr>
          <w:p w14:paraId="7FA9C142" w14:textId="77777777" w:rsidR="00537D0C" w:rsidRDefault="00537D0C" w:rsidP="00816572">
            <w:pPr>
              <w:spacing w:line="240" w:lineRule="atLeast"/>
              <w:jc w:val="both"/>
              <w:textAlignment w:val="center"/>
              <w:rPr>
                <w:rFonts w:eastAsia="楷体" w:cs="Calibri"/>
                <w:sz w:val="20"/>
                <w:szCs w:val="20"/>
              </w:rPr>
            </w:pPr>
            <w:r>
              <w:rPr>
                <w:rFonts w:eastAsia="楷体" w:cs="Calibri"/>
                <w:b/>
                <w:bCs/>
                <w:sz w:val="20"/>
                <w:szCs w:val="20"/>
              </w:rPr>
              <w:t xml:space="preserve">Source: </w:t>
            </w:r>
            <w:r w:rsidRPr="00537D0C">
              <w:rPr>
                <w:rFonts w:eastAsia="楷体" w:cs="Calibri"/>
                <w:sz w:val="20"/>
                <w:szCs w:val="20"/>
              </w:rPr>
              <w:t>Company Financial Reports, HFI</w:t>
            </w:r>
          </w:p>
          <w:p w14:paraId="72A282E6" w14:textId="77777777" w:rsidR="00266435" w:rsidRDefault="00266435" w:rsidP="00816572">
            <w:pPr>
              <w:spacing w:line="240" w:lineRule="atLeast"/>
              <w:jc w:val="both"/>
              <w:textAlignment w:val="center"/>
              <w:rPr>
                <w:rFonts w:cs="Calibri"/>
                <w:sz w:val="20"/>
                <w:szCs w:val="20"/>
              </w:rPr>
            </w:pPr>
          </w:p>
        </w:tc>
      </w:tr>
    </w:tbl>
    <w:p w14:paraId="239ADD63" w14:textId="1ECCA88F" w:rsidR="00537D0C" w:rsidRPr="00DB4746" w:rsidRDefault="00537D0C" w:rsidP="00DB4746">
      <w:pPr>
        <w:pStyle w:val="af3"/>
        <w:numPr>
          <w:ilvl w:val="0"/>
          <w:numId w:val="8"/>
        </w:numPr>
        <w:spacing w:before="80" w:after="80"/>
        <w:rPr>
          <w:rFonts w:eastAsiaTheme="minorEastAsia" w:cs="Calibri"/>
          <w:b/>
          <w:bCs/>
          <w:color w:val="0F1115"/>
          <w:sz w:val="22"/>
          <w:szCs w:val="22"/>
          <w:shd w:val="clear" w:color="auto" w:fill="FFFFFF"/>
          <w:lang w:bidi="ar"/>
        </w:rPr>
      </w:pPr>
      <w:r w:rsidRPr="00DB4746">
        <w:rPr>
          <w:rFonts w:eastAsiaTheme="minorEastAsia" w:cs="Calibri"/>
          <w:b/>
          <w:bCs/>
          <w:color w:val="0F1115"/>
          <w:sz w:val="22"/>
          <w:szCs w:val="22"/>
          <w:shd w:val="clear" w:color="auto" w:fill="FFFFFF"/>
          <w:lang w:bidi="ar"/>
        </w:rPr>
        <w:t>Consumer Products Division</w:t>
      </w:r>
    </w:p>
    <w:p w14:paraId="6B82F82C" w14:textId="67E2495E" w:rsidR="00537D0C" w:rsidRPr="00537D0C" w:rsidRDefault="00537D0C" w:rsidP="00537D0C">
      <w:pPr>
        <w:spacing w:before="80" w:after="80"/>
        <w:rPr>
          <w:rFonts w:eastAsiaTheme="minorEastAsia" w:cs="Calibri"/>
          <w:color w:val="0F1115"/>
          <w:sz w:val="22"/>
          <w:szCs w:val="22"/>
          <w:shd w:val="clear" w:color="auto" w:fill="FFFFFF"/>
          <w:lang w:bidi="ar"/>
        </w:rPr>
      </w:pPr>
      <w:r w:rsidRPr="00DB4746">
        <w:rPr>
          <w:rFonts w:eastAsiaTheme="minorEastAsia" w:cs="Calibri"/>
          <w:b/>
          <w:bCs/>
          <w:color w:val="0F1115"/>
          <w:sz w:val="22"/>
          <w:szCs w:val="22"/>
          <w:shd w:val="clear" w:color="auto" w:fill="FFFFFF"/>
          <w:lang w:bidi="ar"/>
        </w:rPr>
        <w:t xml:space="preserve">The Consumer Products Division is the group's largest by volume, with revenue of €16.09 billion in 2025 (36.5% of total group revenue; CAGR 6.6%). </w:t>
      </w:r>
      <w:r w:rsidRPr="00537D0C">
        <w:rPr>
          <w:rFonts w:eastAsiaTheme="minorEastAsia" w:cs="Calibri"/>
          <w:color w:val="0F1115"/>
          <w:sz w:val="22"/>
          <w:szCs w:val="22"/>
          <w:shd w:val="clear" w:color="auto" w:fill="FFFFFF"/>
          <w:lang w:bidi="ar"/>
        </w:rPr>
        <w:t xml:space="preserve">Growth was </w:t>
      </w:r>
      <w:r w:rsidRPr="00537D0C">
        <w:rPr>
          <w:rFonts w:eastAsiaTheme="minorEastAsia" w:cs="Calibri"/>
          <w:color w:val="0F1115"/>
          <w:sz w:val="22"/>
          <w:szCs w:val="22"/>
          <w:shd w:val="clear" w:color="auto" w:fill="FFFFFF"/>
          <w:lang w:bidi="ar"/>
        </w:rPr>
        <w:lastRenderedPageBreak/>
        <w:t xml:space="preserve">relatively stable, with stronger performance in 2021–2022 (4.6% and 14.6% respectively) as </w:t>
      </w:r>
      <w:r w:rsidR="00266435" w:rsidRPr="00537D0C">
        <w:rPr>
          <w:rFonts w:eastAsiaTheme="minorEastAsia" w:cs="Calibri"/>
          <w:color w:val="0F1115"/>
          <w:sz w:val="22"/>
          <w:szCs w:val="22"/>
          <w:shd w:val="clear" w:color="auto" w:fill="FFFFFF"/>
          <w:lang w:bidi="ar"/>
        </w:rPr>
        <w:t>color</w:t>
      </w:r>
      <w:r w:rsidRPr="00537D0C">
        <w:rPr>
          <w:rFonts w:eastAsiaTheme="minorEastAsia" w:cs="Calibri"/>
          <w:color w:val="0F1115"/>
          <w:sz w:val="22"/>
          <w:szCs w:val="22"/>
          <w:shd w:val="clear" w:color="auto" w:fill="FFFFFF"/>
          <w:lang w:bidi="ar"/>
        </w:rPr>
        <w:t xml:space="preserve"> cosmetics demand recovered, before returning to the low-to-mid single-digit range of 8.2%, 5.3%, and 0.7% from 2023 to 2025.</w:t>
      </w:r>
    </w:p>
    <w:tbl>
      <w:tblPr>
        <w:tblW w:w="7466" w:type="dxa"/>
        <w:tblLayout w:type="fixed"/>
        <w:tblLook w:val="04A0" w:firstRow="1" w:lastRow="0" w:firstColumn="1" w:lastColumn="0" w:noHBand="0" w:noVBand="1"/>
      </w:tblPr>
      <w:tblGrid>
        <w:gridCol w:w="7466"/>
      </w:tblGrid>
      <w:tr w:rsidR="00537D0C" w:rsidRPr="00537D0C" w14:paraId="342CB727" w14:textId="77777777" w:rsidTr="00816572">
        <w:trPr>
          <w:trHeight w:val="302"/>
        </w:trPr>
        <w:tc>
          <w:tcPr>
            <w:tcW w:w="7466" w:type="dxa"/>
            <w:tcBorders>
              <w:bottom w:val="single" w:sz="4" w:space="0" w:color="auto"/>
            </w:tcBorders>
            <w:tcMar>
              <w:left w:w="0" w:type="dxa"/>
              <w:right w:w="28" w:type="dxa"/>
            </w:tcMar>
          </w:tcPr>
          <w:p w14:paraId="0D84A14D" w14:textId="58C482AC" w:rsidR="00537D0C" w:rsidRPr="00537D0C" w:rsidRDefault="00537D0C" w:rsidP="00816572">
            <w:pPr>
              <w:rPr>
                <w:rFonts w:eastAsia="楷体" w:cs="Calibri"/>
                <w:sz w:val="20"/>
                <w:szCs w:val="20"/>
              </w:rPr>
            </w:pPr>
            <w:r w:rsidRPr="00537D0C">
              <w:rPr>
                <w:rStyle w:val="af"/>
                <w:rFonts w:eastAsia="Helvetica Neue" w:cs="Calibri"/>
                <w:color w:val="0F1115"/>
                <w:sz w:val="20"/>
                <w:szCs w:val="20"/>
                <w:shd w:val="clear" w:color="auto" w:fill="FFFFFF"/>
                <w:lang w:bidi="ar"/>
              </w:rPr>
              <w:t>Figure: Consumer Products Division Revenue 2020–2025 (€ million)</w:t>
            </w:r>
          </w:p>
        </w:tc>
      </w:tr>
      <w:tr w:rsidR="00537D0C" w14:paraId="394CA4FA" w14:textId="77777777" w:rsidTr="00DB4746">
        <w:trPr>
          <w:trHeight w:val="856"/>
        </w:trPr>
        <w:tc>
          <w:tcPr>
            <w:tcW w:w="7466" w:type="dxa"/>
            <w:tcBorders>
              <w:top w:val="single" w:sz="4" w:space="0" w:color="auto"/>
              <w:bottom w:val="single" w:sz="4" w:space="0" w:color="auto"/>
            </w:tcBorders>
            <w:vAlign w:val="center"/>
          </w:tcPr>
          <w:p w14:paraId="327B2524" w14:textId="02D05E72" w:rsidR="00537D0C" w:rsidRDefault="00DB4746" w:rsidP="00816572">
            <w:pPr>
              <w:spacing w:beforeLines="20" w:before="48" w:afterLines="20" w:after="48"/>
              <w:jc w:val="center"/>
              <w:textAlignment w:val="center"/>
              <w:rPr>
                <w:rFonts w:eastAsia="宋体" w:cs="Calibri"/>
                <w:b/>
                <w:bCs/>
                <w:sz w:val="20"/>
                <w:szCs w:val="20"/>
              </w:rPr>
            </w:pPr>
            <w:r>
              <w:rPr>
                <w:noProof/>
                <w:snapToGrid/>
              </w:rPr>
              <w:drawing>
                <wp:inline distT="0" distB="0" distL="0" distR="0" wp14:anchorId="0EC3EAD9" wp14:editId="0D15397D">
                  <wp:extent cx="4572000" cy="2582779"/>
                  <wp:effectExtent l="0" t="0" r="0" b="8255"/>
                  <wp:docPr id="850633622" name="图表 1">
                    <a:extLst xmlns:a="http://schemas.openxmlformats.org/drawingml/2006/main">
                      <a:ext uri="{FF2B5EF4-FFF2-40B4-BE49-F238E27FC236}">
                        <a16:creationId xmlns:a16="http://schemas.microsoft.com/office/drawing/2014/main" id="{56060662-7549-D505-1029-92BA51BB98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537D0C" w14:paraId="6417C759" w14:textId="77777777" w:rsidTr="00816572">
        <w:trPr>
          <w:trHeight w:val="64"/>
        </w:trPr>
        <w:tc>
          <w:tcPr>
            <w:tcW w:w="7466" w:type="dxa"/>
            <w:tcBorders>
              <w:top w:val="single" w:sz="4" w:space="0" w:color="auto"/>
            </w:tcBorders>
            <w:tcMar>
              <w:left w:w="0" w:type="dxa"/>
              <w:right w:w="28" w:type="dxa"/>
            </w:tcMar>
            <w:vAlign w:val="center"/>
          </w:tcPr>
          <w:p w14:paraId="4C61EEED" w14:textId="77777777" w:rsidR="00537D0C" w:rsidRDefault="00537D0C" w:rsidP="00816572">
            <w:pPr>
              <w:spacing w:line="240" w:lineRule="atLeast"/>
              <w:jc w:val="both"/>
              <w:textAlignment w:val="center"/>
              <w:rPr>
                <w:rFonts w:cs="Calibri"/>
                <w:sz w:val="20"/>
                <w:szCs w:val="20"/>
              </w:rPr>
            </w:pPr>
            <w:r>
              <w:rPr>
                <w:rFonts w:eastAsia="楷体" w:cs="Calibri"/>
                <w:b/>
                <w:bCs/>
                <w:sz w:val="20"/>
                <w:szCs w:val="20"/>
              </w:rPr>
              <w:t xml:space="preserve">Source: </w:t>
            </w:r>
            <w:r w:rsidRPr="00537D0C">
              <w:rPr>
                <w:rFonts w:eastAsia="楷体" w:cs="Calibri"/>
                <w:sz w:val="20"/>
                <w:szCs w:val="20"/>
              </w:rPr>
              <w:t>Company Financial Reports, HFI</w:t>
            </w:r>
          </w:p>
        </w:tc>
      </w:tr>
    </w:tbl>
    <w:p w14:paraId="44735814" w14:textId="2C6B4467" w:rsidR="00537D0C" w:rsidRPr="00DB4746" w:rsidRDefault="00537D0C" w:rsidP="00DB4746">
      <w:pPr>
        <w:pStyle w:val="af3"/>
        <w:numPr>
          <w:ilvl w:val="0"/>
          <w:numId w:val="8"/>
        </w:numPr>
        <w:spacing w:before="80" w:after="80"/>
        <w:rPr>
          <w:rFonts w:eastAsiaTheme="minorEastAsia" w:cs="Calibri"/>
          <w:b/>
          <w:bCs/>
          <w:color w:val="0F1115"/>
          <w:sz w:val="22"/>
          <w:szCs w:val="22"/>
          <w:shd w:val="clear" w:color="auto" w:fill="FFFFFF"/>
          <w:lang w:bidi="ar"/>
        </w:rPr>
      </w:pPr>
      <w:r w:rsidRPr="00DB4746">
        <w:rPr>
          <w:rFonts w:eastAsiaTheme="minorEastAsia" w:cs="Calibri"/>
          <w:b/>
          <w:bCs/>
          <w:color w:val="0F1115"/>
          <w:sz w:val="22"/>
          <w:szCs w:val="22"/>
          <w:shd w:val="clear" w:color="auto" w:fill="FFFFFF"/>
          <w:lang w:bidi="ar"/>
        </w:rPr>
        <w:t>Professional Products Division</w:t>
      </w:r>
    </w:p>
    <w:p w14:paraId="5E785DB6" w14:textId="11C2255E" w:rsidR="00537D0C" w:rsidRPr="00537D0C" w:rsidRDefault="00537D0C" w:rsidP="00537D0C">
      <w:pPr>
        <w:spacing w:before="80" w:after="80"/>
        <w:rPr>
          <w:rFonts w:eastAsiaTheme="minorEastAsia" w:cs="Calibri"/>
          <w:color w:val="0F1115"/>
          <w:sz w:val="22"/>
          <w:szCs w:val="22"/>
          <w:shd w:val="clear" w:color="auto" w:fill="FFFFFF"/>
          <w:lang w:bidi="ar"/>
        </w:rPr>
      </w:pPr>
      <w:r w:rsidRPr="00DB4746">
        <w:rPr>
          <w:rFonts w:eastAsiaTheme="minorEastAsia" w:cs="Calibri"/>
          <w:b/>
          <w:bCs/>
          <w:color w:val="0F1115"/>
          <w:sz w:val="22"/>
          <w:szCs w:val="22"/>
          <w:shd w:val="clear" w:color="auto" w:fill="FFFFFF"/>
          <w:lang w:bidi="ar"/>
        </w:rPr>
        <w:t xml:space="preserve">The Professional Products Division generated revenue of €5.16 billion in 2025 (CAGR 10.8%). </w:t>
      </w:r>
      <w:r w:rsidRPr="00537D0C">
        <w:rPr>
          <w:rFonts w:eastAsiaTheme="minorEastAsia" w:cs="Calibri"/>
          <w:color w:val="0F1115"/>
          <w:sz w:val="22"/>
          <w:szCs w:val="22"/>
          <w:shd w:val="clear" w:color="auto" w:fill="FFFFFF"/>
          <w:lang w:bidi="ar"/>
        </w:rPr>
        <w:t xml:space="preserve">The division was hit hardest by COVID-19 — widespread salon closures in 2020 caused a 10% revenue decline — but the crisis accelerated an e-commerce and omnichannel pivot, with the </w:t>
      </w:r>
      <w:proofErr w:type="spellStart"/>
      <w:r w:rsidRPr="00537D0C">
        <w:rPr>
          <w:rFonts w:eastAsiaTheme="minorEastAsia" w:cs="Calibri"/>
          <w:color w:val="0F1115"/>
          <w:sz w:val="22"/>
          <w:szCs w:val="22"/>
          <w:shd w:val="clear" w:color="auto" w:fill="FFFFFF"/>
          <w:lang w:bidi="ar"/>
        </w:rPr>
        <w:t>SalonCentric</w:t>
      </w:r>
      <w:proofErr w:type="spellEnd"/>
      <w:r w:rsidRPr="00537D0C">
        <w:rPr>
          <w:rFonts w:eastAsiaTheme="minorEastAsia" w:cs="Calibri"/>
          <w:color w:val="0F1115"/>
          <w:sz w:val="22"/>
          <w:szCs w:val="22"/>
          <w:shd w:val="clear" w:color="auto" w:fill="FFFFFF"/>
          <w:lang w:bidi="ar"/>
        </w:rPr>
        <w:t xml:space="preserve"> platform achieving breakthroughs in North America and Tmall in China. As salons reopened, the division rebounded strongly in 2021 and 2022, with growth of 22.0% and 18.5% respectively. Growth </w:t>
      </w:r>
      <w:r w:rsidR="00B1236C" w:rsidRPr="00537D0C">
        <w:rPr>
          <w:rFonts w:eastAsiaTheme="minorEastAsia" w:cs="Calibri"/>
          <w:color w:val="0F1115"/>
          <w:sz w:val="22"/>
          <w:szCs w:val="22"/>
          <w:shd w:val="clear" w:color="auto" w:fill="FFFFFF"/>
          <w:lang w:bidi="ar"/>
        </w:rPr>
        <w:t>normalized</w:t>
      </w:r>
      <w:r w:rsidRPr="00537D0C">
        <w:rPr>
          <w:rFonts w:eastAsiaTheme="minorEastAsia" w:cs="Calibri"/>
          <w:color w:val="0F1115"/>
          <w:sz w:val="22"/>
          <w:szCs w:val="22"/>
          <w:shd w:val="clear" w:color="auto" w:fill="FFFFFF"/>
          <w:lang w:bidi="ar"/>
        </w:rPr>
        <w:t xml:space="preserve"> and even accelerated from 2023 to 2025 (4.0%, 5.0%, and 7.5%), with </w:t>
      </w:r>
      <w:proofErr w:type="spellStart"/>
      <w:r w:rsidRPr="00537D0C">
        <w:rPr>
          <w:rFonts w:eastAsiaTheme="minorEastAsia" w:cs="Calibri"/>
          <w:color w:val="0F1115"/>
          <w:sz w:val="22"/>
          <w:szCs w:val="22"/>
          <w:shd w:val="clear" w:color="auto" w:fill="FFFFFF"/>
          <w:lang w:bidi="ar"/>
        </w:rPr>
        <w:t>Kérastase</w:t>
      </w:r>
      <w:proofErr w:type="spellEnd"/>
      <w:r w:rsidRPr="00537D0C">
        <w:rPr>
          <w:rFonts w:eastAsiaTheme="minorEastAsia" w:cs="Calibri"/>
          <w:color w:val="0F1115"/>
          <w:sz w:val="22"/>
          <w:szCs w:val="22"/>
          <w:shd w:val="clear" w:color="auto" w:fill="FFFFFF"/>
          <w:lang w:bidi="ar"/>
        </w:rPr>
        <w:t xml:space="preserve"> having become the division's largest brand while maintaining double-digit growth and the </w:t>
      </w:r>
      <w:r w:rsidR="00B1236C" w:rsidRPr="00537D0C">
        <w:rPr>
          <w:rFonts w:eastAsiaTheme="minorEastAsia" w:cs="Calibri"/>
          <w:color w:val="0F1115"/>
          <w:sz w:val="22"/>
          <w:szCs w:val="22"/>
          <w:shd w:val="clear" w:color="auto" w:fill="FFFFFF"/>
          <w:lang w:bidi="ar"/>
        </w:rPr>
        <w:t>premiumization</w:t>
      </w:r>
      <w:r w:rsidRPr="00537D0C">
        <w:rPr>
          <w:rFonts w:eastAsiaTheme="minorEastAsia" w:cs="Calibri"/>
          <w:color w:val="0F1115"/>
          <w:sz w:val="22"/>
          <w:szCs w:val="22"/>
          <w:shd w:val="clear" w:color="auto" w:fill="FFFFFF"/>
          <w:lang w:bidi="ar"/>
        </w:rPr>
        <w:t xml:space="preserve"> strategy continuing to deliver steady momentum.</w:t>
      </w:r>
    </w:p>
    <w:tbl>
      <w:tblPr>
        <w:tblW w:w="7466" w:type="dxa"/>
        <w:tblLayout w:type="fixed"/>
        <w:tblLook w:val="04A0" w:firstRow="1" w:lastRow="0" w:firstColumn="1" w:lastColumn="0" w:noHBand="0" w:noVBand="1"/>
      </w:tblPr>
      <w:tblGrid>
        <w:gridCol w:w="7466"/>
      </w:tblGrid>
      <w:tr w:rsidR="00537D0C" w:rsidRPr="00537D0C" w14:paraId="195612E4" w14:textId="77777777" w:rsidTr="00816572">
        <w:trPr>
          <w:trHeight w:val="302"/>
        </w:trPr>
        <w:tc>
          <w:tcPr>
            <w:tcW w:w="7466" w:type="dxa"/>
            <w:tcBorders>
              <w:bottom w:val="single" w:sz="4" w:space="0" w:color="auto"/>
            </w:tcBorders>
            <w:tcMar>
              <w:left w:w="0" w:type="dxa"/>
              <w:right w:w="28" w:type="dxa"/>
            </w:tcMar>
          </w:tcPr>
          <w:p w14:paraId="09F50F3B" w14:textId="3AD6AD56" w:rsidR="00537D0C" w:rsidRPr="00537D0C" w:rsidRDefault="00537D0C" w:rsidP="00816572">
            <w:pPr>
              <w:rPr>
                <w:rFonts w:eastAsia="楷体" w:cs="Calibri"/>
                <w:sz w:val="20"/>
                <w:szCs w:val="20"/>
              </w:rPr>
            </w:pPr>
            <w:r w:rsidRPr="00537D0C">
              <w:rPr>
                <w:rStyle w:val="af"/>
                <w:rFonts w:eastAsia="Helvetica Neue" w:cs="Calibri"/>
                <w:color w:val="0F1115"/>
                <w:sz w:val="20"/>
                <w:szCs w:val="20"/>
                <w:shd w:val="clear" w:color="auto" w:fill="FFFFFF"/>
                <w:lang w:bidi="ar"/>
              </w:rPr>
              <w:t>Figure: Professional Products Division Revenue 2020–2025 (€ million)</w:t>
            </w:r>
          </w:p>
        </w:tc>
      </w:tr>
      <w:tr w:rsidR="00537D0C" w14:paraId="51A8BF33" w14:textId="77777777" w:rsidTr="00DB4746">
        <w:trPr>
          <w:trHeight w:val="856"/>
        </w:trPr>
        <w:tc>
          <w:tcPr>
            <w:tcW w:w="7466" w:type="dxa"/>
            <w:tcBorders>
              <w:top w:val="single" w:sz="4" w:space="0" w:color="auto"/>
              <w:bottom w:val="single" w:sz="4" w:space="0" w:color="auto"/>
            </w:tcBorders>
            <w:vAlign w:val="center"/>
          </w:tcPr>
          <w:p w14:paraId="161F811C" w14:textId="7A8BD3D7" w:rsidR="00537D0C" w:rsidRDefault="00DB4746" w:rsidP="00816572">
            <w:pPr>
              <w:spacing w:beforeLines="20" w:before="48" w:afterLines="20" w:after="48"/>
              <w:jc w:val="center"/>
              <w:textAlignment w:val="center"/>
              <w:rPr>
                <w:rFonts w:eastAsia="宋体" w:cs="Calibri"/>
                <w:b/>
                <w:bCs/>
                <w:sz w:val="20"/>
                <w:szCs w:val="20"/>
              </w:rPr>
            </w:pPr>
            <w:r>
              <w:rPr>
                <w:noProof/>
                <w:snapToGrid/>
              </w:rPr>
              <w:drawing>
                <wp:inline distT="0" distB="0" distL="0" distR="0" wp14:anchorId="614ADAF6" wp14:editId="0FBEF2F3">
                  <wp:extent cx="4578488" cy="2582779"/>
                  <wp:effectExtent l="0" t="0" r="0" b="8255"/>
                  <wp:docPr id="1261631498" name="图表 1">
                    <a:extLst xmlns:a="http://schemas.openxmlformats.org/drawingml/2006/main">
                      <a:ext uri="{FF2B5EF4-FFF2-40B4-BE49-F238E27FC236}">
                        <a16:creationId xmlns:a16="http://schemas.microsoft.com/office/drawing/2014/main" id="{71772AFC-F715-10B8-09B1-21CB14FC31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537D0C" w14:paraId="323CE83E" w14:textId="77777777" w:rsidTr="00816572">
        <w:trPr>
          <w:trHeight w:val="64"/>
        </w:trPr>
        <w:tc>
          <w:tcPr>
            <w:tcW w:w="7466" w:type="dxa"/>
            <w:tcBorders>
              <w:top w:val="single" w:sz="4" w:space="0" w:color="auto"/>
            </w:tcBorders>
            <w:tcMar>
              <w:left w:w="0" w:type="dxa"/>
              <w:right w:w="28" w:type="dxa"/>
            </w:tcMar>
            <w:vAlign w:val="center"/>
          </w:tcPr>
          <w:p w14:paraId="51BBF1ED" w14:textId="77777777" w:rsidR="00537D0C" w:rsidRDefault="00537D0C" w:rsidP="00816572">
            <w:pPr>
              <w:spacing w:line="240" w:lineRule="atLeast"/>
              <w:jc w:val="both"/>
              <w:textAlignment w:val="center"/>
              <w:rPr>
                <w:rFonts w:cs="Calibri"/>
                <w:sz w:val="20"/>
                <w:szCs w:val="20"/>
              </w:rPr>
            </w:pPr>
            <w:r>
              <w:rPr>
                <w:rFonts w:eastAsia="楷体" w:cs="Calibri"/>
                <w:b/>
                <w:bCs/>
                <w:sz w:val="20"/>
                <w:szCs w:val="20"/>
              </w:rPr>
              <w:t xml:space="preserve">Source: </w:t>
            </w:r>
            <w:r w:rsidRPr="00537D0C">
              <w:rPr>
                <w:rFonts w:eastAsia="楷体" w:cs="Calibri"/>
                <w:sz w:val="20"/>
                <w:szCs w:val="20"/>
              </w:rPr>
              <w:t>Company Financial Reports, HFI</w:t>
            </w:r>
          </w:p>
        </w:tc>
      </w:tr>
    </w:tbl>
    <w:p w14:paraId="52FC7530" w14:textId="77777777" w:rsidR="00B1236C" w:rsidRDefault="00B1236C" w:rsidP="00537D0C">
      <w:pPr>
        <w:spacing w:before="80" w:after="80"/>
        <w:rPr>
          <w:rFonts w:eastAsiaTheme="minorEastAsia" w:cs="Calibri"/>
          <w:b/>
          <w:bCs/>
          <w:color w:val="0F1115"/>
          <w:sz w:val="22"/>
          <w:szCs w:val="22"/>
          <w:shd w:val="clear" w:color="auto" w:fill="FFFFFF"/>
          <w:lang w:bidi="ar"/>
        </w:rPr>
      </w:pPr>
    </w:p>
    <w:p w14:paraId="4215C065" w14:textId="77777777" w:rsidR="00B1236C" w:rsidRDefault="00B1236C" w:rsidP="00537D0C">
      <w:pPr>
        <w:spacing w:before="80" w:after="80"/>
        <w:rPr>
          <w:rFonts w:eastAsiaTheme="minorEastAsia" w:cs="Calibri"/>
          <w:b/>
          <w:bCs/>
          <w:color w:val="0F1115"/>
          <w:sz w:val="22"/>
          <w:szCs w:val="22"/>
          <w:shd w:val="clear" w:color="auto" w:fill="FFFFFF"/>
          <w:lang w:bidi="ar"/>
        </w:rPr>
      </w:pPr>
    </w:p>
    <w:p w14:paraId="7BA308DD" w14:textId="3A28962B" w:rsidR="00537D0C" w:rsidRPr="00DB4746" w:rsidRDefault="00537D0C" w:rsidP="00537D0C">
      <w:pPr>
        <w:spacing w:before="80" w:after="80"/>
        <w:rPr>
          <w:rFonts w:eastAsiaTheme="minorEastAsia" w:cs="Calibri"/>
          <w:b/>
          <w:bCs/>
          <w:color w:val="0F1115"/>
          <w:sz w:val="22"/>
          <w:szCs w:val="22"/>
          <w:shd w:val="clear" w:color="auto" w:fill="FFFFFF"/>
          <w:lang w:bidi="ar"/>
        </w:rPr>
      </w:pPr>
      <w:r w:rsidRPr="00DB4746">
        <w:rPr>
          <w:rFonts w:eastAsiaTheme="minorEastAsia" w:cs="Calibri"/>
          <w:b/>
          <w:bCs/>
          <w:color w:val="0F1115"/>
          <w:sz w:val="22"/>
          <w:szCs w:val="22"/>
          <w:shd w:val="clear" w:color="auto" w:fill="FFFFFF"/>
          <w:lang w:bidi="ar"/>
        </w:rPr>
        <w:lastRenderedPageBreak/>
        <w:t>L'Oréal's profitability remained broadly steady from 2022 to 2025, with a moderate improvement across all key metrics.</w:t>
      </w:r>
    </w:p>
    <w:p w14:paraId="754B4A45" w14:textId="77777777" w:rsidR="00537D0C" w:rsidRPr="00537D0C" w:rsidRDefault="00537D0C" w:rsidP="00537D0C">
      <w:pPr>
        <w:spacing w:before="80" w:after="80"/>
        <w:rPr>
          <w:rFonts w:eastAsiaTheme="minorEastAsia" w:cs="Calibri"/>
          <w:color w:val="0F1115"/>
          <w:sz w:val="22"/>
          <w:szCs w:val="22"/>
          <w:shd w:val="clear" w:color="auto" w:fill="FFFFFF"/>
          <w:lang w:bidi="ar"/>
        </w:rPr>
      </w:pPr>
      <w:r w:rsidRPr="00537D0C">
        <w:rPr>
          <w:rFonts w:eastAsiaTheme="minorEastAsia" w:cs="Calibri"/>
          <w:b/>
          <w:bCs/>
          <w:color w:val="0F1115"/>
          <w:sz w:val="22"/>
          <w:szCs w:val="22"/>
          <w:shd w:val="clear" w:color="auto" w:fill="FFFFFF"/>
          <w:lang w:bidi="ar"/>
        </w:rPr>
        <w:t xml:space="preserve">1) Gross Profit and Gross Margin: </w:t>
      </w:r>
      <w:r w:rsidRPr="00537D0C">
        <w:rPr>
          <w:rFonts w:eastAsiaTheme="minorEastAsia" w:cs="Calibri"/>
          <w:color w:val="0F1115"/>
          <w:sz w:val="22"/>
          <w:szCs w:val="22"/>
          <w:shd w:val="clear" w:color="auto" w:fill="FFFFFF"/>
          <w:lang w:bidi="ar"/>
        </w:rPr>
        <w:t xml:space="preserve">Group gross profit grew from €27.68 billion in 2022 to €32.74 billion in 2025 (three-year CAGR of 5.8%). The gross margin expanded continuously from 72.4% to 74.3%, a cumulative improvement of 1.9 percentage points, primarily driven by an ongoing product-mix shift towards higher value-added categories, </w:t>
      </w:r>
      <w:proofErr w:type="spellStart"/>
      <w:r w:rsidRPr="00537D0C">
        <w:rPr>
          <w:rFonts w:eastAsiaTheme="minorEastAsia" w:cs="Calibri"/>
          <w:color w:val="0F1115"/>
          <w:sz w:val="22"/>
          <w:szCs w:val="22"/>
          <w:shd w:val="clear" w:color="auto" w:fill="FFFFFF"/>
          <w:lang w:bidi="ar"/>
        </w:rPr>
        <w:t>favourable</w:t>
      </w:r>
      <w:proofErr w:type="spellEnd"/>
      <w:r w:rsidRPr="00537D0C">
        <w:rPr>
          <w:rFonts w:eastAsiaTheme="minorEastAsia" w:cs="Calibri"/>
          <w:color w:val="0F1115"/>
          <w:sz w:val="22"/>
          <w:szCs w:val="22"/>
          <w:shd w:val="clear" w:color="auto" w:fill="FFFFFF"/>
          <w:lang w:bidi="ar"/>
        </w:rPr>
        <w:t xml:space="preserve"> pricing dynamics, and disciplined purchasing and manufacturing cost management, partially offset by currency headwinds.</w:t>
      </w:r>
    </w:p>
    <w:p w14:paraId="646D245D" w14:textId="77777777" w:rsidR="00537D0C" w:rsidRPr="00537D0C" w:rsidRDefault="00537D0C" w:rsidP="00537D0C">
      <w:pPr>
        <w:spacing w:before="80" w:after="80"/>
        <w:rPr>
          <w:rFonts w:eastAsiaTheme="minorEastAsia" w:cs="Calibri"/>
          <w:color w:val="0F1115"/>
          <w:sz w:val="22"/>
          <w:szCs w:val="22"/>
          <w:shd w:val="clear" w:color="auto" w:fill="FFFFFF"/>
          <w:lang w:bidi="ar"/>
        </w:rPr>
      </w:pPr>
      <w:r w:rsidRPr="00537D0C">
        <w:rPr>
          <w:rFonts w:eastAsiaTheme="minorEastAsia" w:cs="Calibri"/>
          <w:b/>
          <w:bCs/>
          <w:color w:val="0F1115"/>
          <w:sz w:val="22"/>
          <w:szCs w:val="22"/>
          <w:shd w:val="clear" w:color="auto" w:fill="FFFFFF"/>
          <w:lang w:bidi="ar"/>
        </w:rPr>
        <w:t xml:space="preserve">2) Expense Ratios: </w:t>
      </w:r>
      <w:r w:rsidRPr="00537D0C">
        <w:rPr>
          <w:rFonts w:eastAsiaTheme="minorEastAsia" w:cs="Calibri"/>
          <w:color w:val="0F1115"/>
          <w:sz w:val="22"/>
          <w:szCs w:val="22"/>
          <w:shd w:val="clear" w:color="auto" w:fill="FFFFFF"/>
          <w:lang w:bidi="ar"/>
        </w:rPr>
        <w:t xml:space="preserve">L'Oréal's cost structure remained broadly stable from 2022 to 2025. Advertising and promotion expenditure was consistently maintained in the range of 31%–33% of sales, R&amp;D expenses held steady at 3.1% of sales, and the selling, general and administrative expense ratio edged up slightly from 18.4% in 2022 to 18.9% in 2024 before declining to 18.8% in 2025, as efficiency gains from regional restructuring began to </w:t>
      </w:r>
      <w:proofErr w:type="spellStart"/>
      <w:r w:rsidRPr="00537D0C">
        <w:rPr>
          <w:rFonts w:eastAsiaTheme="minorEastAsia" w:cs="Calibri"/>
          <w:color w:val="0F1115"/>
          <w:sz w:val="22"/>
          <w:szCs w:val="22"/>
          <w:shd w:val="clear" w:color="auto" w:fill="FFFFFF"/>
          <w:lang w:bidi="ar"/>
        </w:rPr>
        <w:t>materialise</w:t>
      </w:r>
      <w:proofErr w:type="spellEnd"/>
      <w:r w:rsidRPr="00537D0C">
        <w:rPr>
          <w:rFonts w:eastAsiaTheme="minorEastAsia" w:cs="Calibri"/>
          <w:color w:val="0F1115"/>
          <w:sz w:val="22"/>
          <w:szCs w:val="22"/>
          <w:shd w:val="clear" w:color="auto" w:fill="FFFFFF"/>
          <w:lang w:bidi="ar"/>
        </w:rPr>
        <w:t>.</w:t>
      </w:r>
    </w:p>
    <w:p w14:paraId="4A18E1D2" w14:textId="77777777" w:rsidR="00537D0C" w:rsidRPr="00537D0C" w:rsidRDefault="00537D0C" w:rsidP="00537D0C">
      <w:pPr>
        <w:spacing w:before="80" w:after="80"/>
        <w:rPr>
          <w:rFonts w:eastAsiaTheme="minorEastAsia" w:cs="Calibri"/>
          <w:color w:val="0F1115"/>
          <w:sz w:val="22"/>
          <w:szCs w:val="22"/>
          <w:shd w:val="clear" w:color="auto" w:fill="FFFFFF"/>
          <w:lang w:bidi="ar"/>
        </w:rPr>
      </w:pPr>
      <w:r w:rsidRPr="00537D0C">
        <w:rPr>
          <w:rFonts w:eastAsiaTheme="minorEastAsia" w:cs="Calibri"/>
          <w:b/>
          <w:bCs/>
          <w:color w:val="0F1115"/>
          <w:sz w:val="22"/>
          <w:szCs w:val="22"/>
          <w:shd w:val="clear" w:color="auto" w:fill="FFFFFF"/>
          <w:lang w:bidi="ar"/>
        </w:rPr>
        <w:t>3) Operating Profit and Operating Margin:</w:t>
      </w:r>
      <w:r w:rsidRPr="00537D0C">
        <w:rPr>
          <w:rFonts w:eastAsiaTheme="minorEastAsia" w:cs="Calibri"/>
          <w:color w:val="0F1115"/>
          <w:sz w:val="22"/>
          <w:szCs w:val="22"/>
          <w:shd w:val="clear" w:color="auto" w:fill="FFFFFF"/>
          <w:lang w:bidi="ar"/>
        </w:rPr>
        <w:t xml:space="preserve"> Operating profit grew from €7.46 billion in 2022 to €8.89 billion in 2025 (three-year CAGR of 6.0%), with the operating margin improving year by year from 19.5% to 19.8%, 20.0%, and 20.2% — setting a record high for four consecutive years. This reflects the combined effect of operating scale and leverage, demonstrating L'Oréal's dual-track approach of 'investing in brands while improving efficiency'.</w:t>
      </w:r>
    </w:p>
    <w:p w14:paraId="15EFD674" w14:textId="379C0D8E" w:rsidR="00537D0C" w:rsidRPr="00537D0C" w:rsidRDefault="00537D0C" w:rsidP="00537D0C">
      <w:pPr>
        <w:spacing w:before="80" w:after="80"/>
        <w:rPr>
          <w:rFonts w:eastAsiaTheme="minorEastAsia" w:cs="Calibri"/>
          <w:color w:val="0F1115"/>
          <w:sz w:val="22"/>
          <w:szCs w:val="22"/>
          <w:shd w:val="clear" w:color="auto" w:fill="FFFFFF"/>
          <w:lang w:bidi="ar"/>
        </w:rPr>
      </w:pPr>
      <w:r w:rsidRPr="00537D0C">
        <w:rPr>
          <w:rFonts w:eastAsiaTheme="minorEastAsia" w:cs="Calibri"/>
          <w:b/>
          <w:bCs/>
          <w:color w:val="0F1115"/>
          <w:sz w:val="22"/>
          <w:szCs w:val="22"/>
          <w:shd w:val="clear" w:color="auto" w:fill="FFFFFF"/>
          <w:lang w:bidi="ar"/>
        </w:rPr>
        <w:t xml:space="preserve">4) Net Profit: </w:t>
      </w:r>
      <w:r w:rsidRPr="00537D0C">
        <w:rPr>
          <w:rFonts w:eastAsiaTheme="minorEastAsia" w:cs="Calibri"/>
          <w:color w:val="0F1115"/>
          <w:sz w:val="22"/>
          <w:szCs w:val="22"/>
          <w:shd w:val="clear" w:color="auto" w:fill="FFFFFF"/>
          <w:lang w:bidi="ar"/>
        </w:rPr>
        <w:t>Net profit attributable to the parent company moved from €5.71 billion in 2022 to €6.13 billion in 2025, with the net profit margin maintained in the 14.7%–15.0% range. The 2025 net profit declined 4.4% year-on-year due to non-recurring impairment losses; excluding this item, adjusted net profit was €6.81 billion, up 0.3% YoY, reflecting robust underlying earnings quality.</w:t>
      </w:r>
    </w:p>
    <w:p w14:paraId="1B1CACE8" w14:textId="77777777" w:rsidR="00537D0C" w:rsidRPr="004F3449" w:rsidRDefault="00537D0C" w:rsidP="00537D0C">
      <w:pPr>
        <w:widowControl w:val="0"/>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537D0C" w14:paraId="61A765DF" w14:textId="77777777" w:rsidTr="00816572">
        <w:trPr>
          <w:trHeight w:val="227"/>
        </w:trPr>
        <w:tc>
          <w:tcPr>
            <w:tcW w:w="5100" w:type="dxa"/>
            <w:tcBorders>
              <w:bottom w:val="single" w:sz="4" w:space="0" w:color="auto"/>
            </w:tcBorders>
            <w:tcMar>
              <w:left w:w="0" w:type="dxa"/>
              <w:right w:w="28" w:type="dxa"/>
            </w:tcMar>
          </w:tcPr>
          <w:p w14:paraId="3621F09C" w14:textId="3A92D91D" w:rsidR="00537D0C" w:rsidRPr="00537D0C" w:rsidRDefault="00537D0C" w:rsidP="00816572">
            <w:pPr>
              <w:spacing w:beforeLines="20" w:before="48" w:afterLines="20" w:after="48"/>
              <w:jc w:val="both"/>
              <w:textAlignment w:val="center"/>
              <w:rPr>
                <w:rFonts w:eastAsia="楷体" w:cs="Calibri"/>
                <w:b/>
                <w:sz w:val="20"/>
                <w:szCs w:val="20"/>
                <w:highlight w:val="yellow"/>
              </w:rPr>
            </w:pPr>
            <w:r w:rsidRPr="00537D0C">
              <w:rPr>
                <w:rFonts w:eastAsia="楷体" w:cs="Calibri"/>
                <w:b/>
                <w:sz w:val="20"/>
                <w:szCs w:val="20"/>
              </w:rPr>
              <w:t>Figure: L'Oréal Gross Profit and Gross Margin 2020–2025 (€ million)</w:t>
            </w:r>
          </w:p>
        </w:tc>
        <w:tc>
          <w:tcPr>
            <w:tcW w:w="241" w:type="dxa"/>
            <w:tcMar>
              <w:left w:w="0" w:type="dxa"/>
              <w:right w:w="28" w:type="dxa"/>
            </w:tcMar>
          </w:tcPr>
          <w:p w14:paraId="4F187094" w14:textId="77777777" w:rsidR="00537D0C" w:rsidRPr="00537D0C" w:rsidRDefault="00537D0C" w:rsidP="00816572">
            <w:pPr>
              <w:spacing w:beforeLines="20" w:before="48" w:afterLines="20" w:after="48"/>
              <w:jc w:val="both"/>
              <w:rPr>
                <w:rFonts w:eastAsia="楷体" w:cs="Calibri"/>
                <w:sz w:val="20"/>
                <w:szCs w:val="20"/>
                <w:highlight w:val="yellow"/>
              </w:rPr>
            </w:pPr>
          </w:p>
        </w:tc>
        <w:tc>
          <w:tcPr>
            <w:tcW w:w="5149" w:type="dxa"/>
            <w:tcBorders>
              <w:bottom w:val="single" w:sz="4" w:space="0" w:color="auto"/>
            </w:tcBorders>
            <w:tcMar>
              <w:left w:w="0" w:type="dxa"/>
              <w:right w:w="28" w:type="dxa"/>
            </w:tcMar>
          </w:tcPr>
          <w:p w14:paraId="77A3CAC9" w14:textId="7318C99B" w:rsidR="00537D0C" w:rsidRPr="00537D0C" w:rsidRDefault="00537D0C" w:rsidP="00816572">
            <w:pPr>
              <w:spacing w:beforeLines="20" w:before="48" w:afterLines="20" w:after="48"/>
              <w:jc w:val="both"/>
              <w:rPr>
                <w:rFonts w:eastAsia="楷体" w:cs="Calibri"/>
                <w:b/>
                <w:sz w:val="20"/>
                <w:szCs w:val="20"/>
              </w:rPr>
            </w:pPr>
            <w:r w:rsidRPr="00537D0C">
              <w:rPr>
                <w:rFonts w:eastAsia="楷体" w:cs="Calibri"/>
                <w:b/>
                <w:sz w:val="20"/>
                <w:szCs w:val="20"/>
              </w:rPr>
              <w:t>Figure: L'Oréal Expense Ratios 2020–2025</w:t>
            </w:r>
          </w:p>
        </w:tc>
      </w:tr>
      <w:tr w:rsidR="00537D0C" w14:paraId="6DFE0BC5" w14:textId="77777777" w:rsidTr="00DB4746">
        <w:trPr>
          <w:trHeight w:val="2300"/>
        </w:trPr>
        <w:tc>
          <w:tcPr>
            <w:tcW w:w="5100" w:type="dxa"/>
            <w:tcBorders>
              <w:top w:val="single" w:sz="4" w:space="0" w:color="auto"/>
              <w:bottom w:val="single" w:sz="4" w:space="0" w:color="auto"/>
            </w:tcBorders>
            <w:vAlign w:val="center"/>
          </w:tcPr>
          <w:p w14:paraId="6DFC08BB" w14:textId="072373B0" w:rsidR="00537D0C" w:rsidRDefault="00962A49" w:rsidP="00816572">
            <w:pPr>
              <w:spacing w:beforeLines="20" w:before="48" w:afterLines="20" w:after="48"/>
              <w:jc w:val="both"/>
              <w:textAlignment w:val="center"/>
              <w:rPr>
                <w:rFonts w:eastAsia="楷体_GB2312" w:cs="Calibri"/>
                <w:b/>
                <w:color w:val="000000"/>
                <w:sz w:val="20"/>
                <w:szCs w:val="20"/>
                <w:lang w:bidi="ar"/>
              </w:rPr>
            </w:pPr>
            <w:r>
              <w:rPr>
                <w:noProof/>
                <w:snapToGrid/>
              </w:rPr>
              <w:drawing>
                <wp:inline distT="0" distB="0" distL="0" distR="0" wp14:anchorId="7619E7E6" wp14:editId="5AE24EE6">
                  <wp:extent cx="3101340" cy="1860550"/>
                  <wp:effectExtent l="0" t="0" r="3810" b="6350"/>
                  <wp:docPr id="2009058702" name="图表 1">
                    <a:extLst xmlns:a="http://schemas.openxmlformats.org/drawingml/2006/main">
                      <a:ext uri="{FF2B5EF4-FFF2-40B4-BE49-F238E27FC236}">
                        <a16:creationId xmlns:a16="http://schemas.microsoft.com/office/drawing/2014/main" id="{BB9B5FE3-E4FA-1AC1-F0AA-815379493F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241" w:type="dxa"/>
          </w:tcPr>
          <w:p w14:paraId="78E7DD46" w14:textId="77777777" w:rsidR="00537D0C" w:rsidRDefault="00537D0C" w:rsidP="00816572">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7220C3A2" w14:textId="488014E8" w:rsidR="00537D0C" w:rsidRDefault="00DB4746" w:rsidP="00816572">
            <w:pPr>
              <w:spacing w:beforeLines="20" w:before="48" w:afterLines="20" w:after="48"/>
              <w:jc w:val="both"/>
              <w:rPr>
                <w:rFonts w:eastAsia="楷体_GB2312" w:cs="Calibri"/>
                <w:b/>
                <w:sz w:val="20"/>
                <w:szCs w:val="20"/>
              </w:rPr>
            </w:pPr>
            <w:r>
              <w:rPr>
                <w:noProof/>
                <w:snapToGrid/>
              </w:rPr>
              <w:drawing>
                <wp:inline distT="0" distB="0" distL="0" distR="0" wp14:anchorId="74AED7DA" wp14:editId="729BC2A6">
                  <wp:extent cx="3132455" cy="1879600"/>
                  <wp:effectExtent l="0" t="0" r="0" b="6350"/>
                  <wp:docPr id="154178058" name="图表 1">
                    <a:extLst xmlns:a="http://schemas.openxmlformats.org/drawingml/2006/main">
                      <a:ext uri="{FF2B5EF4-FFF2-40B4-BE49-F238E27FC236}">
                        <a16:creationId xmlns:a16="http://schemas.microsoft.com/office/drawing/2014/main" id="{08D897CB-B78A-C0F1-8492-C853B62DB8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537D0C" w14:paraId="63E7EE2F" w14:textId="77777777" w:rsidTr="00816572">
        <w:trPr>
          <w:trHeight w:val="227"/>
        </w:trPr>
        <w:tc>
          <w:tcPr>
            <w:tcW w:w="5100" w:type="dxa"/>
            <w:tcBorders>
              <w:top w:val="single" w:sz="4" w:space="0" w:color="auto"/>
            </w:tcBorders>
            <w:tcMar>
              <w:left w:w="0" w:type="dxa"/>
              <w:right w:w="28" w:type="dxa"/>
            </w:tcMar>
            <w:vAlign w:val="center"/>
          </w:tcPr>
          <w:p w14:paraId="46167063" w14:textId="5FBA9018" w:rsidR="00537D0C" w:rsidRPr="00537D0C" w:rsidRDefault="00537D0C" w:rsidP="00816572">
            <w:pPr>
              <w:spacing w:beforeLines="20" w:before="48" w:afterLines="20" w:after="48"/>
              <w:jc w:val="both"/>
              <w:textAlignment w:val="center"/>
              <w:rPr>
                <w:rFonts w:eastAsia="楷体_GB2312" w:cs="Calibri"/>
                <w:sz w:val="20"/>
                <w:szCs w:val="20"/>
              </w:rPr>
            </w:pPr>
            <w:r w:rsidRPr="00537D0C">
              <w:rPr>
                <w:rFonts w:eastAsia="楷体" w:cs="Calibri"/>
                <w:b/>
                <w:bCs/>
                <w:sz w:val="20"/>
                <w:szCs w:val="20"/>
              </w:rPr>
              <w:t xml:space="preserve">Source: </w:t>
            </w:r>
            <w:r w:rsidRPr="00DB4746">
              <w:rPr>
                <w:rFonts w:eastAsia="楷体" w:cs="Calibri"/>
                <w:sz w:val="20"/>
                <w:szCs w:val="20"/>
              </w:rPr>
              <w:t>Company Financial Reports, HFI</w:t>
            </w:r>
          </w:p>
        </w:tc>
        <w:tc>
          <w:tcPr>
            <w:tcW w:w="241" w:type="dxa"/>
            <w:tcMar>
              <w:left w:w="0" w:type="dxa"/>
              <w:right w:w="28" w:type="dxa"/>
            </w:tcMar>
          </w:tcPr>
          <w:p w14:paraId="65E26E7D" w14:textId="77777777" w:rsidR="00537D0C" w:rsidRPr="00537D0C" w:rsidRDefault="00537D0C" w:rsidP="00816572">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3AB59A29" w14:textId="03123161" w:rsidR="00537D0C" w:rsidRPr="00537D0C" w:rsidRDefault="00537D0C" w:rsidP="00816572">
            <w:pPr>
              <w:spacing w:beforeLines="20" w:before="48" w:afterLines="20" w:after="48"/>
              <w:jc w:val="both"/>
              <w:rPr>
                <w:rFonts w:eastAsia="楷体_GB2312" w:cs="Calibri"/>
                <w:sz w:val="20"/>
                <w:szCs w:val="20"/>
              </w:rPr>
            </w:pPr>
            <w:r w:rsidRPr="00537D0C">
              <w:rPr>
                <w:rFonts w:eastAsia="楷体" w:cs="Calibri"/>
                <w:b/>
                <w:bCs/>
                <w:sz w:val="20"/>
                <w:szCs w:val="20"/>
              </w:rPr>
              <w:t xml:space="preserve">Source: </w:t>
            </w:r>
            <w:r w:rsidRPr="00DB4746">
              <w:rPr>
                <w:rFonts w:eastAsia="楷体" w:cs="Calibri"/>
                <w:sz w:val="20"/>
                <w:szCs w:val="20"/>
              </w:rPr>
              <w:t>Company Financial Reports, HFI</w:t>
            </w:r>
          </w:p>
        </w:tc>
      </w:tr>
    </w:tbl>
    <w:p w14:paraId="53A9725D" w14:textId="77777777" w:rsidR="00537D0C" w:rsidRDefault="00537D0C" w:rsidP="00537D0C">
      <w:pPr>
        <w:widowControl w:val="0"/>
        <w:jc w:val="both"/>
        <w:rPr>
          <w:rFonts w:asciiTheme="minorHAnsi" w:eastAsia="楷体" w:hAnsiTheme="minorHAnsi" w:cstheme="minorHAnsi" w:hint="eastAsia"/>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537D0C" w:rsidRPr="003E19BA" w14:paraId="6E13003B" w14:textId="77777777" w:rsidTr="00816572">
        <w:trPr>
          <w:trHeight w:val="227"/>
        </w:trPr>
        <w:tc>
          <w:tcPr>
            <w:tcW w:w="5100" w:type="dxa"/>
            <w:tcBorders>
              <w:bottom w:val="single" w:sz="4" w:space="0" w:color="auto"/>
            </w:tcBorders>
            <w:tcMar>
              <w:left w:w="0" w:type="dxa"/>
              <w:right w:w="28" w:type="dxa"/>
            </w:tcMar>
          </w:tcPr>
          <w:p w14:paraId="26954C34" w14:textId="5FC87C71" w:rsidR="00537D0C" w:rsidRPr="00537D0C" w:rsidRDefault="00537D0C" w:rsidP="00816572">
            <w:pPr>
              <w:spacing w:beforeLines="20" w:before="48" w:afterLines="20" w:after="48"/>
              <w:jc w:val="both"/>
              <w:textAlignment w:val="center"/>
              <w:rPr>
                <w:rFonts w:eastAsia="楷体" w:cs="Calibri"/>
                <w:b/>
                <w:sz w:val="20"/>
                <w:szCs w:val="20"/>
                <w:highlight w:val="yellow"/>
              </w:rPr>
            </w:pPr>
            <w:r w:rsidRPr="00537D0C">
              <w:rPr>
                <w:rFonts w:eastAsia="楷体" w:cs="Calibri"/>
                <w:b/>
                <w:sz w:val="20"/>
                <w:szCs w:val="20"/>
              </w:rPr>
              <w:t>Figure: L'Oréal Net Profit and Net Margin 2020–2025 (€ million)</w:t>
            </w:r>
          </w:p>
        </w:tc>
        <w:tc>
          <w:tcPr>
            <w:tcW w:w="241" w:type="dxa"/>
            <w:tcMar>
              <w:left w:w="0" w:type="dxa"/>
              <w:right w:w="28" w:type="dxa"/>
            </w:tcMar>
          </w:tcPr>
          <w:p w14:paraId="48992861" w14:textId="77777777" w:rsidR="00537D0C" w:rsidRPr="00537D0C" w:rsidRDefault="00537D0C" w:rsidP="00816572">
            <w:pPr>
              <w:spacing w:beforeLines="20" w:before="48" w:afterLines="20" w:after="48"/>
              <w:jc w:val="both"/>
              <w:rPr>
                <w:rFonts w:eastAsia="楷体" w:cs="Calibri"/>
                <w:sz w:val="20"/>
                <w:szCs w:val="20"/>
                <w:highlight w:val="yellow"/>
              </w:rPr>
            </w:pPr>
          </w:p>
        </w:tc>
        <w:tc>
          <w:tcPr>
            <w:tcW w:w="5149" w:type="dxa"/>
            <w:tcBorders>
              <w:bottom w:val="single" w:sz="4" w:space="0" w:color="auto"/>
            </w:tcBorders>
            <w:tcMar>
              <w:left w:w="0" w:type="dxa"/>
              <w:right w:w="28" w:type="dxa"/>
            </w:tcMar>
          </w:tcPr>
          <w:p w14:paraId="36AEE1A3" w14:textId="1548CD4F" w:rsidR="00537D0C" w:rsidRPr="00537D0C" w:rsidRDefault="00537D0C" w:rsidP="00816572">
            <w:pPr>
              <w:spacing w:beforeLines="20" w:before="48" w:afterLines="20" w:after="48"/>
              <w:jc w:val="both"/>
              <w:rPr>
                <w:rFonts w:eastAsia="楷体" w:cs="Calibri"/>
                <w:b/>
                <w:sz w:val="20"/>
                <w:szCs w:val="20"/>
              </w:rPr>
            </w:pPr>
            <w:r w:rsidRPr="00537D0C">
              <w:rPr>
                <w:rFonts w:eastAsia="楷体" w:cs="Calibri"/>
                <w:b/>
                <w:sz w:val="20"/>
                <w:szCs w:val="20"/>
              </w:rPr>
              <w:t>Figure: L'Oréal Operating Profit and Operating Margin 2020–2025 (€ million)</w:t>
            </w:r>
          </w:p>
        </w:tc>
      </w:tr>
      <w:tr w:rsidR="00537D0C" w14:paraId="1977C234" w14:textId="77777777" w:rsidTr="00962A49">
        <w:trPr>
          <w:trHeight w:val="2300"/>
        </w:trPr>
        <w:tc>
          <w:tcPr>
            <w:tcW w:w="5100" w:type="dxa"/>
            <w:tcBorders>
              <w:top w:val="single" w:sz="4" w:space="0" w:color="auto"/>
              <w:bottom w:val="single" w:sz="4" w:space="0" w:color="auto"/>
            </w:tcBorders>
            <w:vAlign w:val="center"/>
          </w:tcPr>
          <w:p w14:paraId="69FCC55A" w14:textId="0A5AC89D" w:rsidR="00537D0C" w:rsidRDefault="00962A49" w:rsidP="00816572">
            <w:pPr>
              <w:spacing w:beforeLines="20" w:before="48" w:afterLines="20" w:after="48"/>
              <w:jc w:val="both"/>
              <w:textAlignment w:val="center"/>
              <w:rPr>
                <w:rFonts w:eastAsia="楷体_GB2312" w:cs="Calibri"/>
                <w:b/>
                <w:color w:val="000000"/>
                <w:sz w:val="20"/>
                <w:szCs w:val="20"/>
                <w:lang w:bidi="ar"/>
              </w:rPr>
            </w:pPr>
            <w:r>
              <w:rPr>
                <w:noProof/>
                <w:snapToGrid/>
              </w:rPr>
              <w:lastRenderedPageBreak/>
              <w:drawing>
                <wp:inline distT="0" distB="0" distL="0" distR="0" wp14:anchorId="57CEE56F" wp14:editId="45AA2C8D">
                  <wp:extent cx="3101340" cy="1860550"/>
                  <wp:effectExtent l="0" t="0" r="3810" b="6350"/>
                  <wp:docPr id="1642632666" name="图表 1">
                    <a:extLst xmlns:a="http://schemas.openxmlformats.org/drawingml/2006/main">
                      <a:ext uri="{FF2B5EF4-FFF2-40B4-BE49-F238E27FC236}">
                        <a16:creationId xmlns:a16="http://schemas.microsoft.com/office/drawing/2014/main" id="{BEB3B157-5EBC-83DC-E017-225FF5EE64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14:paraId="212BF985" w14:textId="77777777" w:rsidR="00537D0C" w:rsidRDefault="00537D0C" w:rsidP="00816572">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2F102568" w14:textId="132BD126" w:rsidR="00537D0C" w:rsidRDefault="00962A49" w:rsidP="00816572">
            <w:pPr>
              <w:spacing w:beforeLines="20" w:before="48" w:afterLines="20" w:after="48"/>
              <w:jc w:val="both"/>
              <w:rPr>
                <w:rFonts w:eastAsia="楷体_GB2312" w:cs="Calibri"/>
                <w:b/>
                <w:sz w:val="20"/>
                <w:szCs w:val="20"/>
              </w:rPr>
            </w:pPr>
            <w:r>
              <w:rPr>
                <w:noProof/>
                <w:snapToGrid/>
              </w:rPr>
              <w:drawing>
                <wp:inline distT="0" distB="0" distL="0" distR="0" wp14:anchorId="13034E9D" wp14:editId="00EB8C2B">
                  <wp:extent cx="3132455" cy="1879600"/>
                  <wp:effectExtent l="0" t="0" r="0" b="6350"/>
                  <wp:docPr id="42500178" name="图表 1">
                    <a:extLst xmlns:a="http://schemas.openxmlformats.org/drawingml/2006/main">
                      <a:ext uri="{FF2B5EF4-FFF2-40B4-BE49-F238E27FC236}">
                        <a16:creationId xmlns:a16="http://schemas.microsoft.com/office/drawing/2014/main" id="{7FD82577-6114-613A-301D-948B79E936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537D0C" w14:paraId="6EDD19B1" w14:textId="77777777" w:rsidTr="00816572">
        <w:trPr>
          <w:trHeight w:val="227"/>
        </w:trPr>
        <w:tc>
          <w:tcPr>
            <w:tcW w:w="5100" w:type="dxa"/>
            <w:tcBorders>
              <w:top w:val="single" w:sz="4" w:space="0" w:color="auto"/>
            </w:tcBorders>
            <w:tcMar>
              <w:left w:w="0" w:type="dxa"/>
              <w:right w:w="28" w:type="dxa"/>
            </w:tcMar>
            <w:vAlign w:val="center"/>
          </w:tcPr>
          <w:p w14:paraId="2261F9F1" w14:textId="5EB700CF" w:rsidR="00537D0C" w:rsidRPr="00537D0C" w:rsidRDefault="00537D0C" w:rsidP="00816572">
            <w:pPr>
              <w:spacing w:beforeLines="20" w:before="48" w:afterLines="20" w:after="48"/>
              <w:jc w:val="both"/>
              <w:textAlignment w:val="center"/>
              <w:rPr>
                <w:rFonts w:eastAsia="楷体_GB2312" w:cs="Calibri"/>
                <w:sz w:val="20"/>
                <w:szCs w:val="20"/>
              </w:rPr>
            </w:pPr>
            <w:r w:rsidRPr="00537D0C">
              <w:rPr>
                <w:rFonts w:eastAsia="楷体" w:cs="Calibri"/>
                <w:b/>
                <w:bCs/>
                <w:sz w:val="20"/>
                <w:szCs w:val="20"/>
              </w:rPr>
              <w:t xml:space="preserve">Source: </w:t>
            </w:r>
            <w:r w:rsidRPr="00DB4746">
              <w:rPr>
                <w:rFonts w:eastAsia="楷体" w:cs="Calibri"/>
                <w:sz w:val="20"/>
                <w:szCs w:val="20"/>
              </w:rPr>
              <w:t>Company Financial Reports, HFI</w:t>
            </w:r>
          </w:p>
        </w:tc>
        <w:tc>
          <w:tcPr>
            <w:tcW w:w="241" w:type="dxa"/>
            <w:tcMar>
              <w:left w:w="0" w:type="dxa"/>
              <w:right w:w="28" w:type="dxa"/>
            </w:tcMar>
          </w:tcPr>
          <w:p w14:paraId="23BE5D1B" w14:textId="77777777" w:rsidR="00537D0C" w:rsidRPr="00537D0C" w:rsidRDefault="00537D0C" w:rsidP="00816572">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5906A462" w14:textId="375DF07E" w:rsidR="00537D0C" w:rsidRPr="00537D0C" w:rsidRDefault="00537D0C" w:rsidP="00816572">
            <w:pPr>
              <w:spacing w:beforeLines="20" w:before="48" w:afterLines="20" w:after="48"/>
              <w:jc w:val="both"/>
              <w:rPr>
                <w:rFonts w:eastAsia="楷体_GB2312" w:cs="Calibri"/>
                <w:sz w:val="20"/>
                <w:szCs w:val="20"/>
              </w:rPr>
            </w:pPr>
            <w:r w:rsidRPr="00537D0C">
              <w:rPr>
                <w:rFonts w:eastAsia="楷体" w:cs="Calibri"/>
                <w:b/>
                <w:bCs/>
                <w:sz w:val="20"/>
                <w:szCs w:val="20"/>
              </w:rPr>
              <w:t xml:space="preserve">Source: </w:t>
            </w:r>
            <w:r w:rsidRPr="00DB4746">
              <w:rPr>
                <w:rFonts w:eastAsia="楷体" w:cs="Calibri"/>
                <w:sz w:val="20"/>
                <w:szCs w:val="20"/>
              </w:rPr>
              <w:t>Company Financial Reports, HFI</w:t>
            </w:r>
          </w:p>
        </w:tc>
      </w:tr>
    </w:tbl>
    <w:p w14:paraId="613DBD67" w14:textId="77777777" w:rsidR="00537D0C" w:rsidRPr="00537D0C" w:rsidRDefault="00537D0C" w:rsidP="00537D0C">
      <w:pPr>
        <w:spacing w:before="80" w:after="80"/>
        <w:rPr>
          <w:rFonts w:eastAsiaTheme="minorEastAsia" w:cs="Calibri"/>
          <w:color w:val="0F1115"/>
          <w:sz w:val="22"/>
          <w:szCs w:val="22"/>
          <w:shd w:val="clear" w:color="auto" w:fill="FFFFFF"/>
          <w:lang w:bidi="ar"/>
        </w:rPr>
      </w:pPr>
    </w:p>
    <w:p w14:paraId="1CC1CB46" w14:textId="77777777" w:rsidR="00537D0C" w:rsidRPr="00537D0C" w:rsidRDefault="00537D0C" w:rsidP="00537D0C">
      <w:pPr>
        <w:spacing w:before="80" w:after="80"/>
        <w:rPr>
          <w:rFonts w:eastAsiaTheme="minorEastAsia" w:cs="Calibri"/>
          <w:color w:val="0F1115"/>
          <w:sz w:val="22"/>
          <w:szCs w:val="22"/>
          <w:shd w:val="clear" w:color="auto" w:fill="FFFFFF"/>
          <w:lang w:bidi="ar"/>
        </w:rPr>
      </w:pPr>
    </w:p>
    <w:p w14:paraId="5BC2CACF" w14:textId="009110BA" w:rsidR="00FF3409" w:rsidRPr="006C5E21" w:rsidRDefault="00FF3409" w:rsidP="00FF3409">
      <w:pPr>
        <w:pStyle w:val="1"/>
        <w:spacing w:beforeLines="100" w:before="240" w:afterLines="100" w:after="240"/>
        <w:jc w:val="both"/>
        <w:rPr>
          <w:rFonts w:ascii="Calibri" w:eastAsiaTheme="minorEastAsia" w:hAnsi="Calibri" w:cs="Calibri"/>
          <w:b/>
          <w:color w:val="215E99" w:themeColor="text2" w:themeTint="BF"/>
          <w:sz w:val="28"/>
          <w:szCs w:val="28"/>
          <w:shd w:val="clear" w:color="auto" w:fill="FFFFFF"/>
          <w:lang w:bidi="ar"/>
        </w:rPr>
      </w:pPr>
      <w:bookmarkStart w:id="11" w:name="_Toc224295878"/>
      <w:bookmarkStart w:id="12" w:name="_Toc223631777"/>
      <w:bookmarkStart w:id="13" w:name="_Toc220275545"/>
      <w:bookmarkStart w:id="14" w:name="_Toc186105500"/>
      <w:bookmarkEnd w:id="9"/>
      <w:r>
        <w:rPr>
          <w:rFonts w:ascii="Calibri" w:eastAsia="楷体" w:hAnsi="Calibri" w:cs="Calibri" w:hint="eastAsia"/>
          <w:b/>
          <w:bCs/>
          <w:color w:val="215E99" w:themeColor="text2" w:themeTint="BF"/>
          <w:sz w:val="28"/>
          <w:szCs w:val="28"/>
        </w:rPr>
        <w:t>2</w:t>
      </w:r>
      <w:r>
        <w:rPr>
          <w:rFonts w:ascii="Calibri" w:eastAsia="楷体" w:hAnsi="Calibri" w:cs="Calibri"/>
          <w:b/>
          <w:bCs/>
          <w:color w:val="215E99" w:themeColor="text2" w:themeTint="BF"/>
          <w:sz w:val="28"/>
          <w:szCs w:val="28"/>
        </w:rPr>
        <w:t xml:space="preserve"> </w:t>
      </w:r>
      <w:r w:rsidRPr="00FF3409">
        <w:rPr>
          <w:rFonts w:ascii="Calibri" w:eastAsia="Helvetica Neue" w:hAnsi="Calibri" w:cs="Calibri"/>
          <w:b/>
          <w:color w:val="215E99" w:themeColor="text2" w:themeTint="BF"/>
          <w:sz w:val="28"/>
          <w:szCs w:val="28"/>
          <w:shd w:val="clear" w:color="auto" w:fill="FFFFFF"/>
          <w:lang w:bidi="ar"/>
        </w:rPr>
        <w:t>Global Beauty Market: Steady Upward Growth, Strong Players Maintain Dominance</w:t>
      </w:r>
      <w:bookmarkEnd w:id="11"/>
    </w:p>
    <w:p w14:paraId="024B1153" w14:textId="6DB5534C" w:rsidR="00280F1F" w:rsidRPr="002E1640" w:rsidRDefault="00280F1F" w:rsidP="00280F1F">
      <w:pPr>
        <w:pStyle w:val="211"/>
        <w:jc w:val="both"/>
        <w:rPr>
          <w:rFonts w:ascii="Calibri" w:eastAsia="楷体" w:hAnsi="Calibri" w:cs="楷体"/>
          <w:color w:val="23558C"/>
          <w:sz w:val="24"/>
        </w:rPr>
      </w:pPr>
      <w:bookmarkStart w:id="15" w:name="_Toc223631778"/>
      <w:bookmarkStart w:id="16" w:name="_Toc224295879"/>
      <w:bookmarkEnd w:id="12"/>
      <w:r>
        <w:rPr>
          <w:rFonts w:ascii="Calibri" w:eastAsia="楷体" w:hAnsi="Calibri" w:cs="楷体" w:hint="eastAsia"/>
          <w:color w:val="23558C"/>
          <w:sz w:val="24"/>
        </w:rPr>
        <w:t>2.1</w:t>
      </w:r>
      <w:bookmarkEnd w:id="15"/>
      <w:r>
        <w:rPr>
          <w:rFonts w:ascii="Calibri" w:eastAsia="楷体" w:hAnsi="Calibri" w:cs="楷体"/>
          <w:color w:val="23558C"/>
          <w:sz w:val="24"/>
        </w:rPr>
        <w:t xml:space="preserve"> </w:t>
      </w:r>
      <w:r w:rsidR="002E1640" w:rsidRPr="002E1640">
        <w:rPr>
          <w:rFonts w:ascii="Calibri" w:eastAsia="楷体" w:hAnsi="Calibri" w:cs="楷体"/>
          <w:color w:val="23558C"/>
          <w:sz w:val="24"/>
        </w:rPr>
        <w:t>Stable Overall Growth, Outperformance in Premium Segment</w:t>
      </w:r>
      <w:bookmarkEnd w:id="16"/>
    </w:p>
    <w:p w14:paraId="14E44205" w14:textId="77777777" w:rsidR="00280F1F" w:rsidRDefault="00280F1F" w:rsidP="00280F1F">
      <w:pPr>
        <w:jc w:val="both"/>
        <w:rPr>
          <w:rFonts w:eastAsia="楷体" w:cs="Calibri"/>
          <w:kern w:val="2"/>
          <w:sz w:val="22"/>
          <w:szCs w:val="22"/>
        </w:rPr>
      </w:pPr>
      <w:r>
        <w:rPr>
          <w:rFonts w:eastAsia="楷体" w:cs="Calibri"/>
          <w:b/>
          <w:bCs/>
          <w:kern w:val="2"/>
          <w:sz w:val="22"/>
          <w:szCs w:val="22"/>
        </w:rPr>
        <w:t xml:space="preserve">The global beauty market has entered a relatively mature phase, with overall steady growth. </w:t>
      </w:r>
      <w:r>
        <w:rPr>
          <w:rFonts w:eastAsia="楷体" w:cs="Calibri"/>
          <w:kern w:val="2"/>
          <w:sz w:val="22"/>
          <w:szCs w:val="22"/>
        </w:rPr>
        <w:t>According to data, the total size of the global beauty and personal care market increased from USD 47.32 billion in 2016 to USD 67.719 billion in 2025, representing a compound annual growth rate (CAGR) of approximately 4.06% over the decade. Although market size saw short-term volatility in 2020 affected by external factors, it subsequently demonstrated strong recovery and rebound momentum.</w:t>
      </w:r>
    </w:p>
    <w:p w14:paraId="13C57B62" w14:textId="77777777" w:rsidR="00280F1F" w:rsidRDefault="00280F1F" w:rsidP="00280F1F">
      <w:pPr>
        <w:jc w:val="both"/>
        <w:rPr>
          <w:rFonts w:ascii="Arial" w:hAnsi="Arial" w:cs="Arial"/>
          <w:color w:val="000000"/>
        </w:rPr>
      </w:pPr>
      <w:r>
        <w:rPr>
          <w:rFonts w:eastAsia="楷体" w:cs="Calibri"/>
          <w:kern w:val="2"/>
          <w:sz w:val="22"/>
          <w:szCs w:val="22"/>
        </w:rPr>
        <w:t>As the industry has become relatively mature, Statista projects that the global beauty market will expand further from USD 70.331 billion in 2026 to USD 79.907 billion in 2030, with a compound annual growth rate (CAGR) of 3.24% during the 2026–2030 period.</w:t>
      </w:r>
    </w:p>
    <w:p w14:paraId="1A1B269C" w14:textId="77777777" w:rsidR="00280F1F" w:rsidRDefault="00280F1F" w:rsidP="00280F1F">
      <w:pPr>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280F1F" w14:paraId="195AA022" w14:textId="77777777" w:rsidTr="00610813">
        <w:trPr>
          <w:trHeight w:val="227"/>
        </w:trPr>
        <w:tc>
          <w:tcPr>
            <w:tcW w:w="5100" w:type="dxa"/>
            <w:tcBorders>
              <w:bottom w:val="single" w:sz="4" w:space="0" w:color="auto"/>
            </w:tcBorders>
            <w:tcMar>
              <w:left w:w="0" w:type="dxa"/>
              <w:right w:w="28" w:type="dxa"/>
            </w:tcMar>
          </w:tcPr>
          <w:p w14:paraId="1EA4F781" w14:textId="77777777" w:rsidR="00280F1F" w:rsidRDefault="00280F1F" w:rsidP="00610813">
            <w:pPr>
              <w:spacing w:beforeLines="20" w:before="48" w:afterLines="20" w:after="48"/>
              <w:jc w:val="both"/>
              <w:textAlignment w:val="center"/>
              <w:rPr>
                <w:rFonts w:eastAsia="楷体" w:cs="Calibri"/>
                <w:b/>
                <w:sz w:val="20"/>
                <w:szCs w:val="20"/>
              </w:rPr>
            </w:pPr>
            <w:r>
              <w:rPr>
                <w:rFonts w:eastAsia="楷体" w:cs="Calibri"/>
                <w:b/>
                <w:sz w:val="20"/>
                <w:szCs w:val="20"/>
              </w:rPr>
              <w:t>Figure:</w:t>
            </w:r>
            <w:r>
              <w:t xml:space="preserve"> </w:t>
            </w:r>
            <w:r>
              <w:rPr>
                <w:rFonts w:eastAsia="楷体" w:cs="Calibri"/>
                <w:b/>
                <w:sz w:val="20"/>
                <w:szCs w:val="20"/>
              </w:rPr>
              <w:t>Global Beauty Market Size and YoY Growth, 2015–2025 (USD billions)</w:t>
            </w:r>
          </w:p>
        </w:tc>
        <w:tc>
          <w:tcPr>
            <w:tcW w:w="241" w:type="dxa"/>
            <w:tcMar>
              <w:left w:w="0" w:type="dxa"/>
              <w:right w:w="28" w:type="dxa"/>
            </w:tcMar>
          </w:tcPr>
          <w:p w14:paraId="39B7D89F" w14:textId="77777777" w:rsidR="00280F1F" w:rsidRDefault="00280F1F" w:rsidP="00610813">
            <w:pPr>
              <w:spacing w:beforeLines="20" w:before="48" w:afterLines="20" w:after="48"/>
              <w:jc w:val="both"/>
              <w:rPr>
                <w:rFonts w:eastAsia="楷体" w:cs="Calibri"/>
                <w:sz w:val="20"/>
                <w:szCs w:val="20"/>
              </w:rPr>
            </w:pPr>
          </w:p>
        </w:tc>
        <w:tc>
          <w:tcPr>
            <w:tcW w:w="5149" w:type="dxa"/>
            <w:tcBorders>
              <w:bottom w:val="single" w:sz="4" w:space="0" w:color="auto"/>
            </w:tcBorders>
            <w:tcMar>
              <w:left w:w="0" w:type="dxa"/>
              <w:right w:w="28" w:type="dxa"/>
            </w:tcMar>
          </w:tcPr>
          <w:p w14:paraId="5CFE0D8C" w14:textId="77777777" w:rsidR="00280F1F" w:rsidRDefault="00280F1F" w:rsidP="00610813">
            <w:pPr>
              <w:spacing w:beforeLines="20" w:before="48" w:afterLines="20" w:after="48"/>
              <w:jc w:val="both"/>
              <w:rPr>
                <w:rFonts w:eastAsia="楷体" w:cs="Calibri"/>
                <w:b/>
                <w:sz w:val="20"/>
                <w:szCs w:val="20"/>
              </w:rPr>
            </w:pPr>
            <w:r>
              <w:rPr>
                <w:rFonts w:eastAsia="楷体" w:cs="Calibri"/>
                <w:b/>
                <w:sz w:val="20"/>
                <w:szCs w:val="20"/>
              </w:rPr>
              <w:t>Figure: Estimated Global Beauty Market Size, 2026–2030 (USD billions)</w:t>
            </w:r>
          </w:p>
        </w:tc>
      </w:tr>
      <w:tr w:rsidR="00280F1F" w14:paraId="78B3F79B" w14:textId="77777777" w:rsidTr="00610813">
        <w:trPr>
          <w:trHeight w:val="2300"/>
        </w:trPr>
        <w:tc>
          <w:tcPr>
            <w:tcW w:w="5100" w:type="dxa"/>
            <w:tcBorders>
              <w:top w:val="single" w:sz="4" w:space="0" w:color="auto"/>
              <w:bottom w:val="single" w:sz="4" w:space="0" w:color="auto"/>
            </w:tcBorders>
            <w:vAlign w:val="center"/>
          </w:tcPr>
          <w:p w14:paraId="44BDFDE3" w14:textId="77777777" w:rsidR="00280F1F" w:rsidRDefault="00280F1F" w:rsidP="00610813">
            <w:pPr>
              <w:spacing w:beforeLines="20" w:before="48" w:afterLines="20" w:after="48"/>
              <w:jc w:val="both"/>
              <w:textAlignment w:val="center"/>
              <w:rPr>
                <w:rFonts w:eastAsia="楷体" w:cs="Calibri"/>
                <w:b/>
                <w:color w:val="000000"/>
                <w:sz w:val="20"/>
                <w:szCs w:val="20"/>
                <w:lang w:bidi="ar"/>
              </w:rPr>
            </w:pPr>
            <w:r>
              <w:rPr>
                <w:noProof/>
                <w:snapToGrid/>
              </w:rPr>
              <w:drawing>
                <wp:inline distT="0" distB="0" distL="0" distR="0" wp14:anchorId="4E4D26E6" wp14:editId="00DA1D4D">
                  <wp:extent cx="3225165" cy="1825625"/>
                  <wp:effectExtent l="0" t="0" r="0" b="0"/>
                  <wp:docPr id="77558856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241" w:type="dxa"/>
          </w:tcPr>
          <w:p w14:paraId="47C1B685" w14:textId="77777777" w:rsidR="00280F1F" w:rsidRDefault="00280F1F" w:rsidP="00610813">
            <w:pPr>
              <w:spacing w:beforeLines="20" w:before="48" w:afterLines="20" w:after="48"/>
              <w:jc w:val="both"/>
              <w:rPr>
                <w:rFonts w:eastAsia="楷体" w:cs="Calibri"/>
                <w:sz w:val="20"/>
                <w:szCs w:val="20"/>
              </w:rPr>
            </w:pPr>
          </w:p>
        </w:tc>
        <w:tc>
          <w:tcPr>
            <w:tcW w:w="5149" w:type="dxa"/>
            <w:tcBorders>
              <w:top w:val="single" w:sz="4" w:space="0" w:color="auto"/>
              <w:bottom w:val="single" w:sz="4" w:space="0" w:color="auto"/>
            </w:tcBorders>
          </w:tcPr>
          <w:p w14:paraId="6D83E9F9" w14:textId="77777777" w:rsidR="00280F1F" w:rsidRDefault="00280F1F" w:rsidP="00610813">
            <w:pPr>
              <w:spacing w:beforeLines="20" w:before="48" w:afterLines="20" w:after="48"/>
              <w:jc w:val="both"/>
              <w:rPr>
                <w:rFonts w:eastAsia="楷体" w:cs="Calibri"/>
                <w:b/>
                <w:sz w:val="20"/>
                <w:szCs w:val="20"/>
              </w:rPr>
            </w:pPr>
            <w:r>
              <w:rPr>
                <w:noProof/>
                <w:snapToGrid/>
              </w:rPr>
              <w:drawing>
                <wp:inline distT="0" distB="0" distL="0" distR="0" wp14:anchorId="4AA2BAFC" wp14:editId="5FEC2F3C">
                  <wp:extent cx="3132455" cy="1879600"/>
                  <wp:effectExtent l="0" t="0" r="4445" b="0"/>
                  <wp:docPr id="101188238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280F1F" w14:paraId="129F765C" w14:textId="77777777" w:rsidTr="00610813">
        <w:trPr>
          <w:trHeight w:val="227"/>
        </w:trPr>
        <w:tc>
          <w:tcPr>
            <w:tcW w:w="5100" w:type="dxa"/>
            <w:tcBorders>
              <w:top w:val="single" w:sz="4" w:space="0" w:color="auto"/>
            </w:tcBorders>
            <w:tcMar>
              <w:left w:w="0" w:type="dxa"/>
              <w:right w:w="28" w:type="dxa"/>
            </w:tcMar>
            <w:vAlign w:val="center"/>
          </w:tcPr>
          <w:p w14:paraId="2B2EE2C8" w14:textId="77777777" w:rsidR="00280F1F" w:rsidRDefault="00280F1F" w:rsidP="00610813">
            <w:pPr>
              <w:spacing w:beforeLines="20" w:before="48" w:afterLines="20" w:after="48"/>
              <w:jc w:val="both"/>
              <w:textAlignment w:val="center"/>
              <w:rPr>
                <w:rFonts w:eastAsia="楷体" w:cs="Calibri"/>
                <w:sz w:val="20"/>
                <w:szCs w:val="20"/>
              </w:rPr>
            </w:pPr>
            <w:r>
              <w:rPr>
                <w:rFonts w:eastAsia="楷体" w:cs="Calibri" w:hint="eastAsia"/>
                <w:b/>
                <w:bCs/>
                <w:sz w:val="20"/>
                <w:szCs w:val="20"/>
              </w:rPr>
              <w:t>Source</w:t>
            </w:r>
            <w:r>
              <w:rPr>
                <w:rFonts w:eastAsia="楷体" w:cs="Calibri"/>
                <w:b/>
                <w:bCs/>
                <w:sz w:val="20"/>
                <w:szCs w:val="20"/>
              </w:rPr>
              <w:t xml:space="preserve">: </w:t>
            </w:r>
            <w:r>
              <w:rPr>
                <w:rFonts w:eastAsia="楷体" w:cs="Calibri" w:hint="eastAsia"/>
                <w:sz w:val="20"/>
                <w:szCs w:val="20"/>
              </w:rPr>
              <w:t>S</w:t>
            </w:r>
            <w:r>
              <w:rPr>
                <w:rFonts w:eastAsia="楷体" w:cs="Calibri"/>
                <w:sz w:val="20"/>
                <w:szCs w:val="20"/>
              </w:rPr>
              <w:t>tatista</w:t>
            </w:r>
            <w:r>
              <w:rPr>
                <w:rFonts w:ascii="楷体" w:eastAsia="楷体" w:hAnsi="楷体" w:cs="楷体" w:hint="eastAsia"/>
                <w:sz w:val="20"/>
                <w:szCs w:val="20"/>
              </w:rPr>
              <w:t>，</w:t>
            </w:r>
            <w:r>
              <w:rPr>
                <w:rFonts w:eastAsia="楷体" w:cs="Calibri"/>
                <w:sz w:val="20"/>
                <w:szCs w:val="20"/>
              </w:rPr>
              <w:t>HFI</w:t>
            </w:r>
          </w:p>
        </w:tc>
        <w:tc>
          <w:tcPr>
            <w:tcW w:w="241" w:type="dxa"/>
            <w:tcMar>
              <w:left w:w="0" w:type="dxa"/>
              <w:right w:w="28" w:type="dxa"/>
            </w:tcMar>
          </w:tcPr>
          <w:p w14:paraId="40BED4AB" w14:textId="77777777" w:rsidR="00280F1F" w:rsidRDefault="00280F1F" w:rsidP="00610813">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73F17EEE" w14:textId="77777777" w:rsidR="00280F1F" w:rsidRDefault="00280F1F" w:rsidP="00610813">
            <w:pPr>
              <w:spacing w:beforeLines="20" w:before="48" w:afterLines="20" w:after="48"/>
              <w:jc w:val="both"/>
              <w:rPr>
                <w:rFonts w:eastAsia="楷体" w:cs="Calibri"/>
                <w:sz w:val="20"/>
                <w:szCs w:val="20"/>
              </w:rPr>
            </w:pPr>
            <w:r>
              <w:rPr>
                <w:rFonts w:eastAsia="楷体" w:cs="Calibri"/>
                <w:b/>
                <w:bCs/>
                <w:sz w:val="20"/>
                <w:szCs w:val="20"/>
              </w:rPr>
              <w:t>Source:</w:t>
            </w:r>
            <w:r>
              <w:rPr>
                <w:rFonts w:eastAsia="楷体" w:cs="Calibri"/>
                <w:sz w:val="20"/>
                <w:szCs w:val="20"/>
              </w:rPr>
              <w:t xml:space="preserve"> </w:t>
            </w:r>
            <w:r>
              <w:rPr>
                <w:rFonts w:eastAsia="楷体" w:cs="Calibri" w:hint="eastAsia"/>
                <w:sz w:val="20"/>
                <w:szCs w:val="20"/>
              </w:rPr>
              <w:t>S</w:t>
            </w:r>
            <w:r>
              <w:rPr>
                <w:rFonts w:eastAsia="楷体" w:cs="Calibri"/>
                <w:sz w:val="20"/>
                <w:szCs w:val="20"/>
              </w:rPr>
              <w:t>tatista</w:t>
            </w:r>
            <w:r>
              <w:rPr>
                <w:rFonts w:ascii="楷体" w:eastAsia="楷体" w:hAnsi="楷体" w:cs="楷体" w:hint="eastAsia"/>
                <w:sz w:val="20"/>
                <w:szCs w:val="20"/>
              </w:rPr>
              <w:t>，</w:t>
            </w:r>
            <w:r>
              <w:rPr>
                <w:rFonts w:eastAsia="楷体" w:cs="Calibri"/>
                <w:sz w:val="20"/>
                <w:szCs w:val="20"/>
              </w:rPr>
              <w:t>HFI</w:t>
            </w:r>
          </w:p>
        </w:tc>
      </w:tr>
    </w:tbl>
    <w:p w14:paraId="0A8C71AE" w14:textId="77777777" w:rsidR="00280F1F" w:rsidRDefault="00280F1F" w:rsidP="00280F1F">
      <w:pPr>
        <w:rPr>
          <w:rFonts w:eastAsia="楷体"/>
        </w:rPr>
      </w:pPr>
    </w:p>
    <w:p w14:paraId="48F1D3E9" w14:textId="77777777" w:rsidR="00280F1F" w:rsidRDefault="00280F1F" w:rsidP="00280F1F">
      <w:pPr>
        <w:jc w:val="both"/>
        <w:rPr>
          <w:rFonts w:eastAsia="楷体" w:cs="楷体"/>
          <w:kern w:val="2"/>
          <w:sz w:val="22"/>
          <w:szCs w:val="22"/>
        </w:rPr>
      </w:pPr>
      <w:r>
        <w:rPr>
          <w:rFonts w:eastAsia="楷体" w:cs="楷体"/>
          <w:b/>
          <w:bCs/>
          <w:kern w:val="2"/>
          <w:sz w:val="22"/>
          <w:szCs w:val="22"/>
        </w:rPr>
        <w:t xml:space="preserve">In terms of the segment structure of the global beauty market, personal care and skin care account for the core market share. In addition, segments exhibit significant divergence in their growth contribution. </w:t>
      </w:r>
      <w:r>
        <w:rPr>
          <w:rFonts w:eastAsia="楷体" w:cs="楷体"/>
          <w:kern w:val="2"/>
          <w:sz w:val="22"/>
          <w:szCs w:val="22"/>
        </w:rPr>
        <w:t xml:space="preserve">In terms of incremental contribution by segment, personal care is the primary driver of market expansion, with its size rising from USD 24.516 billion to USD 29.308 billion, contributing 40.66% to the total </w:t>
      </w:r>
      <w:r>
        <w:rPr>
          <w:rFonts w:eastAsia="楷体" w:cs="楷体"/>
          <w:kern w:val="2"/>
          <w:sz w:val="22"/>
          <w:szCs w:val="22"/>
        </w:rPr>
        <w:lastRenderedPageBreak/>
        <w:t>incremental growth. Skin care follows closely, with an increment of USD 3.456 billion during the period and a growth contribution of 29.32%. Color cosmetics, the third-largest source of growth, expanded from USD 8.989 billion to USD 11.469 billion, with a contribution of 21.04%. Fragrance and beauty tech contributed 7.49% and 1.47% of the market incremental share, respectively, between 2019 and 2025.</w:t>
      </w:r>
    </w:p>
    <w:p w14:paraId="005B783A" w14:textId="77777777" w:rsidR="00280F1F" w:rsidRDefault="00280F1F" w:rsidP="00280F1F">
      <w:pPr>
        <w:rPr>
          <w:rFonts w:eastAsia="楷体"/>
        </w:rPr>
      </w:pPr>
    </w:p>
    <w:tbl>
      <w:tblPr>
        <w:tblW w:w="10490" w:type="dxa"/>
        <w:tblInd w:w="-2885" w:type="dxa"/>
        <w:tblLayout w:type="fixed"/>
        <w:tblLook w:val="04A0" w:firstRow="1" w:lastRow="0" w:firstColumn="1" w:lastColumn="0" w:noHBand="0" w:noVBand="1"/>
      </w:tblPr>
      <w:tblGrid>
        <w:gridCol w:w="5100"/>
        <w:gridCol w:w="241"/>
        <w:gridCol w:w="5149"/>
      </w:tblGrid>
      <w:tr w:rsidR="00280F1F" w14:paraId="69ACDEFB" w14:textId="77777777" w:rsidTr="00610813">
        <w:trPr>
          <w:trHeight w:val="227"/>
        </w:trPr>
        <w:tc>
          <w:tcPr>
            <w:tcW w:w="5100" w:type="dxa"/>
            <w:tcBorders>
              <w:bottom w:val="single" w:sz="4" w:space="0" w:color="auto"/>
            </w:tcBorders>
            <w:tcMar>
              <w:left w:w="0" w:type="dxa"/>
              <w:right w:w="28" w:type="dxa"/>
            </w:tcMar>
          </w:tcPr>
          <w:p w14:paraId="501FEFBC" w14:textId="77777777" w:rsidR="00280F1F" w:rsidRDefault="00280F1F" w:rsidP="00610813">
            <w:pPr>
              <w:spacing w:beforeLines="20" w:before="48" w:afterLines="20" w:after="48"/>
              <w:jc w:val="both"/>
              <w:textAlignment w:val="center"/>
              <w:rPr>
                <w:rFonts w:eastAsia="楷体" w:cs="Calibri"/>
                <w:b/>
                <w:sz w:val="20"/>
                <w:szCs w:val="20"/>
                <w:highlight w:val="yellow"/>
              </w:rPr>
            </w:pPr>
            <w:r>
              <w:rPr>
                <w:rFonts w:eastAsia="楷体" w:cs="Calibri"/>
                <w:b/>
                <w:sz w:val="20"/>
                <w:szCs w:val="20"/>
              </w:rPr>
              <w:t>Figure: Global Beauty Market Size by Category, 2018–2025 (USD billions)</w:t>
            </w:r>
          </w:p>
        </w:tc>
        <w:tc>
          <w:tcPr>
            <w:tcW w:w="241" w:type="dxa"/>
            <w:tcMar>
              <w:left w:w="0" w:type="dxa"/>
              <w:right w:w="28" w:type="dxa"/>
            </w:tcMar>
          </w:tcPr>
          <w:p w14:paraId="743CCEA5" w14:textId="77777777" w:rsidR="00280F1F" w:rsidRDefault="00280F1F" w:rsidP="00610813">
            <w:pPr>
              <w:spacing w:beforeLines="20" w:before="48" w:afterLines="20" w:after="48"/>
              <w:jc w:val="both"/>
              <w:rPr>
                <w:rFonts w:eastAsia="楷体" w:cs="Calibri"/>
                <w:sz w:val="20"/>
                <w:szCs w:val="20"/>
                <w:highlight w:val="yellow"/>
              </w:rPr>
            </w:pPr>
          </w:p>
        </w:tc>
        <w:tc>
          <w:tcPr>
            <w:tcW w:w="5149" w:type="dxa"/>
            <w:tcBorders>
              <w:bottom w:val="single" w:sz="4" w:space="0" w:color="auto"/>
            </w:tcBorders>
            <w:tcMar>
              <w:left w:w="0" w:type="dxa"/>
              <w:right w:w="28" w:type="dxa"/>
            </w:tcMar>
          </w:tcPr>
          <w:p w14:paraId="5BD085E1" w14:textId="77777777" w:rsidR="00280F1F" w:rsidRDefault="00280F1F" w:rsidP="00610813">
            <w:pPr>
              <w:spacing w:beforeLines="20" w:before="48" w:afterLines="20" w:after="48"/>
              <w:jc w:val="both"/>
              <w:rPr>
                <w:rFonts w:eastAsia="楷体" w:cs="Calibri"/>
                <w:b/>
                <w:sz w:val="20"/>
                <w:szCs w:val="20"/>
              </w:rPr>
            </w:pPr>
            <w:r>
              <w:rPr>
                <w:rFonts w:eastAsia="楷体" w:cs="Calibri"/>
                <w:b/>
                <w:sz w:val="20"/>
                <w:szCs w:val="20"/>
              </w:rPr>
              <w:t>Figure: Growth Contribution of Each Segment to the Global Beauty Market, 2019–2025</w:t>
            </w:r>
          </w:p>
        </w:tc>
      </w:tr>
      <w:tr w:rsidR="00280F1F" w14:paraId="33FA73D1" w14:textId="77777777" w:rsidTr="00610813">
        <w:trPr>
          <w:trHeight w:val="2300"/>
        </w:trPr>
        <w:tc>
          <w:tcPr>
            <w:tcW w:w="5100" w:type="dxa"/>
            <w:tcBorders>
              <w:top w:val="single" w:sz="4" w:space="0" w:color="auto"/>
              <w:bottom w:val="single" w:sz="4" w:space="0" w:color="auto"/>
            </w:tcBorders>
            <w:vAlign w:val="center"/>
          </w:tcPr>
          <w:p w14:paraId="27F31FA6" w14:textId="77777777" w:rsidR="00280F1F" w:rsidRDefault="00280F1F" w:rsidP="00610813">
            <w:pPr>
              <w:spacing w:beforeLines="20" w:before="48" w:afterLines="20" w:after="48"/>
              <w:jc w:val="both"/>
              <w:textAlignment w:val="center"/>
              <w:rPr>
                <w:rFonts w:eastAsia="楷体" w:cs="Calibri"/>
                <w:b/>
                <w:color w:val="000000"/>
                <w:sz w:val="20"/>
                <w:szCs w:val="20"/>
                <w:lang w:bidi="ar"/>
              </w:rPr>
            </w:pPr>
            <w:r>
              <w:rPr>
                <w:noProof/>
                <w:snapToGrid/>
              </w:rPr>
              <w:drawing>
                <wp:inline distT="0" distB="0" distL="0" distR="0" wp14:anchorId="02DD065D" wp14:editId="7449D109">
                  <wp:extent cx="3100705" cy="2009775"/>
                  <wp:effectExtent l="0" t="0" r="0" b="0"/>
                  <wp:docPr id="40489877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241" w:type="dxa"/>
          </w:tcPr>
          <w:p w14:paraId="3511DC53" w14:textId="77777777" w:rsidR="00280F1F" w:rsidRDefault="00280F1F" w:rsidP="00610813">
            <w:pPr>
              <w:spacing w:beforeLines="20" w:before="48" w:afterLines="20" w:after="48"/>
              <w:jc w:val="both"/>
              <w:rPr>
                <w:rFonts w:eastAsia="楷体" w:cs="Calibri"/>
                <w:sz w:val="20"/>
                <w:szCs w:val="20"/>
              </w:rPr>
            </w:pPr>
          </w:p>
        </w:tc>
        <w:tc>
          <w:tcPr>
            <w:tcW w:w="5149" w:type="dxa"/>
            <w:tcBorders>
              <w:top w:val="single" w:sz="4" w:space="0" w:color="auto"/>
              <w:bottom w:val="single" w:sz="4" w:space="0" w:color="auto"/>
            </w:tcBorders>
          </w:tcPr>
          <w:p w14:paraId="093E3EC3" w14:textId="77777777" w:rsidR="00280F1F" w:rsidRDefault="00280F1F" w:rsidP="00610813">
            <w:pPr>
              <w:spacing w:beforeLines="20" w:before="48" w:afterLines="20" w:after="48"/>
              <w:jc w:val="both"/>
              <w:rPr>
                <w:rFonts w:eastAsia="楷体" w:cs="Calibri"/>
                <w:b/>
                <w:sz w:val="14"/>
                <w:szCs w:val="14"/>
              </w:rPr>
            </w:pPr>
            <w:r>
              <w:rPr>
                <w:noProof/>
                <w:snapToGrid/>
                <w:sz w:val="14"/>
                <w:szCs w:val="14"/>
              </w:rPr>
              <w:drawing>
                <wp:inline distT="0" distB="0" distL="0" distR="0" wp14:anchorId="4EE52967" wp14:editId="48722ACF">
                  <wp:extent cx="3132455" cy="1879600"/>
                  <wp:effectExtent l="0" t="0" r="4445" b="0"/>
                  <wp:docPr id="20716056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280F1F" w14:paraId="62FB0D34" w14:textId="77777777" w:rsidTr="00610813">
        <w:trPr>
          <w:trHeight w:val="227"/>
        </w:trPr>
        <w:tc>
          <w:tcPr>
            <w:tcW w:w="5100" w:type="dxa"/>
            <w:tcBorders>
              <w:top w:val="single" w:sz="4" w:space="0" w:color="auto"/>
            </w:tcBorders>
            <w:tcMar>
              <w:left w:w="0" w:type="dxa"/>
              <w:right w:w="28" w:type="dxa"/>
            </w:tcMar>
            <w:vAlign w:val="center"/>
          </w:tcPr>
          <w:p w14:paraId="2A39DC83" w14:textId="77777777" w:rsidR="00280F1F" w:rsidRDefault="00280F1F" w:rsidP="00610813">
            <w:pPr>
              <w:spacing w:beforeLines="20" w:before="48" w:afterLines="20" w:after="48"/>
              <w:jc w:val="both"/>
              <w:textAlignment w:val="center"/>
              <w:rPr>
                <w:rFonts w:eastAsia="楷体" w:cs="Calibri"/>
                <w:sz w:val="20"/>
                <w:szCs w:val="20"/>
              </w:rPr>
            </w:pPr>
            <w:r>
              <w:rPr>
                <w:rFonts w:eastAsia="楷体" w:cs="Calibri"/>
                <w:b/>
                <w:bCs/>
                <w:sz w:val="20"/>
                <w:szCs w:val="20"/>
              </w:rPr>
              <w:t xml:space="preserve">Source: </w:t>
            </w:r>
            <w:r>
              <w:rPr>
                <w:rFonts w:eastAsia="楷体" w:cs="Calibri" w:hint="eastAsia"/>
                <w:sz w:val="20"/>
                <w:szCs w:val="20"/>
              </w:rPr>
              <w:t>S</w:t>
            </w:r>
            <w:r>
              <w:rPr>
                <w:rFonts w:eastAsia="楷体" w:cs="Calibri"/>
                <w:sz w:val="20"/>
                <w:szCs w:val="20"/>
              </w:rPr>
              <w:t>tatista</w:t>
            </w:r>
            <w:r>
              <w:rPr>
                <w:rFonts w:ascii="楷体" w:eastAsia="楷体" w:hAnsi="楷体" w:cs="楷体" w:hint="eastAsia"/>
                <w:sz w:val="20"/>
                <w:szCs w:val="20"/>
              </w:rPr>
              <w:t>，</w:t>
            </w:r>
            <w:r>
              <w:rPr>
                <w:rFonts w:eastAsia="楷体" w:cs="Calibri"/>
                <w:sz w:val="20"/>
                <w:szCs w:val="20"/>
              </w:rPr>
              <w:t>HFI</w:t>
            </w:r>
          </w:p>
        </w:tc>
        <w:tc>
          <w:tcPr>
            <w:tcW w:w="241" w:type="dxa"/>
            <w:tcMar>
              <w:left w:w="0" w:type="dxa"/>
              <w:right w:w="28" w:type="dxa"/>
            </w:tcMar>
          </w:tcPr>
          <w:p w14:paraId="08CD614A" w14:textId="77777777" w:rsidR="00280F1F" w:rsidRDefault="00280F1F" w:rsidP="00610813">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4A1A033D" w14:textId="77777777" w:rsidR="00280F1F" w:rsidRDefault="00280F1F" w:rsidP="00610813">
            <w:pPr>
              <w:spacing w:beforeLines="20" w:before="48" w:afterLines="20" w:after="48"/>
              <w:jc w:val="both"/>
              <w:rPr>
                <w:rFonts w:eastAsia="楷体" w:cs="Calibri"/>
                <w:sz w:val="20"/>
                <w:szCs w:val="20"/>
              </w:rPr>
            </w:pPr>
            <w:r>
              <w:rPr>
                <w:rFonts w:eastAsia="楷体" w:cs="Calibri"/>
                <w:b/>
                <w:bCs/>
                <w:sz w:val="20"/>
                <w:szCs w:val="20"/>
              </w:rPr>
              <w:t>Source:</w:t>
            </w:r>
            <w:r>
              <w:rPr>
                <w:rFonts w:eastAsia="楷体" w:cs="Calibri"/>
                <w:sz w:val="20"/>
                <w:szCs w:val="20"/>
              </w:rPr>
              <w:t xml:space="preserve"> </w:t>
            </w:r>
            <w:r>
              <w:rPr>
                <w:rFonts w:eastAsia="楷体" w:cs="Calibri" w:hint="eastAsia"/>
                <w:sz w:val="20"/>
                <w:szCs w:val="20"/>
              </w:rPr>
              <w:t>S</w:t>
            </w:r>
            <w:r>
              <w:rPr>
                <w:rFonts w:eastAsia="楷体" w:cs="Calibri"/>
                <w:sz w:val="20"/>
                <w:szCs w:val="20"/>
              </w:rPr>
              <w:t>tatista</w:t>
            </w:r>
            <w:r>
              <w:rPr>
                <w:rFonts w:ascii="楷体" w:eastAsia="楷体" w:hAnsi="楷体" w:cs="楷体" w:hint="eastAsia"/>
                <w:sz w:val="20"/>
                <w:szCs w:val="20"/>
              </w:rPr>
              <w:t>，</w:t>
            </w:r>
            <w:r>
              <w:rPr>
                <w:rFonts w:eastAsia="楷体" w:cs="Calibri"/>
                <w:sz w:val="20"/>
                <w:szCs w:val="20"/>
              </w:rPr>
              <w:t>HFI</w:t>
            </w:r>
          </w:p>
        </w:tc>
      </w:tr>
    </w:tbl>
    <w:p w14:paraId="5436801F" w14:textId="77777777" w:rsidR="00280F1F" w:rsidRDefault="00280F1F" w:rsidP="00280F1F">
      <w:pPr>
        <w:rPr>
          <w:rFonts w:eastAsia="楷体" w:cs="楷体"/>
          <w:b/>
          <w:bCs/>
          <w:kern w:val="2"/>
          <w:sz w:val="22"/>
          <w:szCs w:val="22"/>
        </w:rPr>
      </w:pPr>
    </w:p>
    <w:p w14:paraId="49DE053F" w14:textId="11578334" w:rsidR="00280F1F" w:rsidRDefault="00280F1F" w:rsidP="00280F1F">
      <w:pPr>
        <w:rPr>
          <w:rFonts w:eastAsia="楷体" w:cs="楷体"/>
          <w:kern w:val="2"/>
          <w:sz w:val="22"/>
          <w:szCs w:val="22"/>
        </w:rPr>
      </w:pPr>
      <w:r>
        <w:rPr>
          <w:rFonts w:eastAsia="楷体" w:cs="楷体"/>
          <w:b/>
          <w:bCs/>
          <w:kern w:val="2"/>
          <w:sz w:val="22"/>
          <w:szCs w:val="22"/>
        </w:rPr>
        <w:t>In terms of product categories, science-backed high-efficacy products are leading the market into a phase of structural expansion amid stock competition.</w:t>
      </w:r>
      <w:r>
        <w:rPr>
          <w:rFonts w:eastAsia="楷体" w:cs="楷体"/>
          <w:kern w:val="2"/>
          <w:sz w:val="22"/>
          <w:szCs w:val="22"/>
        </w:rPr>
        <w:t xml:space="preserve"> The growth focus of the skin care market is shifting rapidly toward the high-efficacy segment.</w:t>
      </w:r>
    </w:p>
    <w:p w14:paraId="657C0F83" w14:textId="77777777" w:rsidR="00280F1F" w:rsidRDefault="00280F1F" w:rsidP="00280F1F">
      <w:pPr>
        <w:rPr>
          <w:rFonts w:eastAsia="楷体" w:cs="楷体"/>
          <w:kern w:val="2"/>
          <w:sz w:val="22"/>
          <w:szCs w:val="22"/>
        </w:rPr>
      </w:pPr>
      <w:r>
        <w:rPr>
          <w:rFonts w:eastAsia="楷体" w:cs="楷体"/>
          <w:kern w:val="2"/>
          <w:sz w:val="22"/>
          <w:szCs w:val="22"/>
        </w:rPr>
        <w:t>Furthermore, shifting demand among young consumers forms the long-term driver of this growth. According to the Numerator 2024 Beauty Trends Report, when Gen Z purchases personal care and skin care products, their emphasis on "products for specific needs" (50%) and "beneficial ingredients" (35%) is significantly higher than the average. "Efficacy" (22%) and "natural/organic ingredients" (22%) also rank high, while experiential factors (e.g., sensory experience 16%, novelty 10%) are relatively lower. Such consumption preferences, rooted in scientific validation and targeted pain-point solutions, have become a key driver for skin care categories to achieve differentiated competition and maintain premium pricing in the stock era.</w:t>
      </w:r>
    </w:p>
    <w:p w14:paraId="636BF552" w14:textId="77777777" w:rsidR="00280F1F" w:rsidRDefault="00280F1F" w:rsidP="00280F1F">
      <w:pPr>
        <w:rPr>
          <w:rFonts w:eastAsia="楷体" w:cs="楷体"/>
          <w:kern w:val="2"/>
          <w:sz w:val="22"/>
          <w:szCs w:val="22"/>
        </w:rPr>
      </w:pPr>
    </w:p>
    <w:tbl>
      <w:tblPr>
        <w:tblW w:w="7466" w:type="dxa"/>
        <w:tblLayout w:type="fixed"/>
        <w:tblLook w:val="04A0" w:firstRow="1" w:lastRow="0" w:firstColumn="1" w:lastColumn="0" w:noHBand="0" w:noVBand="1"/>
      </w:tblPr>
      <w:tblGrid>
        <w:gridCol w:w="7466"/>
      </w:tblGrid>
      <w:tr w:rsidR="00280F1F" w14:paraId="3FFA052F" w14:textId="77777777" w:rsidTr="00610813">
        <w:trPr>
          <w:trHeight w:val="302"/>
        </w:trPr>
        <w:tc>
          <w:tcPr>
            <w:tcW w:w="7466" w:type="dxa"/>
            <w:tcBorders>
              <w:bottom w:val="single" w:sz="4" w:space="0" w:color="auto"/>
            </w:tcBorders>
            <w:tcMar>
              <w:left w:w="0" w:type="dxa"/>
              <w:right w:w="28" w:type="dxa"/>
            </w:tcMar>
          </w:tcPr>
          <w:p w14:paraId="3FAF37BC" w14:textId="77777777" w:rsidR="00280F1F" w:rsidRDefault="00280F1F" w:rsidP="00610813">
            <w:pPr>
              <w:spacing w:beforeLines="20" w:before="48" w:afterLines="20" w:after="48"/>
              <w:jc w:val="both"/>
              <w:textAlignment w:val="center"/>
              <w:rPr>
                <w:rFonts w:eastAsia="楷体" w:cs="Calibri"/>
                <w:b/>
                <w:sz w:val="20"/>
                <w:szCs w:val="20"/>
              </w:rPr>
            </w:pPr>
            <w:r>
              <w:rPr>
                <w:rFonts w:eastAsia="楷体" w:cs="Calibri"/>
                <w:b/>
                <w:sz w:val="20"/>
                <w:szCs w:val="20"/>
              </w:rPr>
              <w:t>Figure: Top Considerations for Gen Z When Purchasing Personal Care and Skin Care Products</w:t>
            </w:r>
          </w:p>
        </w:tc>
      </w:tr>
      <w:tr w:rsidR="00280F1F" w14:paraId="6EED9E73" w14:textId="77777777" w:rsidTr="00610813">
        <w:trPr>
          <w:trHeight w:val="856"/>
        </w:trPr>
        <w:tc>
          <w:tcPr>
            <w:tcW w:w="7466" w:type="dxa"/>
            <w:tcBorders>
              <w:top w:val="single" w:sz="4" w:space="0" w:color="auto"/>
              <w:bottom w:val="single" w:sz="4" w:space="0" w:color="auto"/>
            </w:tcBorders>
            <w:vAlign w:val="center"/>
          </w:tcPr>
          <w:p w14:paraId="75A5A666" w14:textId="77777777" w:rsidR="00280F1F" w:rsidRDefault="00280F1F" w:rsidP="00610813">
            <w:pPr>
              <w:spacing w:beforeLines="20" w:before="48" w:afterLines="20" w:after="48"/>
              <w:jc w:val="center"/>
              <w:textAlignment w:val="center"/>
              <w:rPr>
                <w:rFonts w:eastAsia="楷体" w:cs="Calibri"/>
                <w:b/>
                <w:bCs/>
                <w:sz w:val="20"/>
                <w:szCs w:val="20"/>
              </w:rPr>
            </w:pPr>
            <w:r>
              <w:rPr>
                <w:noProof/>
                <w:snapToGrid/>
              </w:rPr>
              <w:drawing>
                <wp:inline distT="0" distB="0" distL="0" distR="0" wp14:anchorId="5EE13199" wp14:editId="003891BA">
                  <wp:extent cx="4691380" cy="2264410"/>
                  <wp:effectExtent l="0" t="0" r="0" b="0"/>
                  <wp:docPr id="25877525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rsidR="00280F1F" w14:paraId="55B49F24" w14:textId="77777777" w:rsidTr="00610813">
        <w:trPr>
          <w:trHeight w:val="64"/>
        </w:trPr>
        <w:tc>
          <w:tcPr>
            <w:tcW w:w="7466" w:type="dxa"/>
            <w:tcBorders>
              <w:top w:val="single" w:sz="4" w:space="0" w:color="auto"/>
            </w:tcBorders>
            <w:tcMar>
              <w:left w:w="0" w:type="dxa"/>
              <w:right w:w="28" w:type="dxa"/>
            </w:tcMar>
            <w:vAlign w:val="center"/>
          </w:tcPr>
          <w:p w14:paraId="2CE4844F" w14:textId="77777777" w:rsidR="00280F1F" w:rsidRDefault="00280F1F" w:rsidP="00610813">
            <w:pPr>
              <w:spacing w:line="240" w:lineRule="atLeast"/>
              <w:jc w:val="both"/>
              <w:textAlignment w:val="center"/>
              <w:rPr>
                <w:rFonts w:eastAsia="楷体" w:cs="Calibri"/>
                <w:sz w:val="20"/>
                <w:szCs w:val="20"/>
              </w:rPr>
            </w:pPr>
            <w:r>
              <w:rPr>
                <w:rFonts w:eastAsia="楷体" w:cs="Calibri"/>
                <w:b/>
                <w:bCs/>
                <w:sz w:val="20"/>
                <w:szCs w:val="20"/>
              </w:rPr>
              <w:t>Source:</w:t>
            </w:r>
            <w:r>
              <w:rPr>
                <w:rFonts w:eastAsia="楷体" w:cs="楷体"/>
                <w:b/>
                <w:bCs/>
                <w:kern w:val="2"/>
                <w:sz w:val="20"/>
                <w:szCs w:val="20"/>
              </w:rPr>
              <w:t xml:space="preserve"> </w:t>
            </w:r>
            <w:r>
              <w:rPr>
                <w:rFonts w:eastAsia="楷体" w:cs="楷体"/>
                <w:kern w:val="2"/>
                <w:sz w:val="20"/>
                <w:szCs w:val="20"/>
              </w:rPr>
              <w:t>Numerator</w:t>
            </w:r>
            <w:r>
              <w:rPr>
                <w:rFonts w:ascii="楷体" w:eastAsia="楷体" w:hAnsi="楷体" w:cs="楷体" w:hint="eastAsia"/>
                <w:sz w:val="20"/>
                <w:szCs w:val="20"/>
              </w:rPr>
              <w:t>，</w:t>
            </w:r>
            <w:r>
              <w:rPr>
                <w:rFonts w:eastAsia="楷体" w:cs="Calibri"/>
                <w:sz w:val="20"/>
                <w:szCs w:val="20"/>
              </w:rPr>
              <w:t>HFI</w:t>
            </w:r>
          </w:p>
        </w:tc>
      </w:tr>
    </w:tbl>
    <w:p w14:paraId="0D4A1D1F" w14:textId="77777777" w:rsidR="00280F1F" w:rsidRDefault="00280F1F" w:rsidP="00280F1F">
      <w:pPr>
        <w:rPr>
          <w:rFonts w:eastAsia="楷体" w:cs="楷体"/>
          <w:b/>
          <w:bCs/>
          <w:kern w:val="2"/>
          <w:sz w:val="22"/>
          <w:szCs w:val="22"/>
        </w:rPr>
      </w:pPr>
    </w:p>
    <w:p w14:paraId="6F4BD718" w14:textId="77777777" w:rsidR="00280F1F" w:rsidRDefault="00280F1F" w:rsidP="00280F1F">
      <w:pPr>
        <w:rPr>
          <w:rFonts w:eastAsia="楷体" w:cs="楷体"/>
          <w:kern w:val="2"/>
          <w:sz w:val="22"/>
          <w:szCs w:val="22"/>
        </w:rPr>
      </w:pPr>
      <w:r>
        <w:rPr>
          <w:rFonts w:eastAsia="楷体" w:cs="楷体"/>
          <w:b/>
          <w:bCs/>
          <w:kern w:val="2"/>
          <w:sz w:val="22"/>
          <w:szCs w:val="22"/>
        </w:rPr>
        <w:t>In terms of growth trends across price tiers, the high-end market has generally outpaced the mass market.</w:t>
      </w:r>
      <w:r>
        <w:rPr>
          <w:rFonts w:eastAsia="楷体" w:cs="楷体"/>
          <w:kern w:val="2"/>
          <w:sz w:val="22"/>
          <w:szCs w:val="22"/>
        </w:rPr>
        <w:t xml:space="preserve"> According to McKinsey projections, the high-price segment will grow faster than the overall market between 2023 and 2028. Among them, the Luxury and Prestige categories demonstrate the strongest growth momentum, with compound annual growth rates (CAGR) of 9% and 7% respectively, both exceeding the overall market average of 6</w:t>
      </w:r>
      <w:proofErr w:type="gramStart"/>
      <w:r>
        <w:rPr>
          <w:rFonts w:eastAsia="楷体" w:cs="楷体"/>
          <w:kern w:val="2"/>
          <w:sz w:val="22"/>
          <w:szCs w:val="22"/>
        </w:rPr>
        <w:t>%.In</w:t>
      </w:r>
      <w:proofErr w:type="gramEnd"/>
      <w:r>
        <w:rPr>
          <w:rFonts w:eastAsia="楷体" w:cs="楷体"/>
          <w:kern w:val="2"/>
          <w:sz w:val="22"/>
          <w:szCs w:val="22"/>
        </w:rPr>
        <w:t xml:space="preserve"> comparison, the Entry prestige and Masstige categories show steady growth, each with a CAGR of 6%, in line with the market average. The Mass market segment grows at a more moderate pace, with a CAGR of 5%.</w:t>
      </w:r>
    </w:p>
    <w:p w14:paraId="4B87B3B2" w14:textId="77777777" w:rsidR="00280F1F" w:rsidRDefault="00280F1F" w:rsidP="00280F1F">
      <w:pPr>
        <w:rPr>
          <w:rFonts w:eastAsia="楷体" w:cs="楷体"/>
          <w:kern w:val="2"/>
          <w:sz w:val="22"/>
          <w:szCs w:val="22"/>
        </w:rPr>
      </w:pPr>
      <w:r>
        <w:rPr>
          <w:rFonts w:eastAsia="楷体" w:cs="楷体"/>
          <w:kern w:val="2"/>
          <w:sz w:val="22"/>
          <w:szCs w:val="22"/>
        </w:rPr>
        <w:t>Figure: Projected CAGR of Global Beauty Market by Price Tier, 2023–2028</w:t>
      </w:r>
    </w:p>
    <w:p w14:paraId="300596CC" w14:textId="77777777" w:rsidR="00280F1F" w:rsidRDefault="00280F1F" w:rsidP="00280F1F">
      <w:pPr>
        <w:rPr>
          <w:rFonts w:eastAsia="楷体" w:cs="楷体"/>
          <w:kern w:val="2"/>
          <w:sz w:val="22"/>
          <w:szCs w:val="22"/>
        </w:rPr>
      </w:pPr>
    </w:p>
    <w:tbl>
      <w:tblPr>
        <w:tblW w:w="7466" w:type="dxa"/>
        <w:tblLayout w:type="fixed"/>
        <w:tblLook w:val="04A0" w:firstRow="1" w:lastRow="0" w:firstColumn="1" w:lastColumn="0" w:noHBand="0" w:noVBand="1"/>
      </w:tblPr>
      <w:tblGrid>
        <w:gridCol w:w="7466"/>
      </w:tblGrid>
      <w:tr w:rsidR="00280F1F" w14:paraId="26032E9A" w14:textId="77777777" w:rsidTr="00610813">
        <w:trPr>
          <w:trHeight w:val="302"/>
        </w:trPr>
        <w:tc>
          <w:tcPr>
            <w:tcW w:w="7466" w:type="dxa"/>
            <w:tcBorders>
              <w:bottom w:val="single" w:sz="4" w:space="0" w:color="auto"/>
            </w:tcBorders>
            <w:tcMar>
              <w:left w:w="0" w:type="dxa"/>
              <w:right w:w="28" w:type="dxa"/>
            </w:tcMar>
          </w:tcPr>
          <w:p w14:paraId="6176CF7F" w14:textId="77777777" w:rsidR="00280F1F" w:rsidRDefault="00280F1F" w:rsidP="00610813">
            <w:pPr>
              <w:rPr>
                <w:rFonts w:eastAsia="楷体" w:cs="Calibri"/>
                <w:b/>
                <w:sz w:val="20"/>
                <w:szCs w:val="20"/>
              </w:rPr>
            </w:pPr>
            <w:r>
              <w:rPr>
                <w:rFonts w:eastAsia="楷体" w:cs="Calibri"/>
                <w:b/>
                <w:sz w:val="20"/>
                <w:szCs w:val="20"/>
              </w:rPr>
              <w:t>Figure: Projected CAGR of Global Beauty Market by Price Tier, 2023–2028</w:t>
            </w:r>
          </w:p>
        </w:tc>
      </w:tr>
      <w:tr w:rsidR="00280F1F" w14:paraId="4F540DC5" w14:textId="77777777" w:rsidTr="00610813">
        <w:trPr>
          <w:trHeight w:val="856"/>
        </w:trPr>
        <w:tc>
          <w:tcPr>
            <w:tcW w:w="7466" w:type="dxa"/>
            <w:tcBorders>
              <w:top w:val="single" w:sz="4" w:space="0" w:color="auto"/>
              <w:bottom w:val="single" w:sz="4" w:space="0" w:color="auto"/>
            </w:tcBorders>
            <w:vAlign w:val="center"/>
          </w:tcPr>
          <w:p w14:paraId="631FA043" w14:textId="77777777" w:rsidR="00280F1F" w:rsidRDefault="00280F1F" w:rsidP="00610813">
            <w:pPr>
              <w:spacing w:beforeLines="20" w:before="48" w:afterLines="20" w:after="48"/>
              <w:jc w:val="center"/>
              <w:textAlignment w:val="center"/>
              <w:rPr>
                <w:rFonts w:eastAsia="楷体" w:cs="Calibri"/>
                <w:b/>
                <w:bCs/>
                <w:sz w:val="20"/>
                <w:szCs w:val="20"/>
              </w:rPr>
            </w:pPr>
            <w:r>
              <w:rPr>
                <w:noProof/>
                <w:snapToGrid/>
              </w:rPr>
              <w:drawing>
                <wp:inline distT="0" distB="0" distL="0" distR="0" wp14:anchorId="153B4991" wp14:editId="1E81ED9C">
                  <wp:extent cx="4274820" cy="1905000"/>
                  <wp:effectExtent l="0" t="0" r="5080" b="0"/>
                  <wp:docPr id="92809317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280F1F" w14:paraId="4D68BCFF" w14:textId="77777777" w:rsidTr="00610813">
        <w:trPr>
          <w:trHeight w:val="64"/>
        </w:trPr>
        <w:tc>
          <w:tcPr>
            <w:tcW w:w="7466" w:type="dxa"/>
            <w:tcBorders>
              <w:top w:val="single" w:sz="4" w:space="0" w:color="auto"/>
            </w:tcBorders>
            <w:tcMar>
              <w:left w:w="0" w:type="dxa"/>
              <w:right w:w="28" w:type="dxa"/>
            </w:tcMar>
            <w:vAlign w:val="center"/>
          </w:tcPr>
          <w:p w14:paraId="66A119D4" w14:textId="77777777" w:rsidR="00280F1F" w:rsidRDefault="00280F1F" w:rsidP="00610813">
            <w:pPr>
              <w:spacing w:line="240" w:lineRule="atLeast"/>
              <w:jc w:val="both"/>
              <w:textAlignment w:val="center"/>
              <w:rPr>
                <w:rFonts w:eastAsia="楷体" w:cs="Calibri"/>
                <w:sz w:val="20"/>
                <w:szCs w:val="20"/>
              </w:rPr>
            </w:pPr>
            <w:r>
              <w:rPr>
                <w:rFonts w:eastAsia="楷体" w:cs="Calibri"/>
                <w:b/>
                <w:bCs/>
                <w:sz w:val="20"/>
                <w:szCs w:val="20"/>
              </w:rPr>
              <w:t xml:space="preserve">Source: </w:t>
            </w:r>
            <w:r>
              <w:rPr>
                <w:rFonts w:eastAsia="楷体" w:cs="Calibri"/>
                <w:sz w:val="20"/>
                <w:szCs w:val="20"/>
              </w:rPr>
              <w:t>McKinsey</w:t>
            </w:r>
            <w:r>
              <w:rPr>
                <w:rFonts w:ascii="楷体" w:eastAsia="楷体" w:hAnsi="楷体" w:cs="楷体" w:hint="eastAsia"/>
                <w:sz w:val="20"/>
                <w:szCs w:val="20"/>
              </w:rPr>
              <w:t>，</w:t>
            </w:r>
            <w:r>
              <w:rPr>
                <w:rFonts w:eastAsia="楷体" w:cs="Calibri"/>
                <w:sz w:val="20"/>
                <w:szCs w:val="20"/>
              </w:rPr>
              <w:t>HFI</w:t>
            </w:r>
          </w:p>
        </w:tc>
      </w:tr>
    </w:tbl>
    <w:p w14:paraId="46275A74" w14:textId="77777777" w:rsidR="00280F1F" w:rsidRDefault="00280F1F" w:rsidP="00280F1F">
      <w:pPr>
        <w:pStyle w:val="211"/>
        <w:jc w:val="both"/>
        <w:rPr>
          <w:rFonts w:ascii="Calibri" w:eastAsia="楷体" w:hAnsi="Calibri" w:cs="楷体"/>
          <w:color w:val="23558C"/>
          <w:sz w:val="24"/>
        </w:rPr>
      </w:pPr>
      <w:bookmarkStart w:id="17" w:name="_Toc223631781"/>
      <w:bookmarkStart w:id="18" w:name="_Toc224295880"/>
      <w:r>
        <w:rPr>
          <w:rFonts w:ascii="Calibri" w:eastAsia="楷体" w:hAnsi="Calibri" w:cs="楷体" w:hint="eastAsia"/>
          <w:color w:val="23558C"/>
          <w:sz w:val="24"/>
        </w:rPr>
        <w:t xml:space="preserve">2.2 </w:t>
      </w:r>
      <w:bookmarkEnd w:id="17"/>
      <w:r>
        <w:rPr>
          <w:rFonts w:ascii="Calibri" w:eastAsia="楷体" w:hAnsi="Calibri" w:cs="楷体"/>
          <w:color w:val="23558C"/>
          <w:sz w:val="24"/>
        </w:rPr>
        <w:t>Competitive Landscape: Significant Matthew Effect</w:t>
      </w:r>
      <w:bookmarkEnd w:id="18"/>
    </w:p>
    <w:p w14:paraId="6EC5E97B" w14:textId="77777777" w:rsidR="00280F1F" w:rsidRDefault="00280F1F" w:rsidP="00280F1F">
      <w:pPr>
        <w:rPr>
          <w:rFonts w:eastAsia="楷体" w:cs="楷体"/>
          <w:kern w:val="2"/>
          <w:sz w:val="22"/>
          <w:szCs w:val="22"/>
        </w:rPr>
      </w:pPr>
      <w:r>
        <w:rPr>
          <w:rFonts w:eastAsia="楷体" w:cs="楷体"/>
          <w:b/>
          <w:bCs/>
          <w:kern w:val="2"/>
          <w:sz w:val="22"/>
          <w:szCs w:val="22"/>
        </w:rPr>
        <w:t>From a global perspective, the global beauty market has witnessed substantial structural divergence over the past five years, with a growing trend toward industry consolidation.</w:t>
      </w:r>
      <w:r>
        <w:rPr>
          <w:rFonts w:eastAsia="楷体" w:cs="楷体" w:hint="eastAsia"/>
          <w:b/>
          <w:bCs/>
          <w:kern w:val="2"/>
          <w:sz w:val="22"/>
          <w:szCs w:val="22"/>
        </w:rPr>
        <w:t xml:space="preserve"> </w:t>
      </w:r>
      <w:r>
        <w:rPr>
          <w:rFonts w:eastAsia="楷体" w:cs="楷体"/>
          <w:kern w:val="2"/>
          <w:sz w:val="22"/>
          <w:szCs w:val="22"/>
        </w:rPr>
        <w:t>The top ten beauty companies account for approximately 38% of the global market share, representing an increase of 5.2 percentage points compared with 2020, as resources and growth continue to concentrate among leading enterprises.</w:t>
      </w:r>
      <w:r>
        <w:rPr>
          <w:rFonts w:eastAsia="楷体" w:cs="楷体" w:hint="eastAsia"/>
          <w:kern w:val="2"/>
          <w:sz w:val="22"/>
          <w:szCs w:val="22"/>
        </w:rPr>
        <w:t xml:space="preserve"> </w:t>
      </w:r>
      <w:r>
        <w:rPr>
          <w:rFonts w:eastAsia="楷体" w:cs="楷体"/>
          <w:kern w:val="2"/>
          <w:sz w:val="22"/>
          <w:szCs w:val="22"/>
        </w:rPr>
        <w:t>As the industry leader, L’Oréal Group has demonstrated remarkable growth resilience, with its global market share rising from 15.8% in 2020 to 18.0% in 2024, firmly ranking first worldwide.</w:t>
      </w:r>
    </w:p>
    <w:p w14:paraId="399B0F9E" w14:textId="77777777" w:rsidR="00280F1F" w:rsidRDefault="00280F1F" w:rsidP="00280F1F">
      <w:pPr>
        <w:rPr>
          <w:rFonts w:eastAsia="楷体" w:cs="楷体"/>
          <w:b/>
          <w:bCs/>
          <w:kern w:val="2"/>
          <w:sz w:val="22"/>
          <w:szCs w:val="22"/>
        </w:rPr>
      </w:pPr>
    </w:p>
    <w:tbl>
      <w:tblPr>
        <w:tblW w:w="7466" w:type="dxa"/>
        <w:tblLayout w:type="fixed"/>
        <w:tblLook w:val="04A0" w:firstRow="1" w:lastRow="0" w:firstColumn="1" w:lastColumn="0" w:noHBand="0" w:noVBand="1"/>
      </w:tblPr>
      <w:tblGrid>
        <w:gridCol w:w="7466"/>
      </w:tblGrid>
      <w:tr w:rsidR="00280F1F" w14:paraId="45FAED14" w14:textId="77777777" w:rsidTr="00610813">
        <w:trPr>
          <w:trHeight w:val="302"/>
        </w:trPr>
        <w:tc>
          <w:tcPr>
            <w:tcW w:w="7466" w:type="dxa"/>
            <w:tcBorders>
              <w:bottom w:val="single" w:sz="4" w:space="0" w:color="auto"/>
            </w:tcBorders>
            <w:tcMar>
              <w:left w:w="0" w:type="dxa"/>
              <w:right w:w="28" w:type="dxa"/>
            </w:tcMar>
          </w:tcPr>
          <w:p w14:paraId="0CB2E4A9" w14:textId="77777777" w:rsidR="00280F1F" w:rsidRDefault="00280F1F" w:rsidP="00610813">
            <w:pPr>
              <w:spacing w:beforeLines="20" w:before="48" w:afterLines="20" w:after="48"/>
              <w:jc w:val="both"/>
              <w:textAlignment w:val="center"/>
              <w:rPr>
                <w:rFonts w:eastAsia="楷体" w:cs="Calibri"/>
                <w:b/>
                <w:sz w:val="20"/>
                <w:szCs w:val="20"/>
              </w:rPr>
            </w:pPr>
            <w:r>
              <w:rPr>
                <w:rFonts w:eastAsia="楷体" w:cs="Calibri"/>
                <w:b/>
                <w:sz w:val="20"/>
                <w:szCs w:val="20"/>
              </w:rPr>
              <w:t>Figure: Market Share of Leading Global Beauty Companies, 2024 (%)</w:t>
            </w:r>
          </w:p>
        </w:tc>
      </w:tr>
      <w:tr w:rsidR="00280F1F" w14:paraId="4F988C65" w14:textId="77777777" w:rsidTr="00610813">
        <w:trPr>
          <w:trHeight w:val="856"/>
        </w:trPr>
        <w:tc>
          <w:tcPr>
            <w:tcW w:w="7466" w:type="dxa"/>
            <w:tcBorders>
              <w:top w:val="single" w:sz="4" w:space="0" w:color="auto"/>
              <w:bottom w:val="single" w:sz="4" w:space="0" w:color="auto"/>
            </w:tcBorders>
            <w:vAlign w:val="center"/>
          </w:tcPr>
          <w:p w14:paraId="4665EF42" w14:textId="77777777" w:rsidR="00280F1F" w:rsidRDefault="00280F1F" w:rsidP="00610813">
            <w:pPr>
              <w:spacing w:beforeLines="20" w:before="48" w:afterLines="20" w:after="48"/>
              <w:jc w:val="center"/>
              <w:textAlignment w:val="center"/>
              <w:rPr>
                <w:rFonts w:eastAsia="楷体" w:cs="Calibri"/>
                <w:b/>
                <w:bCs/>
                <w:sz w:val="20"/>
                <w:szCs w:val="20"/>
              </w:rPr>
            </w:pPr>
            <w:r>
              <w:rPr>
                <w:noProof/>
                <w:snapToGrid/>
              </w:rPr>
              <w:lastRenderedPageBreak/>
              <w:drawing>
                <wp:inline distT="0" distB="0" distL="0" distR="0" wp14:anchorId="798548C6" wp14:editId="43F90B1A">
                  <wp:extent cx="4603750" cy="2654935"/>
                  <wp:effectExtent l="0" t="0" r="6350" b="0"/>
                  <wp:docPr id="191681886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280F1F" w14:paraId="2E3D266C" w14:textId="77777777" w:rsidTr="00610813">
        <w:trPr>
          <w:trHeight w:val="64"/>
        </w:trPr>
        <w:tc>
          <w:tcPr>
            <w:tcW w:w="7466" w:type="dxa"/>
            <w:tcBorders>
              <w:top w:val="single" w:sz="4" w:space="0" w:color="auto"/>
            </w:tcBorders>
            <w:tcMar>
              <w:left w:w="0" w:type="dxa"/>
              <w:right w:w="28" w:type="dxa"/>
            </w:tcMar>
            <w:vAlign w:val="center"/>
          </w:tcPr>
          <w:p w14:paraId="2A4EDB3B" w14:textId="77777777" w:rsidR="00280F1F" w:rsidRDefault="00280F1F" w:rsidP="00610813">
            <w:pPr>
              <w:spacing w:line="240" w:lineRule="atLeast"/>
              <w:jc w:val="both"/>
              <w:textAlignment w:val="center"/>
              <w:rPr>
                <w:rFonts w:eastAsia="楷体" w:cs="Calibri"/>
                <w:sz w:val="20"/>
                <w:szCs w:val="20"/>
              </w:rPr>
            </w:pPr>
            <w:r>
              <w:rPr>
                <w:rFonts w:eastAsia="楷体" w:cs="Calibri" w:hint="eastAsia"/>
                <w:b/>
                <w:bCs/>
                <w:sz w:val="20"/>
                <w:szCs w:val="20"/>
              </w:rPr>
              <w:t>Source</w:t>
            </w:r>
            <w:r>
              <w:rPr>
                <w:rFonts w:eastAsia="楷体" w:cs="Calibri"/>
                <w:b/>
                <w:bCs/>
                <w:sz w:val="20"/>
                <w:szCs w:val="20"/>
              </w:rPr>
              <w:t xml:space="preserve">: </w:t>
            </w:r>
            <w:r>
              <w:rPr>
                <w:rFonts w:eastAsia="楷体" w:cs="楷体"/>
                <w:sz w:val="20"/>
                <w:szCs w:val="20"/>
              </w:rPr>
              <w:t>Euromonitor</w:t>
            </w:r>
            <w:r>
              <w:rPr>
                <w:rFonts w:eastAsia="楷体" w:cs="楷体" w:hint="eastAsia"/>
                <w:sz w:val="20"/>
                <w:szCs w:val="20"/>
              </w:rPr>
              <w:t>，</w:t>
            </w:r>
            <w:r>
              <w:rPr>
                <w:rFonts w:eastAsia="楷体" w:cs="Calibri"/>
                <w:sz w:val="20"/>
                <w:szCs w:val="20"/>
              </w:rPr>
              <w:t>HFI</w:t>
            </w:r>
          </w:p>
        </w:tc>
      </w:tr>
    </w:tbl>
    <w:p w14:paraId="7AF7DBB7" w14:textId="77777777" w:rsidR="00280F1F" w:rsidRDefault="00280F1F" w:rsidP="00280F1F">
      <w:pPr>
        <w:tabs>
          <w:tab w:val="left" w:pos="871"/>
        </w:tabs>
        <w:rPr>
          <w:rFonts w:eastAsia="楷体" w:cs="楷体"/>
          <w:b/>
          <w:bCs/>
          <w:sz w:val="22"/>
          <w:szCs w:val="22"/>
        </w:rPr>
      </w:pPr>
    </w:p>
    <w:p w14:paraId="11B4FD8F" w14:textId="77777777" w:rsidR="00280F1F" w:rsidRDefault="00280F1F" w:rsidP="00280F1F">
      <w:pPr>
        <w:tabs>
          <w:tab w:val="left" w:pos="871"/>
        </w:tabs>
        <w:rPr>
          <w:rFonts w:eastAsia="楷体" w:cs="楷体"/>
          <w:b/>
          <w:bCs/>
          <w:sz w:val="22"/>
          <w:szCs w:val="22"/>
        </w:rPr>
      </w:pPr>
      <w:r>
        <w:rPr>
          <w:rFonts w:eastAsia="楷体" w:cs="楷体"/>
          <w:b/>
          <w:bCs/>
          <w:sz w:val="22"/>
          <w:szCs w:val="22"/>
        </w:rPr>
        <w:t>L’Oréal’s brands have achieved outstanding market share performance across various segments:</w:t>
      </w:r>
    </w:p>
    <w:p w14:paraId="67701703" w14:textId="77777777" w:rsidR="00280F1F" w:rsidRDefault="00280F1F" w:rsidP="00280F1F">
      <w:pPr>
        <w:tabs>
          <w:tab w:val="left" w:pos="871"/>
        </w:tabs>
        <w:rPr>
          <w:rFonts w:eastAsia="楷体" w:cs="楷体"/>
          <w:b/>
          <w:bCs/>
          <w:sz w:val="22"/>
          <w:szCs w:val="22"/>
        </w:rPr>
      </w:pPr>
    </w:p>
    <w:p w14:paraId="522FB38B" w14:textId="77777777" w:rsidR="00280F1F" w:rsidRDefault="00280F1F" w:rsidP="00280F1F">
      <w:pPr>
        <w:tabs>
          <w:tab w:val="left" w:pos="871"/>
        </w:tabs>
        <w:rPr>
          <w:rFonts w:eastAsia="楷体" w:cs="楷体"/>
          <w:sz w:val="22"/>
          <w:szCs w:val="22"/>
        </w:rPr>
      </w:pPr>
      <w:r>
        <w:rPr>
          <w:rFonts w:eastAsia="楷体" w:cs="楷体" w:hint="eastAsia"/>
          <w:b/>
          <w:bCs/>
          <w:sz w:val="22"/>
          <w:szCs w:val="22"/>
        </w:rPr>
        <w:t>1</w:t>
      </w:r>
      <w:r>
        <w:rPr>
          <w:rFonts w:eastAsia="楷体" w:cs="楷体" w:hint="eastAsia"/>
          <w:b/>
          <w:bCs/>
          <w:sz w:val="22"/>
          <w:szCs w:val="22"/>
        </w:rPr>
        <w:t>）</w:t>
      </w:r>
      <w:r>
        <w:rPr>
          <w:rFonts w:eastAsia="楷体" w:cs="楷体" w:hint="eastAsia"/>
          <w:b/>
          <w:bCs/>
          <w:sz w:val="22"/>
          <w:szCs w:val="22"/>
        </w:rPr>
        <w:t>I</w:t>
      </w:r>
      <w:r>
        <w:rPr>
          <w:rFonts w:eastAsia="楷体" w:cs="楷体"/>
          <w:b/>
          <w:bCs/>
          <w:sz w:val="22"/>
          <w:szCs w:val="22"/>
        </w:rPr>
        <w:t>n the global mass beauty and personal care market, L</w:t>
      </w:r>
      <w:proofErr w:type="gramStart"/>
      <w:r>
        <w:rPr>
          <w:rFonts w:eastAsia="楷体" w:cs="楷体"/>
          <w:b/>
          <w:bCs/>
          <w:sz w:val="22"/>
          <w:szCs w:val="22"/>
        </w:rPr>
        <w:t>’</w:t>
      </w:r>
      <w:proofErr w:type="gramEnd"/>
      <w:r>
        <w:rPr>
          <w:rFonts w:eastAsia="楷体" w:cs="楷体"/>
          <w:b/>
          <w:bCs/>
          <w:sz w:val="22"/>
          <w:szCs w:val="22"/>
        </w:rPr>
        <w:t xml:space="preserve">Oréal Group has continuously consolidated its leading position through a multi-brand portfolio. </w:t>
      </w:r>
      <w:r>
        <w:rPr>
          <w:rFonts w:eastAsia="楷体" w:cs="楷体"/>
          <w:sz w:val="22"/>
          <w:szCs w:val="22"/>
        </w:rPr>
        <w:t>According to Euromonitor data, the Group’s aggregated corporate share in this segment rose steadily from approximately 8.1% in 2019 to about 9.4% in 2024, representing a cumulative increase of 1.3 percentage points over five years.</w:t>
      </w:r>
    </w:p>
    <w:p w14:paraId="0B07B317" w14:textId="77777777" w:rsidR="00280F1F" w:rsidRDefault="00280F1F" w:rsidP="00280F1F">
      <w:pPr>
        <w:tabs>
          <w:tab w:val="left" w:pos="871"/>
        </w:tabs>
        <w:rPr>
          <w:rFonts w:eastAsia="楷体" w:cs="楷体"/>
          <w:sz w:val="22"/>
          <w:szCs w:val="22"/>
        </w:rPr>
      </w:pPr>
      <w:r>
        <w:rPr>
          <w:rFonts w:eastAsia="楷体" w:cs="楷体"/>
          <w:sz w:val="22"/>
          <w:szCs w:val="22"/>
        </w:rPr>
        <w:t>Among its brands, L’Oréal Paris, as the top mass-market brand, edged up from 4.3% to 4.6% and has ranked first for six consecutive years. Garnier grew from 2.0% to 2.2%, supported by the iteration of natural, affordable, and effective products. Maybelline New York remained stable at around 1.5%.</w:t>
      </w:r>
      <w:r>
        <w:rPr>
          <w:rFonts w:eastAsia="楷体" w:cs="楷体" w:hint="eastAsia"/>
          <w:sz w:val="22"/>
          <w:szCs w:val="22"/>
        </w:rPr>
        <w:t xml:space="preserve"> </w:t>
      </w:r>
      <w:r>
        <w:rPr>
          <w:rFonts w:eastAsia="楷体" w:cs="楷体"/>
          <w:sz w:val="22"/>
          <w:szCs w:val="22"/>
        </w:rPr>
        <w:t>Such steady growth in market share was mainly driven by L’Oréal’s deep penetration in digital channels, which significantly improved brand reach and conversion among young consumers.</w:t>
      </w:r>
    </w:p>
    <w:p w14:paraId="416E39CB" w14:textId="77777777" w:rsidR="00280F1F" w:rsidRDefault="00280F1F" w:rsidP="00280F1F">
      <w:pPr>
        <w:tabs>
          <w:tab w:val="left" w:pos="871"/>
        </w:tabs>
        <w:rPr>
          <w:rFonts w:eastAsia="楷体" w:cs="楷体"/>
          <w:sz w:val="22"/>
          <w:szCs w:val="22"/>
        </w:rPr>
      </w:pPr>
    </w:p>
    <w:tbl>
      <w:tblPr>
        <w:tblW w:w="7466" w:type="dxa"/>
        <w:tblLayout w:type="fixed"/>
        <w:tblLook w:val="04A0" w:firstRow="1" w:lastRow="0" w:firstColumn="1" w:lastColumn="0" w:noHBand="0" w:noVBand="1"/>
      </w:tblPr>
      <w:tblGrid>
        <w:gridCol w:w="7466"/>
      </w:tblGrid>
      <w:tr w:rsidR="00280F1F" w14:paraId="2DEF9033" w14:textId="77777777" w:rsidTr="00610813">
        <w:trPr>
          <w:trHeight w:val="302"/>
        </w:trPr>
        <w:tc>
          <w:tcPr>
            <w:tcW w:w="7466" w:type="dxa"/>
            <w:tcBorders>
              <w:bottom w:val="single" w:sz="4" w:space="0" w:color="auto"/>
            </w:tcBorders>
            <w:tcMar>
              <w:left w:w="0" w:type="dxa"/>
              <w:right w:w="28" w:type="dxa"/>
            </w:tcMar>
          </w:tcPr>
          <w:p w14:paraId="3CAC02AE" w14:textId="77777777" w:rsidR="00280F1F" w:rsidRDefault="00280F1F" w:rsidP="00610813">
            <w:pPr>
              <w:spacing w:beforeLines="20" w:before="48" w:afterLines="20" w:after="48"/>
              <w:jc w:val="both"/>
              <w:textAlignment w:val="center"/>
              <w:rPr>
                <w:rFonts w:eastAsia="楷体" w:cs="Calibri"/>
                <w:b/>
                <w:sz w:val="20"/>
                <w:szCs w:val="20"/>
              </w:rPr>
            </w:pPr>
            <w:r>
              <w:rPr>
                <w:rFonts w:eastAsia="楷体" w:cs="Calibri"/>
                <w:b/>
                <w:sz w:val="20"/>
                <w:szCs w:val="20"/>
              </w:rPr>
              <w:t>Figure: Market Share of the Top 10 Brands in the Global Mass Beauty &amp; Personal Care Market, 2019–2024 (%)</w:t>
            </w:r>
          </w:p>
        </w:tc>
      </w:tr>
      <w:tr w:rsidR="00280F1F" w14:paraId="63FC3ACD" w14:textId="77777777" w:rsidTr="00610813">
        <w:trPr>
          <w:trHeight w:val="856"/>
        </w:trPr>
        <w:tc>
          <w:tcPr>
            <w:tcW w:w="7466" w:type="dxa"/>
            <w:tcBorders>
              <w:top w:val="single" w:sz="4" w:space="0" w:color="auto"/>
              <w:bottom w:val="single" w:sz="4" w:space="0" w:color="auto"/>
            </w:tcBorders>
            <w:vAlign w:val="center"/>
          </w:tcPr>
          <w:tbl>
            <w:tblPr>
              <w:tblW w:w="7186" w:type="dxa"/>
              <w:tblLayout w:type="fixed"/>
              <w:tblLook w:val="04A0" w:firstRow="1" w:lastRow="0" w:firstColumn="1" w:lastColumn="0" w:noHBand="0" w:noVBand="1"/>
            </w:tblPr>
            <w:tblGrid>
              <w:gridCol w:w="2151"/>
              <w:gridCol w:w="851"/>
              <w:gridCol w:w="850"/>
              <w:gridCol w:w="851"/>
              <w:gridCol w:w="850"/>
              <w:gridCol w:w="851"/>
              <w:gridCol w:w="782"/>
            </w:tblGrid>
            <w:tr w:rsidR="00280F1F" w14:paraId="268D0344"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shd w:val="clear" w:color="000000" w:fill="0070C0"/>
                  <w:vAlign w:val="center"/>
                </w:tcPr>
                <w:p w14:paraId="5A7BB6D6" w14:textId="77777777" w:rsidR="00280F1F" w:rsidRDefault="00280F1F" w:rsidP="00610813">
                  <w:pPr>
                    <w:jc w:val="center"/>
                    <w:rPr>
                      <w:rFonts w:cs="Calibri"/>
                      <w:b/>
                      <w:bCs/>
                      <w:color w:val="FFFFFF"/>
                      <w:sz w:val="22"/>
                      <w:szCs w:val="22"/>
                    </w:rPr>
                  </w:pPr>
                  <w:r>
                    <w:rPr>
                      <w:rFonts w:cs="Calibri"/>
                      <w:b/>
                      <w:bCs/>
                      <w:color w:val="FFFFFF"/>
                      <w:sz w:val="22"/>
                      <w:szCs w:val="22"/>
                    </w:rPr>
                    <w:t>Brand Name</w:t>
                  </w:r>
                </w:p>
              </w:tc>
              <w:tc>
                <w:tcPr>
                  <w:tcW w:w="851"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5722266D" w14:textId="77777777" w:rsidR="00280F1F" w:rsidRDefault="00280F1F" w:rsidP="00610813">
                  <w:pPr>
                    <w:jc w:val="center"/>
                    <w:rPr>
                      <w:rFonts w:cs="Calibri"/>
                      <w:b/>
                      <w:bCs/>
                      <w:color w:val="FFFFFF"/>
                      <w:sz w:val="22"/>
                      <w:szCs w:val="22"/>
                    </w:rPr>
                  </w:pPr>
                  <w:r>
                    <w:rPr>
                      <w:rFonts w:cs="Calibri"/>
                      <w:b/>
                      <w:bCs/>
                      <w:color w:val="FFFFFF"/>
                      <w:sz w:val="22"/>
                      <w:szCs w:val="22"/>
                    </w:rPr>
                    <w:t>2019</w:t>
                  </w:r>
                </w:p>
              </w:tc>
              <w:tc>
                <w:tcPr>
                  <w:tcW w:w="850"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54291902" w14:textId="77777777" w:rsidR="00280F1F" w:rsidRDefault="00280F1F" w:rsidP="00610813">
                  <w:pPr>
                    <w:jc w:val="center"/>
                    <w:rPr>
                      <w:rFonts w:cs="Calibri"/>
                      <w:b/>
                      <w:bCs/>
                      <w:color w:val="FFFFFF"/>
                      <w:sz w:val="22"/>
                      <w:szCs w:val="22"/>
                    </w:rPr>
                  </w:pPr>
                  <w:r>
                    <w:rPr>
                      <w:rFonts w:cs="Calibri"/>
                      <w:b/>
                      <w:bCs/>
                      <w:color w:val="FFFFFF"/>
                      <w:sz w:val="22"/>
                      <w:szCs w:val="22"/>
                    </w:rPr>
                    <w:t>2020</w:t>
                  </w:r>
                </w:p>
              </w:tc>
              <w:tc>
                <w:tcPr>
                  <w:tcW w:w="851"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47B153C4" w14:textId="77777777" w:rsidR="00280F1F" w:rsidRDefault="00280F1F" w:rsidP="00610813">
                  <w:pPr>
                    <w:jc w:val="center"/>
                    <w:rPr>
                      <w:rFonts w:cs="Calibri"/>
                      <w:b/>
                      <w:bCs/>
                      <w:color w:val="FFFFFF"/>
                      <w:sz w:val="22"/>
                      <w:szCs w:val="22"/>
                    </w:rPr>
                  </w:pPr>
                  <w:r>
                    <w:rPr>
                      <w:rFonts w:cs="Calibri"/>
                      <w:b/>
                      <w:bCs/>
                      <w:color w:val="FFFFFF"/>
                      <w:sz w:val="22"/>
                      <w:szCs w:val="22"/>
                    </w:rPr>
                    <w:t>2021</w:t>
                  </w:r>
                </w:p>
              </w:tc>
              <w:tc>
                <w:tcPr>
                  <w:tcW w:w="850"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78E77192" w14:textId="77777777" w:rsidR="00280F1F" w:rsidRDefault="00280F1F" w:rsidP="00610813">
                  <w:pPr>
                    <w:jc w:val="center"/>
                    <w:rPr>
                      <w:rFonts w:cs="Calibri"/>
                      <w:b/>
                      <w:bCs/>
                      <w:color w:val="FFFFFF"/>
                      <w:sz w:val="22"/>
                      <w:szCs w:val="22"/>
                    </w:rPr>
                  </w:pPr>
                  <w:r>
                    <w:rPr>
                      <w:rFonts w:cs="Calibri"/>
                      <w:b/>
                      <w:bCs/>
                      <w:color w:val="FFFFFF"/>
                      <w:sz w:val="22"/>
                      <w:szCs w:val="22"/>
                    </w:rPr>
                    <w:t>2022</w:t>
                  </w:r>
                </w:p>
              </w:tc>
              <w:tc>
                <w:tcPr>
                  <w:tcW w:w="851" w:type="dxa"/>
                  <w:tcBorders>
                    <w:top w:val="single" w:sz="4" w:space="0" w:color="auto"/>
                    <w:left w:val="single" w:sz="4" w:space="0" w:color="auto"/>
                    <w:bottom w:val="single" w:sz="4" w:space="0" w:color="auto"/>
                    <w:right w:val="single" w:sz="4" w:space="0" w:color="auto"/>
                  </w:tcBorders>
                  <w:shd w:val="clear" w:color="000000" w:fill="0070C0"/>
                  <w:vAlign w:val="center"/>
                </w:tcPr>
                <w:p w14:paraId="61FCF967" w14:textId="77777777" w:rsidR="00280F1F" w:rsidRDefault="00280F1F" w:rsidP="00610813">
                  <w:pPr>
                    <w:jc w:val="center"/>
                    <w:rPr>
                      <w:rFonts w:cs="Calibri"/>
                      <w:b/>
                      <w:bCs/>
                      <w:color w:val="FFFFFF"/>
                      <w:sz w:val="22"/>
                      <w:szCs w:val="22"/>
                    </w:rPr>
                  </w:pPr>
                  <w:r>
                    <w:rPr>
                      <w:rFonts w:cs="Calibri"/>
                      <w:b/>
                      <w:bCs/>
                      <w:color w:val="FFFFFF"/>
                      <w:sz w:val="22"/>
                      <w:szCs w:val="22"/>
                    </w:rPr>
                    <w:t>202</w:t>
                  </w:r>
                  <w:r>
                    <w:rPr>
                      <w:rFonts w:cs="Calibri" w:hint="eastAsia"/>
                      <w:b/>
                      <w:bCs/>
                      <w:color w:val="FFFFFF"/>
                      <w:sz w:val="22"/>
                      <w:szCs w:val="22"/>
                    </w:rPr>
                    <w:t>3</w:t>
                  </w:r>
                </w:p>
              </w:tc>
              <w:tc>
                <w:tcPr>
                  <w:tcW w:w="782" w:type="dxa"/>
                  <w:tcBorders>
                    <w:top w:val="single" w:sz="4" w:space="0" w:color="auto"/>
                    <w:left w:val="single" w:sz="4" w:space="0" w:color="auto"/>
                    <w:bottom w:val="single" w:sz="4" w:space="0" w:color="auto"/>
                    <w:right w:val="single" w:sz="4" w:space="0" w:color="auto"/>
                  </w:tcBorders>
                  <w:shd w:val="clear" w:color="000000" w:fill="0070C0"/>
                  <w:vAlign w:val="center"/>
                </w:tcPr>
                <w:p w14:paraId="40F8DEED" w14:textId="77777777" w:rsidR="00280F1F" w:rsidRDefault="00280F1F" w:rsidP="00610813">
                  <w:pPr>
                    <w:jc w:val="center"/>
                    <w:rPr>
                      <w:rFonts w:cs="Calibri"/>
                      <w:b/>
                      <w:bCs/>
                      <w:color w:val="FFFFFF"/>
                      <w:sz w:val="22"/>
                      <w:szCs w:val="22"/>
                    </w:rPr>
                  </w:pPr>
                  <w:r>
                    <w:rPr>
                      <w:rFonts w:cs="Calibri"/>
                      <w:b/>
                      <w:bCs/>
                      <w:color w:val="FFFFFF"/>
                      <w:sz w:val="22"/>
                      <w:szCs w:val="22"/>
                    </w:rPr>
                    <w:t>2024</w:t>
                  </w:r>
                </w:p>
              </w:tc>
            </w:tr>
            <w:tr w:rsidR="00280F1F" w14:paraId="41D9818D"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0AC30107" w14:textId="77777777" w:rsidR="00280F1F" w:rsidRDefault="00280F1F" w:rsidP="00610813">
                  <w:pPr>
                    <w:jc w:val="center"/>
                    <w:rPr>
                      <w:rFonts w:cs="Calibri"/>
                      <w:color w:val="000000"/>
                      <w:sz w:val="22"/>
                      <w:szCs w:val="22"/>
                    </w:rPr>
                  </w:pPr>
                  <w:r>
                    <w:rPr>
                      <w:rFonts w:cs="Calibri"/>
                      <w:color w:val="000000"/>
                      <w:sz w:val="22"/>
                      <w:szCs w:val="22"/>
                    </w:rPr>
                    <w:t>L'Oréal Paris</w:t>
                  </w:r>
                </w:p>
              </w:tc>
              <w:tc>
                <w:tcPr>
                  <w:tcW w:w="851" w:type="dxa"/>
                  <w:tcBorders>
                    <w:top w:val="single" w:sz="4" w:space="0" w:color="auto"/>
                    <w:left w:val="single" w:sz="4" w:space="0" w:color="auto"/>
                    <w:bottom w:val="single" w:sz="4" w:space="0" w:color="auto"/>
                    <w:right w:val="single" w:sz="4" w:space="0" w:color="auto"/>
                  </w:tcBorders>
                  <w:noWrap/>
                  <w:vAlign w:val="center"/>
                </w:tcPr>
                <w:p w14:paraId="760B1B4B" w14:textId="77777777" w:rsidR="00280F1F" w:rsidRDefault="00280F1F" w:rsidP="00610813">
                  <w:pPr>
                    <w:jc w:val="center"/>
                    <w:rPr>
                      <w:rFonts w:cs="Calibri"/>
                      <w:color w:val="000000"/>
                      <w:sz w:val="22"/>
                      <w:szCs w:val="22"/>
                    </w:rPr>
                  </w:pPr>
                  <w:r>
                    <w:rPr>
                      <w:rFonts w:cs="Calibri"/>
                      <w:color w:val="000000"/>
                      <w:sz w:val="22"/>
                      <w:szCs w:val="22"/>
                    </w:rPr>
                    <w:t>4.3</w:t>
                  </w:r>
                </w:p>
              </w:tc>
              <w:tc>
                <w:tcPr>
                  <w:tcW w:w="850" w:type="dxa"/>
                  <w:tcBorders>
                    <w:top w:val="single" w:sz="4" w:space="0" w:color="auto"/>
                    <w:left w:val="single" w:sz="4" w:space="0" w:color="auto"/>
                    <w:bottom w:val="single" w:sz="4" w:space="0" w:color="auto"/>
                    <w:right w:val="single" w:sz="4" w:space="0" w:color="auto"/>
                  </w:tcBorders>
                  <w:noWrap/>
                  <w:vAlign w:val="center"/>
                </w:tcPr>
                <w:p w14:paraId="2322FD77" w14:textId="77777777" w:rsidR="00280F1F" w:rsidRDefault="00280F1F" w:rsidP="00610813">
                  <w:pPr>
                    <w:jc w:val="center"/>
                    <w:rPr>
                      <w:rFonts w:cs="Calibri"/>
                      <w:color w:val="000000"/>
                      <w:sz w:val="22"/>
                      <w:szCs w:val="22"/>
                    </w:rPr>
                  </w:pPr>
                  <w:r>
                    <w:rPr>
                      <w:rFonts w:cs="Calibri"/>
                      <w:color w:val="000000"/>
                      <w:sz w:val="22"/>
                      <w:szCs w:val="22"/>
                    </w:rPr>
                    <w:t>4.4</w:t>
                  </w:r>
                </w:p>
              </w:tc>
              <w:tc>
                <w:tcPr>
                  <w:tcW w:w="851" w:type="dxa"/>
                  <w:tcBorders>
                    <w:top w:val="single" w:sz="4" w:space="0" w:color="auto"/>
                    <w:left w:val="single" w:sz="4" w:space="0" w:color="auto"/>
                    <w:bottom w:val="single" w:sz="4" w:space="0" w:color="auto"/>
                    <w:right w:val="single" w:sz="4" w:space="0" w:color="auto"/>
                  </w:tcBorders>
                  <w:noWrap/>
                  <w:vAlign w:val="center"/>
                </w:tcPr>
                <w:p w14:paraId="10628364" w14:textId="77777777" w:rsidR="00280F1F" w:rsidRDefault="00280F1F" w:rsidP="00610813">
                  <w:pPr>
                    <w:jc w:val="center"/>
                    <w:rPr>
                      <w:rFonts w:cs="Calibri"/>
                      <w:color w:val="000000"/>
                      <w:sz w:val="22"/>
                      <w:szCs w:val="22"/>
                    </w:rPr>
                  </w:pPr>
                  <w:r>
                    <w:rPr>
                      <w:rFonts w:cs="Calibri"/>
                      <w:color w:val="000000"/>
                      <w:sz w:val="22"/>
                      <w:szCs w:val="22"/>
                    </w:rPr>
                    <w:t>4.6</w:t>
                  </w:r>
                </w:p>
              </w:tc>
              <w:tc>
                <w:tcPr>
                  <w:tcW w:w="850" w:type="dxa"/>
                  <w:tcBorders>
                    <w:top w:val="single" w:sz="4" w:space="0" w:color="auto"/>
                    <w:left w:val="single" w:sz="4" w:space="0" w:color="auto"/>
                    <w:bottom w:val="single" w:sz="4" w:space="0" w:color="auto"/>
                    <w:right w:val="single" w:sz="4" w:space="0" w:color="auto"/>
                  </w:tcBorders>
                  <w:noWrap/>
                  <w:vAlign w:val="center"/>
                </w:tcPr>
                <w:p w14:paraId="2E575FE8" w14:textId="77777777" w:rsidR="00280F1F" w:rsidRDefault="00280F1F" w:rsidP="00610813">
                  <w:pPr>
                    <w:jc w:val="center"/>
                    <w:rPr>
                      <w:rFonts w:cs="Calibri"/>
                      <w:color w:val="000000"/>
                      <w:sz w:val="22"/>
                      <w:szCs w:val="22"/>
                    </w:rPr>
                  </w:pPr>
                  <w:r>
                    <w:rPr>
                      <w:rFonts w:cs="Calibri"/>
                      <w:color w:val="000000"/>
                      <w:sz w:val="22"/>
                      <w:szCs w:val="22"/>
                    </w:rPr>
                    <w:t>4.5</w:t>
                  </w:r>
                </w:p>
              </w:tc>
              <w:tc>
                <w:tcPr>
                  <w:tcW w:w="851" w:type="dxa"/>
                  <w:tcBorders>
                    <w:top w:val="single" w:sz="4" w:space="0" w:color="auto"/>
                    <w:left w:val="single" w:sz="4" w:space="0" w:color="auto"/>
                    <w:bottom w:val="single" w:sz="4" w:space="0" w:color="auto"/>
                    <w:right w:val="single" w:sz="4" w:space="0" w:color="auto"/>
                  </w:tcBorders>
                  <w:vAlign w:val="center"/>
                </w:tcPr>
                <w:p w14:paraId="6907132E" w14:textId="77777777" w:rsidR="00280F1F" w:rsidRDefault="00280F1F" w:rsidP="00610813">
                  <w:pPr>
                    <w:jc w:val="center"/>
                    <w:rPr>
                      <w:rFonts w:cs="Calibri"/>
                      <w:color w:val="000000"/>
                      <w:sz w:val="22"/>
                      <w:szCs w:val="22"/>
                    </w:rPr>
                  </w:pPr>
                  <w:r>
                    <w:rPr>
                      <w:rFonts w:cs="Calibri"/>
                      <w:color w:val="000000"/>
                      <w:sz w:val="22"/>
                      <w:szCs w:val="22"/>
                    </w:rPr>
                    <w:t>4.</w:t>
                  </w:r>
                  <w:r>
                    <w:rPr>
                      <w:rFonts w:cs="Calibri" w:hint="eastAsia"/>
                      <w:color w:val="000000"/>
                      <w:sz w:val="22"/>
                      <w:szCs w:val="22"/>
                    </w:rPr>
                    <w:t>6</w:t>
                  </w:r>
                </w:p>
              </w:tc>
              <w:tc>
                <w:tcPr>
                  <w:tcW w:w="782" w:type="dxa"/>
                  <w:tcBorders>
                    <w:top w:val="single" w:sz="4" w:space="0" w:color="auto"/>
                    <w:left w:val="single" w:sz="4" w:space="0" w:color="auto"/>
                    <w:bottom w:val="single" w:sz="4" w:space="0" w:color="auto"/>
                    <w:right w:val="single" w:sz="4" w:space="0" w:color="auto"/>
                  </w:tcBorders>
                  <w:vAlign w:val="center"/>
                </w:tcPr>
                <w:p w14:paraId="4F77CBFD" w14:textId="77777777" w:rsidR="00280F1F" w:rsidRDefault="00280F1F" w:rsidP="00610813">
                  <w:pPr>
                    <w:jc w:val="center"/>
                    <w:rPr>
                      <w:rFonts w:cs="Calibri"/>
                      <w:color w:val="000000"/>
                      <w:sz w:val="22"/>
                      <w:szCs w:val="22"/>
                    </w:rPr>
                  </w:pPr>
                  <w:r>
                    <w:rPr>
                      <w:rFonts w:cs="Calibri"/>
                      <w:color w:val="000000"/>
                      <w:sz w:val="22"/>
                      <w:szCs w:val="22"/>
                    </w:rPr>
                    <w:t>4.</w:t>
                  </w:r>
                  <w:r>
                    <w:rPr>
                      <w:rFonts w:cs="Calibri" w:hint="eastAsia"/>
                      <w:color w:val="000000"/>
                      <w:sz w:val="22"/>
                      <w:szCs w:val="22"/>
                    </w:rPr>
                    <w:t>6</w:t>
                  </w:r>
                </w:p>
              </w:tc>
            </w:tr>
            <w:tr w:rsidR="00280F1F" w14:paraId="0D19A26A"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504BD37E" w14:textId="77777777" w:rsidR="00280F1F" w:rsidRDefault="00280F1F" w:rsidP="00610813">
                  <w:pPr>
                    <w:jc w:val="center"/>
                    <w:rPr>
                      <w:rFonts w:cs="Calibri"/>
                      <w:color w:val="000000"/>
                      <w:sz w:val="22"/>
                      <w:szCs w:val="22"/>
                    </w:rPr>
                  </w:pPr>
                  <w:r>
                    <w:rPr>
                      <w:rFonts w:cs="Calibri"/>
                      <w:color w:val="000000"/>
                      <w:sz w:val="22"/>
                      <w:szCs w:val="22"/>
                    </w:rPr>
                    <w:t xml:space="preserve">Nivea </w:t>
                  </w:r>
                </w:p>
              </w:tc>
              <w:tc>
                <w:tcPr>
                  <w:tcW w:w="851" w:type="dxa"/>
                  <w:tcBorders>
                    <w:top w:val="single" w:sz="4" w:space="0" w:color="auto"/>
                    <w:left w:val="single" w:sz="4" w:space="0" w:color="auto"/>
                    <w:bottom w:val="single" w:sz="4" w:space="0" w:color="auto"/>
                    <w:right w:val="single" w:sz="4" w:space="0" w:color="auto"/>
                  </w:tcBorders>
                  <w:noWrap/>
                  <w:vAlign w:val="center"/>
                </w:tcPr>
                <w:p w14:paraId="07FD5761" w14:textId="77777777" w:rsidR="00280F1F" w:rsidRDefault="00280F1F" w:rsidP="00610813">
                  <w:pPr>
                    <w:jc w:val="center"/>
                    <w:rPr>
                      <w:rFonts w:cs="Calibri"/>
                      <w:color w:val="000000"/>
                      <w:sz w:val="22"/>
                      <w:szCs w:val="22"/>
                    </w:rPr>
                  </w:pPr>
                  <w:r>
                    <w:rPr>
                      <w:rFonts w:cs="Calibri"/>
                      <w:color w:val="000000"/>
                      <w:sz w:val="22"/>
                      <w:szCs w:val="22"/>
                    </w:rPr>
                    <w:t>3.3</w:t>
                  </w:r>
                </w:p>
              </w:tc>
              <w:tc>
                <w:tcPr>
                  <w:tcW w:w="850" w:type="dxa"/>
                  <w:tcBorders>
                    <w:top w:val="single" w:sz="4" w:space="0" w:color="auto"/>
                    <w:left w:val="single" w:sz="4" w:space="0" w:color="auto"/>
                    <w:bottom w:val="single" w:sz="4" w:space="0" w:color="auto"/>
                    <w:right w:val="single" w:sz="4" w:space="0" w:color="auto"/>
                  </w:tcBorders>
                  <w:noWrap/>
                  <w:vAlign w:val="center"/>
                </w:tcPr>
                <w:p w14:paraId="1D0DC61C" w14:textId="77777777" w:rsidR="00280F1F" w:rsidRDefault="00280F1F" w:rsidP="00610813">
                  <w:pPr>
                    <w:jc w:val="center"/>
                    <w:rPr>
                      <w:rFonts w:cs="Calibri"/>
                      <w:color w:val="000000"/>
                      <w:sz w:val="22"/>
                      <w:szCs w:val="22"/>
                    </w:rPr>
                  </w:pPr>
                  <w:r>
                    <w:rPr>
                      <w:rFonts w:cs="Calibri"/>
                      <w:color w:val="000000"/>
                      <w:sz w:val="22"/>
                      <w:szCs w:val="22"/>
                    </w:rPr>
                    <w:t>3.2</w:t>
                  </w:r>
                </w:p>
              </w:tc>
              <w:tc>
                <w:tcPr>
                  <w:tcW w:w="851" w:type="dxa"/>
                  <w:tcBorders>
                    <w:top w:val="single" w:sz="4" w:space="0" w:color="auto"/>
                    <w:left w:val="single" w:sz="4" w:space="0" w:color="auto"/>
                    <w:bottom w:val="single" w:sz="4" w:space="0" w:color="auto"/>
                    <w:right w:val="single" w:sz="4" w:space="0" w:color="auto"/>
                  </w:tcBorders>
                  <w:noWrap/>
                  <w:vAlign w:val="center"/>
                </w:tcPr>
                <w:p w14:paraId="3475D78B" w14:textId="77777777" w:rsidR="00280F1F" w:rsidRDefault="00280F1F" w:rsidP="00610813">
                  <w:pPr>
                    <w:jc w:val="center"/>
                    <w:rPr>
                      <w:rFonts w:cs="Calibri"/>
                      <w:color w:val="000000"/>
                      <w:sz w:val="22"/>
                      <w:szCs w:val="22"/>
                    </w:rPr>
                  </w:pPr>
                  <w:r>
                    <w:rPr>
                      <w:rFonts w:cs="Calibri"/>
                      <w:color w:val="000000"/>
                      <w:sz w:val="22"/>
                      <w:szCs w:val="22"/>
                    </w:rPr>
                    <w:t>3.3</w:t>
                  </w:r>
                </w:p>
              </w:tc>
              <w:tc>
                <w:tcPr>
                  <w:tcW w:w="850" w:type="dxa"/>
                  <w:tcBorders>
                    <w:top w:val="single" w:sz="4" w:space="0" w:color="auto"/>
                    <w:left w:val="single" w:sz="4" w:space="0" w:color="auto"/>
                    <w:bottom w:val="single" w:sz="4" w:space="0" w:color="auto"/>
                    <w:right w:val="single" w:sz="4" w:space="0" w:color="auto"/>
                  </w:tcBorders>
                  <w:noWrap/>
                  <w:vAlign w:val="center"/>
                </w:tcPr>
                <w:p w14:paraId="27DAD241" w14:textId="77777777" w:rsidR="00280F1F" w:rsidRDefault="00280F1F" w:rsidP="00610813">
                  <w:pPr>
                    <w:jc w:val="center"/>
                    <w:rPr>
                      <w:rFonts w:cs="Calibri"/>
                      <w:color w:val="000000"/>
                      <w:sz w:val="22"/>
                      <w:szCs w:val="22"/>
                    </w:rPr>
                  </w:pPr>
                  <w:r>
                    <w:rPr>
                      <w:rFonts w:cs="Calibri"/>
                      <w:color w:val="000000"/>
                      <w:sz w:val="22"/>
                      <w:szCs w:val="22"/>
                    </w:rPr>
                    <w:t>3.2</w:t>
                  </w:r>
                </w:p>
              </w:tc>
              <w:tc>
                <w:tcPr>
                  <w:tcW w:w="851" w:type="dxa"/>
                  <w:tcBorders>
                    <w:top w:val="single" w:sz="4" w:space="0" w:color="auto"/>
                    <w:left w:val="single" w:sz="4" w:space="0" w:color="auto"/>
                    <w:bottom w:val="single" w:sz="4" w:space="0" w:color="auto"/>
                    <w:right w:val="single" w:sz="4" w:space="0" w:color="auto"/>
                  </w:tcBorders>
                  <w:vAlign w:val="center"/>
                </w:tcPr>
                <w:p w14:paraId="10C0CA87" w14:textId="77777777" w:rsidR="00280F1F" w:rsidRDefault="00280F1F" w:rsidP="00610813">
                  <w:pPr>
                    <w:jc w:val="center"/>
                    <w:rPr>
                      <w:rFonts w:cs="Calibri"/>
                      <w:color w:val="000000"/>
                      <w:sz w:val="22"/>
                      <w:szCs w:val="22"/>
                    </w:rPr>
                  </w:pPr>
                  <w:r>
                    <w:rPr>
                      <w:rFonts w:cs="Calibri"/>
                      <w:color w:val="000000"/>
                      <w:sz w:val="22"/>
                      <w:szCs w:val="22"/>
                    </w:rPr>
                    <w:t>3.</w:t>
                  </w:r>
                  <w:r>
                    <w:rPr>
                      <w:rFonts w:cs="Calibri" w:hint="eastAsia"/>
                      <w:color w:val="000000"/>
                      <w:sz w:val="22"/>
                      <w:szCs w:val="22"/>
                    </w:rPr>
                    <w:t>4</w:t>
                  </w:r>
                </w:p>
              </w:tc>
              <w:tc>
                <w:tcPr>
                  <w:tcW w:w="782" w:type="dxa"/>
                  <w:tcBorders>
                    <w:top w:val="single" w:sz="4" w:space="0" w:color="auto"/>
                    <w:left w:val="single" w:sz="4" w:space="0" w:color="auto"/>
                    <w:bottom w:val="single" w:sz="4" w:space="0" w:color="auto"/>
                    <w:right w:val="single" w:sz="4" w:space="0" w:color="auto"/>
                  </w:tcBorders>
                  <w:vAlign w:val="center"/>
                </w:tcPr>
                <w:p w14:paraId="4F265863" w14:textId="77777777" w:rsidR="00280F1F" w:rsidRDefault="00280F1F" w:rsidP="00610813">
                  <w:pPr>
                    <w:jc w:val="center"/>
                    <w:rPr>
                      <w:rFonts w:cs="Calibri"/>
                      <w:color w:val="000000"/>
                      <w:sz w:val="22"/>
                      <w:szCs w:val="22"/>
                    </w:rPr>
                  </w:pPr>
                  <w:r>
                    <w:rPr>
                      <w:rFonts w:cs="Calibri"/>
                      <w:color w:val="000000"/>
                      <w:sz w:val="22"/>
                      <w:szCs w:val="22"/>
                    </w:rPr>
                    <w:t>3.5</w:t>
                  </w:r>
                </w:p>
              </w:tc>
            </w:tr>
            <w:tr w:rsidR="00280F1F" w14:paraId="1BCD4F52"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2B7864D2" w14:textId="77777777" w:rsidR="00280F1F" w:rsidRDefault="00280F1F" w:rsidP="00610813">
                  <w:pPr>
                    <w:jc w:val="center"/>
                    <w:rPr>
                      <w:rFonts w:cs="Calibri"/>
                      <w:color w:val="000000"/>
                      <w:sz w:val="22"/>
                      <w:szCs w:val="22"/>
                    </w:rPr>
                  </w:pPr>
                  <w:r>
                    <w:rPr>
                      <w:rFonts w:cs="Calibri"/>
                      <w:color w:val="000000"/>
                      <w:sz w:val="22"/>
                      <w:szCs w:val="22"/>
                    </w:rPr>
                    <w:t>Dove</w:t>
                  </w:r>
                </w:p>
              </w:tc>
              <w:tc>
                <w:tcPr>
                  <w:tcW w:w="851" w:type="dxa"/>
                  <w:tcBorders>
                    <w:top w:val="single" w:sz="4" w:space="0" w:color="auto"/>
                    <w:left w:val="single" w:sz="4" w:space="0" w:color="auto"/>
                    <w:bottom w:val="single" w:sz="4" w:space="0" w:color="auto"/>
                    <w:right w:val="single" w:sz="4" w:space="0" w:color="auto"/>
                  </w:tcBorders>
                  <w:noWrap/>
                  <w:vAlign w:val="center"/>
                </w:tcPr>
                <w:p w14:paraId="44C09B7D" w14:textId="77777777" w:rsidR="00280F1F" w:rsidRDefault="00280F1F" w:rsidP="00610813">
                  <w:pPr>
                    <w:jc w:val="center"/>
                    <w:rPr>
                      <w:rFonts w:cs="Calibri"/>
                      <w:color w:val="000000"/>
                      <w:sz w:val="22"/>
                      <w:szCs w:val="22"/>
                    </w:rPr>
                  </w:pPr>
                  <w:r>
                    <w:rPr>
                      <w:rFonts w:cs="Calibri"/>
                      <w:color w:val="000000"/>
                      <w:sz w:val="22"/>
                      <w:szCs w:val="22"/>
                    </w:rPr>
                    <w:t>2.8</w:t>
                  </w:r>
                </w:p>
              </w:tc>
              <w:tc>
                <w:tcPr>
                  <w:tcW w:w="850" w:type="dxa"/>
                  <w:tcBorders>
                    <w:top w:val="single" w:sz="4" w:space="0" w:color="auto"/>
                    <w:left w:val="single" w:sz="4" w:space="0" w:color="auto"/>
                    <w:bottom w:val="single" w:sz="4" w:space="0" w:color="auto"/>
                    <w:right w:val="single" w:sz="4" w:space="0" w:color="auto"/>
                  </w:tcBorders>
                  <w:noWrap/>
                  <w:vAlign w:val="center"/>
                </w:tcPr>
                <w:p w14:paraId="2C19E407" w14:textId="77777777" w:rsidR="00280F1F" w:rsidRDefault="00280F1F" w:rsidP="00610813">
                  <w:pPr>
                    <w:jc w:val="center"/>
                    <w:rPr>
                      <w:rFonts w:cs="Calibri"/>
                      <w:color w:val="000000"/>
                      <w:sz w:val="22"/>
                      <w:szCs w:val="22"/>
                    </w:rPr>
                  </w:pPr>
                  <w:r>
                    <w:rPr>
                      <w:rFonts w:cs="Calibri"/>
                      <w:color w:val="000000"/>
                      <w:sz w:val="22"/>
                      <w:szCs w:val="22"/>
                    </w:rPr>
                    <w:t>2.9</w:t>
                  </w:r>
                </w:p>
              </w:tc>
              <w:tc>
                <w:tcPr>
                  <w:tcW w:w="851" w:type="dxa"/>
                  <w:tcBorders>
                    <w:top w:val="single" w:sz="4" w:space="0" w:color="auto"/>
                    <w:left w:val="single" w:sz="4" w:space="0" w:color="auto"/>
                    <w:bottom w:val="single" w:sz="4" w:space="0" w:color="auto"/>
                    <w:right w:val="single" w:sz="4" w:space="0" w:color="auto"/>
                  </w:tcBorders>
                  <w:noWrap/>
                  <w:vAlign w:val="center"/>
                </w:tcPr>
                <w:p w14:paraId="784D9D4F" w14:textId="77777777" w:rsidR="00280F1F" w:rsidRDefault="00280F1F" w:rsidP="00610813">
                  <w:pPr>
                    <w:jc w:val="center"/>
                    <w:rPr>
                      <w:rFonts w:cs="Calibri"/>
                      <w:color w:val="000000"/>
                      <w:sz w:val="22"/>
                      <w:szCs w:val="22"/>
                    </w:rPr>
                  </w:pPr>
                  <w:r>
                    <w:rPr>
                      <w:rFonts w:cs="Calibri"/>
                      <w:color w:val="000000"/>
                      <w:sz w:val="22"/>
                      <w:szCs w:val="22"/>
                    </w:rPr>
                    <w:t>2.9</w:t>
                  </w:r>
                </w:p>
              </w:tc>
              <w:tc>
                <w:tcPr>
                  <w:tcW w:w="850" w:type="dxa"/>
                  <w:tcBorders>
                    <w:top w:val="single" w:sz="4" w:space="0" w:color="auto"/>
                    <w:left w:val="single" w:sz="4" w:space="0" w:color="auto"/>
                    <w:bottom w:val="single" w:sz="4" w:space="0" w:color="auto"/>
                    <w:right w:val="single" w:sz="4" w:space="0" w:color="auto"/>
                  </w:tcBorders>
                  <w:noWrap/>
                  <w:vAlign w:val="center"/>
                </w:tcPr>
                <w:p w14:paraId="5498C573" w14:textId="77777777" w:rsidR="00280F1F" w:rsidRDefault="00280F1F" w:rsidP="00610813">
                  <w:pPr>
                    <w:jc w:val="center"/>
                    <w:rPr>
                      <w:rFonts w:cs="Calibri"/>
                      <w:color w:val="000000"/>
                      <w:sz w:val="22"/>
                      <w:szCs w:val="22"/>
                    </w:rPr>
                  </w:pPr>
                  <w:r>
                    <w:rPr>
                      <w:rFonts w:cs="Calibri"/>
                      <w:color w:val="000000"/>
                      <w:sz w:val="22"/>
                      <w:szCs w:val="22"/>
                    </w:rPr>
                    <w:t>3</w:t>
                  </w:r>
                </w:p>
              </w:tc>
              <w:tc>
                <w:tcPr>
                  <w:tcW w:w="851" w:type="dxa"/>
                  <w:tcBorders>
                    <w:top w:val="single" w:sz="4" w:space="0" w:color="auto"/>
                    <w:left w:val="single" w:sz="4" w:space="0" w:color="auto"/>
                    <w:bottom w:val="single" w:sz="4" w:space="0" w:color="auto"/>
                    <w:right w:val="single" w:sz="4" w:space="0" w:color="auto"/>
                  </w:tcBorders>
                  <w:vAlign w:val="center"/>
                </w:tcPr>
                <w:p w14:paraId="03DBC065" w14:textId="77777777" w:rsidR="00280F1F" w:rsidRDefault="00280F1F" w:rsidP="00610813">
                  <w:pPr>
                    <w:jc w:val="center"/>
                    <w:rPr>
                      <w:rFonts w:cs="Calibri"/>
                      <w:color w:val="000000"/>
                      <w:sz w:val="22"/>
                      <w:szCs w:val="22"/>
                    </w:rPr>
                  </w:pPr>
                  <w:r>
                    <w:rPr>
                      <w:rFonts w:cs="Calibri"/>
                      <w:color w:val="000000"/>
                      <w:sz w:val="22"/>
                      <w:szCs w:val="22"/>
                    </w:rPr>
                    <w:t>3</w:t>
                  </w:r>
                </w:p>
              </w:tc>
              <w:tc>
                <w:tcPr>
                  <w:tcW w:w="782" w:type="dxa"/>
                  <w:tcBorders>
                    <w:top w:val="single" w:sz="4" w:space="0" w:color="auto"/>
                    <w:left w:val="single" w:sz="4" w:space="0" w:color="auto"/>
                    <w:bottom w:val="single" w:sz="4" w:space="0" w:color="auto"/>
                    <w:right w:val="single" w:sz="4" w:space="0" w:color="auto"/>
                  </w:tcBorders>
                  <w:vAlign w:val="center"/>
                </w:tcPr>
                <w:p w14:paraId="2070A096" w14:textId="77777777" w:rsidR="00280F1F" w:rsidRDefault="00280F1F" w:rsidP="00610813">
                  <w:pPr>
                    <w:jc w:val="center"/>
                    <w:rPr>
                      <w:rFonts w:cs="Calibri"/>
                      <w:color w:val="000000"/>
                      <w:sz w:val="22"/>
                      <w:szCs w:val="22"/>
                    </w:rPr>
                  </w:pPr>
                  <w:r>
                    <w:rPr>
                      <w:rFonts w:cs="Calibri"/>
                      <w:color w:val="000000"/>
                      <w:sz w:val="22"/>
                      <w:szCs w:val="22"/>
                    </w:rPr>
                    <w:t>3.1</w:t>
                  </w:r>
                </w:p>
              </w:tc>
            </w:tr>
            <w:tr w:rsidR="00280F1F" w14:paraId="764E24D9"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2E68B270" w14:textId="77777777" w:rsidR="00280F1F" w:rsidRDefault="00280F1F" w:rsidP="00610813">
                  <w:pPr>
                    <w:jc w:val="center"/>
                    <w:rPr>
                      <w:rFonts w:cs="Calibri"/>
                      <w:color w:val="000000"/>
                      <w:sz w:val="22"/>
                      <w:szCs w:val="22"/>
                    </w:rPr>
                  </w:pPr>
                  <w:r>
                    <w:rPr>
                      <w:rFonts w:cs="Calibri"/>
                      <w:color w:val="000000"/>
                      <w:sz w:val="22"/>
                      <w:szCs w:val="22"/>
                    </w:rPr>
                    <w:t>Garnier</w:t>
                  </w:r>
                </w:p>
              </w:tc>
              <w:tc>
                <w:tcPr>
                  <w:tcW w:w="851" w:type="dxa"/>
                  <w:tcBorders>
                    <w:top w:val="single" w:sz="4" w:space="0" w:color="auto"/>
                    <w:left w:val="single" w:sz="4" w:space="0" w:color="auto"/>
                    <w:bottom w:val="single" w:sz="4" w:space="0" w:color="auto"/>
                    <w:right w:val="single" w:sz="4" w:space="0" w:color="auto"/>
                  </w:tcBorders>
                  <w:noWrap/>
                  <w:vAlign w:val="center"/>
                </w:tcPr>
                <w:p w14:paraId="01924EA1" w14:textId="77777777" w:rsidR="00280F1F" w:rsidRDefault="00280F1F" w:rsidP="00610813">
                  <w:pPr>
                    <w:jc w:val="center"/>
                    <w:rPr>
                      <w:rFonts w:cs="Calibri"/>
                      <w:color w:val="000000"/>
                      <w:sz w:val="22"/>
                      <w:szCs w:val="22"/>
                    </w:rPr>
                  </w:pPr>
                  <w:r>
                    <w:rPr>
                      <w:rFonts w:cs="Calibri"/>
                      <w:color w:val="000000"/>
                      <w:sz w:val="22"/>
                      <w:szCs w:val="22"/>
                    </w:rPr>
                    <w:t>2</w:t>
                  </w:r>
                </w:p>
              </w:tc>
              <w:tc>
                <w:tcPr>
                  <w:tcW w:w="850" w:type="dxa"/>
                  <w:tcBorders>
                    <w:top w:val="single" w:sz="4" w:space="0" w:color="auto"/>
                    <w:left w:val="single" w:sz="4" w:space="0" w:color="auto"/>
                    <w:bottom w:val="single" w:sz="4" w:space="0" w:color="auto"/>
                    <w:right w:val="single" w:sz="4" w:space="0" w:color="auto"/>
                  </w:tcBorders>
                  <w:noWrap/>
                  <w:vAlign w:val="center"/>
                </w:tcPr>
                <w:p w14:paraId="64DF2517" w14:textId="77777777" w:rsidR="00280F1F" w:rsidRDefault="00280F1F" w:rsidP="00610813">
                  <w:pPr>
                    <w:jc w:val="center"/>
                    <w:rPr>
                      <w:rFonts w:cs="Calibri"/>
                      <w:color w:val="000000"/>
                      <w:sz w:val="22"/>
                      <w:szCs w:val="22"/>
                    </w:rPr>
                  </w:pPr>
                  <w:r>
                    <w:rPr>
                      <w:rFonts w:cs="Calibri"/>
                      <w:color w:val="000000"/>
                      <w:sz w:val="22"/>
                      <w:szCs w:val="22"/>
                    </w:rPr>
                    <w:t>2</w:t>
                  </w:r>
                </w:p>
              </w:tc>
              <w:tc>
                <w:tcPr>
                  <w:tcW w:w="851" w:type="dxa"/>
                  <w:tcBorders>
                    <w:top w:val="single" w:sz="4" w:space="0" w:color="auto"/>
                    <w:left w:val="single" w:sz="4" w:space="0" w:color="auto"/>
                    <w:bottom w:val="single" w:sz="4" w:space="0" w:color="auto"/>
                    <w:right w:val="single" w:sz="4" w:space="0" w:color="auto"/>
                  </w:tcBorders>
                  <w:noWrap/>
                  <w:vAlign w:val="center"/>
                </w:tcPr>
                <w:p w14:paraId="5F9EE2CF" w14:textId="77777777" w:rsidR="00280F1F" w:rsidRDefault="00280F1F" w:rsidP="00610813">
                  <w:pPr>
                    <w:jc w:val="center"/>
                    <w:rPr>
                      <w:rFonts w:cs="Calibri"/>
                      <w:color w:val="000000"/>
                      <w:sz w:val="22"/>
                      <w:szCs w:val="22"/>
                    </w:rPr>
                  </w:pPr>
                  <w:r>
                    <w:rPr>
                      <w:rFonts w:cs="Calibri"/>
                      <w:color w:val="000000"/>
                      <w:sz w:val="22"/>
                      <w:szCs w:val="22"/>
                    </w:rPr>
                    <w:t>2</w:t>
                  </w:r>
                </w:p>
              </w:tc>
              <w:tc>
                <w:tcPr>
                  <w:tcW w:w="850" w:type="dxa"/>
                  <w:tcBorders>
                    <w:top w:val="single" w:sz="4" w:space="0" w:color="auto"/>
                    <w:left w:val="single" w:sz="4" w:space="0" w:color="auto"/>
                    <w:bottom w:val="single" w:sz="4" w:space="0" w:color="auto"/>
                    <w:right w:val="single" w:sz="4" w:space="0" w:color="auto"/>
                  </w:tcBorders>
                  <w:noWrap/>
                  <w:vAlign w:val="center"/>
                </w:tcPr>
                <w:p w14:paraId="6D700360" w14:textId="77777777" w:rsidR="00280F1F" w:rsidRDefault="00280F1F" w:rsidP="00610813">
                  <w:pPr>
                    <w:jc w:val="center"/>
                    <w:rPr>
                      <w:rFonts w:cs="Calibri"/>
                      <w:color w:val="000000"/>
                      <w:sz w:val="22"/>
                      <w:szCs w:val="22"/>
                    </w:rPr>
                  </w:pPr>
                  <w:r>
                    <w:rPr>
                      <w:rFonts w:cs="Calibri"/>
                      <w:color w:val="000000"/>
                      <w:sz w:val="22"/>
                      <w:szCs w:val="22"/>
                    </w:rPr>
                    <w:t>2.1</w:t>
                  </w:r>
                </w:p>
              </w:tc>
              <w:tc>
                <w:tcPr>
                  <w:tcW w:w="851" w:type="dxa"/>
                  <w:tcBorders>
                    <w:top w:val="single" w:sz="4" w:space="0" w:color="auto"/>
                    <w:left w:val="single" w:sz="4" w:space="0" w:color="auto"/>
                    <w:bottom w:val="single" w:sz="4" w:space="0" w:color="auto"/>
                    <w:right w:val="single" w:sz="4" w:space="0" w:color="auto"/>
                  </w:tcBorders>
                  <w:vAlign w:val="center"/>
                </w:tcPr>
                <w:p w14:paraId="7D3E7474" w14:textId="77777777" w:rsidR="00280F1F" w:rsidRDefault="00280F1F" w:rsidP="00610813">
                  <w:pPr>
                    <w:jc w:val="center"/>
                    <w:rPr>
                      <w:rFonts w:cs="Calibri"/>
                      <w:color w:val="000000"/>
                      <w:sz w:val="22"/>
                      <w:szCs w:val="22"/>
                    </w:rPr>
                  </w:pPr>
                  <w:r>
                    <w:rPr>
                      <w:rFonts w:cs="Calibri"/>
                      <w:color w:val="000000"/>
                      <w:sz w:val="22"/>
                      <w:szCs w:val="22"/>
                    </w:rPr>
                    <w:t>2.</w:t>
                  </w:r>
                  <w:r>
                    <w:rPr>
                      <w:rFonts w:cs="Calibri" w:hint="eastAsia"/>
                      <w:color w:val="000000"/>
                      <w:sz w:val="22"/>
                      <w:szCs w:val="22"/>
                    </w:rPr>
                    <w:t>2</w:t>
                  </w:r>
                </w:p>
              </w:tc>
              <w:tc>
                <w:tcPr>
                  <w:tcW w:w="782" w:type="dxa"/>
                  <w:tcBorders>
                    <w:top w:val="single" w:sz="4" w:space="0" w:color="auto"/>
                    <w:left w:val="single" w:sz="4" w:space="0" w:color="auto"/>
                    <w:bottom w:val="single" w:sz="4" w:space="0" w:color="auto"/>
                    <w:right w:val="single" w:sz="4" w:space="0" w:color="auto"/>
                  </w:tcBorders>
                  <w:vAlign w:val="center"/>
                </w:tcPr>
                <w:p w14:paraId="60068CA3" w14:textId="77777777" w:rsidR="00280F1F" w:rsidRDefault="00280F1F" w:rsidP="00610813">
                  <w:pPr>
                    <w:jc w:val="center"/>
                    <w:rPr>
                      <w:rFonts w:cs="Calibri"/>
                      <w:color w:val="000000"/>
                      <w:sz w:val="22"/>
                      <w:szCs w:val="22"/>
                    </w:rPr>
                  </w:pPr>
                  <w:r>
                    <w:rPr>
                      <w:rFonts w:cs="Calibri"/>
                      <w:color w:val="000000"/>
                      <w:sz w:val="22"/>
                      <w:szCs w:val="22"/>
                    </w:rPr>
                    <w:t>2.</w:t>
                  </w:r>
                  <w:r>
                    <w:rPr>
                      <w:rFonts w:cs="Calibri" w:hint="eastAsia"/>
                      <w:color w:val="000000"/>
                      <w:sz w:val="22"/>
                      <w:szCs w:val="22"/>
                    </w:rPr>
                    <w:t>2</w:t>
                  </w:r>
                </w:p>
              </w:tc>
            </w:tr>
            <w:tr w:rsidR="00280F1F" w14:paraId="63828B8E"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2EE89EA8" w14:textId="77777777" w:rsidR="00280F1F" w:rsidRDefault="00280F1F" w:rsidP="00610813">
                  <w:pPr>
                    <w:jc w:val="center"/>
                    <w:rPr>
                      <w:rFonts w:cs="Calibri"/>
                      <w:color w:val="000000"/>
                      <w:sz w:val="22"/>
                      <w:szCs w:val="22"/>
                    </w:rPr>
                  </w:pPr>
                  <w:r>
                    <w:rPr>
                      <w:rFonts w:cs="Calibri"/>
                      <w:color w:val="000000"/>
                      <w:sz w:val="22"/>
                      <w:szCs w:val="22"/>
                    </w:rPr>
                    <w:t xml:space="preserve">Natura </w:t>
                  </w:r>
                </w:p>
              </w:tc>
              <w:tc>
                <w:tcPr>
                  <w:tcW w:w="851" w:type="dxa"/>
                  <w:tcBorders>
                    <w:top w:val="single" w:sz="4" w:space="0" w:color="auto"/>
                    <w:left w:val="single" w:sz="4" w:space="0" w:color="auto"/>
                    <w:bottom w:val="single" w:sz="4" w:space="0" w:color="auto"/>
                    <w:right w:val="single" w:sz="4" w:space="0" w:color="auto"/>
                  </w:tcBorders>
                  <w:noWrap/>
                  <w:vAlign w:val="center"/>
                </w:tcPr>
                <w:p w14:paraId="2D1B5665" w14:textId="77777777" w:rsidR="00280F1F" w:rsidRDefault="00280F1F" w:rsidP="00610813">
                  <w:pPr>
                    <w:jc w:val="center"/>
                    <w:rPr>
                      <w:rFonts w:cs="Calibri"/>
                      <w:color w:val="000000"/>
                      <w:sz w:val="22"/>
                      <w:szCs w:val="22"/>
                    </w:rPr>
                  </w:pPr>
                  <w:r>
                    <w:rPr>
                      <w:rFonts w:cs="Calibri"/>
                      <w:color w:val="000000"/>
                      <w:sz w:val="22"/>
                      <w:szCs w:val="22"/>
                    </w:rPr>
                    <w:t>1.6</w:t>
                  </w:r>
                </w:p>
              </w:tc>
              <w:tc>
                <w:tcPr>
                  <w:tcW w:w="850" w:type="dxa"/>
                  <w:tcBorders>
                    <w:top w:val="single" w:sz="4" w:space="0" w:color="auto"/>
                    <w:left w:val="single" w:sz="4" w:space="0" w:color="auto"/>
                    <w:bottom w:val="single" w:sz="4" w:space="0" w:color="auto"/>
                    <w:right w:val="single" w:sz="4" w:space="0" w:color="auto"/>
                  </w:tcBorders>
                  <w:noWrap/>
                  <w:vAlign w:val="center"/>
                </w:tcPr>
                <w:p w14:paraId="0CCE1F7C" w14:textId="77777777" w:rsidR="00280F1F" w:rsidRDefault="00280F1F" w:rsidP="00610813">
                  <w:pPr>
                    <w:jc w:val="center"/>
                    <w:rPr>
                      <w:rFonts w:cs="Calibri"/>
                      <w:color w:val="000000"/>
                      <w:sz w:val="22"/>
                      <w:szCs w:val="22"/>
                    </w:rPr>
                  </w:pPr>
                  <w:r>
                    <w:rPr>
                      <w:rFonts w:cs="Calibri"/>
                      <w:color w:val="000000"/>
                      <w:sz w:val="22"/>
                      <w:szCs w:val="22"/>
                    </w:rPr>
                    <w:t>1.5</w:t>
                  </w:r>
                </w:p>
              </w:tc>
              <w:tc>
                <w:tcPr>
                  <w:tcW w:w="851" w:type="dxa"/>
                  <w:tcBorders>
                    <w:top w:val="single" w:sz="4" w:space="0" w:color="auto"/>
                    <w:left w:val="single" w:sz="4" w:space="0" w:color="auto"/>
                    <w:bottom w:val="single" w:sz="4" w:space="0" w:color="auto"/>
                    <w:right w:val="single" w:sz="4" w:space="0" w:color="auto"/>
                  </w:tcBorders>
                  <w:noWrap/>
                  <w:vAlign w:val="center"/>
                </w:tcPr>
                <w:p w14:paraId="5A9A93C3" w14:textId="77777777" w:rsidR="00280F1F" w:rsidRDefault="00280F1F" w:rsidP="00610813">
                  <w:pPr>
                    <w:jc w:val="center"/>
                    <w:rPr>
                      <w:rFonts w:cs="Calibri"/>
                      <w:color w:val="000000"/>
                      <w:sz w:val="22"/>
                      <w:szCs w:val="22"/>
                    </w:rPr>
                  </w:pPr>
                  <w:r>
                    <w:rPr>
                      <w:rFonts w:cs="Calibri"/>
                      <w:color w:val="000000"/>
                      <w:sz w:val="22"/>
                      <w:szCs w:val="22"/>
                    </w:rPr>
                    <w:t>1.5</w:t>
                  </w:r>
                </w:p>
              </w:tc>
              <w:tc>
                <w:tcPr>
                  <w:tcW w:w="850" w:type="dxa"/>
                  <w:tcBorders>
                    <w:top w:val="single" w:sz="4" w:space="0" w:color="auto"/>
                    <w:left w:val="single" w:sz="4" w:space="0" w:color="auto"/>
                    <w:bottom w:val="single" w:sz="4" w:space="0" w:color="auto"/>
                    <w:right w:val="single" w:sz="4" w:space="0" w:color="auto"/>
                  </w:tcBorders>
                  <w:noWrap/>
                  <w:vAlign w:val="center"/>
                </w:tcPr>
                <w:p w14:paraId="7723971F" w14:textId="77777777" w:rsidR="00280F1F" w:rsidRDefault="00280F1F" w:rsidP="00610813">
                  <w:pPr>
                    <w:jc w:val="center"/>
                    <w:rPr>
                      <w:rFonts w:cs="Calibri"/>
                      <w:color w:val="000000"/>
                      <w:sz w:val="22"/>
                      <w:szCs w:val="22"/>
                    </w:rPr>
                  </w:pPr>
                  <w:r>
                    <w:rPr>
                      <w:rFonts w:cs="Calibri"/>
                      <w:color w:val="000000"/>
                      <w:sz w:val="22"/>
                      <w:szCs w:val="22"/>
                    </w:rPr>
                    <w:t>1.7</w:t>
                  </w:r>
                </w:p>
              </w:tc>
              <w:tc>
                <w:tcPr>
                  <w:tcW w:w="851" w:type="dxa"/>
                  <w:tcBorders>
                    <w:top w:val="single" w:sz="4" w:space="0" w:color="auto"/>
                    <w:left w:val="single" w:sz="4" w:space="0" w:color="auto"/>
                    <w:bottom w:val="single" w:sz="4" w:space="0" w:color="auto"/>
                    <w:right w:val="single" w:sz="4" w:space="0" w:color="auto"/>
                  </w:tcBorders>
                  <w:vAlign w:val="center"/>
                </w:tcPr>
                <w:p w14:paraId="2B69870F" w14:textId="77777777" w:rsidR="00280F1F" w:rsidRDefault="00280F1F" w:rsidP="00610813">
                  <w:pPr>
                    <w:jc w:val="center"/>
                    <w:rPr>
                      <w:rFonts w:cs="Calibri"/>
                      <w:color w:val="000000"/>
                      <w:sz w:val="22"/>
                      <w:szCs w:val="22"/>
                    </w:rPr>
                  </w:pPr>
                  <w:r>
                    <w:rPr>
                      <w:rFonts w:cs="Calibri"/>
                      <w:color w:val="000000"/>
                      <w:sz w:val="22"/>
                      <w:szCs w:val="22"/>
                    </w:rPr>
                    <w:t>1.</w:t>
                  </w:r>
                  <w:r>
                    <w:rPr>
                      <w:rFonts w:cs="Calibri" w:hint="eastAsia"/>
                      <w:color w:val="000000"/>
                      <w:sz w:val="22"/>
                      <w:szCs w:val="22"/>
                    </w:rPr>
                    <w:t>9</w:t>
                  </w:r>
                </w:p>
              </w:tc>
              <w:tc>
                <w:tcPr>
                  <w:tcW w:w="782" w:type="dxa"/>
                  <w:tcBorders>
                    <w:top w:val="single" w:sz="4" w:space="0" w:color="auto"/>
                    <w:left w:val="single" w:sz="4" w:space="0" w:color="auto"/>
                    <w:bottom w:val="single" w:sz="4" w:space="0" w:color="auto"/>
                    <w:right w:val="single" w:sz="4" w:space="0" w:color="auto"/>
                  </w:tcBorders>
                  <w:vAlign w:val="center"/>
                </w:tcPr>
                <w:p w14:paraId="0A6F1B9A" w14:textId="77777777" w:rsidR="00280F1F" w:rsidRDefault="00280F1F" w:rsidP="00610813">
                  <w:pPr>
                    <w:jc w:val="center"/>
                    <w:rPr>
                      <w:rFonts w:cs="Calibri"/>
                      <w:color w:val="000000"/>
                      <w:sz w:val="22"/>
                      <w:szCs w:val="22"/>
                    </w:rPr>
                  </w:pPr>
                  <w:r>
                    <w:rPr>
                      <w:rFonts w:cs="Calibri"/>
                      <w:color w:val="000000"/>
                      <w:sz w:val="22"/>
                      <w:szCs w:val="22"/>
                    </w:rPr>
                    <w:t>2</w:t>
                  </w:r>
                </w:p>
              </w:tc>
            </w:tr>
            <w:tr w:rsidR="00280F1F" w14:paraId="4B9CF624"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2230B1A9" w14:textId="77777777" w:rsidR="00280F1F" w:rsidRDefault="00280F1F" w:rsidP="00610813">
                  <w:pPr>
                    <w:jc w:val="center"/>
                    <w:rPr>
                      <w:rFonts w:cs="Calibri"/>
                      <w:color w:val="000000"/>
                      <w:sz w:val="22"/>
                      <w:szCs w:val="22"/>
                    </w:rPr>
                  </w:pPr>
                  <w:r>
                    <w:rPr>
                      <w:rFonts w:cs="Calibri"/>
                      <w:color w:val="000000"/>
                      <w:sz w:val="22"/>
                      <w:szCs w:val="22"/>
                    </w:rPr>
                    <w:t xml:space="preserve">Pantene </w:t>
                  </w:r>
                </w:p>
              </w:tc>
              <w:tc>
                <w:tcPr>
                  <w:tcW w:w="851" w:type="dxa"/>
                  <w:tcBorders>
                    <w:top w:val="single" w:sz="4" w:space="0" w:color="auto"/>
                    <w:left w:val="single" w:sz="4" w:space="0" w:color="auto"/>
                    <w:bottom w:val="single" w:sz="4" w:space="0" w:color="auto"/>
                    <w:right w:val="single" w:sz="4" w:space="0" w:color="auto"/>
                  </w:tcBorders>
                  <w:noWrap/>
                  <w:vAlign w:val="center"/>
                </w:tcPr>
                <w:p w14:paraId="411C6986" w14:textId="77777777" w:rsidR="00280F1F" w:rsidRDefault="00280F1F" w:rsidP="00610813">
                  <w:pPr>
                    <w:jc w:val="center"/>
                    <w:rPr>
                      <w:rFonts w:cs="Calibri"/>
                      <w:color w:val="000000"/>
                      <w:sz w:val="22"/>
                      <w:szCs w:val="22"/>
                    </w:rPr>
                  </w:pPr>
                  <w:r>
                    <w:rPr>
                      <w:rFonts w:cs="Calibri"/>
                      <w:color w:val="000000"/>
                      <w:sz w:val="22"/>
                      <w:szCs w:val="22"/>
                    </w:rPr>
                    <w:t>1.6</w:t>
                  </w:r>
                </w:p>
              </w:tc>
              <w:tc>
                <w:tcPr>
                  <w:tcW w:w="850" w:type="dxa"/>
                  <w:tcBorders>
                    <w:top w:val="single" w:sz="4" w:space="0" w:color="auto"/>
                    <w:left w:val="single" w:sz="4" w:space="0" w:color="auto"/>
                    <w:bottom w:val="single" w:sz="4" w:space="0" w:color="auto"/>
                    <w:right w:val="single" w:sz="4" w:space="0" w:color="auto"/>
                  </w:tcBorders>
                  <w:noWrap/>
                  <w:vAlign w:val="center"/>
                </w:tcPr>
                <w:p w14:paraId="7A091E4E" w14:textId="77777777" w:rsidR="00280F1F" w:rsidRDefault="00280F1F" w:rsidP="00610813">
                  <w:pPr>
                    <w:jc w:val="center"/>
                    <w:rPr>
                      <w:rFonts w:cs="Calibri"/>
                      <w:color w:val="000000"/>
                      <w:sz w:val="22"/>
                      <w:szCs w:val="22"/>
                    </w:rPr>
                  </w:pPr>
                  <w:r>
                    <w:rPr>
                      <w:rFonts w:cs="Calibri"/>
                      <w:color w:val="000000"/>
                      <w:sz w:val="22"/>
                      <w:szCs w:val="22"/>
                    </w:rPr>
                    <w:t>1.7</w:t>
                  </w:r>
                </w:p>
              </w:tc>
              <w:tc>
                <w:tcPr>
                  <w:tcW w:w="851" w:type="dxa"/>
                  <w:tcBorders>
                    <w:top w:val="single" w:sz="4" w:space="0" w:color="auto"/>
                    <w:left w:val="single" w:sz="4" w:space="0" w:color="auto"/>
                    <w:bottom w:val="single" w:sz="4" w:space="0" w:color="auto"/>
                    <w:right w:val="single" w:sz="4" w:space="0" w:color="auto"/>
                  </w:tcBorders>
                  <w:noWrap/>
                  <w:vAlign w:val="center"/>
                </w:tcPr>
                <w:p w14:paraId="4ADC945D" w14:textId="77777777" w:rsidR="00280F1F" w:rsidRDefault="00280F1F" w:rsidP="00610813">
                  <w:pPr>
                    <w:jc w:val="center"/>
                    <w:rPr>
                      <w:rFonts w:cs="Calibri"/>
                      <w:color w:val="000000"/>
                      <w:sz w:val="22"/>
                      <w:szCs w:val="22"/>
                    </w:rPr>
                  </w:pPr>
                  <w:r>
                    <w:rPr>
                      <w:rFonts w:cs="Calibri"/>
                      <w:color w:val="000000"/>
                      <w:sz w:val="22"/>
                      <w:szCs w:val="22"/>
                    </w:rPr>
                    <w:t>1.7</w:t>
                  </w:r>
                </w:p>
              </w:tc>
              <w:tc>
                <w:tcPr>
                  <w:tcW w:w="850" w:type="dxa"/>
                  <w:tcBorders>
                    <w:top w:val="single" w:sz="4" w:space="0" w:color="auto"/>
                    <w:left w:val="single" w:sz="4" w:space="0" w:color="auto"/>
                    <w:bottom w:val="single" w:sz="4" w:space="0" w:color="auto"/>
                    <w:right w:val="single" w:sz="4" w:space="0" w:color="auto"/>
                  </w:tcBorders>
                  <w:noWrap/>
                  <w:vAlign w:val="center"/>
                </w:tcPr>
                <w:p w14:paraId="0B34A1B5" w14:textId="77777777" w:rsidR="00280F1F" w:rsidRDefault="00280F1F" w:rsidP="00610813">
                  <w:pPr>
                    <w:jc w:val="center"/>
                    <w:rPr>
                      <w:rFonts w:cs="Calibri"/>
                      <w:color w:val="000000"/>
                      <w:sz w:val="22"/>
                      <w:szCs w:val="22"/>
                    </w:rPr>
                  </w:pPr>
                  <w:r>
                    <w:rPr>
                      <w:rFonts w:cs="Calibri"/>
                      <w:color w:val="000000"/>
                      <w:sz w:val="22"/>
                      <w:szCs w:val="22"/>
                    </w:rPr>
                    <w:t>1.7</w:t>
                  </w:r>
                </w:p>
              </w:tc>
              <w:tc>
                <w:tcPr>
                  <w:tcW w:w="851" w:type="dxa"/>
                  <w:tcBorders>
                    <w:top w:val="single" w:sz="4" w:space="0" w:color="auto"/>
                    <w:left w:val="single" w:sz="4" w:space="0" w:color="auto"/>
                    <w:bottom w:val="single" w:sz="4" w:space="0" w:color="auto"/>
                    <w:right w:val="single" w:sz="4" w:space="0" w:color="auto"/>
                  </w:tcBorders>
                  <w:vAlign w:val="center"/>
                </w:tcPr>
                <w:p w14:paraId="7D2C6222" w14:textId="77777777" w:rsidR="00280F1F" w:rsidRDefault="00280F1F" w:rsidP="00610813">
                  <w:pPr>
                    <w:jc w:val="center"/>
                    <w:rPr>
                      <w:rFonts w:cs="Calibri"/>
                      <w:color w:val="000000"/>
                      <w:sz w:val="22"/>
                      <w:szCs w:val="22"/>
                    </w:rPr>
                  </w:pPr>
                  <w:r>
                    <w:rPr>
                      <w:rFonts w:cs="Calibri"/>
                      <w:color w:val="000000"/>
                      <w:sz w:val="22"/>
                      <w:szCs w:val="22"/>
                    </w:rPr>
                    <w:t>1.7</w:t>
                  </w:r>
                </w:p>
              </w:tc>
              <w:tc>
                <w:tcPr>
                  <w:tcW w:w="782" w:type="dxa"/>
                  <w:tcBorders>
                    <w:top w:val="single" w:sz="4" w:space="0" w:color="auto"/>
                    <w:left w:val="single" w:sz="4" w:space="0" w:color="auto"/>
                    <w:bottom w:val="single" w:sz="4" w:space="0" w:color="auto"/>
                    <w:right w:val="single" w:sz="4" w:space="0" w:color="auto"/>
                  </w:tcBorders>
                  <w:vAlign w:val="center"/>
                </w:tcPr>
                <w:p w14:paraId="2ABDBA33" w14:textId="77777777" w:rsidR="00280F1F" w:rsidRDefault="00280F1F" w:rsidP="00610813">
                  <w:pPr>
                    <w:jc w:val="center"/>
                    <w:rPr>
                      <w:rFonts w:cs="Calibri"/>
                      <w:color w:val="000000"/>
                      <w:sz w:val="22"/>
                      <w:szCs w:val="22"/>
                    </w:rPr>
                  </w:pPr>
                  <w:r>
                    <w:rPr>
                      <w:rFonts w:cs="Calibri"/>
                      <w:color w:val="000000"/>
                      <w:sz w:val="22"/>
                      <w:szCs w:val="22"/>
                    </w:rPr>
                    <w:t>1.7</w:t>
                  </w:r>
                </w:p>
              </w:tc>
            </w:tr>
            <w:tr w:rsidR="00280F1F" w14:paraId="528EE10A" w14:textId="77777777" w:rsidTr="00610813">
              <w:trPr>
                <w:trHeight w:val="112"/>
              </w:trPr>
              <w:tc>
                <w:tcPr>
                  <w:tcW w:w="2151" w:type="dxa"/>
                  <w:tcBorders>
                    <w:top w:val="single" w:sz="4" w:space="0" w:color="auto"/>
                    <w:left w:val="single" w:sz="4" w:space="0" w:color="auto"/>
                    <w:bottom w:val="single" w:sz="4" w:space="0" w:color="auto"/>
                    <w:right w:val="single" w:sz="4" w:space="0" w:color="auto"/>
                  </w:tcBorders>
                  <w:vAlign w:val="center"/>
                </w:tcPr>
                <w:p w14:paraId="5F9BA515" w14:textId="77777777" w:rsidR="00280F1F" w:rsidRDefault="00280F1F" w:rsidP="00610813">
                  <w:pPr>
                    <w:jc w:val="center"/>
                    <w:rPr>
                      <w:rFonts w:cs="Calibri"/>
                      <w:color w:val="000000"/>
                      <w:sz w:val="22"/>
                      <w:szCs w:val="22"/>
                    </w:rPr>
                  </w:pPr>
                  <w:r>
                    <w:rPr>
                      <w:rFonts w:cs="Calibri"/>
                      <w:color w:val="000000"/>
                      <w:sz w:val="22"/>
                      <w:szCs w:val="22"/>
                    </w:rPr>
                    <w:t xml:space="preserve">Maybelline New York </w:t>
                  </w:r>
                </w:p>
              </w:tc>
              <w:tc>
                <w:tcPr>
                  <w:tcW w:w="851" w:type="dxa"/>
                  <w:tcBorders>
                    <w:top w:val="single" w:sz="4" w:space="0" w:color="auto"/>
                    <w:left w:val="single" w:sz="4" w:space="0" w:color="auto"/>
                    <w:bottom w:val="single" w:sz="4" w:space="0" w:color="auto"/>
                    <w:right w:val="single" w:sz="4" w:space="0" w:color="auto"/>
                  </w:tcBorders>
                  <w:noWrap/>
                  <w:vAlign w:val="center"/>
                </w:tcPr>
                <w:p w14:paraId="711906F2" w14:textId="77777777" w:rsidR="00280F1F" w:rsidRDefault="00280F1F" w:rsidP="00610813">
                  <w:pPr>
                    <w:jc w:val="center"/>
                    <w:rPr>
                      <w:rFonts w:cs="Calibri"/>
                      <w:color w:val="000000"/>
                      <w:sz w:val="22"/>
                      <w:szCs w:val="22"/>
                    </w:rPr>
                  </w:pPr>
                  <w:r>
                    <w:rPr>
                      <w:rFonts w:cs="Calibri"/>
                      <w:color w:val="000000"/>
                      <w:sz w:val="22"/>
                      <w:szCs w:val="22"/>
                    </w:rPr>
                    <w:t>1.6</w:t>
                  </w:r>
                </w:p>
              </w:tc>
              <w:tc>
                <w:tcPr>
                  <w:tcW w:w="850" w:type="dxa"/>
                  <w:tcBorders>
                    <w:top w:val="single" w:sz="4" w:space="0" w:color="auto"/>
                    <w:left w:val="single" w:sz="4" w:space="0" w:color="auto"/>
                    <w:bottom w:val="single" w:sz="4" w:space="0" w:color="auto"/>
                    <w:right w:val="single" w:sz="4" w:space="0" w:color="auto"/>
                  </w:tcBorders>
                  <w:noWrap/>
                  <w:vAlign w:val="center"/>
                </w:tcPr>
                <w:p w14:paraId="682C5677" w14:textId="77777777" w:rsidR="00280F1F" w:rsidRDefault="00280F1F" w:rsidP="00610813">
                  <w:pPr>
                    <w:jc w:val="center"/>
                    <w:rPr>
                      <w:rFonts w:cs="Calibri"/>
                      <w:color w:val="000000"/>
                      <w:sz w:val="22"/>
                      <w:szCs w:val="22"/>
                    </w:rPr>
                  </w:pPr>
                  <w:r>
                    <w:rPr>
                      <w:rFonts w:cs="Calibri"/>
                      <w:color w:val="000000"/>
                      <w:sz w:val="22"/>
                      <w:szCs w:val="22"/>
                    </w:rPr>
                    <w:t>1.3</w:t>
                  </w:r>
                </w:p>
              </w:tc>
              <w:tc>
                <w:tcPr>
                  <w:tcW w:w="851" w:type="dxa"/>
                  <w:tcBorders>
                    <w:top w:val="single" w:sz="4" w:space="0" w:color="auto"/>
                    <w:left w:val="single" w:sz="4" w:space="0" w:color="auto"/>
                    <w:bottom w:val="single" w:sz="4" w:space="0" w:color="auto"/>
                    <w:right w:val="single" w:sz="4" w:space="0" w:color="auto"/>
                  </w:tcBorders>
                  <w:noWrap/>
                  <w:vAlign w:val="center"/>
                </w:tcPr>
                <w:p w14:paraId="07FE0A72" w14:textId="77777777" w:rsidR="00280F1F" w:rsidRDefault="00280F1F" w:rsidP="00610813">
                  <w:pPr>
                    <w:jc w:val="center"/>
                    <w:rPr>
                      <w:rFonts w:cs="Calibri"/>
                      <w:color w:val="000000"/>
                      <w:sz w:val="22"/>
                      <w:szCs w:val="22"/>
                    </w:rPr>
                  </w:pPr>
                  <w:r>
                    <w:rPr>
                      <w:rFonts w:cs="Calibri"/>
                      <w:color w:val="000000"/>
                      <w:sz w:val="22"/>
                      <w:szCs w:val="22"/>
                    </w:rPr>
                    <w:t>1.4</w:t>
                  </w:r>
                </w:p>
              </w:tc>
              <w:tc>
                <w:tcPr>
                  <w:tcW w:w="850" w:type="dxa"/>
                  <w:tcBorders>
                    <w:top w:val="single" w:sz="4" w:space="0" w:color="auto"/>
                    <w:left w:val="single" w:sz="4" w:space="0" w:color="auto"/>
                    <w:bottom w:val="single" w:sz="4" w:space="0" w:color="auto"/>
                    <w:right w:val="single" w:sz="4" w:space="0" w:color="auto"/>
                  </w:tcBorders>
                  <w:noWrap/>
                  <w:vAlign w:val="center"/>
                </w:tcPr>
                <w:p w14:paraId="37E36A84" w14:textId="77777777" w:rsidR="00280F1F" w:rsidRDefault="00280F1F" w:rsidP="00610813">
                  <w:pPr>
                    <w:jc w:val="center"/>
                    <w:rPr>
                      <w:rFonts w:cs="Calibri"/>
                      <w:color w:val="000000"/>
                      <w:sz w:val="22"/>
                      <w:szCs w:val="22"/>
                    </w:rPr>
                  </w:pPr>
                  <w:r>
                    <w:rPr>
                      <w:rFonts w:cs="Calibri"/>
                      <w:color w:val="000000"/>
                      <w:sz w:val="22"/>
                      <w:szCs w:val="22"/>
                    </w:rPr>
                    <w:t>1.5</w:t>
                  </w:r>
                </w:p>
              </w:tc>
              <w:tc>
                <w:tcPr>
                  <w:tcW w:w="851" w:type="dxa"/>
                  <w:tcBorders>
                    <w:top w:val="single" w:sz="4" w:space="0" w:color="auto"/>
                    <w:left w:val="single" w:sz="4" w:space="0" w:color="auto"/>
                    <w:bottom w:val="single" w:sz="4" w:space="0" w:color="auto"/>
                    <w:right w:val="single" w:sz="4" w:space="0" w:color="auto"/>
                  </w:tcBorders>
                  <w:vAlign w:val="center"/>
                </w:tcPr>
                <w:p w14:paraId="2A7A1F26" w14:textId="77777777" w:rsidR="00280F1F" w:rsidRDefault="00280F1F" w:rsidP="00610813">
                  <w:pPr>
                    <w:jc w:val="center"/>
                    <w:rPr>
                      <w:rFonts w:cs="Calibri"/>
                      <w:color w:val="000000"/>
                      <w:sz w:val="22"/>
                      <w:szCs w:val="22"/>
                    </w:rPr>
                  </w:pPr>
                  <w:r>
                    <w:rPr>
                      <w:rFonts w:cs="Calibri"/>
                      <w:color w:val="000000"/>
                      <w:sz w:val="22"/>
                      <w:szCs w:val="22"/>
                    </w:rPr>
                    <w:t>1.5</w:t>
                  </w:r>
                </w:p>
              </w:tc>
              <w:tc>
                <w:tcPr>
                  <w:tcW w:w="782" w:type="dxa"/>
                  <w:tcBorders>
                    <w:top w:val="single" w:sz="4" w:space="0" w:color="auto"/>
                    <w:left w:val="single" w:sz="4" w:space="0" w:color="auto"/>
                    <w:bottom w:val="single" w:sz="4" w:space="0" w:color="auto"/>
                    <w:right w:val="single" w:sz="4" w:space="0" w:color="auto"/>
                  </w:tcBorders>
                  <w:vAlign w:val="center"/>
                </w:tcPr>
                <w:p w14:paraId="2A09BC70" w14:textId="77777777" w:rsidR="00280F1F" w:rsidRDefault="00280F1F" w:rsidP="00610813">
                  <w:pPr>
                    <w:jc w:val="center"/>
                    <w:rPr>
                      <w:rFonts w:cs="Calibri"/>
                      <w:color w:val="000000"/>
                      <w:sz w:val="22"/>
                      <w:szCs w:val="22"/>
                    </w:rPr>
                  </w:pPr>
                  <w:r>
                    <w:rPr>
                      <w:rFonts w:cs="Calibri"/>
                      <w:color w:val="000000"/>
                      <w:sz w:val="22"/>
                      <w:szCs w:val="22"/>
                    </w:rPr>
                    <w:t>1.5</w:t>
                  </w:r>
                </w:p>
              </w:tc>
            </w:tr>
            <w:tr w:rsidR="00280F1F" w14:paraId="17CE1BB8"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4E5C19FE" w14:textId="77777777" w:rsidR="00280F1F" w:rsidRDefault="00280F1F" w:rsidP="00610813">
                  <w:pPr>
                    <w:jc w:val="center"/>
                    <w:rPr>
                      <w:rFonts w:cs="Calibri"/>
                      <w:color w:val="000000"/>
                      <w:sz w:val="22"/>
                      <w:szCs w:val="22"/>
                    </w:rPr>
                  </w:pPr>
                  <w:r>
                    <w:rPr>
                      <w:rFonts w:cs="Calibri"/>
                      <w:color w:val="000000"/>
                      <w:sz w:val="22"/>
                      <w:szCs w:val="22"/>
                    </w:rPr>
                    <w:t xml:space="preserve">Head &amp; Shoulders </w:t>
                  </w:r>
                </w:p>
              </w:tc>
              <w:tc>
                <w:tcPr>
                  <w:tcW w:w="851" w:type="dxa"/>
                  <w:tcBorders>
                    <w:top w:val="single" w:sz="4" w:space="0" w:color="auto"/>
                    <w:left w:val="single" w:sz="4" w:space="0" w:color="auto"/>
                    <w:bottom w:val="single" w:sz="4" w:space="0" w:color="auto"/>
                    <w:right w:val="single" w:sz="4" w:space="0" w:color="auto"/>
                  </w:tcBorders>
                  <w:noWrap/>
                  <w:vAlign w:val="center"/>
                </w:tcPr>
                <w:p w14:paraId="3E5E0B8D" w14:textId="77777777" w:rsidR="00280F1F" w:rsidRDefault="00280F1F" w:rsidP="00610813">
                  <w:pPr>
                    <w:jc w:val="center"/>
                    <w:rPr>
                      <w:rFonts w:cs="Calibri"/>
                      <w:color w:val="000000"/>
                      <w:sz w:val="22"/>
                      <w:szCs w:val="22"/>
                    </w:rPr>
                  </w:pPr>
                  <w:r>
                    <w:rPr>
                      <w:rFonts w:cs="Calibri"/>
                      <w:color w:val="000000"/>
                      <w:sz w:val="22"/>
                      <w:szCs w:val="22"/>
                    </w:rPr>
                    <w:t>1.4</w:t>
                  </w:r>
                </w:p>
              </w:tc>
              <w:tc>
                <w:tcPr>
                  <w:tcW w:w="850" w:type="dxa"/>
                  <w:tcBorders>
                    <w:top w:val="single" w:sz="4" w:space="0" w:color="auto"/>
                    <w:left w:val="single" w:sz="4" w:space="0" w:color="auto"/>
                    <w:bottom w:val="single" w:sz="4" w:space="0" w:color="auto"/>
                    <w:right w:val="single" w:sz="4" w:space="0" w:color="auto"/>
                  </w:tcBorders>
                  <w:noWrap/>
                  <w:vAlign w:val="center"/>
                </w:tcPr>
                <w:p w14:paraId="38EDF7BD" w14:textId="77777777" w:rsidR="00280F1F" w:rsidRDefault="00280F1F" w:rsidP="00610813">
                  <w:pPr>
                    <w:jc w:val="center"/>
                    <w:rPr>
                      <w:rFonts w:cs="Calibri"/>
                      <w:color w:val="000000"/>
                      <w:sz w:val="22"/>
                      <w:szCs w:val="22"/>
                    </w:rPr>
                  </w:pPr>
                  <w:r>
                    <w:rPr>
                      <w:rFonts w:cs="Calibri"/>
                      <w:color w:val="000000"/>
                      <w:sz w:val="22"/>
                      <w:szCs w:val="22"/>
                    </w:rPr>
                    <w:t>1.4</w:t>
                  </w:r>
                </w:p>
              </w:tc>
              <w:tc>
                <w:tcPr>
                  <w:tcW w:w="851" w:type="dxa"/>
                  <w:tcBorders>
                    <w:top w:val="single" w:sz="4" w:space="0" w:color="auto"/>
                    <w:left w:val="single" w:sz="4" w:space="0" w:color="auto"/>
                    <w:bottom w:val="single" w:sz="4" w:space="0" w:color="auto"/>
                    <w:right w:val="single" w:sz="4" w:space="0" w:color="auto"/>
                  </w:tcBorders>
                  <w:noWrap/>
                  <w:vAlign w:val="center"/>
                </w:tcPr>
                <w:p w14:paraId="1C45ED7F" w14:textId="77777777" w:rsidR="00280F1F" w:rsidRDefault="00280F1F" w:rsidP="00610813">
                  <w:pPr>
                    <w:jc w:val="center"/>
                    <w:rPr>
                      <w:rFonts w:cs="Calibri"/>
                      <w:color w:val="000000"/>
                      <w:sz w:val="22"/>
                      <w:szCs w:val="22"/>
                    </w:rPr>
                  </w:pPr>
                  <w:r>
                    <w:rPr>
                      <w:rFonts w:cs="Calibri"/>
                      <w:color w:val="000000"/>
                      <w:sz w:val="22"/>
                      <w:szCs w:val="22"/>
                    </w:rPr>
                    <w:t>1.4</w:t>
                  </w:r>
                </w:p>
              </w:tc>
              <w:tc>
                <w:tcPr>
                  <w:tcW w:w="850" w:type="dxa"/>
                  <w:tcBorders>
                    <w:top w:val="single" w:sz="4" w:space="0" w:color="auto"/>
                    <w:left w:val="single" w:sz="4" w:space="0" w:color="auto"/>
                    <w:bottom w:val="single" w:sz="4" w:space="0" w:color="auto"/>
                    <w:right w:val="single" w:sz="4" w:space="0" w:color="auto"/>
                  </w:tcBorders>
                  <w:noWrap/>
                  <w:vAlign w:val="center"/>
                </w:tcPr>
                <w:p w14:paraId="41B4E0D3" w14:textId="77777777" w:rsidR="00280F1F" w:rsidRDefault="00280F1F" w:rsidP="00610813">
                  <w:pPr>
                    <w:jc w:val="center"/>
                    <w:rPr>
                      <w:rFonts w:cs="Calibri"/>
                      <w:color w:val="000000"/>
                      <w:sz w:val="22"/>
                      <w:szCs w:val="22"/>
                    </w:rPr>
                  </w:pPr>
                  <w:r>
                    <w:rPr>
                      <w:rFonts w:cs="Calibri"/>
                      <w:color w:val="000000"/>
                      <w:sz w:val="22"/>
                      <w:szCs w:val="22"/>
                    </w:rPr>
                    <w:t>1.4</w:t>
                  </w:r>
                </w:p>
              </w:tc>
              <w:tc>
                <w:tcPr>
                  <w:tcW w:w="851" w:type="dxa"/>
                  <w:tcBorders>
                    <w:top w:val="single" w:sz="4" w:space="0" w:color="auto"/>
                    <w:left w:val="single" w:sz="4" w:space="0" w:color="auto"/>
                    <w:bottom w:val="single" w:sz="4" w:space="0" w:color="auto"/>
                    <w:right w:val="single" w:sz="4" w:space="0" w:color="auto"/>
                  </w:tcBorders>
                  <w:vAlign w:val="center"/>
                </w:tcPr>
                <w:p w14:paraId="5321E7A0" w14:textId="77777777" w:rsidR="00280F1F" w:rsidRDefault="00280F1F" w:rsidP="00610813">
                  <w:pPr>
                    <w:jc w:val="center"/>
                    <w:rPr>
                      <w:rFonts w:cs="Calibri"/>
                      <w:color w:val="000000"/>
                      <w:sz w:val="22"/>
                      <w:szCs w:val="22"/>
                    </w:rPr>
                  </w:pPr>
                  <w:r>
                    <w:rPr>
                      <w:rFonts w:cs="Calibri"/>
                      <w:color w:val="000000"/>
                      <w:sz w:val="22"/>
                      <w:szCs w:val="22"/>
                    </w:rPr>
                    <w:t>1.</w:t>
                  </w:r>
                  <w:r>
                    <w:rPr>
                      <w:rFonts w:cs="Calibri" w:hint="eastAsia"/>
                      <w:color w:val="000000"/>
                      <w:sz w:val="22"/>
                      <w:szCs w:val="22"/>
                    </w:rPr>
                    <w:t>3</w:t>
                  </w:r>
                </w:p>
              </w:tc>
              <w:tc>
                <w:tcPr>
                  <w:tcW w:w="782" w:type="dxa"/>
                  <w:tcBorders>
                    <w:top w:val="single" w:sz="4" w:space="0" w:color="auto"/>
                    <w:left w:val="single" w:sz="4" w:space="0" w:color="auto"/>
                    <w:bottom w:val="single" w:sz="4" w:space="0" w:color="auto"/>
                    <w:right w:val="single" w:sz="4" w:space="0" w:color="auto"/>
                  </w:tcBorders>
                  <w:vAlign w:val="center"/>
                </w:tcPr>
                <w:p w14:paraId="56BFD152" w14:textId="77777777" w:rsidR="00280F1F" w:rsidRDefault="00280F1F" w:rsidP="00610813">
                  <w:pPr>
                    <w:jc w:val="center"/>
                    <w:rPr>
                      <w:rFonts w:cs="Calibri"/>
                      <w:color w:val="000000"/>
                      <w:sz w:val="22"/>
                      <w:szCs w:val="22"/>
                    </w:rPr>
                  </w:pPr>
                  <w:r>
                    <w:rPr>
                      <w:rFonts w:cs="Calibri"/>
                      <w:color w:val="000000"/>
                      <w:sz w:val="22"/>
                      <w:szCs w:val="22"/>
                    </w:rPr>
                    <w:t>1.</w:t>
                  </w:r>
                  <w:r>
                    <w:rPr>
                      <w:rFonts w:cs="Calibri" w:hint="eastAsia"/>
                      <w:color w:val="000000"/>
                      <w:sz w:val="22"/>
                      <w:szCs w:val="22"/>
                    </w:rPr>
                    <w:t>3</w:t>
                  </w:r>
                </w:p>
              </w:tc>
            </w:tr>
            <w:tr w:rsidR="00280F1F" w14:paraId="24A53BF6"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590A2F05" w14:textId="77777777" w:rsidR="00280F1F" w:rsidRDefault="00280F1F" w:rsidP="00610813">
                  <w:pPr>
                    <w:jc w:val="center"/>
                    <w:rPr>
                      <w:rFonts w:cs="Calibri"/>
                      <w:color w:val="000000"/>
                      <w:sz w:val="22"/>
                      <w:szCs w:val="22"/>
                    </w:rPr>
                  </w:pPr>
                  <w:r>
                    <w:rPr>
                      <w:rFonts w:cs="Calibri"/>
                      <w:color w:val="000000"/>
                      <w:sz w:val="22"/>
                      <w:szCs w:val="22"/>
                    </w:rPr>
                    <w:t xml:space="preserve">O </w:t>
                  </w:r>
                  <w:proofErr w:type="spellStart"/>
                  <w:r>
                    <w:rPr>
                      <w:rFonts w:cs="Calibri"/>
                      <w:color w:val="000000"/>
                      <w:sz w:val="22"/>
                      <w:szCs w:val="22"/>
                    </w:rPr>
                    <w:t>Boticário</w:t>
                  </w:r>
                  <w:proofErr w:type="spellEnd"/>
                </w:p>
              </w:tc>
              <w:tc>
                <w:tcPr>
                  <w:tcW w:w="851" w:type="dxa"/>
                  <w:tcBorders>
                    <w:top w:val="single" w:sz="4" w:space="0" w:color="auto"/>
                    <w:left w:val="single" w:sz="4" w:space="0" w:color="auto"/>
                    <w:bottom w:val="single" w:sz="4" w:space="0" w:color="auto"/>
                    <w:right w:val="single" w:sz="4" w:space="0" w:color="auto"/>
                  </w:tcBorders>
                  <w:noWrap/>
                  <w:vAlign w:val="center"/>
                </w:tcPr>
                <w:p w14:paraId="76BAB019" w14:textId="77777777" w:rsidR="00280F1F" w:rsidRDefault="00280F1F" w:rsidP="00610813">
                  <w:pPr>
                    <w:jc w:val="center"/>
                    <w:rPr>
                      <w:rFonts w:cs="Calibri"/>
                      <w:color w:val="000000"/>
                      <w:sz w:val="22"/>
                      <w:szCs w:val="22"/>
                    </w:rPr>
                  </w:pPr>
                  <w:r>
                    <w:rPr>
                      <w:rFonts w:cs="Calibri"/>
                      <w:color w:val="000000"/>
                      <w:sz w:val="22"/>
                      <w:szCs w:val="22"/>
                    </w:rPr>
                    <w:t>1</w:t>
                  </w:r>
                </w:p>
              </w:tc>
              <w:tc>
                <w:tcPr>
                  <w:tcW w:w="850" w:type="dxa"/>
                  <w:tcBorders>
                    <w:top w:val="single" w:sz="4" w:space="0" w:color="auto"/>
                    <w:left w:val="single" w:sz="4" w:space="0" w:color="auto"/>
                    <w:bottom w:val="single" w:sz="4" w:space="0" w:color="auto"/>
                    <w:right w:val="single" w:sz="4" w:space="0" w:color="auto"/>
                  </w:tcBorders>
                  <w:noWrap/>
                  <w:vAlign w:val="center"/>
                </w:tcPr>
                <w:p w14:paraId="7302B4C0" w14:textId="77777777" w:rsidR="00280F1F" w:rsidRDefault="00280F1F" w:rsidP="00610813">
                  <w:pPr>
                    <w:jc w:val="center"/>
                    <w:rPr>
                      <w:rFonts w:cs="Calibri"/>
                      <w:color w:val="000000"/>
                      <w:sz w:val="22"/>
                      <w:szCs w:val="22"/>
                    </w:rPr>
                  </w:pPr>
                  <w:r>
                    <w:rPr>
                      <w:rFonts w:cs="Calibri"/>
                      <w:color w:val="000000"/>
                      <w:sz w:val="22"/>
                      <w:szCs w:val="22"/>
                    </w:rPr>
                    <w:t>0.8</w:t>
                  </w:r>
                </w:p>
              </w:tc>
              <w:tc>
                <w:tcPr>
                  <w:tcW w:w="851" w:type="dxa"/>
                  <w:tcBorders>
                    <w:top w:val="single" w:sz="4" w:space="0" w:color="auto"/>
                    <w:left w:val="single" w:sz="4" w:space="0" w:color="auto"/>
                    <w:bottom w:val="single" w:sz="4" w:space="0" w:color="auto"/>
                    <w:right w:val="single" w:sz="4" w:space="0" w:color="auto"/>
                  </w:tcBorders>
                  <w:noWrap/>
                  <w:vAlign w:val="center"/>
                </w:tcPr>
                <w:p w14:paraId="49DD2BC0" w14:textId="77777777" w:rsidR="00280F1F" w:rsidRDefault="00280F1F" w:rsidP="00610813">
                  <w:pPr>
                    <w:jc w:val="center"/>
                    <w:rPr>
                      <w:rFonts w:cs="Calibri"/>
                      <w:color w:val="000000"/>
                      <w:sz w:val="22"/>
                      <w:szCs w:val="22"/>
                    </w:rPr>
                  </w:pPr>
                  <w:r>
                    <w:rPr>
                      <w:rFonts w:cs="Calibri"/>
                      <w:color w:val="000000"/>
                      <w:sz w:val="22"/>
                      <w:szCs w:val="22"/>
                    </w:rPr>
                    <w:t>0.7</w:t>
                  </w:r>
                </w:p>
              </w:tc>
              <w:tc>
                <w:tcPr>
                  <w:tcW w:w="850" w:type="dxa"/>
                  <w:tcBorders>
                    <w:top w:val="single" w:sz="4" w:space="0" w:color="auto"/>
                    <w:left w:val="single" w:sz="4" w:space="0" w:color="auto"/>
                    <w:bottom w:val="single" w:sz="4" w:space="0" w:color="auto"/>
                    <w:right w:val="single" w:sz="4" w:space="0" w:color="auto"/>
                  </w:tcBorders>
                  <w:noWrap/>
                  <w:vAlign w:val="center"/>
                </w:tcPr>
                <w:p w14:paraId="44E44449" w14:textId="77777777" w:rsidR="00280F1F" w:rsidRDefault="00280F1F" w:rsidP="00610813">
                  <w:pPr>
                    <w:jc w:val="center"/>
                    <w:rPr>
                      <w:rFonts w:cs="Calibri"/>
                      <w:color w:val="000000"/>
                      <w:sz w:val="22"/>
                      <w:szCs w:val="22"/>
                    </w:rPr>
                  </w:pPr>
                  <w:r>
                    <w:rPr>
                      <w:rFonts w:cs="Calibri"/>
                      <w:color w:val="000000"/>
                      <w:sz w:val="22"/>
                      <w:szCs w:val="22"/>
                    </w:rPr>
                    <w:t>1</w:t>
                  </w:r>
                </w:p>
              </w:tc>
              <w:tc>
                <w:tcPr>
                  <w:tcW w:w="851" w:type="dxa"/>
                  <w:tcBorders>
                    <w:top w:val="single" w:sz="4" w:space="0" w:color="auto"/>
                    <w:left w:val="single" w:sz="4" w:space="0" w:color="auto"/>
                    <w:bottom w:val="single" w:sz="4" w:space="0" w:color="auto"/>
                    <w:right w:val="single" w:sz="4" w:space="0" w:color="auto"/>
                  </w:tcBorders>
                  <w:vAlign w:val="center"/>
                </w:tcPr>
                <w:p w14:paraId="041C6EB4" w14:textId="77777777" w:rsidR="00280F1F" w:rsidRDefault="00280F1F" w:rsidP="00610813">
                  <w:pPr>
                    <w:jc w:val="center"/>
                    <w:rPr>
                      <w:rFonts w:cs="Calibri"/>
                      <w:color w:val="000000"/>
                      <w:sz w:val="22"/>
                      <w:szCs w:val="22"/>
                    </w:rPr>
                  </w:pPr>
                  <w:r>
                    <w:rPr>
                      <w:rFonts w:cs="Calibri"/>
                      <w:color w:val="000000"/>
                      <w:sz w:val="22"/>
                      <w:szCs w:val="22"/>
                    </w:rPr>
                    <w:t>1.2</w:t>
                  </w:r>
                </w:p>
              </w:tc>
              <w:tc>
                <w:tcPr>
                  <w:tcW w:w="782" w:type="dxa"/>
                  <w:tcBorders>
                    <w:top w:val="single" w:sz="4" w:space="0" w:color="auto"/>
                    <w:left w:val="single" w:sz="4" w:space="0" w:color="auto"/>
                    <w:bottom w:val="single" w:sz="4" w:space="0" w:color="auto"/>
                    <w:right w:val="single" w:sz="4" w:space="0" w:color="auto"/>
                  </w:tcBorders>
                  <w:vAlign w:val="center"/>
                </w:tcPr>
                <w:p w14:paraId="51CF9C1F" w14:textId="77777777" w:rsidR="00280F1F" w:rsidRDefault="00280F1F" w:rsidP="00610813">
                  <w:pPr>
                    <w:jc w:val="center"/>
                    <w:rPr>
                      <w:rFonts w:cs="Calibri"/>
                      <w:color w:val="000000"/>
                      <w:sz w:val="22"/>
                      <w:szCs w:val="22"/>
                    </w:rPr>
                  </w:pPr>
                  <w:r>
                    <w:rPr>
                      <w:rFonts w:cs="Calibri"/>
                      <w:color w:val="000000"/>
                      <w:sz w:val="22"/>
                      <w:szCs w:val="22"/>
                    </w:rPr>
                    <w:t>1.2</w:t>
                  </w:r>
                </w:p>
              </w:tc>
            </w:tr>
            <w:tr w:rsidR="00280F1F" w14:paraId="72C54E19" w14:textId="77777777" w:rsidTr="00610813">
              <w:trPr>
                <w:trHeight w:val="320"/>
              </w:trPr>
              <w:tc>
                <w:tcPr>
                  <w:tcW w:w="2151" w:type="dxa"/>
                  <w:tcBorders>
                    <w:top w:val="single" w:sz="4" w:space="0" w:color="auto"/>
                    <w:left w:val="single" w:sz="4" w:space="0" w:color="auto"/>
                    <w:bottom w:val="single" w:sz="4" w:space="0" w:color="auto"/>
                    <w:right w:val="single" w:sz="4" w:space="0" w:color="auto"/>
                  </w:tcBorders>
                  <w:vAlign w:val="center"/>
                </w:tcPr>
                <w:p w14:paraId="71FA1904" w14:textId="77777777" w:rsidR="00280F1F" w:rsidRDefault="00280F1F" w:rsidP="00610813">
                  <w:pPr>
                    <w:jc w:val="center"/>
                    <w:rPr>
                      <w:rFonts w:cs="Calibri"/>
                      <w:color w:val="000000"/>
                      <w:sz w:val="22"/>
                      <w:szCs w:val="22"/>
                    </w:rPr>
                  </w:pPr>
                  <w:r>
                    <w:rPr>
                      <w:rFonts w:cs="Calibri"/>
                      <w:color w:val="000000"/>
                      <w:sz w:val="22"/>
                      <w:szCs w:val="22"/>
                    </w:rPr>
                    <w:t xml:space="preserve">Olay </w:t>
                  </w:r>
                </w:p>
              </w:tc>
              <w:tc>
                <w:tcPr>
                  <w:tcW w:w="851" w:type="dxa"/>
                  <w:tcBorders>
                    <w:top w:val="single" w:sz="4" w:space="0" w:color="auto"/>
                    <w:left w:val="single" w:sz="4" w:space="0" w:color="auto"/>
                    <w:bottom w:val="single" w:sz="4" w:space="0" w:color="auto"/>
                    <w:right w:val="single" w:sz="4" w:space="0" w:color="auto"/>
                  </w:tcBorders>
                  <w:noWrap/>
                  <w:vAlign w:val="center"/>
                </w:tcPr>
                <w:p w14:paraId="229EA7B0" w14:textId="77777777" w:rsidR="00280F1F" w:rsidRDefault="00280F1F" w:rsidP="00610813">
                  <w:pPr>
                    <w:jc w:val="center"/>
                    <w:rPr>
                      <w:rFonts w:cs="Calibri"/>
                      <w:color w:val="000000"/>
                      <w:sz w:val="22"/>
                      <w:szCs w:val="22"/>
                    </w:rPr>
                  </w:pPr>
                  <w:r>
                    <w:rPr>
                      <w:rFonts w:cs="Calibri"/>
                      <w:color w:val="000000"/>
                      <w:sz w:val="22"/>
                      <w:szCs w:val="22"/>
                    </w:rPr>
                    <w:t>1.2</w:t>
                  </w:r>
                </w:p>
              </w:tc>
              <w:tc>
                <w:tcPr>
                  <w:tcW w:w="850" w:type="dxa"/>
                  <w:tcBorders>
                    <w:top w:val="single" w:sz="4" w:space="0" w:color="auto"/>
                    <w:left w:val="single" w:sz="4" w:space="0" w:color="auto"/>
                    <w:bottom w:val="single" w:sz="4" w:space="0" w:color="auto"/>
                    <w:right w:val="single" w:sz="4" w:space="0" w:color="auto"/>
                  </w:tcBorders>
                  <w:noWrap/>
                  <w:vAlign w:val="center"/>
                </w:tcPr>
                <w:p w14:paraId="3B93E0E1" w14:textId="77777777" w:rsidR="00280F1F" w:rsidRDefault="00280F1F" w:rsidP="00610813">
                  <w:pPr>
                    <w:jc w:val="center"/>
                    <w:rPr>
                      <w:rFonts w:cs="Calibri"/>
                      <w:color w:val="000000"/>
                      <w:sz w:val="22"/>
                      <w:szCs w:val="22"/>
                    </w:rPr>
                  </w:pPr>
                  <w:r>
                    <w:rPr>
                      <w:rFonts w:cs="Calibri"/>
                      <w:color w:val="000000"/>
                      <w:sz w:val="22"/>
                      <w:szCs w:val="22"/>
                    </w:rPr>
                    <w:t>1.3</w:t>
                  </w:r>
                </w:p>
              </w:tc>
              <w:tc>
                <w:tcPr>
                  <w:tcW w:w="851" w:type="dxa"/>
                  <w:tcBorders>
                    <w:top w:val="single" w:sz="4" w:space="0" w:color="auto"/>
                    <w:left w:val="single" w:sz="4" w:space="0" w:color="auto"/>
                    <w:bottom w:val="single" w:sz="4" w:space="0" w:color="auto"/>
                    <w:right w:val="single" w:sz="4" w:space="0" w:color="auto"/>
                  </w:tcBorders>
                  <w:noWrap/>
                  <w:vAlign w:val="center"/>
                </w:tcPr>
                <w:p w14:paraId="3326FEB1" w14:textId="77777777" w:rsidR="00280F1F" w:rsidRDefault="00280F1F" w:rsidP="00610813">
                  <w:pPr>
                    <w:jc w:val="center"/>
                    <w:rPr>
                      <w:rFonts w:cs="Calibri"/>
                      <w:color w:val="000000"/>
                      <w:sz w:val="22"/>
                      <w:szCs w:val="22"/>
                    </w:rPr>
                  </w:pPr>
                  <w:r>
                    <w:rPr>
                      <w:rFonts w:cs="Calibri"/>
                      <w:color w:val="000000"/>
                      <w:sz w:val="22"/>
                      <w:szCs w:val="22"/>
                    </w:rPr>
                    <w:t>1.3</w:t>
                  </w:r>
                </w:p>
              </w:tc>
              <w:tc>
                <w:tcPr>
                  <w:tcW w:w="850" w:type="dxa"/>
                  <w:tcBorders>
                    <w:top w:val="single" w:sz="4" w:space="0" w:color="auto"/>
                    <w:left w:val="single" w:sz="4" w:space="0" w:color="auto"/>
                    <w:bottom w:val="single" w:sz="4" w:space="0" w:color="auto"/>
                    <w:right w:val="single" w:sz="4" w:space="0" w:color="auto"/>
                  </w:tcBorders>
                  <w:noWrap/>
                  <w:vAlign w:val="center"/>
                </w:tcPr>
                <w:p w14:paraId="7A0595CD" w14:textId="77777777" w:rsidR="00280F1F" w:rsidRDefault="00280F1F" w:rsidP="00610813">
                  <w:pPr>
                    <w:jc w:val="center"/>
                    <w:rPr>
                      <w:rFonts w:cs="Calibri"/>
                      <w:color w:val="000000"/>
                      <w:sz w:val="22"/>
                      <w:szCs w:val="22"/>
                    </w:rPr>
                  </w:pPr>
                  <w:r>
                    <w:rPr>
                      <w:rFonts w:cs="Calibri"/>
                      <w:color w:val="000000"/>
                      <w:sz w:val="22"/>
                      <w:szCs w:val="22"/>
                    </w:rPr>
                    <w:t>1.3</w:t>
                  </w:r>
                </w:p>
              </w:tc>
              <w:tc>
                <w:tcPr>
                  <w:tcW w:w="851" w:type="dxa"/>
                  <w:tcBorders>
                    <w:top w:val="single" w:sz="4" w:space="0" w:color="auto"/>
                    <w:left w:val="single" w:sz="4" w:space="0" w:color="auto"/>
                    <w:bottom w:val="single" w:sz="4" w:space="0" w:color="auto"/>
                    <w:right w:val="single" w:sz="4" w:space="0" w:color="auto"/>
                  </w:tcBorders>
                  <w:vAlign w:val="center"/>
                </w:tcPr>
                <w:p w14:paraId="4350E0F1" w14:textId="77777777" w:rsidR="00280F1F" w:rsidRDefault="00280F1F" w:rsidP="00610813">
                  <w:pPr>
                    <w:jc w:val="center"/>
                    <w:rPr>
                      <w:rFonts w:cs="Calibri"/>
                      <w:color w:val="000000"/>
                      <w:sz w:val="22"/>
                      <w:szCs w:val="22"/>
                    </w:rPr>
                  </w:pPr>
                  <w:r>
                    <w:rPr>
                      <w:rFonts w:cs="Calibri"/>
                      <w:color w:val="000000"/>
                      <w:sz w:val="22"/>
                      <w:szCs w:val="22"/>
                    </w:rPr>
                    <w:t>1.2</w:t>
                  </w:r>
                </w:p>
              </w:tc>
              <w:tc>
                <w:tcPr>
                  <w:tcW w:w="782" w:type="dxa"/>
                  <w:tcBorders>
                    <w:top w:val="single" w:sz="4" w:space="0" w:color="auto"/>
                    <w:left w:val="single" w:sz="4" w:space="0" w:color="auto"/>
                    <w:bottom w:val="single" w:sz="4" w:space="0" w:color="auto"/>
                    <w:right w:val="single" w:sz="4" w:space="0" w:color="auto"/>
                  </w:tcBorders>
                  <w:vAlign w:val="center"/>
                </w:tcPr>
                <w:p w14:paraId="10D266FA" w14:textId="77777777" w:rsidR="00280F1F" w:rsidRDefault="00280F1F" w:rsidP="00610813">
                  <w:pPr>
                    <w:jc w:val="center"/>
                    <w:rPr>
                      <w:rFonts w:cs="Calibri"/>
                      <w:color w:val="000000"/>
                      <w:sz w:val="22"/>
                      <w:szCs w:val="22"/>
                    </w:rPr>
                  </w:pPr>
                  <w:r>
                    <w:rPr>
                      <w:rFonts w:cs="Calibri"/>
                      <w:color w:val="000000"/>
                      <w:sz w:val="22"/>
                      <w:szCs w:val="22"/>
                    </w:rPr>
                    <w:t>1.2</w:t>
                  </w:r>
                </w:p>
              </w:tc>
            </w:tr>
          </w:tbl>
          <w:p w14:paraId="165207A6" w14:textId="77777777" w:rsidR="00280F1F" w:rsidRDefault="00280F1F" w:rsidP="00610813">
            <w:pPr>
              <w:spacing w:beforeLines="20" w:before="48" w:afterLines="20" w:after="48"/>
              <w:jc w:val="center"/>
              <w:textAlignment w:val="center"/>
              <w:rPr>
                <w:rFonts w:eastAsia="楷体" w:cs="Calibri"/>
                <w:b/>
                <w:bCs/>
                <w:sz w:val="20"/>
                <w:szCs w:val="20"/>
              </w:rPr>
            </w:pPr>
          </w:p>
        </w:tc>
      </w:tr>
      <w:tr w:rsidR="00280F1F" w14:paraId="73991303" w14:textId="77777777" w:rsidTr="00610813">
        <w:trPr>
          <w:trHeight w:val="342"/>
        </w:trPr>
        <w:tc>
          <w:tcPr>
            <w:tcW w:w="7466" w:type="dxa"/>
            <w:tcBorders>
              <w:top w:val="single" w:sz="4" w:space="0" w:color="auto"/>
            </w:tcBorders>
            <w:tcMar>
              <w:left w:w="0" w:type="dxa"/>
              <w:right w:w="28" w:type="dxa"/>
            </w:tcMar>
            <w:vAlign w:val="center"/>
          </w:tcPr>
          <w:p w14:paraId="5E68BFF5" w14:textId="77777777" w:rsidR="00280F1F" w:rsidRDefault="00280F1F" w:rsidP="00610813">
            <w:pPr>
              <w:spacing w:line="240" w:lineRule="atLeast"/>
              <w:jc w:val="both"/>
              <w:textAlignment w:val="center"/>
              <w:rPr>
                <w:rFonts w:eastAsia="楷体" w:cs="Calibri"/>
                <w:sz w:val="20"/>
                <w:szCs w:val="20"/>
              </w:rPr>
            </w:pPr>
            <w:r>
              <w:rPr>
                <w:rFonts w:eastAsia="楷体" w:cs="Calibri"/>
                <w:b/>
                <w:bCs/>
                <w:sz w:val="20"/>
                <w:szCs w:val="20"/>
              </w:rPr>
              <w:t>Source:</w:t>
            </w:r>
            <w:r>
              <w:rPr>
                <w:rFonts w:eastAsia="楷体" w:cs="Calibri"/>
                <w:sz w:val="20"/>
                <w:szCs w:val="20"/>
              </w:rPr>
              <w:t xml:space="preserve"> Euromonitor</w:t>
            </w:r>
            <w:r>
              <w:rPr>
                <w:rFonts w:eastAsia="楷体" w:cs="Calibri" w:hint="eastAsia"/>
                <w:sz w:val="20"/>
                <w:szCs w:val="20"/>
              </w:rPr>
              <w:t>，</w:t>
            </w:r>
            <w:r>
              <w:rPr>
                <w:rFonts w:eastAsia="楷体" w:cs="Calibri"/>
                <w:sz w:val="20"/>
                <w:szCs w:val="20"/>
              </w:rPr>
              <w:t>HFI</w:t>
            </w:r>
          </w:p>
        </w:tc>
      </w:tr>
    </w:tbl>
    <w:p w14:paraId="527B4157" w14:textId="77777777" w:rsidR="00280F1F" w:rsidRDefault="00280F1F" w:rsidP="00280F1F">
      <w:pPr>
        <w:rPr>
          <w:rFonts w:eastAsia="楷体"/>
        </w:rPr>
      </w:pPr>
    </w:p>
    <w:p w14:paraId="5D868C22" w14:textId="77777777" w:rsidR="00280F1F" w:rsidRDefault="00280F1F" w:rsidP="00280F1F">
      <w:pPr>
        <w:tabs>
          <w:tab w:val="left" w:pos="871"/>
        </w:tabs>
        <w:rPr>
          <w:rFonts w:eastAsia="楷体" w:cs="楷体"/>
          <w:sz w:val="22"/>
          <w:szCs w:val="22"/>
        </w:rPr>
      </w:pPr>
      <w:r>
        <w:rPr>
          <w:rFonts w:eastAsia="楷体" w:cs="楷体" w:hint="eastAsia"/>
          <w:b/>
          <w:bCs/>
          <w:sz w:val="22"/>
          <w:szCs w:val="22"/>
        </w:rPr>
        <w:t>2</w:t>
      </w:r>
      <w:r>
        <w:rPr>
          <w:rFonts w:eastAsia="楷体" w:cs="楷体" w:hint="eastAsia"/>
          <w:b/>
          <w:bCs/>
          <w:sz w:val="22"/>
          <w:szCs w:val="22"/>
        </w:rPr>
        <w:t>）</w:t>
      </w:r>
      <w:r>
        <w:rPr>
          <w:rFonts w:eastAsia="楷体" w:cs="楷体"/>
          <w:b/>
          <w:bCs/>
          <w:sz w:val="22"/>
          <w:szCs w:val="22"/>
        </w:rPr>
        <w:t>In the global high-end beauty and personal care market, L</w:t>
      </w:r>
      <w:proofErr w:type="gramStart"/>
      <w:r>
        <w:rPr>
          <w:rFonts w:eastAsia="楷体" w:cs="楷体"/>
          <w:b/>
          <w:bCs/>
          <w:sz w:val="22"/>
          <w:szCs w:val="22"/>
        </w:rPr>
        <w:t>’</w:t>
      </w:r>
      <w:proofErr w:type="gramEnd"/>
      <w:r>
        <w:rPr>
          <w:rFonts w:eastAsia="楷体" w:cs="楷体"/>
          <w:b/>
          <w:bCs/>
          <w:sz w:val="22"/>
          <w:szCs w:val="22"/>
        </w:rPr>
        <w:t>Oréal Group has maintained a steady and rising market share.</w:t>
      </w:r>
      <w:r>
        <w:rPr>
          <w:rFonts w:eastAsia="楷体" w:cs="楷体"/>
          <w:sz w:val="22"/>
          <w:szCs w:val="22"/>
        </w:rPr>
        <w:t xml:space="preserve"> According to Euromonitor data, the </w:t>
      </w:r>
      <w:r>
        <w:rPr>
          <w:rFonts w:eastAsia="楷体" w:cs="楷体"/>
          <w:sz w:val="22"/>
          <w:szCs w:val="22"/>
        </w:rPr>
        <w:lastRenderedPageBreak/>
        <w:t>combined share of the Group’s brands increased from 8.4% in 2019 to 10.0% in 2024, representing a rise of 1.6 percentage points over five years, and among the top five brands, Lancôme (owned by the Group) remained stable at 4.2% and retained its leading position, Chanel rose from 3.2% to 3.6%, Christian Dior edged up slightly from 3.0% to 3.1%, La Roche-Posay (owned by the Group) grew significantly from 1.6% to 2.8%, climbing to fourth place, and Estée Lauder declined from 3.5% to 2.8%, with two major brands of the Group together contributing approximately 7.0% of the market share, and the increase in L’Oréal’s share was mainly driven by the recovery of high-end consumption in the Asia-Pacific region and growing consumer preference for products combining luxury and efficacy.</w:t>
      </w:r>
    </w:p>
    <w:p w14:paraId="0DBAD2EA" w14:textId="77777777" w:rsidR="00280F1F" w:rsidRDefault="00280F1F" w:rsidP="00280F1F">
      <w:pPr>
        <w:rPr>
          <w:rFonts w:eastAsia="楷体"/>
        </w:rPr>
      </w:pPr>
    </w:p>
    <w:tbl>
      <w:tblPr>
        <w:tblW w:w="7466" w:type="dxa"/>
        <w:tblLayout w:type="fixed"/>
        <w:tblLook w:val="04A0" w:firstRow="1" w:lastRow="0" w:firstColumn="1" w:lastColumn="0" w:noHBand="0" w:noVBand="1"/>
      </w:tblPr>
      <w:tblGrid>
        <w:gridCol w:w="7466"/>
      </w:tblGrid>
      <w:tr w:rsidR="00280F1F" w14:paraId="769DAD75" w14:textId="77777777" w:rsidTr="00610813">
        <w:trPr>
          <w:trHeight w:val="302"/>
        </w:trPr>
        <w:tc>
          <w:tcPr>
            <w:tcW w:w="7466" w:type="dxa"/>
            <w:tcBorders>
              <w:bottom w:val="single" w:sz="4" w:space="0" w:color="auto"/>
            </w:tcBorders>
            <w:tcMar>
              <w:left w:w="0" w:type="dxa"/>
              <w:right w:w="28" w:type="dxa"/>
            </w:tcMar>
          </w:tcPr>
          <w:p w14:paraId="533A1753" w14:textId="77777777" w:rsidR="00280F1F" w:rsidRDefault="00280F1F" w:rsidP="00610813">
            <w:pPr>
              <w:spacing w:beforeLines="20" w:before="48" w:afterLines="20" w:after="48"/>
              <w:jc w:val="both"/>
              <w:textAlignment w:val="center"/>
              <w:rPr>
                <w:rFonts w:eastAsia="楷体" w:cs="Calibri"/>
                <w:b/>
                <w:sz w:val="20"/>
                <w:szCs w:val="20"/>
              </w:rPr>
            </w:pPr>
            <w:r>
              <w:rPr>
                <w:rFonts w:eastAsia="楷体" w:cs="Calibri"/>
                <w:b/>
                <w:sz w:val="20"/>
                <w:szCs w:val="20"/>
              </w:rPr>
              <w:t>Figure: Market Share of the Top 10 Brands in the Global High-End Beauty &amp; Personal Care Market, 2019–2024 (%)</w:t>
            </w:r>
          </w:p>
        </w:tc>
      </w:tr>
      <w:tr w:rsidR="00280F1F" w14:paraId="4B408CE0" w14:textId="77777777" w:rsidTr="00610813">
        <w:trPr>
          <w:trHeight w:val="856"/>
        </w:trPr>
        <w:tc>
          <w:tcPr>
            <w:tcW w:w="7466" w:type="dxa"/>
            <w:tcBorders>
              <w:top w:val="single" w:sz="4" w:space="0" w:color="auto"/>
              <w:bottom w:val="single" w:sz="4" w:space="0" w:color="auto"/>
            </w:tcBorders>
            <w:vAlign w:val="center"/>
          </w:tcPr>
          <w:tbl>
            <w:tblPr>
              <w:tblW w:w="7259" w:type="dxa"/>
              <w:tblLayout w:type="fixed"/>
              <w:tblLook w:val="04A0" w:firstRow="1" w:lastRow="0" w:firstColumn="1" w:lastColumn="0" w:noHBand="0" w:noVBand="1"/>
            </w:tblPr>
            <w:tblGrid>
              <w:gridCol w:w="1731"/>
              <w:gridCol w:w="987"/>
              <w:gridCol w:w="993"/>
              <w:gridCol w:w="992"/>
              <w:gridCol w:w="855"/>
              <w:gridCol w:w="851"/>
              <w:gridCol w:w="850"/>
            </w:tblGrid>
            <w:tr w:rsidR="00280F1F" w14:paraId="64CA0779"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1A144756" w14:textId="77777777" w:rsidR="00280F1F" w:rsidRDefault="00280F1F" w:rsidP="00610813">
                  <w:pPr>
                    <w:jc w:val="center"/>
                    <w:rPr>
                      <w:rFonts w:cs="Calibri"/>
                      <w:b/>
                      <w:bCs/>
                      <w:color w:val="FFFFFF"/>
                      <w:sz w:val="20"/>
                      <w:szCs w:val="20"/>
                    </w:rPr>
                  </w:pPr>
                  <w:r>
                    <w:rPr>
                      <w:rFonts w:cs="Calibri"/>
                      <w:b/>
                      <w:bCs/>
                      <w:color w:val="FFFFFF"/>
                      <w:sz w:val="20"/>
                      <w:szCs w:val="20"/>
                    </w:rPr>
                    <w:t>Brand Name</w:t>
                  </w:r>
                </w:p>
              </w:tc>
              <w:tc>
                <w:tcPr>
                  <w:tcW w:w="987"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17015C07" w14:textId="77777777" w:rsidR="00280F1F" w:rsidRDefault="00280F1F" w:rsidP="00610813">
                  <w:pPr>
                    <w:jc w:val="center"/>
                    <w:rPr>
                      <w:rFonts w:cs="Calibri"/>
                      <w:b/>
                      <w:bCs/>
                      <w:color w:val="FFFFFF"/>
                      <w:sz w:val="20"/>
                      <w:szCs w:val="20"/>
                    </w:rPr>
                  </w:pPr>
                  <w:r>
                    <w:rPr>
                      <w:rFonts w:cs="Calibri"/>
                      <w:b/>
                      <w:bCs/>
                      <w:color w:val="FFFFFF"/>
                      <w:sz w:val="20"/>
                      <w:szCs w:val="20"/>
                    </w:rPr>
                    <w:t>2019</w:t>
                  </w:r>
                </w:p>
              </w:tc>
              <w:tc>
                <w:tcPr>
                  <w:tcW w:w="993"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2A342B59" w14:textId="77777777" w:rsidR="00280F1F" w:rsidRDefault="00280F1F" w:rsidP="00610813">
                  <w:pPr>
                    <w:jc w:val="center"/>
                    <w:rPr>
                      <w:rFonts w:cs="Calibri"/>
                      <w:b/>
                      <w:bCs/>
                      <w:color w:val="FFFFFF"/>
                      <w:sz w:val="20"/>
                      <w:szCs w:val="20"/>
                    </w:rPr>
                  </w:pPr>
                  <w:r>
                    <w:rPr>
                      <w:rFonts w:cs="Calibri"/>
                      <w:b/>
                      <w:bCs/>
                      <w:color w:val="FFFFFF"/>
                      <w:sz w:val="20"/>
                      <w:szCs w:val="20"/>
                    </w:rPr>
                    <w:t>2020</w:t>
                  </w:r>
                </w:p>
              </w:tc>
              <w:tc>
                <w:tcPr>
                  <w:tcW w:w="992"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2E6FAEA7" w14:textId="77777777" w:rsidR="00280F1F" w:rsidRDefault="00280F1F" w:rsidP="00610813">
                  <w:pPr>
                    <w:jc w:val="center"/>
                    <w:rPr>
                      <w:rFonts w:cs="Calibri"/>
                      <w:b/>
                      <w:bCs/>
                      <w:color w:val="FFFFFF"/>
                      <w:sz w:val="20"/>
                      <w:szCs w:val="20"/>
                    </w:rPr>
                  </w:pPr>
                  <w:r>
                    <w:rPr>
                      <w:rFonts w:cs="Calibri"/>
                      <w:b/>
                      <w:bCs/>
                      <w:color w:val="FFFFFF"/>
                      <w:sz w:val="20"/>
                      <w:szCs w:val="20"/>
                    </w:rPr>
                    <w:t>2021</w:t>
                  </w:r>
                </w:p>
              </w:tc>
              <w:tc>
                <w:tcPr>
                  <w:tcW w:w="855"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0D8C14C9" w14:textId="77777777" w:rsidR="00280F1F" w:rsidRDefault="00280F1F" w:rsidP="00610813">
                  <w:pPr>
                    <w:jc w:val="center"/>
                    <w:rPr>
                      <w:rFonts w:cs="Calibri"/>
                      <w:b/>
                      <w:bCs/>
                      <w:color w:val="FFFFFF"/>
                      <w:sz w:val="20"/>
                      <w:szCs w:val="20"/>
                    </w:rPr>
                  </w:pPr>
                  <w:r>
                    <w:rPr>
                      <w:rFonts w:cs="Calibri"/>
                      <w:b/>
                      <w:bCs/>
                      <w:color w:val="FFFFFF"/>
                      <w:sz w:val="20"/>
                      <w:szCs w:val="20"/>
                    </w:rPr>
                    <w:t>2022</w:t>
                  </w:r>
                </w:p>
              </w:tc>
              <w:tc>
                <w:tcPr>
                  <w:tcW w:w="851" w:type="dxa"/>
                  <w:tcBorders>
                    <w:top w:val="single" w:sz="4" w:space="0" w:color="auto"/>
                    <w:left w:val="single" w:sz="4" w:space="0" w:color="auto"/>
                    <w:bottom w:val="single" w:sz="4" w:space="0" w:color="auto"/>
                    <w:right w:val="single" w:sz="4" w:space="0" w:color="auto"/>
                  </w:tcBorders>
                  <w:shd w:val="clear" w:color="000000" w:fill="0070C0"/>
                  <w:vAlign w:val="center"/>
                </w:tcPr>
                <w:p w14:paraId="52062DDF" w14:textId="77777777" w:rsidR="00280F1F" w:rsidRDefault="00280F1F" w:rsidP="00610813">
                  <w:pPr>
                    <w:jc w:val="center"/>
                    <w:rPr>
                      <w:rFonts w:cs="Calibri"/>
                      <w:b/>
                      <w:bCs/>
                      <w:color w:val="FFFFFF"/>
                      <w:sz w:val="20"/>
                      <w:szCs w:val="20"/>
                    </w:rPr>
                  </w:pPr>
                  <w:r>
                    <w:rPr>
                      <w:rFonts w:cs="Calibri"/>
                      <w:b/>
                      <w:bCs/>
                      <w:color w:val="FFFFFF"/>
                      <w:sz w:val="20"/>
                      <w:szCs w:val="20"/>
                    </w:rPr>
                    <w:t>2023</w:t>
                  </w:r>
                </w:p>
              </w:tc>
              <w:tc>
                <w:tcPr>
                  <w:tcW w:w="850" w:type="dxa"/>
                  <w:tcBorders>
                    <w:top w:val="single" w:sz="4" w:space="0" w:color="auto"/>
                    <w:left w:val="single" w:sz="4" w:space="0" w:color="auto"/>
                    <w:bottom w:val="single" w:sz="4" w:space="0" w:color="auto"/>
                    <w:right w:val="single" w:sz="4" w:space="0" w:color="auto"/>
                  </w:tcBorders>
                  <w:shd w:val="clear" w:color="000000" w:fill="0070C0"/>
                  <w:noWrap/>
                  <w:vAlign w:val="center"/>
                </w:tcPr>
                <w:p w14:paraId="521AAF75" w14:textId="77777777" w:rsidR="00280F1F" w:rsidRDefault="00280F1F" w:rsidP="00610813">
                  <w:pPr>
                    <w:jc w:val="center"/>
                    <w:rPr>
                      <w:rFonts w:cs="Calibri"/>
                      <w:b/>
                      <w:bCs/>
                      <w:color w:val="FFFFFF"/>
                      <w:sz w:val="20"/>
                      <w:szCs w:val="20"/>
                    </w:rPr>
                  </w:pPr>
                  <w:r>
                    <w:rPr>
                      <w:rFonts w:cs="Calibri"/>
                      <w:b/>
                      <w:bCs/>
                      <w:color w:val="FFFFFF"/>
                      <w:sz w:val="20"/>
                      <w:szCs w:val="20"/>
                    </w:rPr>
                    <w:t>2024</w:t>
                  </w:r>
                </w:p>
              </w:tc>
            </w:tr>
            <w:tr w:rsidR="00280F1F" w14:paraId="33798BD8"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358DA358" w14:textId="77777777" w:rsidR="00280F1F" w:rsidRDefault="00280F1F" w:rsidP="00610813">
                  <w:pPr>
                    <w:jc w:val="center"/>
                    <w:rPr>
                      <w:rFonts w:cs="Calibri"/>
                      <w:color w:val="000000"/>
                      <w:sz w:val="20"/>
                      <w:szCs w:val="20"/>
                    </w:rPr>
                  </w:pPr>
                  <w:r>
                    <w:rPr>
                      <w:rFonts w:cs="Calibri"/>
                      <w:color w:val="000000"/>
                      <w:sz w:val="20"/>
                      <w:szCs w:val="20"/>
                    </w:rPr>
                    <w:t xml:space="preserve">Lancôme </w:t>
                  </w:r>
                </w:p>
              </w:tc>
              <w:tc>
                <w:tcPr>
                  <w:tcW w:w="987" w:type="dxa"/>
                  <w:tcBorders>
                    <w:top w:val="single" w:sz="4" w:space="0" w:color="auto"/>
                    <w:left w:val="single" w:sz="4" w:space="0" w:color="auto"/>
                    <w:bottom w:val="single" w:sz="4" w:space="0" w:color="auto"/>
                    <w:right w:val="single" w:sz="4" w:space="0" w:color="auto"/>
                  </w:tcBorders>
                  <w:noWrap/>
                  <w:vAlign w:val="center"/>
                </w:tcPr>
                <w:p w14:paraId="15C04083" w14:textId="77777777" w:rsidR="00280F1F" w:rsidRDefault="00280F1F" w:rsidP="00610813">
                  <w:pPr>
                    <w:jc w:val="center"/>
                    <w:rPr>
                      <w:rFonts w:cs="Calibri"/>
                      <w:color w:val="000000"/>
                      <w:sz w:val="20"/>
                      <w:szCs w:val="20"/>
                    </w:rPr>
                  </w:pPr>
                  <w:r>
                    <w:rPr>
                      <w:rFonts w:cs="Calibri"/>
                      <w:color w:val="000000"/>
                      <w:sz w:val="20"/>
                      <w:szCs w:val="20"/>
                    </w:rPr>
                    <w:t>4.2</w:t>
                  </w:r>
                </w:p>
              </w:tc>
              <w:tc>
                <w:tcPr>
                  <w:tcW w:w="993" w:type="dxa"/>
                  <w:tcBorders>
                    <w:top w:val="single" w:sz="4" w:space="0" w:color="auto"/>
                    <w:left w:val="single" w:sz="4" w:space="0" w:color="auto"/>
                    <w:bottom w:val="single" w:sz="4" w:space="0" w:color="auto"/>
                    <w:right w:val="single" w:sz="4" w:space="0" w:color="auto"/>
                  </w:tcBorders>
                  <w:noWrap/>
                  <w:vAlign w:val="center"/>
                </w:tcPr>
                <w:p w14:paraId="0B779764" w14:textId="77777777" w:rsidR="00280F1F" w:rsidRDefault="00280F1F" w:rsidP="00610813">
                  <w:pPr>
                    <w:jc w:val="center"/>
                    <w:rPr>
                      <w:rFonts w:cs="Calibri"/>
                      <w:color w:val="000000"/>
                      <w:sz w:val="20"/>
                      <w:szCs w:val="20"/>
                    </w:rPr>
                  </w:pPr>
                  <w:r>
                    <w:rPr>
                      <w:rFonts w:cs="Calibri"/>
                      <w:color w:val="000000"/>
                      <w:sz w:val="20"/>
                      <w:szCs w:val="20"/>
                    </w:rPr>
                    <w:t>4.5</w:t>
                  </w:r>
                </w:p>
              </w:tc>
              <w:tc>
                <w:tcPr>
                  <w:tcW w:w="992" w:type="dxa"/>
                  <w:tcBorders>
                    <w:top w:val="single" w:sz="4" w:space="0" w:color="auto"/>
                    <w:left w:val="single" w:sz="4" w:space="0" w:color="auto"/>
                    <w:bottom w:val="single" w:sz="4" w:space="0" w:color="auto"/>
                    <w:right w:val="single" w:sz="4" w:space="0" w:color="auto"/>
                  </w:tcBorders>
                  <w:noWrap/>
                  <w:vAlign w:val="center"/>
                </w:tcPr>
                <w:p w14:paraId="05F79AD8" w14:textId="77777777" w:rsidR="00280F1F" w:rsidRDefault="00280F1F" w:rsidP="00610813">
                  <w:pPr>
                    <w:jc w:val="center"/>
                    <w:rPr>
                      <w:rFonts w:cs="Calibri"/>
                      <w:color w:val="000000"/>
                      <w:sz w:val="20"/>
                      <w:szCs w:val="20"/>
                    </w:rPr>
                  </w:pPr>
                  <w:r>
                    <w:rPr>
                      <w:rFonts w:cs="Calibri"/>
                      <w:color w:val="000000"/>
                      <w:sz w:val="20"/>
                      <w:szCs w:val="20"/>
                    </w:rPr>
                    <w:t>4.6</w:t>
                  </w:r>
                </w:p>
              </w:tc>
              <w:tc>
                <w:tcPr>
                  <w:tcW w:w="855" w:type="dxa"/>
                  <w:tcBorders>
                    <w:top w:val="single" w:sz="4" w:space="0" w:color="auto"/>
                    <w:left w:val="single" w:sz="4" w:space="0" w:color="auto"/>
                    <w:bottom w:val="single" w:sz="4" w:space="0" w:color="auto"/>
                    <w:right w:val="single" w:sz="4" w:space="0" w:color="auto"/>
                  </w:tcBorders>
                  <w:noWrap/>
                  <w:vAlign w:val="center"/>
                </w:tcPr>
                <w:p w14:paraId="06FBF6D6" w14:textId="77777777" w:rsidR="00280F1F" w:rsidRDefault="00280F1F" w:rsidP="00610813">
                  <w:pPr>
                    <w:jc w:val="center"/>
                    <w:rPr>
                      <w:rFonts w:cs="Calibri"/>
                      <w:color w:val="000000"/>
                      <w:sz w:val="20"/>
                      <w:szCs w:val="20"/>
                    </w:rPr>
                  </w:pPr>
                  <w:r>
                    <w:rPr>
                      <w:rFonts w:cs="Calibri"/>
                      <w:color w:val="000000"/>
                      <w:sz w:val="20"/>
                      <w:szCs w:val="20"/>
                    </w:rPr>
                    <w:t>4.6</w:t>
                  </w:r>
                </w:p>
              </w:tc>
              <w:tc>
                <w:tcPr>
                  <w:tcW w:w="851" w:type="dxa"/>
                  <w:tcBorders>
                    <w:top w:val="single" w:sz="4" w:space="0" w:color="auto"/>
                    <w:left w:val="single" w:sz="4" w:space="0" w:color="auto"/>
                    <w:bottom w:val="single" w:sz="4" w:space="0" w:color="auto"/>
                    <w:right w:val="single" w:sz="4" w:space="0" w:color="auto"/>
                  </w:tcBorders>
                  <w:vAlign w:val="center"/>
                </w:tcPr>
                <w:p w14:paraId="0B392339" w14:textId="77777777" w:rsidR="00280F1F" w:rsidRDefault="00280F1F" w:rsidP="00610813">
                  <w:pPr>
                    <w:jc w:val="center"/>
                    <w:rPr>
                      <w:rFonts w:cs="Calibri"/>
                      <w:color w:val="000000"/>
                      <w:sz w:val="20"/>
                      <w:szCs w:val="20"/>
                    </w:rPr>
                  </w:pPr>
                  <w:r>
                    <w:rPr>
                      <w:rFonts w:cs="Calibri"/>
                      <w:color w:val="000000"/>
                      <w:sz w:val="20"/>
                      <w:szCs w:val="20"/>
                    </w:rPr>
                    <w:t>4.4</w:t>
                  </w:r>
                </w:p>
              </w:tc>
              <w:tc>
                <w:tcPr>
                  <w:tcW w:w="850" w:type="dxa"/>
                  <w:tcBorders>
                    <w:top w:val="single" w:sz="4" w:space="0" w:color="auto"/>
                    <w:left w:val="single" w:sz="4" w:space="0" w:color="auto"/>
                    <w:bottom w:val="single" w:sz="4" w:space="0" w:color="auto"/>
                    <w:right w:val="single" w:sz="4" w:space="0" w:color="auto"/>
                  </w:tcBorders>
                  <w:noWrap/>
                  <w:vAlign w:val="center"/>
                </w:tcPr>
                <w:p w14:paraId="2A08ED04" w14:textId="77777777" w:rsidR="00280F1F" w:rsidRDefault="00280F1F" w:rsidP="00610813">
                  <w:pPr>
                    <w:jc w:val="center"/>
                    <w:rPr>
                      <w:rFonts w:cs="Calibri"/>
                      <w:color w:val="000000"/>
                      <w:sz w:val="20"/>
                      <w:szCs w:val="20"/>
                    </w:rPr>
                  </w:pPr>
                  <w:r>
                    <w:rPr>
                      <w:rFonts w:cs="Calibri"/>
                      <w:color w:val="000000"/>
                      <w:sz w:val="20"/>
                      <w:szCs w:val="20"/>
                    </w:rPr>
                    <w:t>4.2</w:t>
                  </w:r>
                </w:p>
              </w:tc>
            </w:tr>
            <w:tr w:rsidR="00280F1F" w14:paraId="24C3C4AE"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58F6ABB1" w14:textId="77777777" w:rsidR="00280F1F" w:rsidRDefault="00280F1F" w:rsidP="00610813">
                  <w:pPr>
                    <w:jc w:val="center"/>
                    <w:rPr>
                      <w:rFonts w:cs="Calibri"/>
                      <w:color w:val="000000"/>
                      <w:sz w:val="20"/>
                      <w:szCs w:val="20"/>
                    </w:rPr>
                  </w:pPr>
                  <w:r>
                    <w:rPr>
                      <w:rFonts w:cs="Calibri"/>
                      <w:color w:val="000000"/>
                      <w:sz w:val="20"/>
                      <w:szCs w:val="20"/>
                    </w:rPr>
                    <w:t>Chanel</w:t>
                  </w:r>
                </w:p>
              </w:tc>
              <w:tc>
                <w:tcPr>
                  <w:tcW w:w="987" w:type="dxa"/>
                  <w:tcBorders>
                    <w:top w:val="single" w:sz="4" w:space="0" w:color="auto"/>
                    <w:left w:val="single" w:sz="4" w:space="0" w:color="auto"/>
                    <w:bottom w:val="single" w:sz="4" w:space="0" w:color="auto"/>
                    <w:right w:val="single" w:sz="4" w:space="0" w:color="auto"/>
                  </w:tcBorders>
                  <w:noWrap/>
                  <w:vAlign w:val="center"/>
                </w:tcPr>
                <w:p w14:paraId="0A25976C" w14:textId="77777777" w:rsidR="00280F1F" w:rsidRDefault="00280F1F" w:rsidP="00610813">
                  <w:pPr>
                    <w:jc w:val="center"/>
                    <w:rPr>
                      <w:rFonts w:cs="Calibri"/>
                      <w:color w:val="000000"/>
                      <w:sz w:val="20"/>
                      <w:szCs w:val="20"/>
                    </w:rPr>
                  </w:pPr>
                  <w:r>
                    <w:rPr>
                      <w:rFonts w:cs="Calibri"/>
                      <w:color w:val="000000"/>
                      <w:sz w:val="20"/>
                      <w:szCs w:val="20"/>
                    </w:rPr>
                    <w:t>3.2</w:t>
                  </w:r>
                </w:p>
              </w:tc>
              <w:tc>
                <w:tcPr>
                  <w:tcW w:w="993" w:type="dxa"/>
                  <w:tcBorders>
                    <w:top w:val="single" w:sz="4" w:space="0" w:color="auto"/>
                    <w:left w:val="single" w:sz="4" w:space="0" w:color="auto"/>
                    <w:bottom w:val="single" w:sz="4" w:space="0" w:color="auto"/>
                    <w:right w:val="single" w:sz="4" w:space="0" w:color="auto"/>
                  </w:tcBorders>
                  <w:noWrap/>
                  <w:vAlign w:val="center"/>
                </w:tcPr>
                <w:p w14:paraId="5F2EAFD9" w14:textId="77777777" w:rsidR="00280F1F" w:rsidRDefault="00280F1F" w:rsidP="00610813">
                  <w:pPr>
                    <w:jc w:val="center"/>
                    <w:rPr>
                      <w:rFonts w:cs="Calibri"/>
                      <w:color w:val="000000"/>
                      <w:sz w:val="20"/>
                      <w:szCs w:val="20"/>
                    </w:rPr>
                  </w:pPr>
                  <w:r>
                    <w:rPr>
                      <w:rFonts w:cs="Calibri"/>
                      <w:color w:val="000000"/>
                      <w:sz w:val="20"/>
                      <w:szCs w:val="20"/>
                    </w:rPr>
                    <w:t>3.1</w:t>
                  </w:r>
                </w:p>
              </w:tc>
              <w:tc>
                <w:tcPr>
                  <w:tcW w:w="992" w:type="dxa"/>
                  <w:tcBorders>
                    <w:top w:val="single" w:sz="4" w:space="0" w:color="auto"/>
                    <w:left w:val="single" w:sz="4" w:space="0" w:color="auto"/>
                    <w:bottom w:val="single" w:sz="4" w:space="0" w:color="auto"/>
                    <w:right w:val="single" w:sz="4" w:space="0" w:color="auto"/>
                  </w:tcBorders>
                  <w:noWrap/>
                  <w:vAlign w:val="center"/>
                </w:tcPr>
                <w:p w14:paraId="1D1CF8B7" w14:textId="77777777" w:rsidR="00280F1F" w:rsidRDefault="00280F1F" w:rsidP="00610813">
                  <w:pPr>
                    <w:jc w:val="center"/>
                    <w:rPr>
                      <w:rFonts w:cs="Calibri"/>
                      <w:color w:val="000000"/>
                      <w:sz w:val="20"/>
                      <w:szCs w:val="20"/>
                    </w:rPr>
                  </w:pPr>
                  <w:r>
                    <w:rPr>
                      <w:rFonts w:cs="Calibri"/>
                      <w:color w:val="000000"/>
                      <w:sz w:val="20"/>
                      <w:szCs w:val="20"/>
                    </w:rPr>
                    <w:t>3.3</w:t>
                  </w:r>
                </w:p>
              </w:tc>
              <w:tc>
                <w:tcPr>
                  <w:tcW w:w="855" w:type="dxa"/>
                  <w:tcBorders>
                    <w:top w:val="single" w:sz="4" w:space="0" w:color="auto"/>
                    <w:left w:val="single" w:sz="4" w:space="0" w:color="auto"/>
                    <w:bottom w:val="single" w:sz="4" w:space="0" w:color="auto"/>
                    <w:right w:val="single" w:sz="4" w:space="0" w:color="auto"/>
                  </w:tcBorders>
                  <w:noWrap/>
                  <w:vAlign w:val="center"/>
                </w:tcPr>
                <w:p w14:paraId="7B7E58FF" w14:textId="77777777" w:rsidR="00280F1F" w:rsidRDefault="00280F1F" w:rsidP="00610813">
                  <w:pPr>
                    <w:jc w:val="center"/>
                    <w:rPr>
                      <w:rFonts w:cs="Calibri"/>
                      <w:color w:val="000000"/>
                      <w:sz w:val="20"/>
                      <w:szCs w:val="20"/>
                    </w:rPr>
                  </w:pPr>
                  <w:r>
                    <w:rPr>
                      <w:rFonts w:cs="Calibri"/>
                      <w:color w:val="000000"/>
                      <w:sz w:val="20"/>
                      <w:szCs w:val="20"/>
                    </w:rPr>
                    <w:t>3.5</w:t>
                  </w:r>
                </w:p>
              </w:tc>
              <w:tc>
                <w:tcPr>
                  <w:tcW w:w="851" w:type="dxa"/>
                  <w:tcBorders>
                    <w:top w:val="single" w:sz="4" w:space="0" w:color="auto"/>
                    <w:left w:val="single" w:sz="4" w:space="0" w:color="auto"/>
                    <w:bottom w:val="single" w:sz="4" w:space="0" w:color="auto"/>
                    <w:right w:val="single" w:sz="4" w:space="0" w:color="auto"/>
                  </w:tcBorders>
                  <w:vAlign w:val="center"/>
                </w:tcPr>
                <w:p w14:paraId="39292AA5" w14:textId="77777777" w:rsidR="00280F1F" w:rsidRDefault="00280F1F" w:rsidP="00610813">
                  <w:pPr>
                    <w:jc w:val="center"/>
                    <w:rPr>
                      <w:rFonts w:cs="Calibri"/>
                      <w:color w:val="000000"/>
                      <w:sz w:val="20"/>
                      <w:szCs w:val="20"/>
                    </w:rPr>
                  </w:pPr>
                  <w:r>
                    <w:rPr>
                      <w:rFonts w:cs="Calibri"/>
                      <w:color w:val="000000"/>
                      <w:sz w:val="20"/>
                      <w:szCs w:val="20"/>
                    </w:rPr>
                    <w:t>3.6</w:t>
                  </w:r>
                </w:p>
              </w:tc>
              <w:tc>
                <w:tcPr>
                  <w:tcW w:w="850" w:type="dxa"/>
                  <w:tcBorders>
                    <w:top w:val="single" w:sz="4" w:space="0" w:color="auto"/>
                    <w:left w:val="single" w:sz="4" w:space="0" w:color="auto"/>
                    <w:bottom w:val="single" w:sz="4" w:space="0" w:color="auto"/>
                    <w:right w:val="single" w:sz="4" w:space="0" w:color="auto"/>
                  </w:tcBorders>
                  <w:noWrap/>
                  <w:vAlign w:val="center"/>
                </w:tcPr>
                <w:p w14:paraId="7B55C717" w14:textId="77777777" w:rsidR="00280F1F" w:rsidRDefault="00280F1F" w:rsidP="00610813">
                  <w:pPr>
                    <w:jc w:val="center"/>
                    <w:rPr>
                      <w:rFonts w:cs="Calibri"/>
                      <w:color w:val="000000"/>
                      <w:sz w:val="20"/>
                      <w:szCs w:val="20"/>
                    </w:rPr>
                  </w:pPr>
                  <w:r>
                    <w:rPr>
                      <w:rFonts w:cs="Calibri"/>
                      <w:color w:val="000000"/>
                      <w:sz w:val="20"/>
                      <w:szCs w:val="20"/>
                    </w:rPr>
                    <w:t>3.6</w:t>
                  </w:r>
                </w:p>
              </w:tc>
            </w:tr>
            <w:tr w:rsidR="00280F1F" w14:paraId="757A8D6B"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055CFC7D" w14:textId="77777777" w:rsidR="00280F1F" w:rsidRDefault="00280F1F" w:rsidP="00610813">
                  <w:pPr>
                    <w:jc w:val="center"/>
                    <w:rPr>
                      <w:rFonts w:cs="Calibri"/>
                      <w:color w:val="000000"/>
                      <w:sz w:val="20"/>
                      <w:szCs w:val="20"/>
                    </w:rPr>
                  </w:pPr>
                  <w:r>
                    <w:rPr>
                      <w:rFonts w:cs="Calibri"/>
                      <w:color w:val="000000"/>
                      <w:sz w:val="20"/>
                      <w:szCs w:val="20"/>
                    </w:rPr>
                    <w:t>Christian Dior</w:t>
                  </w:r>
                </w:p>
              </w:tc>
              <w:tc>
                <w:tcPr>
                  <w:tcW w:w="987" w:type="dxa"/>
                  <w:tcBorders>
                    <w:top w:val="single" w:sz="4" w:space="0" w:color="auto"/>
                    <w:left w:val="single" w:sz="4" w:space="0" w:color="auto"/>
                    <w:bottom w:val="single" w:sz="4" w:space="0" w:color="auto"/>
                    <w:right w:val="single" w:sz="4" w:space="0" w:color="auto"/>
                  </w:tcBorders>
                  <w:noWrap/>
                  <w:vAlign w:val="center"/>
                </w:tcPr>
                <w:p w14:paraId="5B4F0081" w14:textId="77777777" w:rsidR="00280F1F" w:rsidRDefault="00280F1F" w:rsidP="00610813">
                  <w:pPr>
                    <w:jc w:val="center"/>
                    <w:rPr>
                      <w:rFonts w:cs="Calibri"/>
                      <w:color w:val="000000"/>
                      <w:sz w:val="20"/>
                      <w:szCs w:val="20"/>
                    </w:rPr>
                  </w:pPr>
                  <w:r>
                    <w:rPr>
                      <w:rFonts w:cs="Calibri"/>
                      <w:color w:val="000000"/>
                      <w:sz w:val="20"/>
                      <w:szCs w:val="20"/>
                    </w:rPr>
                    <w:t>3</w:t>
                  </w:r>
                </w:p>
              </w:tc>
              <w:tc>
                <w:tcPr>
                  <w:tcW w:w="993" w:type="dxa"/>
                  <w:tcBorders>
                    <w:top w:val="single" w:sz="4" w:space="0" w:color="auto"/>
                    <w:left w:val="single" w:sz="4" w:space="0" w:color="auto"/>
                    <w:bottom w:val="single" w:sz="4" w:space="0" w:color="auto"/>
                    <w:right w:val="single" w:sz="4" w:space="0" w:color="auto"/>
                  </w:tcBorders>
                  <w:noWrap/>
                  <w:vAlign w:val="center"/>
                </w:tcPr>
                <w:p w14:paraId="00D33E71" w14:textId="77777777" w:rsidR="00280F1F" w:rsidRDefault="00280F1F" w:rsidP="00610813">
                  <w:pPr>
                    <w:jc w:val="center"/>
                    <w:rPr>
                      <w:rFonts w:cs="Calibri"/>
                      <w:color w:val="000000"/>
                      <w:sz w:val="20"/>
                      <w:szCs w:val="20"/>
                    </w:rPr>
                  </w:pPr>
                  <w:r>
                    <w:rPr>
                      <w:rFonts w:cs="Calibri"/>
                      <w:color w:val="000000"/>
                      <w:sz w:val="20"/>
                      <w:szCs w:val="20"/>
                    </w:rPr>
                    <w:t>2.9</w:t>
                  </w:r>
                </w:p>
              </w:tc>
              <w:tc>
                <w:tcPr>
                  <w:tcW w:w="992" w:type="dxa"/>
                  <w:tcBorders>
                    <w:top w:val="single" w:sz="4" w:space="0" w:color="auto"/>
                    <w:left w:val="single" w:sz="4" w:space="0" w:color="auto"/>
                    <w:bottom w:val="single" w:sz="4" w:space="0" w:color="auto"/>
                    <w:right w:val="single" w:sz="4" w:space="0" w:color="auto"/>
                  </w:tcBorders>
                  <w:noWrap/>
                  <w:vAlign w:val="center"/>
                </w:tcPr>
                <w:p w14:paraId="430F25E7" w14:textId="77777777" w:rsidR="00280F1F" w:rsidRDefault="00280F1F" w:rsidP="00610813">
                  <w:pPr>
                    <w:jc w:val="center"/>
                    <w:rPr>
                      <w:rFonts w:cs="Calibri"/>
                      <w:color w:val="000000"/>
                      <w:sz w:val="20"/>
                      <w:szCs w:val="20"/>
                    </w:rPr>
                  </w:pPr>
                  <w:r>
                    <w:rPr>
                      <w:rFonts w:cs="Calibri"/>
                      <w:color w:val="000000"/>
                      <w:sz w:val="20"/>
                      <w:szCs w:val="20"/>
                    </w:rPr>
                    <w:t>3.1</w:t>
                  </w:r>
                </w:p>
              </w:tc>
              <w:tc>
                <w:tcPr>
                  <w:tcW w:w="855" w:type="dxa"/>
                  <w:tcBorders>
                    <w:top w:val="single" w:sz="4" w:space="0" w:color="auto"/>
                    <w:left w:val="single" w:sz="4" w:space="0" w:color="auto"/>
                    <w:bottom w:val="single" w:sz="4" w:space="0" w:color="auto"/>
                    <w:right w:val="single" w:sz="4" w:space="0" w:color="auto"/>
                  </w:tcBorders>
                  <w:noWrap/>
                  <w:vAlign w:val="center"/>
                </w:tcPr>
                <w:p w14:paraId="372DF93E" w14:textId="77777777" w:rsidR="00280F1F" w:rsidRDefault="00280F1F" w:rsidP="00610813">
                  <w:pPr>
                    <w:jc w:val="center"/>
                    <w:rPr>
                      <w:rFonts w:cs="Calibri"/>
                      <w:color w:val="000000"/>
                      <w:sz w:val="20"/>
                      <w:szCs w:val="20"/>
                    </w:rPr>
                  </w:pPr>
                  <w:r>
                    <w:rPr>
                      <w:rFonts w:cs="Calibri"/>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79BF9B28" w14:textId="77777777" w:rsidR="00280F1F" w:rsidRDefault="00280F1F" w:rsidP="00610813">
                  <w:pPr>
                    <w:jc w:val="center"/>
                    <w:rPr>
                      <w:rFonts w:cs="Calibri"/>
                      <w:color w:val="000000"/>
                      <w:sz w:val="20"/>
                      <w:szCs w:val="20"/>
                    </w:rPr>
                  </w:pPr>
                  <w:r>
                    <w:rPr>
                      <w:rFonts w:cs="Calibri"/>
                      <w:color w:val="000000"/>
                      <w:sz w:val="20"/>
                      <w:szCs w:val="20"/>
                    </w:rPr>
                    <w:t>3.1</w:t>
                  </w:r>
                </w:p>
              </w:tc>
              <w:tc>
                <w:tcPr>
                  <w:tcW w:w="850" w:type="dxa"/>
                  <w:tcBorders>
                    <w:top w:val="single" w:sz="4" w:space="0" w:color="auto"/>
                    <w:left w:val="single" w:sz="4" w:space="0" w:color="auto"/>
                    <w:bottom w:val="single" w:sz="4" w:space="0" w:color="auto"/>
                    <w:right w:val="single" w:sz="4" w:space="0" w:color="auto"/>
                  </w:tcBorders>
                  <w:noWrap/>
                  <w:vAlign w:val="center"/>
                </w:tcPr>
                <w:p w14:paraId="46B0535A" w14:textId="77777777" w:rsidR="00280F1F" w:rsidRDefault="00280F1F" w:rsidP="00610813">
                  <w:pPr>
                    <w:jc w:val="center"/>
                    <w:rPr>
                      <w:rFonts w:cs="Calibri"/>
                      <w:color w:val="000000"/>
                      <w:sz w:val="20"/>
                      <w:szCs w:val="20"/>
                    </w:rPr>
                  </w:pPr>
                  <w:r>
                    <w:rPr>
                      <w:rFonts w:cs="Calibri"/>
                      <w:color w:val="000000"/>
                      <w:sz w:val="20"/>
                      <w:szCs w:val="20"/>
                    </w:rPr>
                    <w:t>3.1</w:t>
                  </w:r>
                </w:p>
              </w:tc>
            </w:tr>
            <w:tr w:rsidR="00280F1F" w14:paraId="45FD6A3C"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79902705" w14:textId="77777777" w:rsidR="00280F1F" w:rsidRDefault="00280F1F" w:rsidP="00610813">
                  <w:pPr>
                    <w:jc w:val="center"/>
                    <w:rPr>
                      <w:rFonts w:cs="Calibri"/>
                      <w:color w:val="000000"/>
                      <w:sz w:val="20"/>
                      <w:szCs w:val="20"/>
                    </w:rPr>
                  </w:pPr>
                  <w:r>
                    <w:rPr>
                      <w:rFonts w:cs="Calibri"/>
                      <w:color w:val="000000"/>
                      <w:sz w:val="20"/>
                      <w:szCs w:val="20"/>
                    </w:rPr>
                    <w:t>La Roche-Posay</w:t>
                  </w:r>
                </w:p>
              </w:tc>
              <w:tc>
                <w:tcPr>
                  <w:tcW w:w="987" w:type="dxa"/>
                  <w:tcBorders>
                    <w:top w:val="single" w:sz="4" w:space="0" w:color="auto"/>
                    <w:left w:val="single" w:sz="4" w:space="0" w:color="auto"/>
                    <w:bottom w:val="single" w:sz="4" w:space="0" w:color="auto"/>
                    <w:right w:val="single" w:sz="4" w:space="0" w:color="auto"/>
                  </w:tcBorders>
                  <w:noWrap/>
                  <w:vAlign w:val="center"/>
                </w:tcPr>
                <w:p w14:paraId="2A35F36A" w14:textId="77777777" w:rsidR="00280F1F" w:rsidRDefault="00280F1F" w:rsidP="00610813">
                  <w:pPr>
                    <w:jc w:val="center"/>
                    <w:rPr>
                      <w:rFonts w:cs="Calibri"/>
                      <w:color w:val="000000"/>
                      <w:sz w:val="20"/>
                      <w:szCs w:val="20"/>
                    </w:rPr>
                  </w:pPr>
                  <w:r>
                    <w:rPr>
                      <w:rFonts w:cs="Calibri"/>
                      <w:color w:val="000000"/>
                      <w:sz w:val="20"/>
                      <w:szCs w:val="20"/>
                    </w:rPr>
                    <w:t>1.6</w:t>
                  </w:r>
                </w:p>
              </w:tc>
              <w:tc>
                <w:tcPr>
                  <w:tcW w:w="993" w:type="dxa"/>
                  <w:tcBorders>
                    <w:top w:val="single" w:sz="4" w:space="0" w:color="auto"/>
                    <w:left w:val="single" w:sz="4" w:space="0" w:color="auto"/>
                    <w:bottom w:val="single" w:sz="4" w:space="0" w:color="auto"/>
                    <w:right w:val="single" w:sz="4" w:space="0" w:color="auto"/>
                  </w:tcBorders>
                  <w:noWrap/>
                  <w:vAlign w:val="center"/>
                </w:tcPr>
                <w:p w14:paraId="72C7E213" w14:textId="77777777" w:rsidR="00280F1F" w:rsidRDefault="00280F1F" w:rsidP="00610813">
                  <w:pPr>
                    <w:jc w:val="center"/>
                    <w:rPr>
                      <w:rFonts w:cs="Calibri"/>
                      <w:color w:val="000000"/>
                      <w:sz w:val="20"/>
                      <w:szCs w:val="20"/>
                    </w:rPr>
                  </w:pPr>
                  <w:r>
                    <w:rPr>
                      <w:rFonts w:cs="Calibri"/>
                      <w:color w:val="000000"/>
                      <w:sz w:val="20"/>
                      <w:szCs w:val="20"/>
                    </w:rPr>
                    <w:t>1.8</w:t>
                  </w:r>
                </w:p>
              </w:tc>
              <w:tc>
                <w:tcPr>
                  <w:tcW w:w="992" w:type="dxa"/>
                  <w:tcBorders>
                    <w:top w:val="single" w:sz="4" w:space="0" w:color="auto"/>
                    <w:left w:val="single" w:sz="4" w:space="0" w:color="auto"/>
                    <w:bottom w:val="single" w:sz="4" w:space="0" w:color="auto"/>
                    <w:right w:val="single" w:sz="4" w:space="0" w:color="auto"/>
                  </w:tcBorders>
                  <w:noWrap/>
                  <w:vAlign w:val="center"/>
                </w:tcPr>
                <w:p w14:paraId="7938F86C" w14:textId="77777777" w:rsidR="00280F1F" w:rsidRDefault="00280F1F" w:rsidP="00610813">
                  <w:pPr>
                    <w:jc w:val="center"/>
                    <w:rPr>
                      <w:rFonts w:cs="Calibri"/>
                      <w:color w:val="000000"/>
                      <w:sz w:val="20"/>
                      <w:szCs w:val="20"/>
                    </w:rPr>
                  </w:pPr>
                  <w:r>
                    <w:rPr>
                      <w:rFonts w:cs="Calibri"/>
                      <w:color w:val="000000"/>
                      <w:sz w:val="20"/>
                      <w:szCs w:val="20"/>
                    </w:rPr>
                    <w:t>1.9</w:t>
                  </w:r>
                </w:p>
              </w:tc>
              <w:tc>
                <w:tcPr>
                  <w:tcW w:w="855" w:type="dxa"/>
                  <w:tcBorders>
                    <w:top w:val="single" w:sz="4" w:space="0" w:color="auto"/>
                    <w:left w:val="single" w:sz="4" w:space="0" w:color="auto"/>
                    <w:bottom w:val="single" w:sz="4" w:space="0" w:color="auto"/>
                    <w:right w:val="single" w:sz="4" w:space="0" w:color="auto"/>
                  </w:tcBorders>
                  <w:noWrap/>
                  <w:vAlign w:val="center"/>
                </w:tcPr>
                <w:p w14:paraId="199F3B73" w14:textId="77777777" w:rsidR="00280F1F" w:rsidRDefault="00280F1F" w:rsidP="00610813">
                  <w:pPr>
                    <w:jc w:val="center"/>
                    <w:rPr>
                      <w:rFonts w:cs="Calibri"/>
                      <w:color w:val="000000"/>
                      <w:sz w:val="20"/>
                      <w:szCs w:val="20"/>
                    </w:rPr>
                  </w:pPr>
                  <w:r>
                    <w:rPr>
                      <w:rFonts w:cs="Calibri"/>
                      <w:color w:val="000000"/>
                      <w:sz w:val="20"/>
                      <w:szCs w:val="20"/>
                    </w:rPr>
                    <w:t>2.1</w:t>
                  </w:r>
                </w:p>
              </w:tc>
              <w:tc>
                <w:tcPr>
                  <w:tcW w:w="851" w:type="dxa"/>
                  <w:tcBorders>
                    <w:top w:val="single" w:sz="4" w:space="0" w:color="auto"/>
                    <w:left w:val="single" w:sz="4" w:space="0" w:color="auto"/>
                    <w:bottom w:val="single" w:sz="4" w:space="0" w:color="auto"/>
                    <w:right w:val="single" w:sz="4" w:space="0" w:color="auto"/>
                  </w:tcBorders>
                  <w:vAlign w:val="center"/>
                </w:tcPr>
                <w:p w14:paraId="0CB87A21" w14:textId="77777777" w:rsidR="00280F1F" w:rsidRDefault="00280F1F" w:rsidP="00610813">
                  <w:pPr>
                    <w:jc w:val="center"/>
                    <w:rPr>
                      <w:rFonts w:cs="Calibri"/>
                      <w:color w:val="000000"/>
                      <w:sz w:val="20"/>
                      <w:szCs w:val="20"/>
                    </w:rPr>
                  </w:pPr>
                  <w:r>
                    <w:rPr>
                      <w:rFonts w:cs="Calibri"/>
                      <w:color w:val="000000"/>
                      <w:sz w:val="20"/>
                      <w:szCs w:val="20"/>
                    </w:rPr>
                    <w:t>2.6</w:t>
                  </w:r>
                </w:p>
              </w:tc>
              <w:tc>
                <w:tcPr>
                  <w:tcW w:w="850" w:type="dxa"/>
                  <w:tcBorders>
                    <w:top w:val="single" w:sz="4" w:space="0" w:color="auto"/>
                    <w:left w:val="single" w:sz="4" w:space="0" w:color="auto"/>
                    <w:bottom w:val="single" w:sz="4" w:space="0" w:color="auto"/>
                    <w:right w:val="single" w:sz="4" w:space="0" w:color="auto"/>
                  </w:tcBorders>
                  <w:noWrap/>
                  <w:vAlign w:val="center"/>
                </w:tcPr>
                <w:p w14:paraId="1C32052E" w14:textId="77777777" w:rsidR="00280F1F" w:rsidRDefault="00280F1F" w:rsidP="00610813">
                  <w:pPr>
                    <w:jc w:val="center"/>
                    <w:rPr>
                      <w:rFonts w:cs="Calibri"/>
                      <w:color w:val="000000"/>
                      <w:sz w:val="20"/>
                      <w:szCs w:val="20"/>
                    </w:rPr>
                  </w:pPr>
                  <w:r>
                    <w:rPr>
                      <w:rFonts w:cs="Calibri"/>
                      <w:color w:val="000000"/>
                      <w:sz w:val="20"/>
                      <w:szCs w:val="20"/>
                    </w:rPr>
                    <w:t>2.8</w:t>
                  </w:r>
                </w:p>
              </w:tc>
            </w:tr>
            <w:tr w:rsidR="00280F1F" w14:paraId="79EEFCC7"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25E1664D" w14:textId="77777777" w:rsidR="00280F1F" w:rsidRDefault="00280F1F" w:rsidP="00610813">
                  <w:pPr>
                    <w:jc w:val="center"/>
                    <w:rPr>
                      <w:rFonts w:cs="Calibri"/>
                      <w:color w:val="000000"/>
                      <w:sz w:val="20"/>
                      <w:szCs w:val="20"/>
                    </w:rPr>
                  </w:pPr>
                  <w:r>
                    <w:rPr>
                      <w:rFonts w:cs="Calibri"/>
                      <w:color w:val="000000"/>
                      <w:sz w:val="20"/>
                      <w:szCs w:val="20"/>
                    </w:rPr>
                    <w:t>Estée Lauder</w:t>
                  </w:r>
                </w:p>
              </w:tc>
              <w:tc>
                <w:tcPr>
                  <w:tcW w:w="987" w:type="dxa"/>
                  <w:tcBorders>
                    <w:top w:val="single" w:sz="4" w:space="0" w:color="auto"/>
                    <w:left w:val="single" w:sz="4" w:space="0" w:color="auto"/>
                    <w:bottom w:val="single" w:sz="4" w:space="0" w:color="auto"/>
                    <w:right w:val="single" w:sz="4" w:space="0" w:color="auto"/>
                  </w:tcBorders>
                  <w:noWrap/>
                  <w:vAlign w:val="center"/>
                </w:tcPr>
                <w:p w14:paraId="531E5E08" w14:textId="77777777" w:rsidR="00280F1F" w:rsidRDefault="00280F1F" w:rsidP="00610813">
                  <w:pPr>
                    <w:jc w:val="center"/>
                    <w:rPr>
                      <w:rFonts w:cs="Calibri"/>
                      <w:color w:val="000000"/>
                      <w:sz w:val="20"/>
                      <w:szCs w:val="20"/>
                    </w:rPr>
                  </w:pPr>
                  <w:r>
                    <w:rPr>
                      <w:rFonts w:cs="Calibri"/>
                      <w:color w:val="000000"/>
                      <w:sz w:val="20"/>
                      <w:szCs w:val="20"/>
                    </w:rPr>
                    <w:t>3.5</w:t>
                  </w:r>
                </w:p>
              </w:tc>
              <w:tc>
                <w:tcPr>
                  <w:tcW w:w="993" w:type="dxa"/>
                  <w:tcBorders>
                    <w:top w:val="single" w:sz="4" w:space="0" w:color="auto"/>
                    <w:left w:val="single" w:sz="4" w:space="0" w:color="auto"/>
                    <w:bottom w:val="single" w:sz="4" w:space="0" w:color="auto"/>
                    <w:right w:val="single" w:sz="4" w:space="0" w:color="auto"/>
                  </w:tcBorders>
                  <w:noWrap/>
                  <w:vAlign w:val="center"/>
                </w:tcPr>
                <w:p w14:paraId="4F0A2C60" w14:textId="77777777" w:rsidR="00280F1F" w:rsidRDefault="00280F1F" w:rsidP="00610813">
                  <w:pPr>
                    <w:jc w:val="center"/>
                    <w:rPr>
                      <w:rFonts w:cs="Calibri"/>
                      <w:color w:val="000000"/>
                      <w:sz w:val="20"/>
                      <w:szCs w:val="20"/>
                    </w:rPr>
                  </w:pPr>
                  <w:r>
                    <w:rPr>
                      <w:rFonts w:cs="Calibri"/>
                      <w:color w:val="000000"/>
                      <w:sz w:val="20"/>
                      <w:szCs w:val="20"/>
                    </w:rPr>
                    <w:t>3.7</w:t>
                  </w:r>
                </w:p>
              </w:tc>
              <w:tc>
                <w:tcPr>
                  <w:tcW w:w="992" w:type="dxa"/>
                  <w:tcBorders>
                    <w:top w:val="single" w:sz="4" w:space="0" w:color="auto"/>
                    <w:left w:val="single" w:sz="4" w:space="0" w:color="auto"/>
                    <w:bottom w:val="single" w:sz="4" w:space="0" w:color="auto"/>
                    <w:right w:val="single" w:sz="4" w:space="0" w:color="auto"/>
                  </w:tcBorders>
                  <w:noWrap/>
                  <w:vAlign w:val="center"/>
                </w:tcPr>
                <w:p w14:paraId="5455460D" w14:textId="77777777" w:rsidR="00280F1F" w:rsidRDefault="00280F1F" w:rsidP="00610813">
                  <w:pPr>
                    <w:jc w:val="center"/>
                    <w:rPr>
                      <w:rFonts w:cs="Calibri"/>
                      <w:color w:val="000000"/>
                      <w:sz w:val="20"/>
                      <w:szCs w:val="20"/>
                    </w:rPr>
                  </w:pPr>
                  <w:r>
                    <w:rPr>
                      <w:rFonts w:cs="Calibri"/>
                      <w:color w:val="000000"/>
                      <w:sz w:val="20"/>
                      <w:szCs w:val="20"/>
                    </w:rPr>
                    <w:t>3.6</w:t>
                  </w:r>
                </w:p>
              </w:tc>
              <w:tc>
                <w:tcPr>
                  <w:tcW w:w="855" w:type="dxa"/>
                  <w:tcBorders>
                    <w:top w:val="single" w:sz="4" w:space="0" w:color="auto"/>
                    <w:left w:val="single" w:sz="4" w:space="0" w:color="auto"/>
                    <w:bottom w:val="single" w:sz="4" w:space="0" w:color="auto"/>
                    <w:right w:val="single" w:sz="4" w:space="0" w:color="auto"/>
                  </w:tcBorders>
                  <w:noWrap/>
                  <w:vAlign w:val="center"/>
                </w:tcPr>
                <w:p w14:paraId="666D3F21" w14:textId="77777777" w:rsidR="00280F1F" w:rsidRDefault="00280F1F" w:rsidP="00610813">
                  <w:pPr>
                    <w:jc w:val="center"/>
                    <w:rPr>
                      <w:rFonts w:cs="Calibri"/>
                      <w:color w:val="000000"/>
                      <w:sz w:val="20"/>
                      <w:szCs w:val="20"/>
                    </w:rPr>
                  </w:pPr>
                  <w:r>
                    <w:rPr>
                      <w:rFonts w:cs="Calibri"/>
                      <w:color w:val="000000"/>
                      <w:sz w:val="20"/>
                      <w:szCs w:val="20"/>
                    </w:rPr>
                    <w:t>3.4</w:t>
                  </w:r>
                </w:p>
              </w:tc>
              <w:tc>
                <w:tcPr>
                  <w:tcW w:w="851" w:type="dxa"/>
                  <w:tcBorders>
                    <w:top w:val="single" w:sz="4" w:space="0" w:color="auto"/>
                    <w:left w:val="single" w:sz="4" w:space="0" w:color="auto"/>
                    <w:bottom w:val="single" w:sz="4" w:space="0" w:color="auto"/>
                    <w:right w:val="single" w:sz="4" w:space="0" w:color="auto"/>
                  </w:tcBorders>
                  <w:vAlign w:val="center"/>
                </w:tcPr>
                <w:p w14:paraId="081BD019" w14:textId="77777777" w:rsidR="00280F1F" w:rsidRDefault="00280F1F" w:rsidP="00610813">
                  <w:pPr>
                    <w:jc w:val="center"/>
                    <w:rPr>
                      <w:rFonts w:cs="Calibri"/>
                      <w:color w:val="000000"/>
                      <w:sz w:val="20"/>
                      <w:szCs w:val="20"/>
                    </w:rPr>
                  </w:pPr>
                  <w:r>
                    <w:rPr>
                      <w:rFonts w:cs="Calibri"/>
                      <w:color w:val="000000"/>
                      <w:sz w:val="20"/>
                      <w:szCs w:val="20"/>
                    </w:rPr>
                    <w:t>3</w:t>
                  </w:r>
                </w:p>
              </w:tc>
              <w:tc>
                <w:tcPr>
                  <w:tcW w:w="850" w:type="dxa"/>
                  <w:tcBorders>
                    <w:top w:val="single" w:sz="4" w:space="0" w:color="auto"/>
                    <w:left w:val="single" w:sz="4" w:space="0" w:color="auto"/>
                    <w:bottom w:val="single" w:sz="4" w:space="0" w:color="auto"/>
                    <w:right w:val="single" w:sz="4" w:space="0" w:color="auto"/>
                  </w:tcBorders>
                  <w:noWrap/>
                  <w:vAlign w:val="center"/>
                </w:tcPr>
                <w:p w14:paraId="2E0B1345" w14:textId="77777777" w:rsidR="00280F1F" w:rsidRDefault="00280F1F" w:rsidP="00610813">
                  <w:pPr>
                    <w:jc w:val="center"/>
                    <w:rPr>
                      <w:rFonts w:cs="Calibri"/>
                      <w:color w:val="000000"/>
                      <w:sz w:val="20"/>
                      <w:szCs w:val="20"/>
                    </w:rPr>
                  </w:pPr>
                  <w:r>
                    <w:rPr>
                      <w:rFonts w:cs="Calibri"/>
                      <w:color w:val="000000"/>
                      <w:sz w:val="20"/>
                      <w:szCs w:val="20"/>
                    </w:rPr>
                    <w:t>2.8</w:t>
                  </w:r>
                </w:p>
              </w:tc>
            </w:tr>
            <w:tr w:rsidR="00280F1F" w14:paraId="512BEAB8"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60645FC4" w14:textId="77777777" w:rsidR="00280F1F" w:rsidRDefault="00280F1F" w:rsidP="00610813">
                  <w:pPr>
                    <w:jc w:val="center"/>
                    <w:rPr>
                      <w:rFonts w:cs="Calibri"/>
                      <w:color w:val="000000"/>
                      <w:sz w:val="20"/>
                      <w:szCs w:val="20"/>
                    </w:rPr>
                  </w:pPr>
                  <w:r>
                    <w:rPr>
                      <w:rFonts w:cs="Calibri"/>
                      <w:color w:val="000000"/>
                      <w:sz w:val="20"/>
                      <w:szCs w:val="20"/>
                    </w:rPr>
                    <w:t xml:space="preserve">Clinique </w:t>
                  </w:r>
                </w:p>
              </w:tc>
              <w:tc>
                <w:tcPr>
                  <w:tcW w:w="987" w:type="dxa"/>
                  <w:tcBorders>
                    <w:top w:val="single" w:sz="4" w:space="0" w:color="auto"/>
                    <w:left w:val="single" w:sz="4" w:space="0" w:color="auto"/>
                    <w:bottom w:val="single" w:sz="4" w:space="0" w:color="auto"/>
                    <w:right w:val="single" w:sz="4" w:space="0" w:color="auto"/>
                  </w:tcBorders>
                  <w:noWrap/>
                  <w:vAlign w:val="center"/>
                </w:tcPr>
                <w:p w14:paraId="05BADD9D" w14:textId="77777777" w:rsidR="00280F1F" w:rsidRDefault="00280F1F" w:rsidP="00610813">
                  <w:pPr>
                    <w:jc w:val="center"/>
                    <w:rPr>
                      <w:rFonts w:cs="Calibri"/>
                      <w:color w:val="000000"/>
                      <w:sz w:val="20"/>
                      <w:szCs w:val="20"/>
                    </w:rPr>
                  </w:pPr>
                  <w:r>
                    <w:rPr>
                      <w:rFonts w:cs="Calibri"/>
                      <w:color w:val="000000"/>
                      <w:sz w:val="20"/>
                      <w:szCs w:val="20"/>
                    </w:rPr>
                    <w:t>2.4</w:t>
                  </w:r>
                </w:p>
              </w:tc>
              <w:tc>
                <w:tcPr>
                  <w:tcW w:w="993" w:type="dxa"/>
                  <w:tcBorders>
                    <w:top w:val="single" w:sz="4" w:space="0" w:color="auto"/>
                    <w:left w:val="single" w:sz="4" w:space="0" w:color="auto"/>
                    <w:bottom w:val="single" w:sz="4" w:space="0" w:color="auto"/>
                    <w:right w:val="single" w:sz="4" w:space="0" w:color="auto"/>
                  </w:tcBorders>
                  <w:noWrap/>
                  <w:vAlign w:val="center"/>
                </w:tcPr>
                <w:p w14:paraId="6CD489BA" w14:textId="77777777" w:rsidR="00280F1F" w:rsidRDefault="00280F1F" w:rsidP="00610813">
                  <w:pPr>
                    <w:jc w:val="center"/>
                    <w:rPr>
                      <w:rFonts w:cs="Calibri"/>
                      <w:color w:val="000000"/>
                      <w:sz w:val="20"/>
                      <w:szCs w:val="20"/>
                    </w:rPr>
                  </w:pPr>
                  <w:r>
                    <w:rPr>
                      <w:rFonts w:cs="Calibri"/>
                      <w:color w:val="000000"/>
                      <w:sz w:val="20"/>
                      <w:szCs w:val="20"/>
                    </w:rPr>
                    <w:t>2.2</w:t>
                  </w:r>
                </w:p>
              </w:tc>
              <w:tc>
                <w:tcPr>
                  <w:tcW w:w="992" w:type="dxa"/>
                  <w:tcBorders>
                    <w:top w:val="single" w:sz="4" w:space="0" w:color="auto"/>
                    <w:left w:val="single" w:sz="4" w:space="0" w:color="auto"/>
                    <w:bottom w:val="single" w:sz="4" w:space="0" w:color="auto"/>
                    <w:right w:val="single" w:sz="4" w:space="0" w:color="auto"/>
                  </w:tcBorders>
                  <w:noWrap/>
                  <w:vAlign w:val="center"/>
                </w:tcPr>
                <w:p w14:paraId="30B49F87" w14:textId="77777777" w:rsidR="00280F1F" w:rsidRDefault="00280F1F" w:rsidP="00610813">
                  <w:pPr>
                    <w:jc w:val="center"/>
                    <w:rPr>
                      <w:rFonts w:cs="Calibri"/>
                      <w:color w:val="000000"/>
                      <w:sz w:val="20"/>
                      <w:szCs w:val="20"/>
                    </w:rPr>
                  </w:pPr>
                  <w:r>
                    <w:rPr>
                      <w:rFonts w:cs="Calibri"/>
                      <w:color w:val="000000"/>
                      <w:sz w:val="20"/>
                      <w:szCs w:val="20"/>
                    </w:rPr>
                    <w:t>2.1</w:t>
                  </w:r>
                </w:p>
              </w:tc>
              <w:tc>
                <w:tcPr>
                  <w:tcW w:w="855" w:type="dxa"/>
                  <w:tcBorders>
                    <w:top w:val="single" w:sz="4" w:space="0" w:color="auto"/>
                    <w:left w:val="single" w:sz="4" w:space="0" w:color="auto"/>
                    <w:bottom w:val="single" w:sz="4" w:space="0" w:color="auto"/>
                    <w:right w:val="single" w:sz="4" w:space="0" w:color="auto"/>
                  </w:tcBorders>
                  <w:noWrap/>
                  <w:vAlign w:val="center"/>
                </w:tcPr>
                <w:p w14:paraId="1C58DABB" w14:textId="77777777" w:rsidR="00280F1F" w:rsidRDefault="00280F1F" w:rsidP="00610813">
                  <w:pPr>
                    <w:jc w:val="center"/>
                    <w:rPr>
                      <w:rFonts w:cs="Calibri"/>
                      <w:color w:val="000000"/>
                      <w:sz w:val="20"/>
                      <w:szCs w:val="20"/>
                    </w:rPr>
                  </w:pPr>
                  <w:r>
                    <w:rPr>
                      <w:rFonts w:cs="Calibri"/>
                      <w:color w:val="000000"/>
                      <w:sz w:val="20"/>
                      <w:szCs w:val="20"/>
                    </w:rPr>
                    <w:t>2.1</w:t>
                  </w:r>
                </w:p>
              </w:tc>
              <w:tc>
                <w:tcPr>
                  <w:tcW w:w="851" w:type="dxa"/>
                  <w:tcBorders>
                    <w:top w:val="single" w:sz="4" w:space="0" w:color="auto"/>
                    <w:left w:val="single" w:sz="4" w:space="0" w:color="auto"/>
                    <w:bottom w:val="single" w:sz="4" w:space="0" w:color="auto"/>
                    <w:right w:val="single" w:sz="4" w:space="0" w:color="auto"/>
                  </w:tcBorders>
                  <w:vAlign w:val="center"/>
                </w:tcPr>
                <w:p w14:paraId="17CC05DD" w14:textId="77777777" w:rsidR="00280F1F" w:rsidRDefault="00280F1F" w:rsidP="00610813">
                  <w:pPr>
                    <w:jc w:val="center"/>
                    <w:rPr>
                      <w:rFonts w:cs="Calibri"/>
                      <w:color w:val="000000"/>
                      <w:sz w:val="20"/>
                      <w:szCs w:val="20"/>
                    </w:rPr>
                  </w:pPr>
                  <w:r>
                    <w:rPr>
                      <w:rFonts w:cs="Calibri"/>
                      <w:color w:val="000000"/>
                      <w:sz w:val="20"/>
                      <w:szCs w:val="20"/>
                    </w:rPr>
                    <w:t>2.1</w:t>
                  </w:r>
                </w:p>
              </w:tc>
              <w:tc>
                <w:tcPr>
                  <w:tcW w:w="850" w:type="dxa"/>
                  <w:tcBorders>
                    <w:top w:val="single" w:sz="4" w:space="0" w:color="auto"/>
                    <w:left w:val="single" w:sz="4" w:space="0" w:color="auto"/>
                    <w:bottom w:val="single" w:sz="4" w:space="0" w:color="auto"/>
                    <w:right w:val="single" w:sz="4" w:space="0" w:color="auto"/>
                  </w:tcBorders>
                  <w:noWrap/>
                  <w:vAlign w:val="center"/>
                </w:tcPr>
                <w:p w14:paraId="09099F2B" w14:textId="77777777" w:rsidR="00280F1F" w:rsidRDefault="00280F1F" w:rsidP="00610813">
                  <w:pPr>
                    <w:jc w:val="center"/>
                    <w:rPr>
                      <w:rFonts w:cs="Calibri"/>
                      <w:color w:val="000000"/>
                      <w:sz w:val="20"/>
                      <w:szCs w:val="20"/>
                    </w:rPr>
                  </w:pPr>
                  <w:r>
                    <w:rPr>
                      <w:rFonts w:cs="Calibri"/>
                      <w:color w:val="000000"/>
                      <w:sz w:val="20"/>
                      <w:szCs w:val="20"/>
                    </w:rPr>
                    <w:t>2</w:t>
                  </w:r>
                </w:p>
              </w:tc>
            </w:tr>
            <w:tr w:rsidR="00280F1F" w14:paraId="12E13F13"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1CD8743B" w14:textId="77777777" w:rsidR="00280F1F" w:rsidRDefault="00280F1F" w:rsidP="00610813">
                  <w:pPr>
                    <w:jc w:val="center"/>
                    <w:rPr>
                      <w:rFonts w:cs="Calibri"/>
                      <w:color w:val="000000"/>
                      <w:sz w:val="20"/>
                      <w:szCs w:val="20"/>
                    </w:rPr>
                  </w:pPr>
                  <w:r>
                    <w:rPr>
                      <w:rFonts w:cs="Calibri"/>
                      <w:color w:val="000000"/>
                      <w:sz w:val="20"/>
                      <w:szCs w:val="20"/>
                    </w:rPr>
                    <w:t xml:space="preserve">Yves Saint Laurent </w:t>
                  </w:r>
                </w:p>
              </w:tc>
              <w:tc>
                <w:tcPr>
                  <w:tcW w:w="987" w:type="dxa"/>
                  <w:tcBorders>
                    <w:top w:val="single" w:sz="4" w:space="0" w:color="auto"/>
                    <w:left w:val="single" w:sz="4" w:space="0" w:color="auto"/>
                    <w:bottom w:val="single" w:sz="4" w:space="0" w:color="auto"/>
                    <w:right w:val="single" w:sz="4" w:space="0" w:color="auto"/>
                  </w:tcBorders>
                  <w:noWrap/>
                  <w:vAlign w:val="center"/>
                </w:tcPr>
                <w:p w14:paraId="36EFB7AD" w14:textId="77777777" w:rsidR="00280F1F" w:rsidRDefault="00280F1F" w:rsidP="00610813">
                  <w:pPr>
                    <w:jc w:val="center"/>
                    <w:rPr>
                      <w:rFonts w:cs="Calibri"/>
                      <w:color w:val="000000"/>
                      <w:sz w:val="20"/>
                      <w:szCs w:val="20"/>
                    </w:rPr>
                  </w:pPr>
                  <w:r>
                    <w:rPr>
                      <w:rFonts w:cs="Calibri"/>
                      <w:color w:val="000000"/>
                      <w:sz w:val="20"/>
                      <w:szCs w:val="20"/>
                    </w:rPr>
                    <w:t>1.4</w:t>
                  </w:r>
                </w:p>
              </w:tc>
              <w:tc>
                <w:tcPr>
                  <w:tcW w:w="993" w:type="dxa"/>
                  <w:tcBorders>
                    <w:top w:val="single" w:sz="4" w:space="0" w:color="auto"/>
                    <w:left w:val="single" w:sz="4" w:space="0" w:color="auto"/>
                    <w:bottom w:val="single" w:sz="4" w:space="0" w:color="auto"/>
                    <w:right w:val="single" w:sz="4" w:space="0" w:color="auto"/>
                  </w:tcBorders>
                  <w:noWrap/>
                  <w:vAlign w:val="center"/>
                </w:tcPr>
                <w:p w14:paraId="25664330" w14:textId="77777777" w:rsidR="00280F1F" w:rsidRDefault="00280F1F" w:rsidP="00610813">
                  <w:pPr>
                    <w:jc w:val="center"/>
                    <w:rPr>
                      <w:rFonts w:cs="Calibri"/>
                      <w:color w:val="000000"/>
                      <w:sz w:val="20"/>
                      <w:szCs w:val="20"/>
                    </w:rPr>
                  </w:pPr>
                  <w:r>
                    <w:rPr>
                      <w:rFonts w:cs="Calibri"/>
                      <w:color w:val="000000"/>
                      <w:sz w:val="20"/>
                      <w:szCs w:val="20"/>
                    </w:rPr>
                    <w:t>1.3</w:t>
                  </w:r>
                </w:p>
              </w:tc>
              <w:tc>
                <w:tcPr>
                  <w:tcW w:w="992" w:type="dxa"/>
                  <w:tcBorders>
                    <w:top w:val="single" w:sz="4" w:space="0" w:color="auto"/>
                    <w:left w:val="single" w:sz="4" w:space="0" w:color="auto"/>
                    <w:bottom w:val="single" w:sz="4" w:space="0" w:color="auto"/>
                    <w:right w:val="single" w:sz="4" w:space="0" w:color="auto"/>
                  </w:tcBorders>
                  <w:noWrap/>
                  <w:vAlign w:val="center"/>
                </w:tcPr>
                <w:p w14:paraId="5F2C4C05" w14:textId="77777777" w:rsidR="00280F1F" w:rsidRDefault="00280F1F" w:rsidP="00610813">
                  <w:pPr>
                    <w:jc w:val="center"/>
                    <w:rPr>
                      <w:rFonts w:cs="Calibri"/>
                      <w:color w:val="000000"/>
                      <w:sz w:val="20"/>
                      <w:szCs w:val="20"/>
                    </w:rPr>
                  </w:pPr>
                  <w:r>
                    <w:rPr>
                      <w:rFonts w:cs="Calibri"/>
                      <w:color w:val="000000"/>
                      <w:sz w:val="20"/>
                      <w:szCs w:val="20"/>
                    </w:rPr>
                    <w:t>1.4</w:t>
                  </w:r>
                </w:p>
              </w:tc>
              <w:tc>
                <w:tcPr>
                  <w:tcW w:w="855" w:type="dxa"/>
                  <w:tcBorders>
                    <w:top w:val="single" w:sz="4" w:space="0" w:color="auto"/>
                    <w:left w:val="single" w:sz="4" w:space="0" w:color="auto"/>
                    <w:bottom w:val="single" w:sz="4" w:space="0" w:color="auto"/>
                    <w:right w:val="single" w:sz="4" w:space="0" w:color="auto"/>
                  </w:tcBorders>
                  <w:noWrap/>
                  <w:vAlign w:val="center"/>
                </w:tcPr>
                <w:p w14:paraId="416D55E0" w14:textId="77777777" w:rsidR="00280F1F" w:rsidRDefault="00280F1F" w:rsidP="00610813">
                  <w:pPr>
                    <w:jc w:val="center"/>
                    <w:rPr>
                      <w:rFonts w:cs="Calibri"/>
                      <w:color w:val="000000"/>
                      <w:sz w:val="20"/>
                      <w:szCs w:val="20"/>
                    </w:rPr>
                  </w:pPr>
                  <w:r>
                    <w:rPr>
                      <w:rFonts w:cs="Calibri"/>
                      <w:color w:val="000000"/>
                      <w:sz w:val="20"/>
                      <w:szCs w:val="20"/>
                    </w:rPr>
                    <w:t>1.6</w:t>
                  </w:r>
                </w:p>
              </w:tc>
              <w:tc>
                <w:tcPr>
                  <w:tcW w:w="851" w:type="dxa"/>
                  <w:tcBorders>
                    <w:top w:val="single" w:sz="4" w:space="0" w:color="auto"/>
                    <w:left w:val="single" w:sz="4" w:space="0" w:color="auto"/>
                    <w:bottom w:val="single" w:sz="4" w:space="0" w:color="auto"/>
                    <w:right w:val="single" w:sz="4" w:space="0" w:color="auto"/>
                  </w:tcBorders>
                  <w:vAlign w:val="center"/>
                </w:tcPr>
                <w:p w14:paraId="1A844818" w14:textId="77777777" w:rsidR="00280F1F" w:rsidRDefault="00280F1F" w:rsidP="00610813">
                  <w:pPr>
                    <w:jc w:val="center"/>
                    <w:rPr>
                      <w:rFonts w:cs="Calibri"/>
                      <w:color w:val="000000"/>
                      <w:sz w:val="20"/>
                      <w:szCs w:val="20"/>
                    </w:rPr>
                  </w:pPr>
                  <w:r>
                    <w:rPr>
                      <w:rFonts w:cs="Calibri"/>
                      <w:color w:val="000000"/>
                      <w:sz w:val="20"/>
                      <w:szCs w:val="20"/>
                    </w:rPr>
                    <w:t>1.7</w:t>
                  </w:r>
                </w:p>
              </w:tc>
              <w:tc>
                <w:tcPr>
                  <w:tcW w:w="850" w:type="dxa"/>
                  <w:tcBorders>
                    <w:top w:val="single" w:sz="4" w:space="0" w:color="auto"/>
                    <w:left w:val="single" w:sz="4" w:space="0" w:color="auto"/>
                    <w:bottom w:val="single" w:sz="4" w:space="0" w:color="auto"/>
                    <w:right w:val="single" w:sz="4" w:space="0" w:color="auto"/>
                  </w:tcBorders>
                  <w:noWrap/>
                  <w:vAlign w:val="center"/>
                </w:tcPr>
                <w:p w14:paraId="5FCE92C3" w14:textId="77777777" w:rsidR="00280F1F" w:rsidRDefault="00280F1F" w:rsidP="00610813">
                  <w:pPr>
                    <w:jc w:val="center"/>
                    <w:rPr>
                      <w:rFonts w:cs="Calibri"/>
                      <w:color w:val="000000"/>
                      <w:sz w:val="20"/>
                      <w:szCs w:val="20"/>
                    </w:rPr>
                  </w:pPr>
                  <w:r>
                    <w:rPr>
                      <w:rFonts w:cs="Calibri"/>
                      <w:color w:val="000000"/>
                      <w:sz w:val="20"/>
                      <w:szCs w:val="20"/>
                    </w:rPr>
                    <w:t>1.7</w:t>
                  </w:r>
                </w:p>
              </w:tc>
            </w:tr>
            <w:tr w:rsidR="00280F1F" w14:paraId="76DEA30E"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663D7585" w14:textId="77777777" w:rsidR="00280F1F" w:rsidRDefault="00280F1F" w:rsidP="00610813">
                  <w:pPr>
                    <w:jc w:val="center"/>
                    <w:rPr>
                      <w:rFonts w:cs="Calibri"/>
                      <w:color w:val="000000"/>
                      <w:sz w:val="20"/>
                      <w:szCs w:val="20"/>
                    </w:rPr>
                  </w:pPr>
                  <w:r>
                    <w:rPr>
                      <w:rFonts w:cs="Calibri"/>
                      <w:color w:val="000000"/>
                      <w:sz w:val="20"/>
                      <w:szCs w:val="20"/>
                    </w:rPr>
                    <w:t xml:space="preserve">Mac </w:t>
                  </w:r>
                </w:p>
              </w:tc>
              <w:tc>
                <w:tcPr>
                  <w:tcW w:w="987" w:type="dxa"/>
                  <w:tcBorders>
                    <w:top w:val="single" w:sz="4" w:space="0" w:color="auto"/>
                    <w:left w:val="single" w:sz="4" w:space="0" w:color="auto"/>
                    <w:bottom w:val="single" w:sz="4" w:space="0" w:color="auto"/>
                    <w:right w:val="single" w:sz="4" w:space="0" w:color="auto"/>
                  </w:tcBorders>
                  <w:noWrap/>
                  <w:vAlign w:val="center"/>
                </w:tcPr>
                <w:p w14:paraId="5ED2634E" w14:textId="77777777" w:rsidR="00280F1F" w:rsidRDefault="00280F1F" w:rsidP="00610813">
                  <w:pPr>
                    <w:jc w:val="center"/>
                    <w:rPr>
                      <w:rFonts w:cs="Calibri"/>
                      <w:color w:val="000000"/>
                      <w:sz w:val="20"/>
                      <w:szCs w:val="20"/>
                    </w:rPr>
                  </w:pPr>
                  <w:r>
                    <w:rPr>
                      <w:rFonts w:cs="Calibri"/>
                      <w:color w:val="000000"/>
                      <w:sz w:val="20"/>
                      <w:szCs w:val="20"/>
                    </w:rPr>
                    <w:t>2.1</w:t>
                  </w:r>
                </w:p>
              </w:tc>
              <w:tc>
                <w:tcPr>
                  <w:tcW w:w="993" w:type="dxa"/>
                  <w:tcBorders>
                    <w:top w:val="single" w:sz="4" w:space="0" w:color="auto"/>
                    <w:left w:val="single" w:sz="4" w:space="0" w:color="auto"/>
                    <w:bottom w:val="single" w:sz="4" w:space="0" w:color="auto"/>
                    <w:right w:val="single" w:sz="4" w:space="0" w:color="auto"/>
                  </w:tcBorders>
                  <w:noWrap/>
                  <w:vAlign w:val="center"/>
                </w:tcPr>
                <w:p w14:paraId="48388811" w14:textId="77777777" w:rsidR="00280F1F" w:rsidRDefault="00280F1F" w:rsidP="00610813">
                  <w:pPr>
                    <w:jc w:val="center"/>
                    <w:rPr>
                      <w:rFonts w:cs="Calibri"/>
                      <w:color w:val="000000"/>
                      <w:sz w:val="20"/>
                      <w:szCs w:val="20"/>
                    </w:rPr>
                  </w:pPr>
                  <w:r>
                    <w:rPr>
                      <w:rFonts w:cs="Calibri"/>
                      <w:color w:val="000000"/>
                      <w:sz w:val="20"/>
                      <w:szCs w:val="20"/>
                    </w:rPr>
                    <w:t>1.7</w:t>
                  </w:r>
                </w:p>
              </w:tc>
              <w:tc>
                <w:tcPr>
                  <w:tcW w:w="992" w:type="dxa"/>
                  <w:tcBorders>
                    <w:top w:val="single" w:sz="4" w:space="0" w:color="auto"/>
                    <w:left w:val="single" w:sz="4" w:space="0" w:color="auto"/>
                    <w:bottom w:val="single" w:sz="4" w:space="0" w:color="auto"/>
                    <w:right w:val="single" w:sz="4" w:space="0" w:color="auto"/>
                  </w:tcBorders>
                  <w:noWrap/>
                  <w:vAlign w:val="center"/>
                </w:tcPr>
                <w:p w14:paraId="3BC8E11F" w14:textId="77777777" w:rsidR="00280F1F" w:rsidRDefault="00280F1F" w:rsidP="00610813">
                  <w:pPr>
                    <w:jc w:val="center"/>
                    <w:rPr>
                      <w:rFonts w:cs="Calibri"/>
                      <w:color w:val="000000"/>
                      <w:sz w:val="20"/>
                      <w:szCs w:val="20"/>
                    </w:rPr>
                  </w:pPr>
                  <w:r>
                    <w:rPr>
                      <w:rFonts w:cs="Calibri"/>
                      <w:color w:val="000000"/>
                      <w:sz w:val="20"/>
                      <w:szCs w:val="20"/>
                    </w:rPr>
                    <w:t>1.6</w:t>
                  </w:r>
                </w:p>
              </w:tc>
              <w:tc>
                <w:tcPr>
                  <w:tcW w:w="855" w:type="dxa"/>
                  <w:tcBorders>
                    <w:top w:val="single" w:sz="4" w:space="0" w:color="auto"/>
                    <w:left w:val="single" w:sz="4" w:space="0" w:color="auto"/>
                    <w:bottom w:val="single" w:sz="4" w:space="0" w:color="auto"/>
                    <w:right w:val="single" w:sz="4" w:space="0" w:color="auto"/>
                  </w:tcBorders>
                  <w:noWrap/>
                  <w:vAlign w:val="center"/>
                </w:tcPr>
                <w:p w14:paraId="24714026" w14:textId="77777777" w:rsidR="00280F1F" w:rsidRDefault="00280F1F" w:rsidP="00610813">
                  <w:pPr>
                    <w:jc w:val="center"/>
                    <w:rPr>
                      <w:rFonts w:cs="Calibri"/>
                      <w:color w:val="000000"/>
                      <w:sz w:val="20"/>
                      <w:szCs w:val="20"/>
                    </w:rPr>
                  </w:pPr>
                  <w:r>
                    <w:rPr>
                      <w:rFonts w:cs="Calibri"/>
                      <w:color w:val="000000"/>
                      <w:sz w:val="20"/>
                      <w:szCs w:val="20"/>
                    </w:rPr>
                    <w:t>1.7</w:t>
                  </w:r>
                </w:p>
              </w:tc>
              <w:tc>
                <w:tcPr>
                  <w:tcW w:w="851" w:type="dxa"/>
                  <w:tcBorders>
                    <w:top w:val="single" w:sz="4" w:space="0" w:color="auto"/>
                    <w:left w:val="single" w:sz="4" w:space="0" w:color="auto"/>
                    <w:bottom w:val="single" w:sz="4" w:space="0" w:color="auto"/>
                    <w:right w:val="single" w:sz="4" w:space="0" w:color="auto"/>
                  </w:tcBorders>
                  <w:vAlign w:val="center"/>
                </w:tcPr>
                <w:p w14:paraId="27B6BC23" w14:textId="77777777" w:rsidR="00280F1F" w:rsidRDefault="00280F1F" w:rsidP="00610813">
                  <w:pPr>
                    <w:jc w:val="center"/>
                    <w:rPr>
                      <w:rFonts w:cs="Calibri"/>
                      <w:color w:val="000000"/>
                      <w:sz w:val="20"/>
                      <w:szCs w:val="20"/>
                    </w:rPr>
                  </w:pPr>
                  <w:r>
                    <w:rPr>
                      <w:rFonts w:cs="Calibri"/>
                      <w:color w:val="000000"/>
                      <w:sz w:val="20"/>
                      <w:szCs w:val="20"/>
                    </w:rPr>
                    <w:t>1.7</w:t>
                  </w:r>
                </w:p>
              </w:tc>
              <w:tc>
                <w:tcPr>
                  <w:tcW w:w="850" w:type="dxa"/>
                  <w:tcBorders>
                    <w:top w:val="single" w:sz="4" w:space="0" w:color="auto"/>
                    <w:left w:val="single" w:sz="4" w:space="0" w:color="auto"/>
                    <w:bottom w:val="single" w:sz="4" w:space="0" w:color="auto"/>
                    <w:right w:val="single" w:sz="4" w:space="0" w:color="auto"/>
                  </w:tcBorders>
                  <w:noWrap/>
                  <w:vAlign w:val="center"/>
                </w:tcPr>
                <w:p w14:paraId="285C4563" w14:textId="77777777" w:rsidR="00280F1F" w:rsidRDefault="00280F1F" w:rsidP="00610813">
                  <w:pPr>
                    <w:jc w:val="center"/>
                    <w:rPr>
                      <w:rFonts w:cs="Calibri"/>
                      <w:color w:val="000000"/>
                      <w:sz w:val="20"/>
                      <w:szCs w:val="20"/>
                    </w:rPr>
                  </w:pPr>
                  <w:r>
                    <w:rPr>
                      <w:rFonts w:cs="Calibri"/>
                      <w:color w:val="000000"/>
                      <w:sz w:val="20"/>
                      <w:szCs w:val="20"/>
                    </w:rPr>
                    <w:t>1.6</w:t>
                  </w:r>
                </w:p>
              </w:tc>
            </w:tr>
            <w:tr w:rsidR="00280F1F" w14:paraId="4F723865"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562243D9" w14:textId="77777777" w:rsidR="00280F1F" w:rsidRDefault="00280F1F" w:rsidP="00610813">
                  <w:pPr>
                    <w:jc w:val="center"/>
                    <w:rPr>
                      <w:rFonts w:cs="Calibri"/>
                      <w:color w:val="000000"/>
                      <w:sz w:val="20"/>
                      <w:szCs w:val="20"/>
                    </w:rPr>
                  </w:pPr>
                  <w:r>
                    <w:rPr>
                      <w:rFonts w:cs="Calibri"/>
                      <w:color w:val="000000"/>
                      <w:sz w:val="20"/>
                      <w:szCs w:val="20"/>
                    </w:rPr>
                    <w:t>Shiseido</w:t>
                  </w:r>
                </w:p>
              </w:tc>
              <w:tc>
                <w:tcPr>
                  <w:tcW w:w="987" w:type="dxa"/>
                  <w:tcBorders>
                    <w:top w:val="single" w:sz="4" w:space="0" w:color="auto"/>
                    <w:left w:val="single" w:sz="4" w:space="0" w:color="auto"/>
                    <w:bottom w:val="single" w:sz="4" w:space="0" w:color="auto"/>
                    <w:right w:val="single" w:sz="4" w:space="0" w:color="auto"/>
                  </w:tcBorders>
                  <w:noWrap/>
                  <w:vAlign w:val="center"/>
                </w:tcPr>
                <w:p w14:paraId="7B91CE18" w14:textId="77777777" w:rsidR="00280F1F" w:rsidRDefault="00280F1F" w:rsidP="00610813">
                  <w:pPr>
                    <w:jc w:val="center"/>
                    <w:rPr>
                      <w:rFonts w:cs="Calibri"/>
                      <w:color w:val="000000"/>
                      <w:sz w:val="20"/>
                      <w:szCs w:val="20"/>
                    </w:rPr>
                  </w:pPr>
                  <w:r>
                    <w:rPr>
                      <w:rFonts w:cs="Calibri"/>
                      <w:color w:val="000000"/>
                      <w:sz w:val="20"/>
                      <w:szCs w:val="20"/>
                    </w:rPr>
                    <w:t>1.8</w:t>
                  </w:r>
                </w:p>
              </w:tc>
              <w:tc>
                <w:tcPr>
                  <w:tcW w:w="993" w:type="dxa"/>
                  <w:tcBorders>
                    <w:top w:val="single" w:sz="4" w:space="0" w:color="auto"/>
                    <w:left w:val="single" w:sz="4" w:space="0" w:color="auto"/>
                    <w:bottom w:val="single" w:sz="4" w:space="0" w:color="auto"/>
                    <w:right w:val="single" w:sz="4" w:space="0" w:color="auto"/>
                  </w:tcBorders>
                  <w:noWrap/>
                  <w:vAlign w:val="center"/>
                </w:tcPr>
                <w:p w14:paraId="239C6EFF" w14:textId="77777777" w:rsidR="00280F1F" w:rsidRDefault="00280F1F" w:rsidP="00610813">
                  <w:pPr>
                    <w:jc w:val="center"/>
                    <w:rPr>
                      <w:rFonts w:cs="Calibri"/>
                      <w:color w:val="000000"/>
                      <w:sz w:val="20"/>
                      <w:szCs w:val="20"/>
                    </w:rPr>
                  </w:pPr>
                  <w:r>
                    <w:rPr>
                      <w:rFonts w:cs="Calibri"/>
                      <w:color w:val="000000"/>
                      <w:sz w:val="20"/>
                      <w:szCs w:val="20"/>
                    </w:rPr>
                    <w:t>1.9</w:t>
                  </w:r>
                </w:p>
              </w:tc>
              <w:tc>
                <w:tcPr>
                  <w:tcW w:w="992" w:type="dxa"/>
                  <w:tcBorders>
                    <w:top w:val="single" w:sz="4" w:space="0" w:color="auto"/>
                    <w:left w:val="single" w:sz="4" w:space="0" w:color="auto"/>
                    <w:bottom w:val="single" w:sz="4" w:space="0" w:color="auto"/>
                    <w:right w:val="single" w:sz="4" w:space="0" w:color="auto"/>
                  </w:tcBorders>
                  <w:noWrap/>
                  <w:vAlign w:val="center"/>
                </w:tcPr>
                <w:p w14:paraId="435B0547" w14:textId="77777777" w:rsidR="00280F1F" w:rsidRDefault="00280F1F" w:rsidP="00610813">
                  <w:pPr>
                    <w:jc w:val="center"/>
                    <w:rPr>
                      <w:rFonts w:cs="Calibri"/>
                      <w:color w:val="000000"/>
                      <w:sz w:val="20"/>
                      <w:szCs w:val="20"/>
                    </w:rPr>
                  </w:pPr>
                  <w:r>
                    <w:rPr>
                      <w:rFonts w:cs="Calibri"/>
                      <w:color w:val="000000"/>
                      <w:sz w:val="20"/>
                      <w:szCs w:val="20"/>
                    </w:rPr>
                    <w:t>1.9</w:t>
                  </w:r>
                </w:p>
              </w:tc>
              <w:tc>
                <w:tcPr>
                  <w:tcW w:w="855" w:type="dxa"/>
                  <w:tcBorders>
                    <w:top w:val="single" w:sz="4" w:space="0" w:color="auto"/>
                    <w:left w:val="single" w:sz="4" w:space="0" w:color="auto"/>
                    <w:bottom w:val="single" w:sz="4" w:space="0" w:color="auto"/>
                    <w:right w:val="single" w:sz="4" w:space="0" w:color="auto"/>
                  </w:tcBorders>
                  <w:noWrap/>
                  <w:vAlign w:val="center"/>
                </w:tcPr>
                <w:p w14:paraId="15E64A10" w14:textId="77777777" w:rsidR="00280F1F" w:rsidRDefault="00280F1F" w:rsidP="00610813">
                  <w:pPr>
                    <w:jc w:val="center"/>
                    <w:rPr>
                      <w:rFonts w:cs="Calibri"/>
                      <w:color w:val="000000"/>
                      <w:sz w:val="20"/>
                      <w:szCs w:val="20"/>
                    </w:rPr>
                  </w:pPr>
                  <w:r>
                    <w:rPr>
                      <w:rFonts w:cs="Calibri"/>
                      <w:color w:val="000000"/>
                      <w:sz w:val="20"/>
                      <w:szCs w:val="20"/>
                    </w:rPr>
                    <w:t>1.8</w:t>
                  </w:r>
                </w:p>
              </w:tc>
              <w:tc>
                <w:tcPr>
                  <w:tcW w:w="851" w:type="dxa"/>
                  <w:tcBorders>
                    <w:top w:val="single" w:sz="4" w:space="0" w:color="auto"/>
                    <w:left w:val="single" w:sz="4" w:space="0" w:color="auto"/>
                    <w:bottom w:val="single" w:sz="4" w:space="0" w:color="auto"/>
                    <w:right w:val="single" w:sz="4" w:space="0" w:color="auto"/>
                  </w:tcBorders>
                  <w:vAlign w:val="center"/>
                </w:tcPr>
                <w:p w14:paraId="3EB4166A" w14:textId="77777777" w:rsidR="00280F1F" w:rsidRDefault="00280F1F" w:rsidP="00610813">
                  <w:pPr>
                    <w:jc w:val="center"/>
                    <w:rPr>
                      <w:rFonts w:cs="Calibri"/>
                      <w:color w:val="000000"/>
                      <w:sz w:val="20"/>
                      <w:szCs w:val="20"/>
                    </w:rPr>
                  </w:pPr>
                  <w:r>
                    <w:rPr>
                      <w:rFonts w:cs="Calibri"/>
                      <w:color w:val="000000"/>
                      <w:sz w:val="20"/>
                      <w:szCs w:val="20"/>
                    </w:rPr>
                    <w:t>1.6</w:t>
                  </w:r>
                </w:p>
              </w:tc>
              <w:tc>
                <w:tcPr>
                  <w:tcW w:w="850" w:type="dxa"/>
                  <w:tcBorders>
                    <w:top w:val="single" w:sz="4" w:space="0" w:color="auto"/>
                    <w:left w:val="single" w:sz="4" w:space="0" w:color="auto"/>
                    <w:bottom w:val="single" w:sz="4" w:space="0" w:color="auto"/>
                    <w:right w:val="single" w:sz="4" w:space="0" w:color="auto"/>
                  </w:tcBorders>
                  <w:noWrap/>
                  <w:vAlign w:val="center"/>
                </w:tcPr>
                <w:p w14:paraId="1DCCA8BE" w14:textId="77777777" w:rsidR="00280F1F" w:rsidRDefault="00280F1F" w:rsidP="00610813">
                  <w:pPr>
                    <w:jc w:val="center"/>
                    <w:rPr>
                      <w:rFonts w:cs="Calibri"/>
                      <w:color w:val="000000"/>
                      <w:sz w:val="20"/>
                      <w:szCs w:val="20"/>
                    </w:rPr>
                  </w:pPr>
                  <w:r>
                    <w:rPr>
                      <w:rFonts w:cs="Calibri"/>
                      <w:color w:val="000000"/>
                      <w:sz w:val="20"/>
                      <w:szCs w:val="20"/>
                    </w:rPr>
                    <w:t>1.6</w:t>
                  </w:r>
                </w:p>
              </w:tc>
            </w:tr>
            <w:tr w:rsidR="00280F1F" w14:paraId="3CEEB952" w14:textId="77777777" w:rsidTr="00610813">
              <w:trPr>
                <w:trHeight w:val="280"/>
              </w:trPr>
              <w:tc>
                <w:tcPr>
                  <w:tcW w:w="1731" w:type="dxa"/>
                  <w:tcBorders>
                    <w:top w:val="single" w:sz="4" w:space="0" w:color="auto"/>
                    <w:left w:val="single" w:sz="4" w:space="0" w:color="auto"/>
                    <w:bottom w:val="single" w:sz="4" w:space="0" w:color="auto"/>
                    <w:right w:val="single" w:sz="4" w:space="0" w:color="auto"/>
                  </w:tcBorders>
                  <w:noWrap/>
                  <w:vAlign w:val="center"/>
                </w:tcPr>
                <w:p w14:paraId="6BEA5D72" w14:textId="77777777" w:rsidR="00280F1F" w:rsidRDefault="00280F1F" w:rsidP="00610813">
                  <w:pPr>
                    <w:jc w:val="center"/>
                    <w:rPr>
                      <w:rFonts w:cs="Calibri"/>
                      <w:color w:val="000000"/>
                      <w:sz w:val="20"/>
                      <w:szCs w:val="20"/>
                    </w:rPr>
                  </w:pPr>
                  <w:r>
                    <w:rPr>
                      <w:rFonts w:cs="Calibri"/>
                      <w:color w:val="000000"/>
                      <w:sz w:val="20"/>
                      <w:szCs w:val="20"/>
                    </w:rPr>
                    <w:t>Clarins</w:t>
                  </w:r>
                </w:p>
              </w:tc>
              <w:tc>
                <w:tcPr>
                  <w:tcW w:w="987" w:type="dxa"/>
                  <w:tcBorders>
                    <w:top w:val="single" w:sz="4" w:space="0" w:color="auto"/>
                    <w:left w:val="single" w:sz="4" w:space="0" w:color="auto"/>
                    <w:bottom w:val="single" w:sz="4" w:space="0" w:color="auto"/>
                    <w:right w:val="single" w:sz="4" w:space="0" w:color="auto"/>
                  </w:tcBorders>
                  <w:noWrap/>
                  <w:vAlign w:val="center"/>
                </w:tcPr>
                <w:p w14:paraId="190FC7B1" w14:textId="77777777" w:rsidR="00280F1F" w:rsidRDefault="00280F1F" w:rsidP="00610813">
                  <w:pPr>
                    <w:jc w:val="center"/>
                    <w:rPr>
                      <w:rFonts w:cs="Calibri"/>
                      <w:color w:val="000000"/>
                      <w:sz w:val="20"/>
                      <w:szCs w:val="20"/>
                    </w:rPr>
                  </w:pPr>
                  <w:r>
                    <w:rPr>
                      <w:rFonts w:cs="Calibri"/>
                      <w:color w:val="000000"/>
                      <w:sz w:val="20"/>
                      <w:szCs w:val="20"/>
                    </w:rPr>
                    <w:t>1.5</w:t>
                  </w:r>
                </w:p>
              </w:tc>
              <w:tc>
                <w:tcPr>
                  <w:tcW w:w="993" w:type="dxa"/>
                  <w:tcBorders>
                    <w:top w:val="single" w:sz="4" w:space="0" w:color="auto"/>
                    <w:left w:val="single" w:sz="4" w:space="0" w:color="auto"/>
                    <w:bottom w:val="single" w:sz="4" w:space="0" w:color="auto"/>
                    <w:right w:val="single" w:sz="4" w:space="0" w:color="auto"/>
                  </w:tcBorders>
                  <w:noWrap/>
                  <w:vAlign w:val="center"/>
                </w:tcPr>
                <w:p w14:paraId="0D6C8CB9" w14:textId="77777777" w:rsidR="00280F1F" w:rsidRDefault="00280F1F" w:rsidP="00610813">
                  <w:pPr>
                    <w:jc w:val="center"/>
                    <w:rPr>
                      <w:rFonts w:cs="Calibri"/>
                      <w:color w:val="000000"/>
                      <w:sz w:val="20"/>
                      <w:szCs w:val="20"/>
                    </w:rPr>
                  </w:pPr>
                  <w:r>
                    <w:rPr>
                      <w:rFonts w:cs="Calibri"/>
                      <w:color w:val="000000"/>
                      <w:sz w:val="20"/>
                      <w:szCs w:val="20"/>
                    </w:rPr>
                    <w:t>1.5</w:t>
                  </w:r>
                </w:p>
              </w:tc>
              <w:tc>
                <w:tcPr>
                  <w:tcW w:w="992" w:type="dxa"/>
                  <w:tcBorders>
                    <w:top w:val="single" w:sz="4" w:space="0" w:color="auto"/>
                    <w:left w:val="single" w:sz="4" w:space="0" w:color="auto"/>
                    <w:bottom w:val="single" w:sz="4" w:space="0" w:color="auto"/>
                    <w:right w:val="single" w:sz="4" w:space="0" w:color="auto"/>
                  </w:tcBorders>
                  <w:noWrap/>
                  <w:vAlign w:val="center"/>
                </w:tcPr>
                <w:p w14:paraId="185F4A42" w14:textId="77777777" w:rsidR="00280F1F" w:rsidRDefault="00280F1F" w:rsidP="00610813">
                  <w:pPr>
                    <w:jc w:val="center"/>
                    <w:rPr>
                      <w:rFonts w:cs="Calibri"/>
                      <w:color w:val="000000"/>
                      <w:sz w:val="20"/>
                      <w:szCs w:val="20"/>
                    </w:rPr>
                  </w:pPr>
                  <w:r>
                    <w:rPr>
                      <w:rFonts w:cs="Calibri"/>
                      <w:color w:val="000000"/>
                      <w:sz w:val="20"/>
                      <w:szCs w:val="20"/>
                    </w:rPr>
                    <w:t>1.4</w:t>
                  </w:r>
                </w:p>
              </w:tc>
              <w:tc>
                <w:tcPr>
                  <w:tcW w:w="855" w:type="dxa"/>
                  <w:tcBorders>
                    <w:top w:val="single" w:sz="4" w:space="0" w:color="auto"/>
                    <w:left w:val="single" w:sz="4" w:space="0" w:color="auto"/>
                    <w:bottom w:val="single" w:sz="4" w:space="0" w:color="auto"/>
                    <w:right w:val="single" w:sz="4" w:space="0" w:color="auto"/>
                  </w:tcBorders>
                  <w:noWrap/>
                  <w:vAlign w:val="center"/>
                </w:tcPr>
                <w:p w14:paraId="1AB09088" w14:textId="77777777" w:rsidR="00280F1F" w:rsidRDefault="00280F1F" w:rsidP="00610813">
                  <w:pPr>
                    <w:jc w:val="center"/>
                    <w:rPr>
                      <w:rFonts w:cs="Calibri"/>
                      <w:color w:val="000000"/>
                      <w:sz w:val="20"/>
                      <w:szCs w:val="20"/>
                    </w:rPr>
                  </w:pPr>
                  <w:r>
                    <w:rPr>
                      <w:rFonts w:cs="Calibri"/>
                      <w:color w:val="000000"/>
                      <w:sz w:val="20"/>
                      <w:szCs w:val="20"/>
                    </w:rPr>
                    <w:t>1.5</w:t>
                  </w:r>
                </w:p>
              </w:tc>
              <w:tc>
                <w:tcPr>
                  <w:tcW w:w="851" w:type="dxa"/>
                  <w:tcBorders>
                    <w:top w:val="single" w:sz="4" w:space="0" w:color="auto"/>
                    <w:left w:val="single" w:sz="4" w:space="0" w:color="auto"/>
                    <w:bottom w:val="single" w:sz="4" w:space="0" w:color="auto"/>
                    <w:right w:val="single" w:sz="4" w:space="0" w:color="auto"/>
                  </w:tcBorders>
                  <w:vAlign w:val="center"/>
                </w:tcPr>
                <w:p w14:paraId="02A580FC" w14:textId="77777777" w:rsidR="00280F1F" w:rsidRDefault="00280F1F" w:rsidP="00610813">
                  <w:pPr>
                    <w:jc w:val="center"/>
                    <w:rPr>
                      <w:rFonts w:cs="Calibri"/>
                      <w:color w:val="000000"/>
                      <w:sz w:val="20"/>
                      <w:szCs w:val="20"/>
                    </w:rPr>
                  </w:pPr>
                  <w:r>
                    <w:rPr>
                      <w:rFonts w:cs="Calibri"/>
                      <w:color w:val="000000"/>
                      <w:sz w:val="20"/>
                      <w:szCs w:val="20"/>
                    </w:rPr>
                    <w:t>1.4</w:t>
                  </w:r>
                </w:p>
              </w:tc>
              <w:tc>
                <w:tcPr>
                  <w:tcW w:w="850" w:type="dxa"/>
                  <w:tcBorders>
                    <w:top w:val="single" w:sz="4" w:space="0" w:color="auto"/>
                    <w:left w:val="single" w:sz="4" w:space="0" w:color="auto"/>
                    <w:bottom w:val="single" w:sz="4" w:space="0" w:color="auto"/>
                    <w:right w:val="single" w:sz="4" w:space="0" w:color="auto"/>
                  </w:tcBorders>
                  <w:noWrap/>
                  <w:vAlign w:val="center"/>
                </w:tcPr>
                <w:p w14:paraId="2251F347" w14:textId="77777777" w:rsidR="00280F1F" w:rsidRDefault="00280F1F" w:rsidP="00610813">
                  <w:pPr>
                    <w:jc w:val="center"/>
                    <w:rPr>
                      <w:rFonts w:cs="Calibri"/>
                      <w:color w:val="000000"/>
                      <w:sz w:val="20"/>
                      <w:szCs w:val="20"/>
                    </w:rPr>
                  </w:pPr>
                  <w:r>
                    <w:rPr>
                      <w:rFonts w:cs="Calibri"/>
                      <w:color w:val="000000"/>
                      <w:sz w:val="20"/>
                      <w:szCs w:val="20"/>
                    </w:rPr>
                    <w:t>1.4</w:t>
                  </w:r>
                </w:p>
              </w:tc>
            </w:tr>
          </w:tbl>
          <w:p w14:paraId="2D48570E" w14:textId="77777777" w:rsidR="00280F1F" w:rsidRDefault="00280F1F" w:rsidP="00610813">
            <w:pPr>
              <w:spacing w:beforeLines="20" w:before="48" w:afterLines="20" w:after="48"/>
              <w:jc w:val="center"/>
              <w:textAlignment w:val="center"/>
              <w:rPr>
                <w:rFonts w:eastAsia="楷体" w:cs="Calibri"/>
                <w:b/>
                <w:bCs/>
                <w:sz w:val="20"/>
                <w:szCs w:val="20"/>
              </w:rPr>
            </w:pPr>
          </w:p>
        </w:tc>
      </w:tr>
      <w:tr w:rsidR="00280F1F" w14:paraId="11452A7D" w14:textId="77777777" w:rsidTr="00610813">
        <w:trPr>
          <w:trHeight w:val="342"/>
        </w:trPr>
        <w:tc>
          <w:tcPr>
            <w:tcW w:w="7466" w:type="dxa"/>
            <w:tcBorders>
              <w:top w:val="single" w:sz="4" w:space="0" w:color="auto"/>
            </w:tcBorders>
            <w:tcMar>
              <w:left w:w="0" w:type="dxa"/>
              <w:right w:w="28" w:type="dxa"/>
            </w:tcMar>
            <w:vAlign w:val="center"/>
          </w:tcPr>
          <w:p w14:paraId="06695095" w14:textId="77777777" w:rsidR="00280F1F" w:rsidRDefault="00280F1F" w:rsidP="00610813">
            <w:pPr>
              <w:spacing w:line="240" w:lineRule="atLeast"/>
              <w:jc w:val="both"/>
              <w:textAlignment w:val="center"/>
              <w:rPr>
                <w:rFonts w:eastAsia="楷体" w:cs="Calibri"/>
                <w:b/>
                <w:bCs/>
                <w:sz w:val="20"/>
                <w:szCs w:val="20"/>
              </w:rPr>
            </w:pPr>
            <w:r>
              <w:rPr>
                <w:rFonts w:eastAsia="楷体" w:cs="Calibri"/>
                <w:b/>
                <w:bCs/>
                <w:sz w:val="20"/>
                <w:szCs w:val="20"/>
              </w:rPr>
              <w:t>Source:</w:t>
            </w:r>
            <w:r>
              <w:rPr>
                <w:rFonts w:eastAsia="楷体" w:cs="Calibri"/>
                <w:sz w:val="20"/>
                <w:szCs w:val="20"/>
              </w:rPr>
              <w:t xml:space="preserve"> Euromonitor</w:t>
            </w:r>
            <w:r>
              <w:rPr>
                <w:rFonts w:eastAsia="楷体" w:cs="Calibri" w:hint="eastAsia"/>
                <w:sz w:val="20"/>
                <w:szCs w:val="20"/>
              </w:rPr>
              <w:t>，</w:t>
            </w:r>
            <w:r>
              <w:rPr>
                <w:rFonts w:eastAsia="楷体" w:cs="Calibri"/>
                <w:sz w:val="20"/>
                <w:szCs w:val="20"/>
              </w:rPr>
              <w:t>HFI</w:t>
            </w:r>
          </w:p>
        </w:tc>
      </w:tr>
    </w:tbl>
    <w:p w14:paraId="257BC664" w14:textId="77777777" w:rsidR="00280F1F" w:rsidRDefault="00280F1F" w:rsidP="00280F1F">
      <w:pPr>
        <w:tabs>
          <w:tab w:val="left" w:pos="871"/>
        </w:tabs>
        <w:rPr>
          <w:rFonts w:eastAsia="楷体" w:cs="楷体"/>
          <w:b/>
          <w:bCs/>
          <w:sz w:val="22"/>
          <w:szCs w:val="22"/>
        </w:rPr>
      </w:pPr>
    </w:p>
    <w:p w14:paraId="1876C106" w14:textId="77777777" w:rsidR="00280F1F" w:rsidRDefault="00280F1F" w:rsidP="00280F1F">
      <w:pPr>
        <w:tabs>
          <w:tab w:val="left" w:pos="871"/>
        </w:tabs>
        <w:rPr>
          <w:rFonts w:eastAsia="楷体" w:cs="楷体"/>
          <w:sz w:val="22"/>
          <w:szCs w:val="22"/>
        </w:rPr>
      </w:pPr>
      <w:r>
        <w:rPr>
          <w:rFonts w:eastAsia="楷体" w:cs="楷体" w:hint="eastAsia"/>
          <w:b/>
          <w:bCs/>
          <w:sz w:val="22"/>
          <w:szCs w:val="22"/>
        </w:rPr>
        <w:t>3</w:t>
      </w:r>
      <w:r>
        <w:rPr>
          <w:rFonts w:eastAsia="楷体" w:cs="楷体" w:hint="eastAsia"/>
          <w:b/>
          <w:bCs/>
          <w:sz w:val="22"/>
          <w:szCs w:val="22"/>
        </w:rPr>
        <w:t>）</w:t>
      </w:r>
      <w:r>
        <w:rPr>
          <w:rFonts w:eastAsia="楷体" w:cs="楷体"/>
          <w:b/>
          <w:bCs/>
          <w:sz w:val="22"/>
          <w:szCs w:val="22"/>
        </w:rPr>
        <w:t>In the global high-efficacy skin care market, L</w:t>
      </w:r>
      <w:proofErr w:type="gramStart"/>
      <w:r>
        <w:rPr>
          <w:rFonts w:eastAsia="楷体" w:cs="楷体"/>
          <w:b/>
          <w:bCs/>
          <w:sz w:val="22"/>
          <w:szCs w:val="22"/>
        </w:rPr>
        <w:t>’</w:t>
      </w:r>
      <w:proofErr w:type="gramEnd"/>
      <w:r>
        <w:rPr>
          <w:rFonts w:eastAsia="楷体" w:cs="楷体"/>
          <w:b/>
          <w:bCs/>
          <w:sz w:val="22"/>
          <w:szCs w:val="22"/>
        </w:rPr>
        <w:t>Oréal Group</w:t>
      </w:r>
      <w:proofErr w:type="gramStart"/>
      <w:r>
        <w:rPr>
          <w:rFonts w:eastAsia="楷体" w:cs="楷体"/>
          <w:b/>
          <w:bCs/>
          <w:sz w:val="22"/>
          <w:szCs w:val="22"/>
        </w:rPr>
        <w:t>’</w:t>
      </w:r>
      <w:proofErr w:type="gramEnd"/>
      <w:r>
        <w:rPr>
          <w:rFonts w:eastAsia="楷体" w:cs="楷体"/>
          <w:b/>
          <w:bCs/>
          <w:sz w:val="22"/>
          <w:szCs w:val="22"/>
        </w:rPr>
        <w:t>s brands hold a significantly leading position</w:t>
      </w:r>
      <w:r>
        <w:rPr>
          <w:rFonts w:eastAsia="楷体" w:cs="楷体"/>
          <w:sz w:val="22"/>
          <w:szCs w:val="22"/>
        </w:rPr>
        <w:t>. L’Oréal Group’s brands have shown rapid growth in market share, rising from approximately 19.9% in 2019 to about 31.5% in 2024, representing a cumulative increase of 11.6 percentage points over five years, with the combined share of its brands accounting for nearly one-third of the market. Among the top five brands, the Group’s brands performed prominently: La Roche-Posay rose from 11.1% to 15.0%, firmly maintaining its first position; CeraVe achieved explosive growth from 2.7% to 11.7%, jumping to second place; Vichy slightly decreased from 6.1% to 4.8% but remained in the top five. This performance is mainly attributed to CeraVe and La Roche-Posay accurately capturing young consumers through clinically proven ingredients and social media promotion, thereby consolidating and strengthening their market positions.</w:t>
      </w:r>
    </w:p>
    <w:p w14:paraId="1ED7BCBA" w14:textId="77777777" w:rsidR="00280F1F" w:rsidRDefault="00280F1F" w:rsidP="00280F1F">
      <w:pPr>
        <w:rPr>
          <w:rFonts w:eastAsia="楷体"/>
        </w:rPr>
      </w:pPr>
    </w:p>
    <w:tbl>
      <w:tblPr>
        <w:tblW w:w="7466" w:type="dxa"/>
        <w:tblLayout w:type="fixed"/>
        <w:tblLook w:val="04A0" w:firstRow="1" w:lastRow="0" w:firstColumn="1" w:lastColumn="0" w:noHBand="0" w:noVBand="1"/>
      </w:tblPr>
      <w:tblGrid>
        <w:gridCol w:w="7466"/>
      </w:tblGrid>
      <w:tr w:rsidR="00280F1F" w14:paraId="42AC7FED" w14:textId="77777777" w:rsidTr="00610813">
        <w:trPr>
          <w:trHeight w:val="302"/>
        </w:trPr>
        <w:tc>
          <w:tcPr>
            <w:tcW w:w="7466" w:type="dxa"/>
            <w:tcBorders>
              <w:bottom w:val="single" w:sz="4" w:space="0" w:color="auto"/>
            </w:tcBorders>
            <w:tcMar>
              <w:left w:w="0" w:type="dxa"/>
              <w:right w:w="28" w:type="dxa"/>
            </w:tcMar>
          </w:tcPr>
          <w:p w14:paraId="556FF23A" w14:textId="77777777" w:rsidR="00280F1F" w:rsidRDefault="00280F1F" w:rsidP="00610813">
            <w:pPr>
              <w:spacing w:beforeLines="20" w:before="48" w:afterLines="20" w:after="48"/>
              <w:jc w:val="both"/>
              <w:textAlignment w:val="center"/>
              <w:rPr>
                <w:rFonts w:eastAsia="楷体" w:cs="Calibri"/>
                <w:b/>
                <w:sz w:val="20"/>
                <w:szCs w:val="20"/>
              </w:rPr>
            </w:pPr>
            <w:r>
              <w:rPr>
                <w:rFonts w:eastAsia="楷体" w:cs="Calibri"/>
                <w:b/>
                <w:sz w:val="20"/>
                <w:szCs w:val="20"/>
              </w:rPr>
              <w:t>Figure: Market Share of the Top 10 Brands in the Global High-Efficacy Skin Care Market, 2019–2024 (%)</w:t>
            </w:r>
          </w:p>
        </w:tc>
      </w:tr>
      <w:tr w:rsidR="00280F1F" w14:paraId="64D6295B" w14:textId="77777777" w:rsidTr="00610813">
        <w:trPr>
          <w:trHeight w:val="856"/>
        </w:trPr>
        <w:tc>
          <w:tcPr>
            <w:tcW w:w="7466" w:type="dxa"/>
            <w:tcBorders>
              <w:top w:val="single" w:sz="4" w:space="0" w:color="auto"/>
              <w:bottom w:val="single" w:sz="4" w:space="0" w:color="auto"/>
            </w:tcBorders>
            <w:vAlign w:val="center"/>
          </w:tcPr>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8"/>
              <w:gridCol w:w="992"/>
              <w:gridCol w:w="992"/>
              <w:gridCol w:w="851"/>
              <w:gridCol w:w="850"/>
              <w:gridCol w:w="851"/>
              <w:gridCol w:w="821"/>
            </w:tblGrid>
            <w:tr w:rsidR="00280F1F" w14:paraId="387DD73E" w14:textId="77777777" w:rsidTr="00610813">
              <w:trPr>
                <w:trHeight w:val="320"/>
              </w:trPr>
              <w:tc>
                <w:tcPr>
                  <w:tcW w:w="1868" w:type="dxa"/>
                  <w:shd w:val="clear" w:color="000000" w:fill="0070C0"/>
                  <w:noWrap/>
                  <w:vAlign w:val="center"/>
                </w:tcPr>
                <w:p w14:paraId="6EB46D4E" w14:textId="77777777" w:rsidR="00280F1F" w:rsidRDefault="00280F1F" w:rsidP="00610813">
                  <w:pPr>
                    <w:jc w:val="center"/>
                    <w:rPr>
                      <w:rFonts w:cs="Calibri"/>
                      <w:b/>
                      <w:bCs/>
                      <w:color w:val="FFFFFF"/>
                      <w:sz w:val="20"/>
                      <w:szCs w:val="20"/>
                    </w:rPr>
                  </w:pPr>
                  <w:r>
                    <w:rPr>
                      <w:rFonts w:cs="Calibri"/>
                      <w:b/>
                      <w:bCs/>
                      <w:color w:val="FFFFFF"/>
                      <w:sz w:val="20"/>
                      <w:szCs w:val="20"/>
                    </w:rPr>
                    <w:t>Brand Name</w:t>
                  </w:r>
                </w:p>
              </w:tc>
              <w:tc>
                <w:tcPr>
                  <w:tcW w:w="992" w:type="dxa"/>
                  <w:shd w:val="clear" w:color="000000" w:fill="0070C0"/>
                  <w:noWrap/>
                  <w:vAlign w:val="center"/>
                </w:tcPr>
                <w:p w14:paraId="1AD22ABF" w14:textId="77777777" w:rsidR="00280F1F" w:rsidRDefault="00280F1F" w:rsidP="00610813">
                  <w:pPr>
                    <w:jc w:val="center"/>
                    <w:rPr>
                      <w:rFonts w:cs="Calibri"/>
                      <w:b/>
                      <w:bCs/>
                      <w:color w:val="FFFFFF"/>
                      <w:sz w:val="20"/>
                      <w:szCs w:val="20"/>
                    </w:rPr>
                  </w:pPr>
                  <w:r>
                    <w:rPr>
                      <w:rFonts w:cs="Calibri"/>
                      <w:b/>
                      <w:bCs/>
                      <w:color w:val="FFFFFF"/>
                      <w:sz w:val="20"/>
                      <w:szCs w:val="20"/>
                    </w:rPr>
                    <w:t>2019</w:t>
                  </w:r>
                </w:p>
              </w:tc>
              <w:tc>
                <w:tcPr>
                  <w:tcW w:w="992" w:type="dxa"/>
                  <w:shd w:val="clear" w:color="000000" w:fill="0070C0"/>
                  <w:noWrap/>
                  <w:vAlign w:val="center"/>
                </w:tcPr>
                <w:p w14:paraId="0BBE99F6" w14:textId="77777777" w:rsidR="00280F1F" w:rsidRDefault="00280F1F" w:rsidP="00610813">
                  <w:pPr>
                    <w:jc w:val="center"/>
                    <w:rPr>
                      <w:rFonts w:cs="Calibri"/>
                      <w:b/>
                      <w:bCs/>
                      <w:color w:val="FFFFFF"/>
                      <w:sz w:val="20"/>
                      <w:szCs w:val="20"/>
                    </w:rPr>
                  </w:pPr>
                  <w:r>
                    <w:rPr>
                      <w:rFonts w:cs="Calibri"/>
                      <w:b/>
                      <w:bCs/>
                      <w:color w:val="FFFFFF"/>
                      <w:sz w:val="20"/>
                      <w:szCs w:val="20"/>
                    </w:rPr>
                    <w:t>2020</w:t>
                  </w:r>
                </w:p>
              </w:tc>
              <w:tc>
                <w:tcPr>
                  <w:tcW w:w="851" w:type="dxa"/>
                  <w:shd w:val="clear" w:color="000000" w:fill="0070C0"/>
                  <w:noWrap/>
                  <w:vAlign w:val="center"/>
                </w:tcPr>
                <w:p w14:paraId="2A252B2A" w14:textId="77777777" w:rsidR="00280F1F" w:rsidRDefault="00280F1F" w:rsidP="00610813">
                  <w:pPr>
                    <w:jc w:val="center"/>
                    <w:rPr>
                      <w:rFonts w:cs="Calibri"/>
                      <w:b/>
                      <w:bCs/>
                      <w:color w:val="FFFFFF"/>
                      <w:sz w:val="20"/>
                      <w:szCs w:val="20"/>
                    </w:rPr>
                  </w:pPr>
                  <w:r>
                    <w:rPr>
                      <w:rFonts w:cs="Calibri"/>
                      <w:b/>
                      <w:bCs/>
                      <w:color w:val="FFFFFF"/>
                      <w:sz w:val="20"/>
                      <w:szCs w:val="20"/>
                    </w:rPr>
                    <w:t>2021</w:t>
                  </w:r>
                </w:p>
              </w:tc>
              <w:tc>
                <w:tcPr>
                  <w:tcW w:w="850" w:type="dxa"/>
                  <w:shd w:val="clear" w:color="000000" w:fill="0070C0"/>
                  <w:noWrap/>
                  <w:vAlign w:val="center"/>
                </w:tcPr>
                <w:p w14:paraId="6EF5B7F5" w14:textId="77777777" w:rsidR="00280F1F" w:rsidRDefault="00280F1F" w:rsidP="00610813">
                  <w:pPr>
                    <w:jc w:val="center"/>
                    <w:rPr>
                      <w:rFonts w:cs="Calibri"/>
                      <w:b/>
                      <w:bCs/>
                      <w:color w:val="FFFFFF"/>
                      <w:sz w:val="20"/>
                      <w:szCs w:val="20"/>
                    </w:rPr>
                  </w:pPr>
                  <w:r>
                    <w:rPr>
                      <w:rFonts w:cs="Calibri"/>
                      <w:b/>
                      <w:bCs/>
                      <w:color w:val="FFFFFF"/>
                      <w:sz w:val="20"/>
                      <w:szCs w:val="20"/>
                    </w:rPr>
                    <w:t>2022</w:t>
                  </w:r>
                </w:p>
              </w:tc>
              <w:tc>
                <w:tcPr>
                  <w:tcW w:w="851" w:type="dxa"/>
                  <w:shd w:val="clear" w:color="000000" w:fill="0070C0"/>
                  <w:vAlign w:val="center"/>
                </w:tcPr>
                <w:p w14:paraId="639F19B4" w14:textId="77777777" w:rsidR="00280F1F" w:rsidRDefault="00280F1F" w:rsidP="00610813">
                  <w:pPr>
                    <w:jc w:val="center"/>
                    <w:rPr>
                      <w:rFonts w:cs="Calibri"/>
                      <w:b/>
                      <w:bCs/>
                      <w:color w:val="FFFFFF"/>
                      <w:sz w:val="20"/>
                      <w:szCs w:val="20"/>
                    </w:rPr>
                  </w:pPr>
                  <w:r>
                    <w:rPr>
                      <w:rFonts w:cs="Calibri"/>
                      <w:b/>
                      <w:bCs/>
                      <w:color w:val="FFFFFF"/>
                      <w:sz w:val="20"/>
                      <w:szCs w:val="20"/>
                    </w:rPr>
                    <w:t>2023</w:t>
                  </w:r>
                </w:p>
              </w:tc>
              <w:tc>
                <w:tcPr>
                  <w:tcW w:w="821" w:type="dxa"/>
                  <w:shd w:val="clear" w:color="000000" w:fill="0070C0"/>
                  <w:noWrap/>
                  <w:vAlign w:val="center"/>
                </w:tcPr>
                <w:p w14:paraId="69A9F737" w14:textId="77777777" w:rsidR="00280F1F" w:rsidRDefault="00280F1F" w:rsidP="00610813">
                  <w:pPr>
                    <w:jc w:val="center"/>
                    <w:rPr>
                      <w:rFonts w:cs="Calibri"/>
                      <w:b/>
                      <w:bCs/>
                      <w:color w:val="FFFFFF"/>
                      <w:sz w:val="20"/>
                      <w:szCs w:val="20"/>
                    </w:rPr>
                  </w:pPr>
                  <w:r>
                    <w:rPr>
                      <w:rFonts w:cs="Calibri"/>
                      <w:b/>
                      <w:bCs/>
                      <w:color w:val="FFFFFF"/>
                      <w:sz w:val="20"/>
                      <w:szCs w:val="20"/>
                    </w:rPr>
                    <w:t>2024</w:t>
                  </w:r>
                </w:p>
              </w:tc>
            </w:tr>
            <w:tr w:rsidR="00280F1F" w14:paraId="75788090" w14:textId="77777777" w:rsidTr="00610813">
              <w:trPr>
                <w:trHeight w:val="320"/>
              </w:trPr>
              <w:tc>
                <w:tcPr>
                  <w:tcW w:w="1868" w:type="dxa"/>
                  <w:noWrap/>
                  <w:vAlign w:val="center"/>
                </w:tcPr>
                <w:p w14:paraId="4EB72C55" w14:textId="77777777" w:rsidR="00280F1F" w:rsidRDefault="00280F1F" w:rsidP="00610813">
                  <w:pPr>
                    <w:jc w:val="center"/>
                    <w:rPr>
                      <w:rFonts w:cs="Calibri"/>
                      <w:color w:val="000000"/>
                      <w:sz w:val="20"/>
                      <w:szCs w:val="20"/>
                    </w:rPr>
                  </w:pPr>
                  <w:r>
                    <w:rPr>
                      <w:rFonts w:cs="Calibri"/>
                      <w:color w:val="000000"/>
                      <w:sz w:val="20"/>
                      <w:szCs w:val="20"/>
                    </w:rPr>
                    <w:t xml:space="preserve">La Roche-Posay </w:t>
                  </w:r>
                </w:p>
              </w:tc>
              <w:tc>
                <w:tcPr>
                  <w:tcW w:w="992" w:type="dxa"/>
                  <w:noWrap/>
                  <w:vAlign w:val="center"/>
                </w:tcPr>
                <w:p w14:paraId="642C854E" w14:textId="77777777" w:rsidR="00280F1F" w:rsidRDefault="00280F1F" w:rsidP="00610813">
                  <w:pPr>
                    <w:jc w:val="center"/>
                    <w:rPr>
                      <w:rFonts w:cs="Calibri"/>
                      <w:color w:val="000000"/>
                      <w:sz w:val="20"/>
                      <w:szCs w:val="20"/>
                    </w:rPr>
                  </w:pPr>
                  <w:r>
                    <w:rPr>
                      <w:rFonts w:cs="Calibri"/>
                      <w:color w:val="000000"/>
                      <w:sz w:val="20"/>
                      <w:szCs w:val="20"/>
                    </w:rPr>
                    <w:t>11.1</w:t>
                  </w:r>
                </w:p>
              </w:tc>
              <w:tc>
                <w:tcPr>
                  <w:tcW w:w="992" w:type="dxa"/>
                  <w:noWrap/>
                  <w:vAlign w:val="center"/>
                </w:tcPr>
                <w:p w14:paraId="1B02E5AB" w14:textId="77777777" w:rsidR="00280F1F" w:rsidRDefault="00280F1F" w:rsidP="00610813">
                  <w:pPr>
                    <w:jc w:val="center"/>
                    <w:rPr>
                      <w:rFonts w:cs="Calibri"/>
                      <w:color w:val="000000"/>
                      <w:sz w:val="20"/>
                      <w:szCs w:val="20"/>
                    </w:rPr>
                  </w:pPr>
                  <w:r>
                    <w:rPr>
                      <w:rFonts w:cs="Calibri"/>
                      <w:color w:val="000000"/>
                      <w:sz w:val="20"/>
                      <w:szCs w:val="20"/>
                    </w:rPr>
                    <w:t>10.9</w:t>
                  </w:r>
                </w:p>
              </w:tc>
              <w:tc>
                <w:tcPr>
                  <w:tcW w:w="851" w:type="dxa"/>
                  <w:noWrap/>
                  <w:vAlign w:val="center"/>
                </w:tcPr>
                <w:p w14:paraId="59318CEA" w14:textId="77777777" w:rsidR="00280F1F" w:rsidRDefault="00280F1F" w:rsidP="00610813">
                  <w:pPr>
                    <w:jc w:val="center"/>
                    <w:rPr>
                      <w:rFonts w:cs="Calibri"/>
                      <w:color w:val="000000"/>
                      <w:sz w:val="20"/>
                      <w:szCs w:val="20"/>
                    </w:rPr>
                  </w:pPr>
                  <w:r>
                    <w:rPr>
                      <w:rFonts w:cs="Calibri"/>
                      <w:color w:val="000000"/>
                      <w:sz w:val="20"/>
                      <w:szCs w:val="20"/>
                    </w:rPr>
                    <w:t>11.6</w:t>
                  </w:r>
                </w:p>
              </w:tc>
              <w:tc>
                <w:tcPr>
                  <w:tcW w:w="850" w:type="dxa"/>
                  <w:noWrap/>
                  <w:vAlign w:val="center"/>
                </w:tcPr>
                <w:p w14:paraId="5CF7C4E6" w14:textId="77777777" w:rsidR="00280F1F" w:rsidRDefault="00280F1F" w:rsidP="00610813">
                  <w:pPr>
                    <w:jc w:val="center"/>
                    <w:rPr>
                      <w:rFonts w:cs="Calibri"/>
                      <w:color w:val="000000"/>
                      <w:sz w:val="20"/>
                      <w:szCs w:val="20"/>
                    </w:rPr>
                  </w:pPr>
                  <w:r>
                    <w:rPr>
                      <w:rFonts w:cs="Calibri"/>
                      <w:color w:val="000000"/>
                      <w:sz w:val="20"/>
                      <w:szCs w:val="20"/>
                    </w:rPr>
                    <w:t>12.2</w:t>
                  </w:r>
                </w:p>
              </w:tc>
              <w:tc>
                <w:tcPr>
                  <w:tcW w:w="851" w:type="dxa"/>
                  <w:vAlign w:val="center"/>
                </w:tcPr>
                <w:p w14:paraId="284987DE" w14:textId="77777777" w:rsidR="00280F1F" w:rsidRDefault="00280F1F" w:rsidP="00610813">
                  <w:pPr>
                    <w:jc w:val="center"/>
                    <w:rPr>
                      <w:rFonts w:cs="Calibri"/>
                      <w:color w:val="000000"/>
                      <w:sz w:val="20"/>
                      <w:szCs w:val="20"/>
                    </w:rPr>
                  </w:pPr>
                  <w:r>
                    <w:rPr>
                      <w:rFonts w:cs="Calibri"/>
                      <w:color w:val="000000"/>
                      <w:sz w:val="20"/>
                      <w:szCs w:val="20"/>
                    </w:rPr>
                    <w:t>14.1</w:t>
                  </w:r>
                </w:p>
              </w:tc>
              <w:tc>
                <w:tcPr>
                  <w:tcW w:w="821" w:type="dxa"/>
                  <w:noWrap/>
                  <w:vAlign w:val="center"/>
                </w:tcPr>
                <w:p w14:paraId="27EE2119" w14:textId="77777777" w:rsidR="00280F1F" w:rsidRDefault="00280F1F" w:rsidP="00610813">
                  <w:pPr>
                    <w:jc w:val="center"/>
                    <w:rPr>
                      <w:rFonts w:cs="Calibri"/>
                      <w:color w:val="000000"/>
                      <w:sz w:val="20"/>
                      <w:szCs w:val="20"/>
                    </w:rPr>
                  </w:pPr>
                  <w:r>
                    <w:rPr>
                      <w:rFonts w:cs="Calibri"/>
                      <w:color w:val="000000"/>
                      <w:sz w:val="20"/>
                      <w:szCs w:val="20"/>
                    </w:rPr>
                    <w:t>15</w:t>
                  </w:r>
                </w:p>
              </w:tc>
            </w:tr>
            <w:tr w:rsidR="00280F1F" w14:paraId="78A1ED66" w14:textId="77777777" w:rsidTr="00610813">
              <w:trPr>
                <w:trHeight w:val="320"/>
              </w:trPr>
              <w:tc>
                <w:tcPr>
                  <w:tcW w:w="1868" w:type="dxa"/>
                  <w:noWrap/>
                  <w:vAlign w:val="center"/>
                </w:tcPr>
                <w:p w14:paraId="2AE91544" w14:textId="77777777" w:rsidR="00280F1F" w:rsidRDefault="00280F1F" w:rsidP="00610813">
                  <w:pPr>
                    <w:jc w:val="center"/>
                    <w:rPr>
                      <w:rFonts w:cs="Calibri"/>
                      <w:color w:val="000000"/>
                      <w:sz w:val="20"/>
                      <w:szCs w:val="20"/>
                    </w:rPr>
                  </w:pPr>
                  <w:r>
                    <w:rPr>
                      <w:rFonts w:cs="Calibri"/>
                      <w:color w:val="000000"/>
                      <w:sz w:val="20"/>
                      <w:szCs w:val="20"/>
                    </w:rPr>
                    <w:t>CeraVe</w:t>
                  </w:r>
                </w:p>
              </w:tc>
              <w:tc>
                <w:tcPr>
                  <w:tcW w:w="992" w:type="dxa"/>
                  <w:noWrap/>
                  <w:vAlign w:val="center"/>
                </w:tcPr>
                <w:p w14:paraId="4AE19C68" w14:textId="77777777" w:rsidR="00280F1F" w:rsidRDefault="00280F1F" w:rsidP="00610813">
                  <w:pPr>
                    <w:jc w:val="center"/>
                    <w:rPr>
                      <w:rFonts w:cs="Calibri"/>
                      <w:color w:val="000000"/>
                      <w:sz w:val="20"/>
                      <w:szCs w:val="20"/>
                    </w:rPr>
                  </w:pPr>
                  <w:r>
                    <w:rPr>
                      <w:rFonts w:cs="Calibri"/>
                      <w:color w:val="000000"/>
                      <w:sz w:val="20"/>
                      <w:szCs w:val="20"/>
                    </w:rPr>
                    <w:t>2.7</w:t>
                  </w:r>
                </w:p>
              </w:tc>
              <w:tc>
                <w:tcPr>
                  <w:tcW w:w="992" w:type="dxa"/>
                  <w:noWrap/>
                  <w:vAlign w:val="center"/>
                </w:tcPr>
                <w:p w14:paraId="4C3A1F4B" w14:textId="77777777" w:rsidR="00280F1F" w:rsidRDefault="00280F1F" w:rsidP="00610813">
                  <w:pPr>
                    <w:jc w:val="center"/>
                    <w:rPr>
                      <w:rFonts w:cs="Calibri"/>
                      <w:color w:val="000000"/>
                      <w:sz w:val="20"/>
                      <w:szCs w:val="20"/>
                    </w:rPr>
                  </w:pPr>
                  <w:r>
                    <w:rPr>
                      <w:rFonts w:cs="Calibri"/>
                      <w:color w:val="000000"/>
                      <w:sz w:val="20"/>
                      <w:szCs w:val="20"/>
                    </w:rPr>
                    <w:t>5.3</w:t>
                  </w:r>
                </w:p>
              </w:tc>
              <w:tc>
                <w:tcPr>
                  <w:tcW w:w="851" w:type="dxa"/>
                  <w:noWrap/>
                  <w:vAlign w:val="center"/>
                </w:tcPr>
                <w:p w14:paraId="6CCF4E18" w14:textId="77777777" w:rsidR="00280F1F" w:rsidRDefault="00280F1F" w:rsidP="00610813">
                  <w:pPr>
                    <w:jc w:val="center"/>
                    <w:rPr>
                      <w:rFonts w:cs="Calibri"/>
                      <w:color w:val="000000"/>
                      <w:sz w:val="20"/>
                      <w:szCs w:val="20"/>
                    </w:rPr>
                  </w:pPr>
                  <w:r>
                    <w:rPr>
                      <w:rFonts w:cs="Calibri"/>
                      <w:color w:val="000000"/>
                      <w:sz w:val="20"/>
                      <w:szCs w:val="20"/>
                    </w:rPr>
                    <w:t>7.5</w:t>
                  </w:r>
                </w:p>
              </w:tc>
              <w:tc>
                <w:tcPr>
                  <w:tcW w:w="850" w:type="dxa"/>
                  <w:noWrap/>
                  <w:vAlign w:val="center"/>
                </w:tcPr>
                <w:p w14:paraId="67F3E45B" w14:textId="77777777" w:rsidR="00280F1F" w:rsidRDefault="00280F1F" w:rsidP="00610813">
                  <w:pPr>
                    <w:jc w:val="center"/>
                    <w:rPr>
                      <w:rFonts w:cs="Calibri"/>
                      <w:color w:val="000000"/>
                      <w:sz w:val="20"/>
                      <w:szCs w:val="20"/>
                    </w:rPr>
                  </w:pPr>
                  <w:r>
                    <w:rPr>
                      <w:rFonts w:cs="Calibri"/>
                      <w:color w:val="000000"/>
                      <w:sz w:val="20"/>
                      <w:szCs w:val="20"/>
                    </w:rPr>
                    <w:t>9.4</w:t>
                  </w:r>
                </w:p>
              </w:tc>
              <w:tc>
                <w:tcPr>
                  <w:tcW w:w="851" w:type="dxa"/>
                  <w:vAlign w:val="center"/>
                </w:tcPr>
                <w:p w14:paraId="128C57CB" w14:textId="77777777" w:rsidR="00280F1F" w:rsidRDefault="00280F1F" w:rsidP="00610813">
                  <w:pPr>
                    <w:jc w:val="center"/>
                    <w:rPr>
                      <w:rFonts w:cs="Calibri"/>
                      <w:color w:val="000000"/>
                      <w:sz w:val="20"/>
                      <w:szCs w:val="20"/>
                    </w:rPr>
                  </w:pPr>
                  <w:r>
                    <w:rPr>
                      <w:rFonts w:cs="Calibri"/>
                      <w:color w:val="000000"/>
                      <w:sz w:val="20"/>
                      <w:szCs w:val="20"/>
                    </w:rPr>
                    <w:t>11.4</w:t>
                  </w:r>
                </w:p>
              </w:tc>
              <w:tc>
                <w:tcPr>
                  <w:tcW w:w="821" w:type="dxa"/>
                  <w:noWrap/>
                  <w:vAlign w:val="center"/>
                </w:tcPr>
                <w:p w14:paraId="2D10CD54" w14:textId="77777777" w:rsidR="00280F1F" w:rsidRDefault="00280F1F" w:rsidP="00610813">
                  <w:pPr>
                    <w:jc w:val="center"/>
                    <w:rPr>
                      <w:rFonts w:cs="Calibri"/>
                      <w:color w:val="000000"/>
                      <w:sz w:val="20"/>
                      <w:szCs w:val="20"/>
                    </w:rPr>
                  </w:pPr>
                  <w:r>
                    <w:rPr>
                      <w:rFonts w:cs="Calibri"/>
                      <w:color w:val="000000"/>
                      <w:sz w:val="20"/>
                      <w:szCs w:val="20"/>
                    </w:rPr>
                    <w:t>11.7</w:t>
                  </w:r>
                </w:p>
              </w:tc>
            </w:tr>
            <w:tr w:rsidR="00280F1F" w14:paraId="00FDAB0E" w14:textId="77777777" w:rsidTr="00610813">
              <w:trPr>
                <w:trHeight w:val="320"/>
              </w:trPr>
              <w:tc>
                <w:tcPr>
                  <w:tcW w:w="1868" w:type="dxa"/>
                  <w:noWrap/>
                  <w:vAlign w:val="center"/>
                </w:tcPr>
                <w:p w14:paraId="771D52BE" w14:textId="77777777" w:rsidR="00280F1F" w:rsidRDefault="00280F1F" w:rsidP="00610813">
                  <w:pPr>
                    <w:jc w:val="center"/>
                    <w:rPr>
                      <w:rFonts w:cs="Calibri"/>
                      <w:color w:val="000000"/>
                      <w:sz w:val="20"/>
                      <w:szCs w:val="20"/>
                    </w:rPr>
                  </w:pPr>
                  <w:r>
                    <w:rPr>
                      <w:rFonts w:cs="Calibri"/>
                      <w:color w:val="000000"/>
                      <w:sz w:val="20"/>
                      <w:szCs w:val="20"/>
                    </w:rPr>
                    <w:t>Neutrogena</w:t>
                  </w:r>
                </w:p>
              </w:tc>
              <w:tc>
                <w:tcPr>
                  <w:tcW w:w="992" w:type="dxa"/>
                  <w:noWrap/>
                  <w:vAlign w:val="center"/>
                </w:tcPr>
                <w:p w14:paraId="3AFC4A6B" w14:textId="77777777" w:rsidR="00280F1F" w:rsidRDefault="00280F1F" w:rsidP="00610813">
                  <w:pPr>
                    <w:jc w:val="center"/>
                    <w:rPr>
                      <w:rFonts w:cs="Calibri"/>
                      <w:color w:val="000000"/>
                      <w:sz w:val="20"/>
                      <w:szCs w:val="20"/>
                    </w:rPr>
                  </w:pPr>
                  <w:r>
                    <w:rPr>
                      <w:rFonts w:cs="Calibri"/>
                      <w:color w:val="000000"/>
                      <w:sz w:val="20"/>
                      <w:szCs w:val="20"/>
                    </w:rPr>
                    <w:t>-</w:t>
                  </w:r>
                </w:p>
              </w:tc>
              <w:tc>
                <w:tcPr>
                  <w:tcW w:w="992" w:type="dxa"/>
                  <w:noWrap/>
                  <w:vAlign w:val="center"/>
                </w:tcPr>
                <w:p w14:paraId="7BBFCD66" w14:textId="77777777" w:rsidR="00280F1F" w:rsidRDefault="00280F1F" w:rsidP="00610813">
                  <w:pPr>
                    <w:jc w:val="center"/>
                    <w:rPr>
                      <w:rFonts w:cs="Calibri"/>
                      <w:color w:val="000000"/>
                      <w:sz w:val="20"/>
                      <w:szCs w:val="20"/>
                    </w:rPr>
                  </w:pPr>
                  <w:r>
                    <w:rPr>
                      <w:rFonts w:cs="Calibri"/>
                      <w:color w:val="000000"/>
                      <w:sz w:val="20"/>
                      <w:szCs w:val="20"/>
                    </w:rPr>
                    <w:t>-</w:t>
                  </w:r>
                </w:p>
              </w:tc>
              <w:tc>
                <w:tcPr>
                  <w:tcW w:w="851" w:type="dxa"/>
                  <w:noWrap/>
                  <w:vAlign w:val="center"/>
                </w:tcPr>
                <w:p w14:paraId="0837BCCA" w14:textId="77777777" w:rsidR="00280F1F" w:rsidRDefault="00280F1F" w:rsidP="00610813">
                  <w:pPr>
                    <w:jc w:val="center"/>
                    <w:rPr>
                      <w:rFonts w:cs="Calibri"/>
                      <w:color w:val="000000"/>
                      <w:sz w:val="20"/>
                      <w:szCs w:val="20"/>
                    </w:rPr>
                  </w:pPr>
                  <w:r>
                    <w:rPr>
                      <w:rFonts w:cs="Calibri"/>
                      <w:color w:val="000000"/>
                      <w:sz w:val="20"/>
                      <w:szCs w:val="20"/>
                    </w:rPr>
                    <w:t>-</w:t>
                  </w:r>
                </w:p>
              </w:tc>
              <w:tc>
                <w:tcPr>
                  <w:tcW w:w="850" w:type="dxa"/>
                  <w:noWrap/>
                  <w:vAlign w:val="center"/>
                </w:tcPr>
                <w:p w14:paraId="5D52593D" w14:textId="77777777" w:rsidR="00280F1F" w:rsidRDefault="00280F1F" w:rsidP="00610813">
                  <w:pPr>
                    <w:jc w:val="center"/>
                    <w:rPr>
                      <w:rFonts w:cs="Calibri"/>
                      <w:color w:val="000000"/>
                      <w:sz w:val="20"/>
                      <w:szCs w:val="20"/>
                    </w:rPr>
                  </w:pPr>
                  <w:r>
                    <w:rPr>
                      <w:rFonts w:cs="Calibri"/>
                      <w:color w:val="000000"/>
                      <w:sz w:val="20"/>
                      <w:szCs w:val="20"/>
                    </w:rPr>
                    <w:t>-</w:t>
                  </w:r>
                </w:p>
              </w:tc>
              <w:tc>
                <w:tcPr>
                  <w:tcW w:w="851" w:type="dxa"/>
                  <w:vAlign w:val="center"/>
                </w:tcPr>
                <w:p w14:paraId="3B365A6B" w14:textId="77777777" w:rsidR="00280F1F" w:rsidRDefault="00280F1F" w:rsidP="00610813">
                  <w:pPr>
                    <w:jc w:val="center"/>
                    <w:rPr>
                      <w:rFonts w:cs="Calibri"/>
                      <w:color w:val="000000"/>
                      <w:sz w:val="20"/>
                      <w:szCs w:val="20"/>
                    </w:rPr>
                  </w:pPr>
                  <w:r>
                    <w:rPr>
                      <w:rFonts w:cs="Calibri"/>
                      <w:color w:val="000000"/>
                      <w:sz w:val="20"/>
                      <w:szCs w:val="20"/>
                    </w:rPr>
                    <w:t>9.9</w:t>
                  </w:r>
                </w:p>
              </w:tc>
              <w:tc>
                <w:tcPr>
                  <w:tcW w:w="821" w:type="dxa"/>
                  <w:noWrap/>
                  <w:vAlign w:val="center"/>
                </w:tcPr>
                <w:p w14:paraId="2F378BDF" w14:textId="77777777" w:rsidR="00280F1F" w:rsidRDefault="00280F1F" w:rsidP="00610813">
                  <w:pPr>
                    <w:jc w:val="center"/>
                    <w:rPr>
                      <w:rFonts w:cs="Calibri"/>
                      <w:color w:val="000000"/>
                      <w:sz w:val="20"/>
                      <w:szCs w:val="20"/>
                    </w:rPr>
                  </w:pPr>
                  <w:r>
                    <w:rPr>
                      <w:rFonts w:cs="Calibri"/>
                      <w:color w:val="000000"/>
                      <w:sz w:val="20"/>
                      <w:szCs w:val="20"/>
                    </w:rPr>
                    <w:t>9</w:t>
                  </w:r>
                </w:p>
              </w:tc>
            </w:tr>
            <w:tr w:rsidR="00280F1F" w14:paraId="14314B45" w14:textId="77777777" w:rsidTr="00610813">
              <w:trPr>
                <w:trHeight w:val="320"/>
              </w:trPr>
              <w:tc>
                <w:tcPr>
                  <w:tcW w:w="1868" w:type="dxa"/>
                  <w:noWrap/>
                  <w:vAlign w:val="center"/>
                </w:tcPr>
                <w:p w14:paraId="1E97DEAD" w14:textId="77777777" w:rsidR="00280F1F" w:rsidRDefault="00280F1F" w:rsidP="00610813">
                  <w:pPr>
                    <w:jc w:val="center"/>
                    <w:rPr>
                      <w:rFonts w:cs="Calibri"/>
                      <w:color w:val="000000"/>
                      <w:sz w:val="20"/>
                      <w:szCs w:val="20"/>
                    </w:rPr>
                  </w:pPr>
                  <w:r>
                    <w:rPr>
                      <w:rFonts w:cs="Calibri"/>
                      <w:color w:val="000000"/>
                      <w:sz w:val="20"/>
                      <w:szCs w:val="20"/>
                    </w:rPr>
                    <w:t>Vichy</w:t>
                  </w:r>
                </w:p>
              </w:tc>
              <w:tc>
                <w:tcPr>
                  <w:tcW w:w="992" w:type="dxa"/>
                  <w:noWrap/>
                  <w:vAlign w:val="center"/>
                </w:tcPr>
                <w:p w14:paraId="43465B3B" w14:textId="77777777" w:rsidR="00280F1F" w:rsidRDefault="00280F1F" w:rsidP="00610813">
                  <w:pPr>
                    <w:jc w:val="center"/>
                    <w:rPr>
                      <w:rFonts w:cs="Calibri"/>
                      <w:color w:val="000000"/>
                      <w:sz w:val="20"/>
                      <w:szCs w:val="20"/>
                    </w:rPr>
                  </w:pPr>
                  <w:r>
                    <w:rPr>
                      <w:rFonts w:cs="Calibri"/>
                      <w:color w:val="000000"/>
                      <w:sz w:val="20"/>
                      <w:szCs w:val="20"/>
                    </w:rPr>
                    <w:t>6.1</w:t>
                  </w:r>
                </w:p>
              </w:tc>
              <w:tc>
                <w:tcPr>
                  <w:tcW w:w="992" w:type="dxa"/>
                  <w:noWrap/>
                  <w:vAlign w:val="center"/>
                </w:tcPr>
                <w:p w14:paraId="7D26B73E" w14:textId="77777777" w:rsidR="00280F1F" w:rsidRDefault="00280F1F" w:rsidP="00610813">
                  <w:pPr>
                    <w:jc w:val="center"/>
                    <w:rPr>
                      <w:rFonts w:cs="Calibri"/>
                      <w:color w:val="000000"/>
                      <w:sz w:val="20"/>
                      <w:szCs w:val="20"/>
                    </w:rPr>
                  </w:pPr>
                  <w:r>
                    <w:rPr>
                      <w:rFonts w:cs="Calibri"/>
                      <w:color w:val="000000"/>
                      <w:sz w:val="20"/>
                      <w:szCs w:val="20"/>
                    </w:rPr>
                    <w:t>5.6</w:t>
                  </w:r>
                </w:p>
              </w:tc>
              <w:tc>
                <w:tcPr>
                  <w:tcW w:w="851" w:type="dxa"/>
                  <w:noWrap/>
                  <w:vAlign w:val="center"/>
                </w:tcPr>
                <w:p w14:paraId="5150AEB9" w14:textId="77777777" w:rsidR="00280F1F" w:rsidRDefault="00280F1F" w:rsidP="00610813">
                  <w:pPr>
                    <w:jc w:val="center"/>
                    <w:rPr>
                      <w:rFonts w:cs="Calibri"/>
                      <w:color w:val="000000"/>
                      <w:sz w:val="20"/>
                      <w:szCs w:val="20"/>
                    </w:rPr>
                  </w:pPr>
                  <w:r>
                    <w:rPr>
                      <w:rFonts w:cs="Calibri"/>
                      <w:color w:val="000000"/>
                      <w:sz w:val="20"/>
                      <w:szCs w:val="20"/>
                    </w:rPr>
                    <w:t>5.1</w:t>
                  </w:r>
                </w:p>
              </w:tc>
              <w:tc>
                <w:tcPr>
                  <w:tcW w:w="850" w:type="dxa"/>
                  <w:noWrap/>
                  <w:vAlign w:val="center"/>
                </w:tcPr>
                <w:p w14:paraId="1F4BC9F3" w14:textId="77777777" w:rsidR="00280F1F" w:rsidRDefault="00280F1F" w:rsidP="00610813">
                  <w:pPr>
                    <w:jc w:val="center"/>
                    <w:rPr>
                      <w:rFonts w:cs="Calibri"/>
                      <w:color w:val="000000"/>
                      <w:sz w:val="20"/>
                      <w:szCs w:val="20"/>
                    </w:rPr>
                  </w:pPr>
                  <w:r>
                    <w:rPr>
                      <w:rFonts w:cs="Calibri"/>
                      <w:color w:val="000000"/>
                      <w:sz w:val="20"/>
                      <w:szCs w:val="20"/>
                    </w:rPr>
                    <w:t>4.7</w:t>
                  </w:r>
                </w:p>
              </w:tc>
              <w:tc>
                <w:tcPr>
                  <w:tcW w:w="851" w:type="dxa"/>
                  <w:vAlign w:val="center"/>
                </w:tcPr>
                <w:p w14:paraId="398F217B" w14:textId="77777777" w:rsidR="00280F1F" w:rsidRDefault="00280F1F" w:rsidP="00610813">
                  <w:pPr>
                    <w:jc w:val="center"/>
                    <w:rPr>
                      <w:rFonts w:cs="Calibri"/>
                      <w:color w:val="000000"/>
                      <w:sz w:val="20"/>
                      <w:szCs w:val="20"/>
                    </w:rPr>
                  </w:pPr>
                  <w:r>
                    <w:rPr>
                      <w:rFonts w:cs="Calibri"/>
                      <w:color w:val="000000"/>
                      <w:sz w:val="20"/>
                      <w:szCs w:val="20"/>
                    </w:rPr>
                    <w:t>4.6</w:t>
                  </w:r>
                </w:p>
              </w:tc>
              <w:tc>
                <w:tcPr>
                  <w:tcW w:w="821" w:type="dxa"/>
                  <w:noWrap/>
                  <w:vAlign w:val="center"/>
                </w:tcPr>
                <w:p w14:paraId="430439FC" w14:textId="77777777" w:rsidR="00280F1F" w:rsidRDefault="00280F1F" w:rsidP="00610813">
                  <w:pPr>
                    <w:jc w:val="center"/>
                    <w:rPr>
                      <w:rFonts w:cs="Calibri"/>
                      <w:color w:val="000000"/>
                      <w:sz w:val="20"/>
                      <w:szCs w:val="20"/>
                    </w:rPr>
                  </w:pPr>
                  <w:r>
                    <w:rPr>
                      <w:rFonts w:cs="Calibri"/>
                      <w:color w:val="000000"/>
                      <w:sz w:val="20"/>
                      <w:szCs w:val="20"/>
                    </w:rPr>
                    <w:t>4.8</w:t>
                  </w:r>
                </w:p>
              </w:tc>
            </w:tr>
            <w:tr w:rsidR="00280F1F" w14:paraId="5584D5E4" w14:textId="77777777" w:rsidTr="00610813">
              <w:trPr>
                <w:trHeight w:val="320"/>
              </w:trPr>
              <w:tc>
                <w:tcPr>
                  <w:tcW w:w="1868" w:type="dxa"/>
                  <w:noWrap/>
                  <w:vAlign w:val="center"/>
                </w:tcPr>
                <w:p w14:paraId="42215DEC" w14:textId="77777777" w:rsidR="00280F1F" w:rsidRDefault="00280F1F" w:rsidP="00610813">
                  <w:pPr>
                    <w:jc w:val="center"/>
                    <w:rPr>
                      <w:rFonts w:cs="Calibri"/>
                      <w:color w:val="000000"/>
                      <w:sz w:val="20"/>
                      <w:szCs w:val="20"/>
                    </w:rPr>
                  </w:pPr>
                  <w:r>
                    <w:rPr>
                      <w:rFonts w:cs="Calibri"/>
                      <w:color w:val="000000"/>
                      <w:sz w:val="20"/>
                      <w:szCs w:val="20"/>
                    </w:rPr>
                    <w:t>Avene</w:t>
                  </w:r>
                </w:p>
              </w:tc>
              <w:tc>
                <w:tcPr>
                  <w:tcW w:w="992" w:type="dxa"/>
                  <w:noWrap/>
                  <w:vAlign w:val="center"/>
                </w:tcPr>
                <w:p w14:paraId="151D07FF" w14:textId="77777777" w:rsidR="00280F1F" w:rsidRDefault="00280F1F" w:rsidP="00610813">
                  <w:pPr>
                    <w:jc w:val="center"/>
                    <w:rPr>
                      <w:rFonts w:cs="Calibri"/>
                      <w:color w:val="000000"/>
                      <w:sz w:val="20"/>
                      <w:szCs w:val="20"/>
                    </w:rPr>
                  </w:pPr>
                  <w:r>
                    <w:rPr>
                      <w:rFonts w:cs="Calibri"/>
                      <w:color w:val="000000"/>
                      <w:sz w:val="20"/>
                      <w:szCs w:val="20"/>
                    </w:rPr>
                    <w:t>6.7</w:t>
                  </w:r>
                </w:p>
              </w:tc>
              <w:tc>
                <w:tcPr>
                  <w:tcW w:w="992" w:type="dxa"/>
                  <w:noWrap/>
                  <w:vAlign w:val="center"/>
                </w:tcPr>
                <w:p w14:paraId="15C86C46" w14:textId="77777777" w:rsidR="00280F1F" w:rsidRDefault="00280F1F" w:rsidP="00610813">
                  <w:pPr>
                    <w:jc w:val="center"/>
                    <w:rPr>
                      <w:rFonts w:cs="Calibri"/>
                      <w:color w:val="000000"/>
                      <w:sz w:val="20"/>
                      <w:szCs w:val="20"/>
                    </w:rPr>
                  </w:pPr>
                  <w:r>
                    <w:rPr>
                      <w:rFonts w:cs="Calibri"/>
                      <w:color w:val="000000"/>
                      <w:sz w:val="20"/>
                      <w:szCs w:val="20"/>
                    </w:rPr>
                    <w:t>5.6</w:t>
                  </w:r>
                </w:p>
              </w:tc>
              <w:tc>
                <w:tcPr>
                  <w:tcW w:w="851" w:type="dxa"/>
                  <w:noWrap/>
                  <w:vAlign w:val="center"/>
                </w:tcPr>
                <w:p w14:paraId="44EE7A78" w14:textId="77777777" w:rsidR="00280F1F" w:rsidRDefault="00280F1F" w:rsidP="00610813">
                  <w:pPr>
                    <w:jc w:val="center"/>
                    <w:rPr>
                      <w:rFonts w:cs="Calibri"/>
                      <w:color w:val="000000"/>
                      <w:sz w:val="20"/>
                      <w:szCs w:val="20"/>
                    </w:rPr>
                  </w:pPr>
                  <w:r>
                    <w:rPr>
                      <w:rFonts w:cs="Calibri"/>
                      <w:color w:val="000000"/>
                      <w:sz w:val="20"/>
                      <w:szCs w:val="20"/>
                    </w:rPr>
                    <w:t>6</w:t>
                  </w:r>
                </w:p>
              </w:tc>
              <w:tc>
                <w:tcPr>
                  <w:tcW w:w="850" w:type="dxa"/>
                  <w:noWrap/>
                  <w:vAlign w:val="center"/>
                </w:tcPr>
                <w:p w14:paraId="0BDD1A8C" w14:textId="77777777" w:rsidR="00280F1F" w:rsidRDefault="00280F1F" w:rsidP="00610813">
                  <w:pPr>
                    <w:jc w:val="center"/>
                    <w:rPr>
                      <w:rFonts w:cs="Calibri"/>
                      <w:color w:val="000000"/>
                      <w:sz w:val="20"/>
                      <w:szCs w:val="20"/>
                    </w:rPr>
                  </w:pPr>
                  <w:r>
                    <w:rPr>
                      <w:rFonts w:cs="Calibri"/>
                      <w:color w:val="000000"/>
                      <w:sz w:val="20"/>
                      <w:szCs w:val="20"/>
                    </w:rPr>
                    <w:t>5.3</w:t>
                  </w:r>
                </w:p>
              </w:tc>
              <w:tc>
                <w:tcPr>
                  <w:tcW w:w="851" w:type="dxa"/>
                  <w:vAlign w:val="center"/>
                </w:tcPr>
                <w:p w14:paraId="3C50353E" w14:textId="77777777" w:rsidR="00280F1F" w:rsidRDefault="00280F1F" w:rsidP="00610813">
                  <w:pPr>
                    <w:jc w:val="center"/>
                    <w:rPr>
                      <w:rFonts w:cs="Calibri"/>
                      <w:color w:val="000000"/>
                      <w:sz w:val="20"/>
                      <w:szCs w:val="20"/>
                    </w:rPr>
                  </w:pPr>
                  <w:r>
                    <w:rPr>
                      <w:rFonts w:cs="Calibri"/>
                      <w:color w:val="000000"/>
                      <w:sz w:val="20"/>
                      <w:szCs w:val="20"/>
                    </w:rPr>
                    <w:t>4.9</w:t>
                  </w:r>
                </w:p>
              </w:tc>
              <w:tc>
                <w:tcPr>
                  <w:tcW w:w="821" w:type="dxa"/>
                  <w:noWrap/>
                  <w:vAlign w:val="center"/>
                </w:tcPr>
                <w:p w14:paraId="6C1750D4" w14:textId="77777777" w:rsidR="00280F1F" w:rsidRDefault="00280F1F" w:rsidP="00610813">
                  <w:pPr>
                    <w:jc w:val="center"/>
                    <w:rPr>
                      <w:rFonts w:cs="Calibri"/>
                      <w:color w:val="000000"/>
                      <w:sz w:val="20"/>
                      <w:szCs w:val="20"/>
                    </w:rPr>
                  </w:pPr>
                  <w:r>
                    <w:rPr>
                      <w:rFonts w:cs="Calibri"/>
                      <w:color w:val="000000"/>
                      <w:sz w:val="20"/>
                      <w:szCs w:val="20"/>
                    </w:rPr>
                    <w:t>4.8</w:t>
                  </w:r>
                </w:p>
              </w:tc>
            </w:tr>
            <w:tr w:rsidR="00280F1F" w14:paraId="0E3830D4" w14:textId="77777777" w:rsidTr="00610813">
              <w:trPr>
                <w:trHeight w:val="320"/>
              </w:trPr>
              <w:tc>
                <w:tcPr>
                  <w:tcW w:w="1868" w:type="dxa"/>
                  <w:noWrap/>
                  <w:vAlign w:val="center"/>
                </w:tcPr>
                <w:p w14:paraId="640E75DA" w14:textId="77777777" w:rsidR="00280F1F" w:rsidRDefault="00280F1F" w:rsidP="00610813">
                  <w:pPr>
                    <w:jc w:val="center"/>
                    <w:rPr>
                      <w:rFonts w:cs="Calibri"/>
                      <w:color w:val="000000"/>
                      <w:sz w:val="20"/>
                      <w:szCs w:val="20"/>
                    </w:rPr>
                  </w:pPr>
                  <w:r>
                    <w:rPr>
                      <w:rFonts w:cs="Calibri"/>
                      <w:color w:val="000000"/>
                      <w:sz w:val="20"/>
                      <w:szCs w:val="20"/>
                    </w:rPr>
                    <w:t xml:space="preserve">Eucerin </w:t>
                  </w:r>
                </w:p>
              </w:tc>
              <w:tc>
                <w:tcPr>
                  <w:tcW w:w="992" w:type="dxa"/>
                  <w:noWrap/>
                  <w:vAlign w:val="center"/>
                </w:tcPr>
                <w:p w14:paraId="19CC06DC" w14:textId="77777777" w:rsidR="00280F1F" w:rsidRDefault="00280F1F" w:rsidP="00610813">
                  <w:pPr>
                    <w:jc w:val="center"/>
                    <w:rPr>
                      <w:rFonts w:cs="Calibri"/>
                      <w:color w:val="000000"/>
                      <w:sz w:val="20"/>
                      <w:szCs w:val="20"/>
                    </w:rPr>
                  </w:pPr>
                  <w:r>
                    <w:rPr>
                      <w:rFonts w:cs="Calibri"/>
                      <w:color w:val="000000"/>
                      <w:sz w:val="20"/>
                      <w:szCs w:val="20"/>
                    </w:rPr>
                    <w:t>4.1</w:t>
                  </w:r>
                </w:p>
              </w:tc>
              <w:tc>
                <w:tcPr>
                  <w:tcW w:w="992" w:type="dxa"/>
                  <w:noWrap/>
                  <w:vAlign w:val="center"/>
                </w:tcPr>
                <w:p w14:paraId="432FF785" w14:textId="77777777" w:rsidR="00280F1F" w:rsidRDefault="00280F1F" w:rsidP="00610813">
                  <w:pPr>
                    <w:jc w:val="center"/>
                    <w:rPr>
                      <w:rFonts w:cs="Calibri"/>
                      <w:color w:val="000000"/>
                      <w:sz w:val="20"/>
                      <w:szCs w:val="20"/>
                    </w:rPr>
                  </w:pPr>
                  <w:r>
                    <w:rPr>
                      <w:rFonts w:cs="Calibri"/>
                      <w:color w:val="000000"/>
                      <w:sz w:val="20"/>
                      <w:szCs w:val="20"/>
                    </w:rPr>
                    <w:t>4.1</w:t>
                  </w:r>
                </w:p>
              </w:tc>
              <w:tc>
                <w:tcPr>
                  <w:tcW w:w="851" w:type="dxa"/>
                  <w:noWrap/>
                  <w:vAlign w:val="center"/>
                </w:tcPr>
                <w:p w14:paraId="22377BBD" w14:textId="77777777" w:rsidR="00280F1F" w:rsidRDefault="00280F1F" w:rsidP="00610813">
                  <w:pPr>
                    <w:jc w:val="center"/>
                    <w:rPr>
                      <w:rFonts w:cs="Calibri"/>
                      <w:color w:val="000000"/>
                      <w:sz w:val="20"/>
                      <w:szCs w:val="20"/>
                    </w:rPr>
                  </w:pPr>
                  <w:r>
                    <w:rPr>
                      <w:rFonts w:cs="Calibri"/>
                      <w:color w:val="000000"/>
                      <w:sz w:val="20"/>
                      <w:szCs w:val="20"/>
                    </w:rPr>
                    <w:t>4</w:t>
                  </w:r>
                </w:p>
              </w:tc>
              <w:tc>
                <w:tcPr>
                  <w:tcW w:w="850" w:type="dxa"/>
                  <w:noWrap/>
                  <w:vAlign w:val="center"/>
                </w:tcPr>
                <w:p w14:paraId="4592D402" w14:textId="77777777" w:rsidR="00280F1F" w:rsidRDefault="00280F1F" w:rsidP="00610813">
                  <w:pPr>
                    <w:jc w:val="center"/>
                    <w:rPr>
                      <w:rFonts w:cs="Calibri"/>
                      <w:color w:val="000000"/>
                      <w:sz w:val="20"/>
                      <w:szCs w:val="20"/>
                    </w:rPr>
                  </w:pPr>
                  <w:r>
                    <w:rPr>
                      <w:rFonts w:cs="Calibri"/>
                      <w:color w:val="000000"/>
                      <w:sz w:val="20"/>
                      <w:szCs w:val="20"/>
                    </w:rPr>
                    <w:t>4.3</w:t>
                  </w:r>
                </w:p>
              </w:tc>
              <w:tc>
                <w:tcPr>
                  <w:tcW w:w="851" w:type="dxa"/>
                  <w:vAlign w:val="center"/>
                </w:tcPr>
                <w:p w14:paraId="2CDC1C1B" w14:textId="77777777" w:rsidR="00280F1F" w:rsidRDefault="00280F1F" w:rsidP="00610813">
                  <w:pPr>
                    <w:jc w:val="center"/>
                    <w:rPr>
                      <w:rFonts w:cs="Calibri"/>
                      <w:color w:val="000000"/>
                      <w:sz w:val="20"/>
                      <w:szCs w:val="20"/>
                    </w:rPr>
                  </w:pPr>
                  <w:r>
                    <w:rPr>
                      <w:rFonts w:cs="Calibri"/>
                      <w:color w:val="000000"/>
                      <w:sz w:val="20"/>
                      <w:szCs w:val="20"/>
                    </w:rPr>
                    <w:t>4.5</w:t>
                  </w:r>
                </w:p>
              </w:tc>
              <w:tc>
                <w:tcPr>
                  <w:tcW w:w="821" w:type="dxa"/>
                  <w:noWrap/>
                  <w:vAlign w:val="center"/>
                </w:tcPr>
                <w:p w14:paraId="132F0750" w14:textId="77777777" w:rsidR="00280F1F" w:rsidRDefault="00280F1F" w:rsidP="00610813">
                  <w:pPr>
                    <w:jc w:val="center"/>
                    <w:rPr>
                      <w:rFonts w:cs="Calibri"/>
                      <w:color w:val="000000"/>
                      <w:sz w:val="20"/>
                      <w:szCs w:val="20"/>
                    </w:rPr>
                  </w:pPr>
                  <w:r>
                    <w:rPr>
                      <w:rFonts w:cs="Calibri"/>
                      <w:color w:val="000000"/>
                      <w:sz w:val="20"/>
                      <w:szCs w:val="20"/>
                    </w:rPr>
                    <w:t>4.5</w:t>
                  </w:r>
                </w:p>
              </w:tc>
            </w:tr>
            <w:tr w:rsidR="00280F1F" w14:paraId="1EBA4920" w14:textId="77777777" w:rsidTr="00610813">
              <w:trPr>
                <w:trHeight w:val="320"/>
              </w:trPr>
              <w:tc>
                <w:tcPr>
                  <w:tcW w:w="1868" w:type="dxa"/>
                  <w:noWrap/>
                  <w:vAlign w:val="center"/>
                </w:tcPr>
                <w:p w14:paraId="1CB5E14D" w14:textId="77777777" w:rsidR="00280F1F" w:rsidRDefault="00280F1F" w:rsidP="00610813">
                  <w:pPr>
                    <w:jc w:val="center"/>
                    <w:rPr>
                      <w:rFonts w:cs="Calibri"/>
                      <w:color w:val="000000"/>
                      <w:sz w:val="20"/>
                      <w:szCs w:val="20"/>
                    </w:rPr>
                  </w:pPr>
                  <w:r>
                    <w:rPr>
                      <w:rFonts w:cs="Calibri"/>
                      <w:color w:val="000000"/>
                      <w:sz w:val="20"/>
                      <w:szCs w:val="20"/>
                    </w:rPr>
                    <w:t xml:space="preserve">Cetaphil </w:t>
                  </w:r>
                </w:p>
              </w:tc>
              <w:tc>
                <w:tcPr>
                  <w:tcW w:w="992" w:type="dxa"/>
                  <w:noWrap/>
                  <w:vAlign w:val="center"/>
                </w:tcPr>
                <w:p w14:paraId="089107DD" w14:textId="77777777" w:rsidR="00280F1F" w:rsidRDefault="00280F1F" w:rsidP="00610813">
                  <w:pPr>
                    <w:jc w:val="center"/>
                    <w:rPr>
                      <w:rFonts w:cs="Calibri"/>
                      <w:color w:val="000000"/>
                      <w:sz w:val="20"/>
                      <w:szCs w:val="20"/>
                    </w:rPr>
                  </w:pPr>
                  <w:r>
                    <w:rPr>
                      <w:rFonts w:cs="Calibri"/>
                      <w:color w:val="000000"/>
                      <w:sz w:val="20"/>
                      <w:szCs w:val="20"/>
                    </w:rPr>
                    <w:t>3.6</w:t>
                  </w:r>
                </w:p>
              </w:tc>
              <w:tc>
                <w:tcPr>
                  <w:tcW w:w="992" w:type="dxa"/>
                  <w:noWrap/>
                  <w:vAlign w:val="center"/>
                </w:tcPr>
                <w:p w14:paraId="3EE7684D" w14:textId="77777777" w:rsidR="00280F1F" w:rsidRDefault="00280F1F" w:rsidP="00610813">
                  <w:pPr>
                    <w:jc w:val="center"/>
                    <w:rPr>
                      <w:rFonts w:cs="Calibri"/>
                      <w:color w:val="000000"/>
                      <w:sz w:val="20"/>
                      <w:szCs w:val="20"/>
                    </w:rPr>
                  </w:pPr>
                  <w:r>
                    <w:rPr>
                      <w:rFonts w:cs="Calibri"/>
                      <w:color w:val="000000"/>
                      <w:sz w:val="20"/>
                      <w:szCs w:val="20"/>
                    </w:rPr>
                    <w:t>4</w:t>
                  </w:r>
                </w:p>
              </w:tc>
              <w:tc>
                <w:tcPr>
                  <w:tcW w:w="851" w:type="dxa"/>
                  <w:noWrap/>
                  <w:vAlign w:val="center"/>
                </w:tcPr>
                <w:p w14:paraId="4E992298" w14:textId="77777777" w:rsidR="00280F1F" w:rsidRDefault="00280F1F" w:rsidP="00610813">
                  <w:pPr>
                    <w:jc w:val="center"/>
                    <w:rPr>
                      <w:rFonts w:cs="Calibri"/>
                      <w:color w:val="000000"/>
                      <w:sz w:val="20"/>
                      <w:szCs w:val="20"/>
                    </w:rPr>
                  </w:pPr>
                  <w:r>
                    <w:rPr>
                      <w:rFonts w:cs="Calibri"/>
                      <w:color w:val="000000"/>
                      <w:sz w:val="20"/>
                      <w:szCs w:val="20"/>
                    </w:rPr>
                    <w:t>3.7</w:t>
                  </w:r>
                </w:p>
              </w:tc>
              <w:tc>
                <w:tcPr>
                  <w:tcW w:w="850" w:type="dxa"/>
                  <w:noWrap/>
                  <w:vAlign w:val="center"/>
                </w:tcPr>
                <w:p w14:paraId="63D10C24" w14:textId="77777777" w:rsidR="00280F1F" w:rsidRDefault="00280F1F" w:rsidP="00610813">
                  <w:pPr>
                    <w:jc w:val="center"/>
                    <w:rPr>
                      <w:rFonts w:cs="Calibri"/>
                      <w:color w:val="000000"/>
                      <w:sz w:val="20"/>
                      <w:szCs w:val="20"/>
                    </w:rPr>
                  </w:pPr>
                  <w:r>
                    <w:rPr>
                      <w:rFonts w:cs="Calibri"/>
                      <w:color w:val="000000"/>
                      <w:sz w:val="20"/>
                      <w:szCs w:val="20"/>
                    </w:rPr>
                    <w:t>4.2</w:t>
                  </w:r>
                </w:p>
              </w:tc>
              <w:tc>
                <w:tcPr>
                  <w:tcW w:w="851" w:type="dxa"/>
                  <w:vAlign w:val="center"/>
                </w:tcPr>
                <w:p w14:paraId="65CBA2A2" w14:textId="77777777" w:rsidR="00280F1F" w:rsidRDefault="00280F1F" w:rsidP="00610813">
                  <w:pPr>
                    <w:jc w:val="center"/>
                    <w:rPr>
                      <w:rFonts w:cs="Calibri"/>
                      <w:color w:val="000000"/>
                      <w:sz w:val="20"/>
                      <w:szCs w:val="20"/>
                    </w:rPr>
                  </w:pPr>
                  <w:r>
                    <w:rPr>
                      <w:rFonts w:cs="Calibri"/>
                      <w:color w:val="000000"/>
                      <w:sz w:val="20"/>
                      <w:szCs w:val="20"/>
                    </w:rPr>
                    <w:t>4.1</w:t>
                  </w:r>
                </w:p>
              </w:tc>
              <w:tc>
                <w:tcPr>
                  <w:tcW w:w="821" w:type="dxa"/>
                  <w:noWrap/>
                  <w:vAlign w:val="center"/>
                </w:tcPr>
                <w:p w14:paraId="502B0DB9" w14:textId="77777777" w:rsidR="00280F1F" w:rsidRDefault="00280F1F" w:rsidP="00610813">
                  <w:pPr>
                    <w:jc w:val="center"/>
                    <w:rPr>
                      <w:rFonts w:cs="Calibri"/>
                      <w:color w:val="000000"/>
                      <w:sz w:val="20"/>
                      <w:szCs w:val="20"/>
                    </w:rPr>
                  </w:pPr>
                  <w:r>
                    <w:rPr>
                      <w:rFonts w:cs="Calibri"/>
                      <w:color w:val="000000"/>
                      <w:sz w:val="20"/>
                      <w:szCs w:val="20"/>
                    </w:rPr>
                    <w:t>4.3</w:t>
                  </w:r>
                </w:p>
              </w:tc>
            </w:tr>
            <w:tr w:rsidR="00280F1F" w14:paraId="30303BAC" w14:textId="77777777" w:rsidTr="00610813">
              <w:trPr>
                <w:trHeight w:val="320"/>
              </w:trPr>
              <w:tc>
                <w:tcPr>
                  <w:tcW w:w="1868" w:type="dxa"/>
                  <w:noWrap/>
                  <w:vAlign w:val="center"/>
                </w:tcPr>
                <w:p w14:paraId="6B941F13" w14:textId="77777777" w:rsidR="00280F1F" w:rsidRDefault="00280F1F" w:rsidP="00610813">
                  <w:pPr>
                    <w:jc w:val="center"/>
                    <w:rPr>
                      <w:rFonts w:cs="Calibri"/>
                      <w:color w:val="000000"/>
                      <w:sz w:val="20"/>
                      <w:szCs w:val="20"/>
                    </w:rPr>
                  </w:pPr>
                  <w:r>
                    <w:rPr>
                      <w:rFonts w:cs="Calibri"/>
                      <w:color w:val="000000"/>
                      <w:sz w:val="20"/>
                      <w:szCs w:val="20"/>
                    </w:rPr>
                    <w:lastRenderedPageBreak/>
                    <w:t xml:space="preserve">Aveeno </w:t>
                  </w:r>
                </w:p>
              </w:tc>
              <w:tc>
                <w:tcPr>
                  <w:tcW w:w="992" w:type="dxa"/>
                  <w:noWrap/>
                  <w:vAlign w:val="center"/>
                </w:tcPr>
                <w:p w14:paraId="2C78FC90" w14:textId="77777777" w:rsidR="00280F1F" w:rsidRDefault="00280F1F" w:rsidP="00610813">
                  <w:pPr>
                    <w:jc w:val="center"/>
                    <w:rPr>
                      <w:rFonts w:cs="Calibri"/>
                      <w:color w:val="000000"/>
                      <w:sz w:val="20"/>
                      <w:szCs w:val="20"/>
                    </w:rPr>
                  </w:pPr>
                  <w:r>
                    <w:rPr>
                      <w:rFonts w:cs="Calibri"/>
                      <w:color w:val="000000"/>
                      <w:sz w:val="20"/>
                      <w:szCs w:val="20"/>
                    </w:rPr>
                    <w:t>-</w:t>
                  </w:r>
                </w:p>
              </w:tc>
              <w:tc>
                <w:tcPr>
                  <w:tcW w:w="992" w:type="dxa"/>
                  <w:noWrap/>
                  <w:vAlign w:val="center"/>
                </w:tcPr>
                <w:p w14:paraId="387DE014" w14:textId="77777777" w:rsidR="00280F1F" w:rsidRDefault="00280F1F" w:rsidP="00610813">
                  <w:pPr>
                    <w:jc w:val="center"/>
                    <w:rPr>
                      <w:rFonts w:cs="Calibri"/>
                      <w:color w:val="000000"/>
                      <w:sz w:val="20"/>
                      <w:szCs w:val="20"/>
                    </w:rPr>
                  </w:pPr>
                  <w:r>
                    <w:rPr>
                      <w:rFonts w:cs="Calibri"/>
                      <w:color w:val="000000"/>
                      <w:sz w:val="20"/>
                      <w:szCs w:val="20"/>
                    </w:rPr>
                    <w:t>-</w:t>
                  </w:r>
                </w:p>
              </w:tc>
              <w:tc>
                <w:tcPr>
                  <w:tcW w:w="851" w:type="dxa"/>
                  <w:noWrap/>
                  <w:vAlign w:val="center"/>
                </w:tcPr>
                <w:p w14:paraId="500A28D8" w14:textId="77777777" w:rsidR="00280F1F" w:rsidRDefault="00280F1F" w:rsidP="00610813">
                  <w:pPr>
                    <w:jc w:val="center"/>
                    <w:rPr>
                      <w:rFonts w:cs="Calibri"/>
                      <w:color w:val="000000"/>
                      <w:sz w:val="20"/>
                      <w:szCs w:val="20"/>
                    </w:rPr>
                  </w:pPr>
                  <w:r>
                    <w:rPr>
                      <w:rFonts w:cs="Calibri"/>
                      <w:color w:val="000000"/>
                      <w:sz w:val="20"/>
                      <w:szCs w:val="20"/>
                    </w:rPr>
                    <w:t>-</w:t>
                  </w:r>
                </w:p>
              </w:tc>
              <w:tc>
                <w:tcPr>
                  <w:tcW w:w="850" w:type="dxa"/>
                  <w:noWrap/>
                  <w:vAlign w:val="center"/>
                </w:tcPr>
                <w:p w14:paraId="30CDCE8C" w14:textId="77777777" w:rsidR="00280F1F" w:rsidRDefault="00280F1F" w:rsidP="00610813">
                  <w:pPr>
                    <w:jc w:val="center"/>
                    <w:rPr>
                      <w:rFonts w:cs="Calibri"/>
                      <w:color w:val="000000"/>
                      <w:sz w:val="20"/>
                      <w:szCs w:val="20"/>
                    </w:rPr>
                  </w:pPr>
                  <w:r>
                    <w:rPr>
                      <w:rFonts w:cs="Calibri"/>
                      <w:color w:val="000000"/>
                      <w:sz w:val="20"/>
                      <w:szCs w:val="20"/>
                    </w:rPr>
                    <w:t>-</w:t>
                  </w:r>
                </w:p>
              </w:tc>
              <w:tc>
                <w:tcPr>
                  <w:tcW w:w="851" w:type="dxa"/>
                  <w:vAlign w:val="center"/>
                </w:tcPr>
                <w:p w14:paraId="62798FCC" w14:textId="77777777" w:rsidR="00280F1F" w:rsidRDefault="00280F1F" w:rsidP="00610813">
                  <w:pPr>
                    <w:jc w:val="center"/>
                    <w:rPr>
                      <w:rFonts w:cs="Calibri"/>
                      <w:color w:val="000000"/>
                      <w:sz w:val="20"/>
                      <w:szCs w:val="20"/>
                    </w:rPr>
                  </w:pPr>
                  <w:r>
                    <w:rPr>
                      <w:rFonts w:cs="Calibri"/>
                      <w:color w:val="000000"/>
                      <w:sz w:val="20"/>
                      <w:szCs w:val="20"/>
                    </w:rPr>
                    <w:t>3.5</w:t>
                  </w:r>
                </w:p>
              </w:tc>
              <w:tc>
                <w:tcPr>
                  <w:tcW w:w="821" w:type="dxa"/>
                  <w:noWrap/>
                  <w:vAlign w:val="center"/>
                </w:tcPr>
                <w:p w14:paraId="6C8E7520" w14:textId="77777777" w:rsidR="00280F1F" w:rsidRDefault="00280F1F" w:rsidP="00610813">
                  <w:pPr>
                    <w:jc w:val="center"/>
                    <w:rPr>
                      <w:rFonts w:cs="Calibri"/>
                      <w:color w:val="000000"/>
                      <w:sz w:val="20"/>
                      <w:szCs w:val="20"/>
                    </w:rPr>
                  </w:pPr>
                  <w:r>
                    <w:rPr>
                      <w:rFonts w:cs="Calibri"/>
                      <w:color w:val="000000"/>
                      <w:sz w:val="20"/>
                      <w:szCs w:val="20"/>
                    </w:rPr>
                    <w:t>3.3</w:t>
                  </w:r>
                </w:p>
              </w:tc>
            </w:tr>
            <w:tr w:rsidR="00280F1F" w14:paraId="29F7BFF9" w14:textId="77777777" w:rsidTr="00610813">
              <w:trPr>
                <w:trHeight w:val="320"/>
              </w:trPr>
              <w:tc>
                <w:tcPr>
                  <w:tcW w:w="1868" w:type="dxa"/>
                  <w:noWrap/>
                  <w:vAlign w:val="center"/>
                </w:tcPr>
                <w:p w14:paraId="456DF074" w14:textId="77777777" w:rsidR="00280F1F" w:rsidRDefault="00280F1F" w:rsidP="00610813">
                  <w:pPr>
                    <w:jc w:val="center"/>
                    <w:rPr>
                      <w:rFonts w:cs="Calibri"/>
                      <w:color w:val="000000"/>
                      <w:sz w:val="20"/>
                      <w:szCs w:val="20"/>
                    </w:rPr>
                  </w:pPr>
                  <w:r>
                    <w:rPr>
                      <w:rFonts w:cs="Calibri"/>
                      <w:color w:val="000000"/>
                      <w:sz w:val="20"/>
                      <w:szCs w:val="20"/>
                    </w:rPr>
                    <w:t>Winona</w:t>
                  </w:r>
                </w:p>
              </w:tc>
              <w:tc>
                <w:tcPr>
                  <w:tcW w:w="992" w:type="dxa"/>
                  <w:noWrap/>
                  <w:vAlign w:val="center"/>
                </w:tcPr>
                <w:p w14:paraId="25AE6A1C" w14:textId="77777777" w:rsidR="00280F1F" w:rsidRDefault="00280F1F" w:rsidP="00610813">
                  <w:pPr>
                    <w:jc w:val="center"/>
                    <w:rPr>
                      <w:rFonts w:cs="Calibri"/>
                      <w:color w:val="000000"/>
                      <w:sz w:val="20"/>
                      <w:szCs w:val="20"/>
                    </w:rPr>
                  </w:pPr>
                  <w:r>
                    <w:rPr>
                      <w:rFonts w:cs="Calibri"/>
                      <w:color w:val="000000"/>
                      <w:sz w:val="20"/>
                      <w:szCs w:val="20"/>
                    </w:rPr>
                    <w:t>2</w:t>
                  </w:r>
                </w:p>
              </w:tc>
              <w:tc>
                <w:tcPr>
                  <w:tcW w:w="992" w:type="dxa"/>
                  <w:noWrap/>
                  <w:vAlign w:val="center"/>
                </w:tcPr>
                <w:p w14:paraId="2F297117" w14:textId="77777777" w:rsidR="00280F1F" w:rsidRDefault="00280F1F" w:rsidP="00610813">
                  <w:pPr>
                    <w:jc w:val="center"/>
                    <w:rPr>
                      <w:rFonts w:cs="Calibri"/>
                      <w:color w:val="000000"/>
                      <w:sz w:val="20"/>
                      <w:szCs w:val="20"/>
                    </w:rPr>
                  </w:pPr>
                  <w:r>
                    <w:rPr>
                      <w:rFonts w:cs="Calibri"/>
                      <w:color w:val="000000"/>
                      <w:sz w:val="20"/>
                      <w:szCs w:val="20"/>
                    </w:rPr>
                    <w:t>2.7</w:t>
                  </w:r>
                </w:p>
              </w:tc>
              <w:tc>
                <w:tcPr>
                  <w:tcW w:w="851" w:type="dxa"/>
                  <w:noWrap/>
                  <w:vAlign w:val="center"/>
                </w:tcPr>
                <w:p w14:paraId="63E44CAE" w14:textId="77777777" w:rsidR="00280F1F" w:rsidRDefault="00280F1F" w:rsidP="00610813">
                  <w:pPr>
                    <w:jc w:val="center"/>
                    <w:rPr>
                      <w:rFonts w:cs="Calibri"/>
                      <w:color w:val="000000"/>
                      <w:sz w:val="20"/>
                      <w:szCs w:val="20"/>
                    </w:rPr>
                  </w:pPr>
                  <w:r>
                    <w:rPr>
                      <w:rFonts w:cs="Calibri"/>
                      <w:color w:val="000000"/>
                      <w:sz w:val="20"/>
                      <w:szCs w:val="20"/>
                    </w:rPr>
                    <w:t>3.3</w:t>
                  </w:r>
                </w:p>
              </w:tc>
              <w:tc>
                <w:tcPr>
                  <w:tcW w:w="850" w:type="dxa"/>
                  <w:noWrap/>
                  <w:vAlign w:val="center"/>
                </w:tcPr>
                <w:p w14:paraId="485E9A6F" w14:textId="77777777" w:rsidR="00280F1F" w:rsidRDefault="00280F1F" w:rsidP="00610813">
                  <w:pPr>
                    <w:jc w:val="center"/>
                    <w:rPr>
                      <w:rFonts w:cs="Calibri"/>
                      <w:color w:val="000000"/>
                      <w:sz w:val="20"/>
                      <w:szCs w:val="20"/>
                    </w:rPr>
                  </w:pPr>
                  <w:r>
                    <w:rPr>
                      <w:rFonts w:cs="Calibri"/>
                      <w:color w:val="000000"/>
                      <w:sz w:val="20"/>
                      <w:szCs w:val="20"/>
                    </w:rPr>
                    <w:t>3.8</w:t>
                  </w:r>
                </w:p>
              </w:tc>
              <w:tc>
                <w:tcPr>
                  <w:tcW w:w="851" w:type="dxa"/>
                  <w:vAlign w:val="center"/>
                </w:tcPr>
                <w:p w14:paraId="70576B63" w14:textId="77777777" w:rsidR="00280F1F" w:rsidRDefault="00280F1F" w:rsidP="00610813">
                  <w:pPr>
                    <w:jc w:val="center"/>
                    <w:rPr>
                      <w:rFonts w:cs="Calibri"/>
                      <w:color w:val="000000"/>
                      <w:sz w:val="20"/>
                      <w:szCs w:val="20"/>
                    </w:rPr>
                  </w:pPr>
                  <w:r>
                    <w:rPr>
                      <w:rFonts w:cs="Calibri"/>
                      <w:color w:val="000000"/>
                      <w:sz w:val="20"/>
                      <w:szCs w:val="20"/>
                    </w:rPr>
                    <w:t>3.5</w:t>
                  </w:r>
                </w:p>
              </w:tc>
              <w:tc>
                <w:tcPr>
                  <w:tcW w:w="821" w:type="dxa"/>
                  <w:noWrap/>
                  <w:vAlign w:val="center"/>
                </w:tcPr>
                <w:p w14:paraId="64BFB7B6" w14:textId="77777777" w:rsidR="00280F1F" w:rsidRDefault="00280F1F" w:rsidP="00610813">
                  <w:pPr>
                    <w:jc w:val="center"/>
                    <w:rPr>
                      <w:rFonts w:cs="Calibri"/>
                      <w:color w:val="000000"/>
                      <w:sz w:val="20"/>
                      <w:szCs w:val="20"/>
                    </w:rPr>
                  </w:pPr>
                  <w:r>
                    <w:rPr>
                      <w:rFonts w:cs="Calibri"/>
                      <w:color w:val="000000"/>
                      <w:sz w:val="20"/>
                      <w:szCs w:val="20"/>
                    </w:rPr>
                    <w:t>3.3</w:t>
                  </w:r>
                </w:p>
              </w:tc>
            </w:tr>
            <w:tr w:rsidR="00280F1F" w14:paraId="4AF260A2" w14:textId="77777777" w:rsidTr="00610813">
              <w:trPr>
                <w:trHeight w:val="320"/>
              </w:trPr>
              <w:tc>
                <w:tcPr>
                  <w:tcW w:w="1868" w:type="dxa"/>
                  <w:noWrap/>
                  <w:vAlign w:val="center"/>
                </w:tcPr>
                <w:p w14:paraId="208C7ACA" w14:textId="77777777" w:rsidR="00280F1F" w:rsidRDefault="00280F1F" w:rsidP="00610813">
                  <w:pPr>
                    <w:jc w:val="center"/>
                    <w:rPr>
                      <w:rFonts w:cs="Calibri"/>
                      <w:color w:val="000000"/>
                      <w:sz w:val="20"/>
                      <w:szCs w:val="20"/>
                    </w:rPr>
                  </w:pPr>
                  <w:proofErr w:type="spellStart"/>
                  <w:r>
                    <w:rPr>
                      <w:rFonts w:cs="Calibri"/>
                      <w:color w:val="000000"/>
                      <w:sz w:val="20"/>
                      <w:szCs w:val="20"/>
                    </w:rPr>
                    <w:t>Bioderma</w:t>
                  </w:r>
                  <w:proofErr w:type="spellEnd"/>
                </w:p>
              </w:tc>
              <w:tc>
                <w:tcPr>
                  <w:tcW w:w="992" w:type="dxa"/>
                  <w:noWrap/>
                  <w:vAlign w:val="center"/>
                </w:tcPr>
                <w:p w14:paraId="484F6E39" w14:textId="77777777" w:rsidR="00280F1F" w:rsidRDefault="00280F1F" w:rsidP="00610813">
                  <w:pPr>
                    <w:jc w:val="center"/>
                    <w:rPr>
                      <w:rFonts w:cs="Calibri"/>
                      <w:color w:val="000000"/>
                      <w:sz w:val="20"/>
                      <w:szCs w:val="20"/>
                    </w:rPr>
                  </w:pPr>
                  <w:r>
                    <w:rPr>
                      <w:rFonts w:cs="Calibri"/>
                      <w:color w:val="000000"/>
                      <w:sz w:val="20"/>
                      <w:szCs w:val="20"/>
                    </w:rPr>
                    <w:t>4</w:t>
                  </w:r>
                </w:p>
              </w:tc>
              <w:tc>
                <w:tcPr>
                  <w:tcW w:w="992" w:type="dxa"/>
                  <w:noWrap/>
                  <w:vAlign w:val="center"/>
                </w:tcPr>
                <w:p w14:paraId="2A446E8E" w14:textId="77777777" w:rsidR="00280F1F" w:rsidRDefault="00280F1F" w:rsidP="00610813">
                  <w:pPr>
                    <w:jc w:val="center"/>
                    <w:rPr>
                      <w:rFonts w:cs="Calibri"/>
                      <w:color w:val="000000"/>
                      <w:sz w:val="20"/>
                      <w:szCs w:val="20"/>
                    </w:rPr>
                  </w:pPr>
                  <w:r>
                    <w:rPr>
                      <w:rFonts w:cs="Calibri"/>
                      <w:color w:val="000000"/>
                      <w:sz w:val="20"/>
                      <w:szCs w:val="20"/>
                    </w:rPr>
                    <w:t>3.7</w:t>
                  </w:r>
                </w:p>
              </w:tc>
              <w:tc>
                <w:tcPr>
                  <w:tcW w:w="851" w:type="dxa"/>
                  <w:noWrap/>
                  <w:vAlign w:val="center"/>
                </w:tcPr>
                <w:p w14:paraId="1E51FC01" w14:textId="77777777" w:rsidR="00280F1F" w:rsidRDefault="00280F1F" w:rsidP="00610813">
                  <w:pPr>
                    <w:jc w:val="center"/>
                    <w:rPr>
                      <w:rFonts w:cs="Calibri"/>
                      <w:color w:val="000000"/>
                      <w:sz w:val="20"/>
                      <w:szCs w:val="20"/>
                    </w:rPr>
                  </w:pPr>
                  <w:r>
                    <w:rPr>
                      <w:rFonts w:cs="Calibri"/>
                      <w:color w:val="000000"/>
                      <w:sz w:val="20"/>
                      <w:szCs w:val="20"/>
                    </w:rPr>
                    <w:t>3.5</w:t>
                  </w:r>
                </w:p>
              </w:tc>
              <w:tc>
                <w:tcPr>
                  <w:tcW w:w="850" w:type="dxa"/>
                  <w:noWrap/>
                  <w:vAlign w:val="center"/>
                </w:tcPr>
                <w:p w14:paraId="4A3D719A" w14:textId="77777777" w:rsidR="00280F1F" w:rsidRDefault="00280F1F" w:rsidP="00610813">
                  <w:pPr>
                    <w:jc w:val="center"/>
                    <w:rPr>
                      <w:rFonts w:cs="Calibri"/>
                      <w:color w:val="000000"/>
                      <w:sz w:val="20"/>
                      <w:szCs w:val="20"/>
                    </w:rPr>
                  </w:pPr>
                  <w:r>
                    <w:rPr>
                      <w:rFonts w:cs="Calibri"/>
                      <w:color w:val="000000"/>
                      <w:sz w:val="20"/>
                      <w:szCs w:val="20"/>
                    </w:rPr>
                    <w:t>3.4</w:t>
                  </w:r>
                </w:p>
              </w:tc>
              <w:tc>
                <w:tcPr>
                  <w:tcW w:w="851" w:type="dxa"/>
                  <w:vAlign w:val="center"/>
                </w:tcPr>
                <w:p w14:paraId="323C0679" w14:textId="77777777" w:rsidR="00280F1F" w:rsidRDefault="00280F1F" w:rsidP="00610813">
                  <w:pPr>
                    <w:jc w:val="center"/>
                    <w:rPr>
                      <w:rFonts w:cs="Calibri"/>
                      <w:color w:val="000000"/>
                      <w:sz w:val="20"/>
                      <w:szCs w:val="20"/>
                    </w:rPr>
                  </w:pPr>
                  <w:r>
                    <w:rPr>
                      <w:rFonts w:cs="Calibri"/>
                      <w:color w:val="000000"/>
                      <w:sz w:val="20"/>
                      <w:szCs w:val="20"/>
                    </w:rPr>
                    <w:t>3.2</w:t>
                  </w:r>
                </w:p>
              </w:tc>
              <w:tc>
                <w:tcPr>
                  <w:tcW w:w="821" w:type="dxa"/>
                  <w:noWrap/>
                  <w:vAlign w:val="center"/>
                </w:tcPr>
                <w:p w14:paraId="43D12E84" w14:textId="77777777" w:rsidR="00280F1F" w:rsidRDefault="00280F1F" w:rsidP="00610813">
                  <w:pPr>
                    <w:jc w:val="center"/>
                    <w:rPr>
                      <w:rFonts w:cs="Calibri"/>
                      <w:color w:val="000000"/>
                      <w:sz w:val="20"/>
                      <w:szCs w:val="20"/>
                    </w:rPr>
                  </w:pPr>
                  <w:r>
                    <w:rPr>
                      <w:rFonts w:cs="Calibri"/>
                      <w:color w:val="000000"/>
                      <w:sz w:val="20"/>
                      <w:szCs w:val="20"/>
                    </w:rPr>
                    <w:t>3.1</w:t>
                  </w:r>
                </w:p>
              </w:tc>
            </w:tr>
          </w:tbl>
          <w:p w14:paraId="4F720928" w14:textId="77777777" w:rsidR="00280F1F" w:rsidRDefault="00280F1F" w:rsidP="00610813">
            <w:pPr>
              <w:spacing w:beforeLines="20" w:before="48" w:afterLines="20" w:after="48"/>
              <w:jc w:val="center"/>
              <w:textAlignment w:val="center"/>
              <w:rPr>
                <w:rFonts w:eastAsia="楷体" w:cs="Calibri"/>
                <w:b/>
                <w:bCs/>
                <w:sz w:val="20"/>
                <w:szCs w:val="20"/>
              </w:rPr>
            </w:pPr>
          </w:p>
        </w:tc>
      </w:tr>
      <w:tr w:rsidR="00280F1F" w14:paraId="4683EDF8" w14:textId="77777777" w:rsidTr="00610813">
        <w:trPr>
          <w:trHeight w:val="342"/>
        </w:trPr>
        <w:tc>
          <w:tcPr>
            <w:tcW w:w="7466" w:type="dxa"/>
            <w:tcBorders>
              <w:top w:val="single" w:sz="4" w:space="0" w:color="auto"/>
            </w:tcBorders>
            <w:tcMar>
              <w:left w:w="0" w:type="dxa"/>
              <w:right w:w="28" w:type="dxa"/>
            </w:tcMar>
            <w:vAlign w:val="center"/>
          </w:tcPr>
          <w:p w14:paraId="06FD827F" w14:textId="77777777" w:rsidR="00280F1F" w:rsidRDefault="00280F1F" w:rsidP="00610813">
            <w:pPr>
              <w:spacing w:line="240" w:lineRule="atLeast"/>
              <w:jc w:val="both"/>
              <w:textAlignment w:val="center"/>
              <w:rPr>
                <w:rFonts w:eastAsia="楷体" w:cs="Calibri"/>
                <w:b/>
                <w:bCs/>
                <w:sz w:val="20"/>
                <w:szCs w:val="20"/>
              </w:rPr>
            </w:pPr>
            <w:r>
              <w:rPr>
                <w:rFonts w:eastAsia="楷体" w:cs="Calibri"/>
                <w:b/>
                <w:bCs/>
                <w:sz w:val="20"/>
                <w:szCs w:val="20"/>
              </w:rPr>
              <w:lastRenderedPageBreak/>
              <w:t xml:space="preserve">Source: </w:t>
            </w:r>
            <w:r>
              <w:rPr>
                <w:rFonts w:eastAsia="楷体" w:cs="Calibri"/>
                <w:sz w:val="20"/>
                <w:szCs w:val="20"/>
              </w:rPr>
              <w:t>Euromonitor</w:t>
            </w:r>
            <w:r>
              <w:rPr>
                <w:rFonts w:eastAsia="楷体" w:cs="Calibri" w:hint="eastAsia"/>
                <w:sz w:val="20"/>
                <w:szCs w:val="20"/>
              </w:rPr>
              <w:t>，</w:t>
            </w:r>
            <w:r>
              <w:rPr>
                <w:rFonts w:eastAsia="楷体" w:cs="Calibri"/>
                <w:sz w:val="20"/>
                <w:szCs w:val="20"/>
              </w:rPr>
              <w:t>HFI</w:t>
            </w:r>
          </w:p>
        </w:tc>
      </w:tr>
    </w:tbl>
    <w:p w14:paraId="596E67AA" w14:textId="0CE33EFC" w:rsidR="00CA1CB5" w:rsidRDefault="00EE3BC1">
      <w:pPr>
        <w:pStyle w:val="1"/>
        <w:spacing w:beforeLines="100" w:before="240" w:afterLines="100" w:after="240"/>
        <w:jc w:val="both"/>
        <w:rPr>
          <w:rFonts w:ascii="Calibri" w:eastAsia="楷体" w:hAnsi="Calibri" w:cs="Calibri"/>
          <w:b/>
          <w:bCs/>
          <w:color w:val="23558C"/>
          <w:sz w:val="28"/>
          <w:szCs w:val="28"/>
        </w:rPr>
      </w:pPr>
      <w:bookmarkStart w:id="19" w:name="_Toc224295881"/>
      <w:r>
        <w:rPr>
          <w:rFonts w:ascii="Calibri" w:eastAsia="楷体" w:hAnsi="Calibri" w:cs="Calibri"/>
          <w:b/>
          <w:bCs/>
          <w:color w:val="23558C"/>
          <w:sz w:val="28"/>
          <w:szCs w:val="28"/>
        </w:rPr>
        <w:t xml:space="preserve">3 </w:t>
      </w:r>
      <w:r w:rsidR="00156E41" w:rsidRPr="00156E41">
        <w:rPr>
          <w:rFonts w:ascii="Calibri" w:eastAsia="楷体" w:hAnsi="Calibri" w:cs="Calibri"/>
          <w:b/>
          <w:bCs/>
          <w:color w:val="23558C"/>
          <w:sz w:val="28"/>
          <w:szCs w:val="28"/>
        </w:rPr>
        <w:t>Five Core Competitive Strengths Building a Corporate Moat</w:t>
      </w:r>
      <w:bookmarkEnd w:id="19"/>
    </w:p>
    <w:p w14:paraId="214A4BD7" w14:textId="660534F2" w:rsidR="00537D0C" w:rsidRDefault="00156E41">
      <w:pPr>
        <w:jc w:val="both"/>
        <w:rPr>
          <w:rFonts w:eastAsia="楷体" w:cs="Calibri"/>
          <w:kern w:val="2"/>
          <w:sz w:val="22"/>
          <w:szCs w:val="22"/>
        </w:rPr>
      </w:pPr>
      <w:r w:rsidRPr="00B314BE">
        <w:rPr>
          <w:rFonts w:eastAsia="楷体" w:cs="Calibri"/>
          <w:b/>
          <w:bCs/>
          <w:kern w:val="2"/>
          <w:sz w:val="22"/>
          <w:szCs w:val="22"/>
        </w:rPr>
        <w:t xml:space="preserve">As the undisputed leader in the global beauty industry, L'Oréal Group has built five deep competitive barriers since its founding in 1909: </w:t>
      </w:r>
      <w:r w:rsidRPr="00156E41">
        <w:rPr>
          <w:rFonts w:eastAsia="楷体" w:cs="Calibri"/>
          <w:kern w:val="2"/>
          <w:sz w:val="22"/>
          <w:szCs w:val="22"/>
        </w:rPr>
        <w:t xml:space="preserve">strong R&amp;D and innovation capabilities, brand portfolio and brand management, </w:t>
      </w:r>
      <w:r w:rsidR="00FC1B7B" w:rsidRPr="00156E41">
        <w:rPr>
          <w:rFonts w:eastAsia="楷体" w:cs="Calibri"/>
          <w:kern w:val="2"/>
          <w:sz w:val="22"/>
          <w:szCs w:val="22"/>
        </w:rPr>
        <w:t>globalized</w:t>
      </w:r>
      <w:r w:rsidRPr="00156E41">
        <w:rPr>
          <w:rFonts w:eastAsia="楷体" w:cs="Calibri"/>
          <w:kern w:val="2"/>
          <w:sz w:val="22"/>
          <w:szCs w:val="22"/>
        </w:rPr>
        <w:t xml:space="preserve"> operations and </w:t>
      </w:r>
      <w:r w:rsidR="004467C5" w:rsidRPr="00156E41">
        <w:rPr>
          <w:rFonts w:eastAsia="楷体" w:cs="Calibri"/>
          <w:kern w:val="2"/>
          <w:sz w:val="22"/>
          <w:szCs w:val="22"/>
        </w:rPr>
        <w:t>localization</w:t>
      </w:r>
      <w:r w:rsidRPr="00156E41">
        <w:rPr>
          <w:rFonts w:eastAsia="楷体" w:cs="Calibri"/>
          <w:kern w:val="2"/>
          <w:sz w:val="22"/>
          <w:szCs w:val="22"/>
        </w:rPr>
        <w:t xml:space="preserve"> strategy, broad omnichannel coverage, and digital and data-driven capabilities. These five barriers mutually reinforce one another, creating a flywheel effect that has enabled the group to consistently outperform the global beauty market over the past fifteen years.</w:t>
      </w:r>
    </w:p>
    <w:p w14:paraId="7D6BEE26" w14:textId="77777777" w:rsidR="00156E41" w:rsidRDefault="00156E41" w:rsidP="00537D0C">
      <w:pPr>
        <w:jc w:val="both"/>
        <w:rPr>
          <w:rFonts w:eastAsia="楷体" w:cs="Calibri"/>
          <w:kern w:val="2"/>
          <w:sz w:val="22"/>
          <w:szCs w:val="22"/>
        </w:rPr>
      </w:pPr>
    </w:p>
    <w:p w14:paraId="1A5F3658" w14:textId="77777777" w:rsidR="00156E41" w:rsidRPr="00156E41" w:rsidRDefault="00156E41" w:rsidP="00156E41">
      <w:pPr>
        <w:pStyle w:val="af3"/>
        <w:numPr>
          <w:ilvl w:val="0"/>
          <w:numId w:val="7"/>
        </w:numPr>
        <w:jc w:val="both"/>
        <w:rPr>
          <w:rFonts w:eastAsia="楷体" w:cs="Calibri"/>
          <w:kern w:val="2"/>
          <w:sz w:val="22"/>
          <w:szCs w:val="22"/>
        </w:rPr>
      </w:pPr>
      <w:r w:rsidRPr="00156E41">
        <w:rPr>
          <w:rFonts w:eastAsia="楷体" w:cs="Calibri"/>
          <w:b/>
          <w:bCs/>
          <w:kern w:val="2"/>
          <w:sz w:val="22"/>
          <w:szCs w:val="22"/>
        </w:rPr>
        <w:t>Strong R&amp;D and Innovation Capabilities</w:t>
      </w:r>
    </w:p>
    <w:p w14:paraId="51B48411" w14:textId="77777777" w:rsidR="00156E41" w:rsidRPr="00156E41" w:rsidRDefault="00156E41" w:rsidP="00156E41">
      <w:pPr>
        <w:jc w:val="both"/>
        <w:rPr>
          <w:rFonts w:eastAsia="楷体" w:cs="Calibri"/>
          <w:kern w:val="2"/>
          <w:sz w:val="22"/>
          <w:szCs w:val="22"/>
        </w:rPr>
      </w:pPr>
      <w:r w:rsidRPr="00B314BE">
        <w:rPr>
          <w:rFonts w:eastAsia="楷体" w:cs="Calibri"/>
          <w:b/>
          <w:bCs/>
          <w:kern w:val="2"/>
          <w:sz w:val="22"/>
          <w:szCs w:val="22"/>
        </w:rPr>
        <w:t xml:space="preserve">L'Oréal is the highest R&amp;D investor in the global beauty industry, with R&amp;D expenditure exceeding EUR 1.3 billion in 2025 (approximately 3.1% of sales), far surpassing its major competitors. </w:t>
      </w:r>
      <w:r w:rsidRPr="00156E41">
        <w:rPr>
          <w:rFonts w:eastAsia="楷体" w:cs="Calibri"/>
          <w:kern w:val="2"/>
          <w:sz w:val="22"/>
          <w:szCs w:val="22"/>
        </w:rPr>
        <w:t xml:space="preserve">The group operates 21 R&amp;D and innovation </w:t>
      </w:r>
      <w:proofErr w:type="spellStart"/>
      <w:r w:rsidRPr="00156E41">
        <w:rPr>
          <w:rFonts w:eastAsia="楷体" w:cs="Calibri"/>
          <w:kern w:val="2"/>
          <w:sz w:val="22"/>
          <w:szCs w:val="22"/>
        </w:rPr>
        <w:t>centres</w:t>
      </w:r>
      <w:proofErr w:type="spellEnd"/>
      <w:r w:rsidRPr="00156E41">
        <w:rPr>
          <w:rFonts w:eastAsia="楷体" w:cs="Calibri"/>
          <w:kern w:val="2"/>
          <w:sz w:val="22"/>
          <w:szCs w:val="22"/>
        </w:rPr>
        <w:t xml:space="preserve"> across 7 countries, employing over 4,000 scientists (85 nationalities, 70% women). In 2024, the group filed 694 patent applications (52% completed by female inventors) and launched over 3,600 new formulations, continuously introducing efficacy-driven active ingredients — from Pro-</w:t>
      </w:r>
      <w:proofErr w:type="spellStart"/>
      <w:r w:rsidRPr="00156E41">
        <w:rPr>
          <w:rFonts w:eastAsia="楷体" w:cs="Calibri"/>
          <w:kern w:val="2"/>
          <w:sz w:val="22"/>
          <w:szCs w:val="22"/>
        </w:rPr>
        <w:t>Xylane</w:t>
      </w:r>
      <w:proofErr w:type="spellEnd"/>
      <w:r w:rsidRPr="00156E41">
        <w:rPr>
          <w:rFonts w:eastAsia="楷体" w:cs="Calibri"/>
          <w:kern w:val="2"/>
          <w:sz w:val="22"/>
          <w:szCs w:val="22"/>
        </w:rPr>
        <w:t xml:space="preserve"> to the </w:t>
      </w:r>
      <w:proofErr w:type="spellStart"/>
      <w:r w:rsidRPr="00156E41">
        <w:rPr>
          <w:rFonts w:eastAsia="楷体" w:cs="Calibri"/>
          <w:kern w:val="2"/>
          <w:sz w:val="22"/>
          <w:szCs w:val="22"/>
        </w:rPr>
        <w:t>Melasyl</w:t>
      </w:r>
      <w:proofErr w:type="spellEnd"/>
      <w:r w:rsidRPr="00156E41">
        <w:rPr>
          <w:rFonts w:eastAsia="楷体" w:cs="Calibri"/>
          <w:kern w:val="2"/>
          <w:sz w:val="22"/>
          <w:szCs w:val="22"/>
        </w:rPr>
        <w:t xml:space="preserve"> anti-hyperpigmentation molecule, from </w:t>
      </w:r>
      <w:proofErr w:type="spellStart"/>
      <w:r w:rsidRPr="00156E41">
        <w:rPr>
          <w:rFonts w:eastAsia="楷体" w:cs="Calibri"/>
          <w:kern w:val="2"/>
          <w:sz w:val="22"/>
          <w:szCs w:val="22"/>
        </w:rPr>
        <w:t>UVMune</w:t>
      </w:r>
      <w:proofErr w:type="spellEnd"/>
      <w:r w:rsidRPr="00156E41">
        <w:rPr>
          <w:rFonts w:eastAsia="楷体" w:cs="Calibri"/>
          <w:kern w:val="2"/>
          <w:sz w:val="22"/>
          <w:szCs w:val="22"/>
        </w:rPr>
        <w:t xml:space="preserve"> 400 sunscreen technology to the Cell BioPrint proteomics-based skin analysis system.</w:t>
      </w:r>
    </w:p>
    <w:p w14:paraId="5FD81C0A" w14:textId="77777777" w:rsidR="00537D0C" w:rsidRPr="00156E41" w:rsidRDefault="00537D0C">
      <w:pPr>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156E41" w:rsidRPr="009117B9" w14:paraId="3FFA6C5F" w14:textId="77777777" w:rsidTr="00816572">
        <w:trPr>
          <w:trHeight w:val="227"/>
        </w:trPr>
        <w:tc>
          <w:tcPr>
            <w:tcW w:w="5100" w:type="dxa"/>
            <w:tcBorders>
              <w:bottom w:val="single" w:sz="4" w:space="0" w:color="auto"/>
            </w:tcBorders>
            <w:tcMar>
              <w:left w:w="0" w:type="dxa"/>
              <w:right w:w="28" w:type="dxa"/>
            </w:tcMar>
          </w:tcPr>
          <w:p w14:paraId="6E10E9BE" w14:textId="062E7925" w:rsidR="00156E41" w:rsidRPr="009117B9" w:rsidRDefault="008966C3" w:rsidP="00816572">
            <w:pPr>
              <w:spacing w:beforeLines="20" w:before="48" w:afterLines="20" w:after="48"/>
              <w:jc w:val="both"/>
              <w:textAlignment w:val="center"/>
              <w:rPr>
                <w:rFonts w:eastAsia="楷体" w:cs="Calibri"/>
                <w:b/>
                <w:sz w:val="20"/>
                <w:szCs w:val="20"/>
                <w:highlight w:val="yellow"/>
              </w:rPr>
            </w:pPr>
            <w:r w:rsidRPr="008966C3">
              <w:rPr>
                <w:rFonts w:eastAsia="楷体" w:cs="Calibri"/>
                <w:b/>
                <w:sz w:val="20"/>
                <w:szCs w:val="20"/>
              </w:rPr>
              <w:t>Figure: L'Oréal R&amp;D Investment 2020–2025</w:t>
            </w:r>
          </w:p>
        </w:tc>
        <w:tc>
          <w:tcPr>
            <w:tcW w:w="241" w:type="dxa"/>
            <w:tcMar>
              <w:left w:w="0" w:type="dxa"/>
              <w:right w:w="28" w:type="dxa"/>
            </w:tcMar>
          </w:tcPr>
          <w:p w14:paraId="19E40F18" w14:textId="77777777" w:rsidR="00156E41" w:rsidRPr="009117B9" w:rsidRDefault="00156E41" w:rsidP="00816572">
            <w:pPr>
              <w:spacing w:beforeLines="20" w:before="48" w:afterLines="20" w:after="48"/>
              <w:jc w:val="both"/>
              <w:rPr>
                <w:rFonts w:eastAsia="楷体" w:cs="Calibri"/>
                <w:sz w:val="20"/>
                <w:szCs w:val="20"/>
                <w:highlight w:val="yellow"/>
              </w:rPr>
            </w:pPr>
          </w:p>
        </w:tc>
        <w:tc>
          <w:tcPr>
            <w:tcW w:w="5149" w:type="dxa"/>
            <w:tcBorders>
              <w:bottom w:val="single" w:sz="4" w:space="0" w:color="auto"/>
            </w:tcBorders>
            <w:tcMar>
              <w:left w:w="0" w:type="dxa"/>
              <w:right w:w="28" w:type="dxa"/>
            </w:tcMar>
          </w:tcPr>
          <w:p w14:paraId="5D23C2F0" w14:textId="52A5971A" w:rsidR="00156E41" w:rsidRPr="009117B9" w:rsidRDefault="008966C3" w:rsidP="00816572">
            <w:pPr>
              <w:spacing w:beforeLines="20" w:before="48" w:afterLines="20" w:after="48"/>
              <w:jc w:val="both"/>
              <w:rPr>
                <w:rFonts w:eastAsia="楷体" w:cs="Calibri"/>
                <w:b/>
                <w:sz w:val="20"/>
                <w:szCs w:val="20"/>
              </w:rPr>
            </w:pPr>
            <w:r w:rsidRPr="008966C3">
              <w:rPr>
                <w:rFonts w:eastAsia="楷体" w:cs="Calibri"/>
                <w:b/>
                <w:sz w:val="20"/>
                <w:szCs w:val="20"/>
              </w:rPr>
              <w:t>Figure: Annual Patent Applications 2020–2025(units)</w:t>
            </w:r>
          </w:p>
        </w:tc>
      </w:tr>
      <w:tr w:rsidR="00156E41" w:rsidRPr="00EE5C3A" w14:paraId="21D1BF9E" w14:textId="77777777" w:rsidTr="00B314BE">
        <w:trPr>
          <w:trHeight w:val="2300"/>
        </w:trPr>
        <w:tc>
          <w:tcPr>
            <w:tcW w:w="5100" w:type="dxa"/>
            <w:tcBorders>
              <w:top w:val="single" w:sz="4" w:space="0" w:color="auto"/>
              <w:bottom w:val="single" w:sz="4" w:space="0" w:color="auto"/>
            </w:tcBorders>
            <w:vAlign w:val="center"/>
          </w:tcPr>
          <w:p w14:paraId="051C43AB" w14:textId="51397F26" w:rsidR="00156E41" w:rsidRPr="009117B9" w:rsidRDefault="00B314BE" w:rsidP="00816572">
            <w:pPr>
              <w:spacing w:beforeLines="20" w:before="48" w:afterLines="20" w:after="48"/>
              <w:jc w:val="both"/>
              <w:textAlignment w:val="center"/>
              <w:rPr>
                <w:rFonts w:eastAsia="楷体" w:cs="Calibri"/>
                <w:b/>
                <w:color w:val="000000"/>
                <w:sz w:val="20"/>
                <w:szCs w:val="20"/>
                <w:lang w:bidi="ar"/>
              </w:rPr>
            </w:pPr>
            <w:r>
              <w:rPr>
                <w:noProof/>
                <w:snapToGrid/>
              </w:rPr>
              <w:drawing>
                <wp:inline distT="0" distB="0" distL="0" distR="0" wp14:anchorId="25CFABE0" wp14:editId="71592440">
                  <wp:extent cx="3101340" cy="1863969"/>
                  <wp:effectExtent l="0" t="0" r="3810" b="3175"/>
                  <wp:docPr id="483229481" name="图表 1">
                    <a:extLst xmlns:a="http://schemas.openxmlformats.org/drawingml/2006/main">
                      <a:ext uri="{FF2B5EF4-FFF2-40B4-BE49-F238E27FC236}">
                        <a16:creationId xmlns:a16="http://schemas.microsoft.com/office/drawing/2014/main" id="{401BE779-1367-B2CC-BF1C-B43493EEEB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41" w:type="dxa"/>
          </w:tcPr>
          <w:p w14:paraId="285CB1B7" w14:textId="77777777" w:rsidR="00156E41" w:rsidRPr="009117B9" w:rsidRDefault="00156E41" w:rsidP="00816572">
            <w:pPr>
              <w:spacing w:beforeLines="20" w:before="48" w:afterLines="20" w:after="48"/>
              <w:jc w:val="both"/>
              <w:rPr>
                <w:rFonts w:eastAsia="楷体" w:cs="Calibri"/>
                <w:sz w:val="20"/>
                <w:szCs w:val="20"/>
              </w:rPr>
            </w:pPr>
          </w:p>
        </w:tc>
        <w:tc>
          <w:tcPr>
            <w:tcW w:w="5149" w:type="dxa"/>
            <w:tcBorders>
              <w:top w:val="single" w:sz="4" w:space="0" w:color="auto"/>
              <w:bottom w:val="single" w:sz="4" w:space="0" w:color="auto"/>
            </w:tcBorders>
          </w:tcPr>
          <w:p w14:paraId="071A94F9" w14:textId="43C5E517" w:rsidR="00156E41" w:rsidRPr="00EE5C3A" w:rsidRDefault="00B314BE" w:rsidP="00816572">
            <w:pPr>
              <w:spacing w:beforeLines="20" w:before="48" w:afterLines="20" w:after="48"/>
              <w:jc w:val="both"/>
              <w:rPr>
                <w:rFonts w:eastAsia="楷体" w:cs="Calibri"/>
                <w:b/>
                <w:sz w:val="14"/>
                <w:szCs w:val="14"/>
              </w:rPr>
            </w:pPr>
            <w:r>
              <w:rPr>
                <w:noProof/>
                <w:snapToGrid/>
              </w:rPr>
              <w:drawing>
                <wp:inline distT="0" distB="0" distL="0" distR="0" wp14:anchorId="19F28956" wp14:editId="088B63E4">
                  <wp:extent cx="3132455" cy="1868805"/>
                  <wp:effectExtent l="0" t="0" r="0" b="0"/>
                  <wp:docPr id="1538877698" name="图表 1">
                    <a:extLst xmlns:a="http://schemas.openxmlformats.org/drawingml/2006/main">
                      <a:ext uri="{FF2B5EF4-FFF2-40B4-BE49-F238E27FC236}">
                        <a16:creationId xmlns:a16="http://schemas.microsoft.com/office/drawing/2014/main" id="{675C113A-F619-77E9-7DA9-64746BFC2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156E41" w:rsidRPr="009117B9" w14:paraId="21AC4FDD" w14:textId="77777777" w:rsidTr="00816572">
        <w:trPr>
          <w:trHeight w:val="227"/>
        </w:trPr>
        <w:tc>
          <w:tcPr>
            <w:tcW w:w="5100" w:type="dxa"/>
            <w:tcBorders>
              <w:top w:val="single" w:sz="4" w:space="0" w:color="auto"/>
            </w:tcBorders>
            <w:tcMar>
              <w:left w:w="0" w:type="dxa"/>
              <w:right w:w="28" w:type="dxa"/>
            </w:tcMar>
            <w:vAlign w:val="center"/>
          </w:tcPr>
          <w:p w14:paraId="06B0DBDB" w14:textId="6646228D" w:rsidR="00156E41" w:rsidRPr="009117B9" w:rsidRDefault="008966C3" w:rsidP="008966C3">
            <w:pPr>
              <w:spacing w:beforeLines="20" w:before="48" w:afterLines="20" w:after="48"/>
              <w:jc w:val="both"/>
              <w:textAlignment w:val="center"/>
              <w:rPr>
                <w:rFonts w:eastAsia="楷体" w:cs="Calibri"/>
                <w:sz w:val="20"/>
                <w:szCs w:val="20"/>
              </w:rPr>
            </w:pPr>
            <w:r w:rsidRPr="008966C3">
              <w:rPr>
                <w:rFonts w:eastAsia="楷体" w:cs="Calibri"/>
                <w:b/>
                <w:bCs/>
                <w:sz w:val="20"/>
                <w:szCs w:val="20"/>
              </w:rPr>
              <w:t xml:space="preserve">Source: </w:t>
            </w:r>
            <w:r w:rsidRPr="008966C3">
              <w:rPr>
                <w:rFonts w:eastAsia="楷体" w:cs="Calibri"/>
                <w:sz w:val="20"/>
                <w:szCs w:val="20"/>
              </w:rPr>
              <w:t>Company Annual Reports, HFI</w:t>
            </w:r>
          </w:p>
        </w:tc>
        <w:tc>
          <w:tcPr>
            <w:tcW w:w="241" w:type="dxa"/>
            <w:tcMar>
              <w:left w:w="0" w:type="dxa"/>
              <w:right w:w="28" w:type="dxa"/>
            </w:tcMar>
          </w:tcPr>
          <w:p w14:paraId="49EF10AA" w14:textId="77777777" w:rsidR="00156E41" w:rsidRPr="009117B9" w:rsidRDefault="00156E41" w:rsidP="00816572">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735F14C2" w14:textId="13764956" w:rsidR="00156E41" w:rsidRPr="009117B9" w:rsidRDefault="008966C3" w:rsidP="00816572">
            <w:pPr>
              <w:spacing w:beforeLines="20" w:before="48" w:afterLines="20" w:after="48"/>
              <w:jc w:val="both"/>
              <w:rPr>
                <w:rFonts w:eastAsia="楷体" w:cs="Calibri"/>
                <w:sz w:val="20"/>
                <w:szCs w:val="20"/>
              </w:rPr>
            </w:pPr>
            <w:r w:rsidRPr="008966C3">
              <w:rPr>
                <w:rFonts w:eastAsia="楷体" w:cs="Calibri"/>
                <w:b/>
                <w:bCs/>
                <w:sz w:val="20"/>
                <w:szCs w:val="20"/>
              </w:rPr>
              <w:t xml:space="preserve">Source: </w:t>
            </w:r>
            <w:r w:rsidRPr="008966C3">
              <w:rPr>
                <w:rFonts w:eastAsia="楷体" w:cs="Calibri"/>
                <w:sz w:val="20"/>
                <w:szCs w:val="20"/>
              </w:rPr>
              <w:t>Company Annual Reports, HFI</w:t>
            </w:r>
          </w:p>
        </w:tc>
      </w:tr>
    </w:tbl>
    <w:p w14:paraId="43F90CB4" w14:textId="77777777" w:rsidR="00537D0C" w:rsidRPr="00156E41" w:rsidRDefault="00537D0C">
      <w:pPr>
        <w:jc w:val="both"/>
        <w:rPr>
          <w:rFonts w:eastAsia="楷体" w:cs="Calibri"/>
          <w:kern w:val="2"/>
          <w:sz w:val="22"/>
          <w:szCs w:val="22"/>
        </w:rPr>
      </w:pPr>
    </w:p>
    <w:p w14:paraId="78A9A738" w14:textId="77777777" w:rsidR="008966C3" w:rsidRPr="00B314BE" w:rsidRDefault="008966C3" w:rsidP="00B314BE">
      <w:pPr>
        <w:pStyle w:val="af3"/>
        <w:numPr>
          <w:ilvl w:val="0"/>
          <w:numId w:val="7"/>
        </w:numPr>
        <w:jc w:val="both"/>
        <w:rPr>
          <w:rFonts w:eastAsia="楷体" w:cs="Calibri"/>
          <w:kern w:val="2"/>
          <w:sz w:val="22"/>
          <w:szCs w:val="22"/>
        </w:rPr>
      </w:pPr>
      <w:r w:rsidRPr="00B314BE">
        <w:rPr>
          <w:rFonts w:eastAsia="楷体" w:cs="Calibri"/>
          <w:b/>
          <w:bCs/>
          <w:kern w:val="2"/>
          <w:sz w:val="22"/>
          <w:szCs w:val="22"/>
        </w:rPr>
        <w:t>Rich Brand Portfolio and Strong Brand Management Capabilities</w:t>
      </w:r>
    </w:p>
    <w:p w14:paraId="1F810F53" w14:textId="77777777" w:rsidR="008966C3" w:rsidRDefault="008966C3" w:rsidP="008966C3">
      <w:pPr>
        <w:jc w:val="both"/>
        <w:rPr>
          <w:rFonts w:eastAsia="楷体" w:cs="Calibri"/>
          <w:kern w:val="2"/>
          <w:sz w:val="22"/>
          <w:szCs w:val="22"/>
        </w:rPr>
      </w:pPr>
      <w:r w:rsidRPr="00B314BE">
        <w:rPr>
          <w:rFonts w:eastAsia="楷体" w:cs="Calibri"/>
          <w:b/>
          <w:bCs/>
          <w:kern w:val="2"/>
          <w:sz w:val="22"/>
          <w:szCs w:val="22"/>
        </w:rPr>
        <w:t>Through continuous acquisitions and disciplined brand management, the group has assembled a portfolio of 40 international brands spanning four divisions and covering the full price spectrum from mass to ultra-luxury.</w:t>
      </w:r>
      <w:r w:rsidRPr="008966C3">
        <w:rPr>
          <w:rFonts w:eastAsia="楷体" w:cs="Calibri"/>
          <w:kern w:val="2"/>
          <w:sz w:val="22"/>
          <w:szCs w:val="22"/>
        </w:rPr>
        <w:t xml:space="preserve"> In 2024, Consumer Products (EUR 15.44 billion) and L'Oréal Luxe (EUR 14.92 billion) each accounted for approximately 35% of total revenue, with Dermatological Beauty (EUR 7.05 billion) and Professional Products (EUR 4.72 billion) providing effective complementary coverage. Of the approximately 40 brands in the group's portfolio, organic brands include L'Oréal Paris (1909), L'Oréal </w:t>
      </w:r>
      <w:proofErr w:type="spellStart"/>
      <w:r w:rsidRPr="008966C3">
        <w:rPr>
          <w:rFonts w:eastAsia="楷体" w:cs="Calibri"/>
          <w:kern w:val="2"/>
          <w:sz w:val="22"/>
          <w:szCs w:val="22"/>
        </w:rPr>
        <w:t>Professionnel</w:t>
      </w:r>
      <w:proofErr w:type="spellEnd"/>
      <w:r w:rsidRPr="008966C3">
        <w:rPr>
          <w:rFonts w:eastAsia="楷体" w:cs="Calibri"/>
          <w:kern w:val="2"/>
          <w:sz w:val="22"/>
          <w:szCs w:val="22"/>
        </w:rPr>
        <w:t xml:space="preserve">, and </w:t>
      </w:r>
      <w:proofErr w:type="spellStart"/>
      <w:r w:rsidRPr="008966C3">
        <w:rPr>
          <w:rFonts w:eastAsia="楷体" w:cs="Calibri"/>
          <w:kern w:val="2"/>
          <w:sz w:val="22"/>
          <w:szCs w:val="22"/>
        </w:rPr>
        <w:t>Kérastase</w:t>
      </w:r>
      <w:proofErr w:type="spellEnd"/>
      <w:r w:rsidRPr="008966C3">
        <w:rPr>
          <w:rFonts w:eastAsia="楷体" w:cs="Calibri"/>
          <w:kern w:val="2"/>
          <w:sz w:val="22"/>
          <w:szCs w:val="22"/>
        </w:rPr>
        <w:t xml:space="preserve"> (1964), while the vast majority were acquired. Among organic brands, L'Oréal Paris has grown over 116 years to become the world's number-one beauty brand, and </w:t>
      </w:r>
      <w:proofErr w:type="spellStart"/>
      <w:r w:rsidRPr="008966C3">
        <w:rPr>
          <w:rFonts w:eastAsia="楷体" w:cs="Calibri"/>
          <w:kern w:val="2"/>
          <w:sz w:val="22"/>
          <w:szCs w:val="22"/>
        </w:rPr>
        <w:t>Kérastase</w:t>
      </w:r>
      <w:proofErr w:type="spellEnd"/>
      <w:r w:rsidRPr="008966C3">
        <w:rPr>
          <w:rFonts w:eastAsia="楷体" w:cs="Calibri"/>
          <w:kern w:val="2"/>
          <w:sz w:val="22"/>
          <w:szCs w:val="22"/>
        </w:rPr>
        <w:t xml:space="preserve"> became the Professional Products </w:t>
      </w:r>
      <w:r w:rsidRPr="008966C3">
        <w:rPr>
          <w:rFonts w:eastAsia="楷体" w:cs="Calibri"/>
          <w:kern w:val="2"/>
          <w:sz w:val="22"/>
          <w:szCs w:val="22"/>
        </w:rPr>
        <w:lastRenderedPageBreak/>
        <w:t xml:space="preserve">division's largest brand in 2024 while maintaining double-digit growth. In terms of acquisition and integration, the group has demonstrated outstanding capability in scaling regional brands into global leaders: Maybelline was acquired in 1996 for USD 758 million and, after approximately 25 years of global operations, became the world's number-one </w:t>
      </w:r>
      <w:proofErr w:type="spellStart"/>
      <w:r w:rsidRPr="008966C3">
        <w:rPr>
          <w:rFonts w:eastAsia="楷体" w:cs="Calibri"/>
          <w:kern w:val="2"/>
          <w:sz w:val="22"/>
          <w:szCs w:val="22"/>
        </w:rPr>
        <w:t>colour</w:t>
      </w:r>
      <w:proofErr w:type="spellEnd"/>
      <w:r w:rsidRPr="008966C3">
        <w:rPr>
          <w:rFonts w:eastAsia="楷体" w:cs="Calibri"/>
          <w:kern w:val="2"/>
          <w:sz w:val="22"/>
          <w:szCs w:val="22"/>
        </w:rPr>
        <w:t xml:space="preserve"> cosmetics brand; CeraVe was acquired in 2017 for USD 1.3 billion with annual revenue of approximately USD 168 million at the time, and just seven years later in 2024 surpassed EUR 2 billion in brand revenue — a more than 12-fold increase; La Roche-Posay has grown from a French regional dermo-cosmetics brand since its acquisition in 1989 into the world's third-largest skincare brand. This brand management flywheel of "acquire → empower with global distribution and R&amp;D platform → scale up" underscores the group's formidable platform-based operating capabilities.</w:t>
      </w:r>
    </w:p>
    <w:p w14:paraId="05559400" w14:textId="77777777" w:rsidR="0052565B" w:rsidRPr="008966C3" w:rsidRDefault="0052565B" w:rsidP="008966C3">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8966C3" w14:paraId="093656CE" w14:textId="77777777" w:rsidTr="00816572">
        <w:tc>
          <w:tcPr>
            <w:tcW w:w="7733" w:type="dxa"/>
            <w:tcBorders>
              <w:bottom w:val="single" w:sz="4" w:space="0" w:color="auto"/>
            </w:tcBorders>
          </w:tcPr>
          <w:p w14:paraId="7D4989BF" w14:textId="611A0777" w:rsidR="008966C3" w:rsidRP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Figure: Key Acquisition Timeline and Growth Trajectories</w:t>
            </w:r>
          </w:p>
        </w:tc>
      </w:tr>
      <w:tr w:rsidR="008966C3" w14:paraId="76DCC66B" w14:textId="77777777" w:rsidTr="00816572">
        <w:tc>
          <w:tcPr>
            <w:tcW w:w="7733" w:type="dxa"/>
            <w:tcBorders>
              <w:top w:val="single" w:sz="4" w:space="0" w:color="auto"/>
              <w:bottom w:val="single" w:sz="4" w:space="0" w:color="auto"/>
            </w:tcBorders>
          </w:tcPr>
          <w:tbl>
            <w:tblPr>
              <w:tblW w:w="7527" w:type="dxa"/>
              <w:tblLook w:val="04A0" w:firstRow="1" w:lastRow="0" w:firstColumn="1" w:lastColumn="0" w:noHBand="0" w:noVBand="1"/>
            </w:tblPr>
            <w:tblGrid>
              <w:gridCol w:w="1173"/>
              <w:gridCol w:w="1054"/>
              <w:gridCol w:w="1203"/>
              <w:gridCol w:w="1314"/>
              <w:gridCol w:w="1697"/>
              <w:gridCol w:w="1086"/>
            </w:tblGrid>
            <w:tr w:rsidR="00B314BE" w:rsidRPr="00B314BE" w14:paraId="1364D567" w14:textId="77777777" w:rsidTr="00B314BE">
              <w:trPr>
                <w:trHeight w:val="600"/>
              </w:trPr>
              <w:tc>
                <w:tcPr>
                  <w:tcW w:w="1169" w:type="dxa"/>
                  <w:tcBorders>
                    <w:top w:val="nil"/>
                    <w:left w:val="nil"/>
                    <w:bottom w:val="nil"/>
                    <w:right w:val="nil"/>
                  </w:tcBorders>
                  <w:shd w:val="clear" w:color="000000" w:fill="002060"/>
                  <w:vAlign w:val="center"/>
                  <w:hideMark/>
                </w:tcPr>
                <w:p w14:paraId="793ABED4" w14:textId="77777777" w:rsidR="00B314BE" w:rsidRPr="00B314BE" w:rsidRDefault="00B314BE" w:rsidP="00B314BE">
                  <w:pPr>
                    <w:jc w:val="center"/>
                    <w:rPr>
                      <w:rFonts w:eastAsia="楷体" w:cs="Calibri"/>
                      <w:b/>
                      <w:bCs/>
                      <w:snapToGrid/>
                      <w:color w:val="FFFFFF"/>
                      <w:sz w:val="18"/>
                      <w:szCs w:val="18"/>
                    </w:rPr>
                  </w:pPr>
                  <w:r w:rsidRPr="00B314BE">
                    <w:rPr>
                      <w:rFonts w:eastAsia="楷体" w:cs="Calibri"/>
                      <w:b/>
                      <w:bCs/>
                      <w:snapToGrid/>
                      <w:color w:val="FFFFFF"/>
                      <w:sz w:val="18"/>
                      <w:szCs w:val="18"/>
                    </w:rPr>
                    <w:t>Brand</w:t>
                  </w:r>
                </w:p>
              </w:tc>
              <w:tc>
                <w:tcPr>
                  <w:tcW w:w="1051" w:type="dxa"/>
                  <w:tcBorders>
                    <w:top w:val="nil"/>
                    <w:left w:val="nil"/>
                    <w:bottom w:val="nil"/>
                    <w:right w:val="nil"/>
                  </w:tcBorders>
                  <w:shd w:val="clear" w:color="000000" w:fill="002060"/>
                  <w:vAlign w:val="center"/>
                  <w:hideMark/>
                </w:tcPr>
                <w:p w14:paraId="5DB7B32A" w14:textId="77777777" w:rsidR="00B314BE" w:rsidRPr="00B314BE" w:rsidRDefault="00B314BE" w:rsidP="00B314BE">
                  <w:pPr>
                    <w:jc w:val="center"/>
                    <w:rPr>
                      <w:rFonts w:eastAsia="楷体" w:cs="Calibri"/>
                      <w:b/>
                      <w:bCs/>
                      <w:snapToGrid/>
                      <w:color w:val="FFFFFF"/>
                      <w:sz w:val="18"/>
                      <w:szCs w:val="18"/>
                    </w:rPr>
                  </w:pPr>
                  <w:r w:rsidRPr="00B314BE">
                    <w:rPr>
                      <w:rFonts w:eastAsia="楷体" w:cs="Calibri"/>
                      <w:b/>
                      <w:bCs/>
                      <w:snapToGrid/>
                      <w:color w:val="FFFFFF"/>
                      <w:sz w:val="18"/>
                      <w:szCs w:val="18"/>
                    </w:rPr>
                    <w:t>Acquisition Year</w:t>
                  </w:r>
                </w:p>
              </w:tc>
              <w:tc>
                <w:tcPr>
                  <w:tcW w:w="1213" w:type="dxa"/>
                  <w:tcBorders>
                    <w:top w:val="nil"/>
                    <w:left w:val="nil"/>
                    <w:bottom w:val="nil"/>
                    <w:right w:val="nil"/>
                  </w:tcBorders>
                  <w:shd w:val="clear" w:color="000000" w:fill="002060"/>
                  <w:vAlign w:val="center"/>
                  <w:hideMark/>
                </w:tcPr>
                <w:p w14:paraId="6B613EAD" w14:textId="77777777" w:rsidR="00B314BE" w:rsidRPr="00B314BE" w:rsidRDefault="00B314BE" w:rsidP="00B314BE">
                  <w:pPr>
                    <w:jc w:val="center"/>
                    <w:rPr>
                      <w:rFonts w:eastAsia="楷体" w:cs="Calibri"/>
                      <w:b/>
                      <w:bCs/>
                      <w:snapToGrid/>
                      <w:color w:val="FFFFFF"/>
                      <w:sz w:val="18"/>
                      <w:szCs w:val="18"/>
                    </w:rPr>
                  </w:pPr>
                  <w:r w:rsidRPr="00B314BE">
                    <w:rPr>
                      <w:rFonts w:eastAsia="楷体" w:cs="Calibri"/>
                      <w:b/>
                      <w:bCs/>
                      <w:snapToGrid/>
                      <w:color w:val="FFFFFF"/>
                      <w:sz w:val="18"/>
                      <w:szCs w:val="18"/>
                    </w:rPr>
                    <w:t>Acquisition Price</w:t>
                  </w:r>
                </w:p>
              </w:tc>
              <w:tc>
                <w:tcPr>
                  <w:tcW w:w="1314" w:type="dxa"/>
                  <w:tcBorders>
                    <w:top w:val="nil"/>
                    <w:left w:val="nil"/>
                    <w:bottom w:val="nil"/>
                    <w:right w:val="nil"/>
                  </w:tcBorders>
                  <w:shd w:val="clear" w:color="000000" w:fill="002060"/>
                  <w:vAlign w:val="center"/>
                  <w:hideMark/>
                </w:tcPr>
                <w:p w14:paraId="0CAE6CAF" w14:textId="77777777" w:rsidR="00B314BE" w:rsidRPr="00B314BE" w:rsidRDefault="00B314BE" w:rsidP="00B314BE">
                  <w:pPr>
                    <w:jc w:val="center"/>
                    <w:rPr>
                      <w:rFonts w:eastAsia="楷体" w:cs="Calibri"/>
                      <w:b/>
                      <w:bCs/>
                      <w:snapToGrid/>
                      <w:color w:val="FFFFFF"/>
                      <w:sz w:val="18"/>
                      <w:szCs w:val="18"/>
                    </w:rPr>
                  </w:pPr>
                  <w:r w:rsidRPr="00B314BE">
                    <w:rPr>
                      <w:rFonts w:eastAsia="楷体" w:cs="Calibri"/>
                      <w:b/>
                      <w:bCs/>
                      <w:snapToGrid/>
                      <w:color w:val="FFFFFF"/>
                      <w:sz w:val="18"/>
                      <w:szCs w:val="18"/>
                    </w:rPr>
                    <w:t>Strategic Rationale</w:t>
                  </w:r>
                </w:p>
              </w:tc>
              <w:tc>
                <w:tcPr>
                  <w:tcW w:w="1697" w:type="dxa"/>
                  <w:tcBorders>
                    <w:top w:val="nil"/>
                    <w:left w:val="nil"/>
                    <w:bottom w:val="nil"/>
                    <w:right w:val="nil"/>
                  </w:tcBorders>
                  <w:shd w:val="clear" w:color="000000" w:fill="002060"/>
                  <w:vAlign w:val="center"/>
                  <w:hideMark/>
                </w:tcPr>
                <w:p w14:paraId="1A8C368A" w14:textId="77777777" w:rsidR="00B314BE" w:rsidRPr="00B314BE" w:rsidRDefault="00B314BE" w:rsidP="00B314BE">
                  <w:pPr>
                    <w:jc w:val="center"/>
                    <w:rPr>
                      <w:rFonts w:eastAsia="楷体" w:cs="Calibri"/>
                      <w:b/>
                      <w:bCs/>
                      <w:snapToGrid/>
                      <w:color w:val="FFFFFF"/>
                      <w:sz w:val="18"/>
                      <w:szCs w:val="18"/>
                    </w:rPr>
                  </w:pPr>
                  <w:r w:rsidRPr="00B314BE">
                    <w:rPr>
                      <w:rFonts w:eastAsia="楷体" w:cs="Calibri"/>
                      <w:b/>
                      <w:bCs/>
                      <w:snapToGrid/>
                      <w:color w:val="FFFFFF"/>
                      <w:sz w:val="18"/>
                      <w:szCs w:val="18"/>
                    </w:rPr>
                    <w:t>Current Market Position</w:t>
                  </w:r>
                </w:p>
              </w:tc>
              <w:tc>
                <w:tcPr>
                  <w:tcW w:w="1083" w:type="dxa"/>
                  <w:tcBorders>
                    <w:top w:val="nil"/>
                    <w:left w:val="nil"/>
                    <w:bottom w:val="nil"/>
                    <w:right w:val="nil"/>
                  </w:tcBorders>
                  <w:shd w:val="clear" w:color="000000" w:fill="002060"/>
                  <w:vAlign w:val="center"/>
                  <w:hideMark/>
                </w:tcPr>
                <w:p w14:paraId="1015121E" w14:textId="77777777" w:rsidR="00B314BE" w:rsidRPr="00B314BE" w:rsidRDefault="00B314BE" w:rsidP="00B314BE">
                  <w:pPr>
                    <w:jc w:val="center"/>
                    <w:rPr>
                      <w:rFonts w:eastAsia="楷体" w:cs="Calibri"/>
                      <w:b/>
                      <w:bCs/>
                      <w:snapToGrid/>
                      <w:color w:val="FFFFFF"/>
                      <w:sz w:val="18"/>
                      <w:szCs w:val="18"/>
                    </w:rPr>
                  </w:pPr>
                  <w:r w:rsidRPr="00B314BE">
                    <w:rPr>
                      <w:rFonts w:eastAsia="楷体" w:cs="Calibri"/>
                      <w:b/>
                      <w:bCs/>
                      <w:snapToGrid/>
                      <w:color w:val="FFFFFF"/>
                      <w:sz w:val="18"/>
                      <w:szCs w:val="18"/>
                    </w:rPr>
                    <w:t>Growth Trajectory</w:t>
                  </w:r>
                </w:p>
              </w:tc>
            </w:tr>
            <w:tr w:rsidR="00B314BE" w:rsidRPr="00B314BE" w14:paraId="740F477C" w14:textId="77777777" w:rsidTr="00B314BE">
              <w:trPr>
                <w:trHeight w:val="900"/>
              </w:trPr>
              <w:tc>
                <w:tcPr>
                  <w:tcW w:w="1169" w:type="dxa"/>
                  <w:tcBorders>
                    <w:top w:val="nil"/>
                    <w:left w:val="nil"/>
                    <w:bottom w:val="nil"/>
                    <w:right w:val="nil"/>
                  </w:tcBorders>
                  <w:vAlign w:val="center"/>
                  <w:hideMark/>
                </w:tcPr>
                <w:p w14:paraId="1E5B955B"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Lancôme</w:t>
                  </w:r>
                </w:p>
              </w:tc>
              <w:tc>
                <w:tcPr>
                  <w:tcW w:w="1051" w:type="dxa"/>
                  <w:tcBorders>
                    <w:top w:val="nil"/>
                    <w:left w:val="nil"/>
                    <w:bottom w:val="nil"/>
                    <w:right w:val="nil"/>
                  </w:tcBorders>
                  <w:vAlign w:val="center"/>
                  <w:hideMark/>
                </w:tcPr>
                <w:p w14:paraId="3A7D7BBB"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1964</w:t>
                  </w:r>
                </w:p>
              </w:tc>
              <w:tc>
                <w:tcPr>
                  <w:tcW w:w="1213" w:type="dxa"/>
                  <w:tcBorders>
                    <w:top w:val="nil"/>
                    <w:left w:val="nil"/>
                    <w:bottom w:val="nil"/>
                    <w:right w:val="nil"/>
                  </w:tcBorders>
                  <w:vAlign w:val="center"/>
                  <w:hideMark/>
                </w:tcPr>
                <w:p w14:paraId="7B008D32"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noWrap/>
                  <w:vAlign w:val="center"/>
                  <w:hideMark/>
                </w:tcPr>
                <w:p w14:paraId="5F35B65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French Luxury Brand</w:t>
                  </w:r>
                </w:p>
              </w:tc>
              <w:tc>
                <w:tcPr>
                  <w:tcW w:w="1697" w:type="dxa"/>
                  <w:tcBorders>
                    <w:top w:val="nil"/>
                    <w:left w:val="nil"/>
                    <w:bottom w:val="nil"/>
                    <w:right w:val="nil"/>
                  </w:tcBorders>
                  <w:noWrap/>
                  <w:vAlign w:val="center"/>
                  <w:hideMark/>
                </w:tcPr>
                <w:p w14:paraId="2AA024B5"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Global Top-Tier Prestige Beauty Brand</w:t>
                  </w:r>
                </w:p>
              </w:tc>
              <w:tc>
                <w:tcPr>
                  <w:tcW w:w="1083" w:type="dxa"/>
                  <w:tcBorders>
                    <w:top w:val="nil"/>
                    <w:left w:val="nil"/>
                    <w:bottom w:val="nil"/>
                    <w:right w:val="nil"/>
                  </w:tcBorders>
                  <w:vAlign w:val="center"/>
                  <w:hideMark/>
                </w:tcPr>
                <w:p w14:paraId="5CAD0114"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60 Years of Sustained Leadership</w:t>
                  </w:r>
                </w:p>
              </w:tc>
            </w:tr>
            <w:tr w:rsidR="00B314BE" w:rsidRPr="00B314BE" w14:paraId="08632E99" w14:textId="77777777" w:rsidTr="00B314BE">
              <w:trPr>
                <w:trHeight w:val="600"/>
              </w:trPr>
              <w:tc>
                <w:tcPr>
                  <w:tcW w:w="1169" w:type="dxa"/>
                  <w:tcBorders>
                    <w:top w:val="nil"/>
                    <w:left w:val="nil"/>
                    <w:bottom w:val="nil"/>
                    <w:right w:val="nil"/>
                  </w:tcBorders>
                  <w:shd w:val="clear" w:color="000000" w:fill="F2F2F2"/>
                  <w:vAlign w:val="center"/>
                  <w:hideMark/>
                </w:tcPr>
                <w:p w14:paraId="09365D7B"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Garnier</w:t>
                  </w:r>
                </w:p>
              </w:tc>
              <w:tc>
                <w:tcPr>
                  <w:tcW w:w="1051" w:type="dxa"/>
                  <w:tcBorders>
                    <w:top w:val="nil"/>
                    <w:left w:val="nil"/>
                    <w:bottom w:val="nil"/>
                    <w:right w:val="nil"/>
                  </w:tcBorders>
                  <w:shd w:val="clear" w:color="000000" w:fill="F2F2F2"/>
                  <w:vAlign w:val="center"/>
                  <w:hideMark/>
                </w:tcPr>
                <w:p w14:paraId="05ACEDDC"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1965</w:t>
                  </w:r>
                </w:p>
              </w:tc>
              <w:tc>
                <w:tcPr>
                  <w:tcW w:w="1213" w:type="dxa"/>
                  <w:tcBorders>
                    <w:top w:val="nil"/>
                    <w:left w:val="nil"/>
                    <w:bottom w:val="nil"/>
                    <w:right w:val="nil"/>
                  </w:tcBorders>
                  <w:shd w:val="clear" w:color="000000" w:fill="F2F2F2"/>
                  <w:vAlign w:val="center"/>
                  <w:hideMark/>
                </w:tcPr>
                <w:p w14:paraId="562DD0E9"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shd w:val="clear" w:color="000000" w:fill="F2F2F2"/>
                  <w:vAlign w:val="center"/>
                  <w:hideMark/>
                </w:tcPr>
                <w:p w14:paraId="36B4592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French Haircare Brand</w:t>
                  </w:r>
                </w:p>
              </w:tc>
              <w:tc>
                <w:tcPr>
                  <w:tcW w:w="1697" w:type="dxa"/>
                  <w:tcBorders>
                    <w:top w:val="nil"/>
                    <w:left w:val="nil"/>
                    <w:bottom w:val="nil"/>
                    <w:right w:val="nil"/>
                  </w:tcBorders>
                  <w:shd w:val="clear" w:color="000000" w:fill="F2F2F2"/>
                  <w:vAlign w:val="center"/>
                  <w:hideMark/>
                </w:tcPr>
                <w:p w14:paraId="3FCC22B3"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Global Leading Mass Beauty Brand</w:t>
                  </w:r>
                </w:p>
              </w:tc>
              <w:tc>
                <w:tcPr>
                  <w:tcW w:w="1083" w:type="dxa"/>
                  <w:tcBorders>
                    <w:top w:val="nil"/>
                    <w:left w:val="nil"/>
                    <w:bottom w:val="nil"/>
                    <w:right w:val="nil"/>
                  </w:tcBorders>
                  <w:shd w:val="clear" w:color="000000" w:fill="F2F2F2"/>
                  <w:vAlign w:val="center"/>
                  <w:hideMark/>
                </w:tcPr>
                <w:p w14:paraId="155C1375"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60 Years</w:t>
                  </w:r>
                </w:p>
              </w:tc>
            </w:tr>
            <w:tr w:rsidR="00B314BE" w:rsidRPr="00B314BE" w14:paraId="44DB3414" w14:textId="77777777" w:rsidTr="00B314BE">
              <w:trPr>
                <w:trHeight w:val="600"/>
              </w:trPr>
              <w:tc>
                <w:tcPr>
                  <w:tcW w:w="1169" w:type="dxa"/>
                  <w:tcBorders>
                    <w:top w:val="nil"/>
                    <w:left w:val="nil"/>
                    <w:bottom w:val="nil"/>
                    <w:right w:val="nil"/>
                  </w:tcBorders>
                  <w:vAlign w:val="center"/>
                  <w:hideMark/>
                </w:tcPr>
                <w:p w14:paraId="5FFF54C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Helena Rubinstein</w:t>
                  </w:r>
                </w:p>
              </w:tc>
              <w:tc>
                <w:tcPr>
                  <w:tcW w:w="1051" w:type="dxa"/>
                  <w:tcBorders>
                    <w:top w:val="nil"/>
                    <w:left w:val="nil"/>
                    <w:bottom w:val="nil"/>
                    <w:right w:val="nil"/>
                  </w:tcBorders>
                  <w:vAlign w:val="center"/>
                  <w:hideMark/>
                </w:tcPr>
                <w:p w14:paraId="61657000"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1988</w:t>
                  </w:r>
                </w:p>
              </w:tc>
              <w:tc>
                <w:tcPr>
                  <w:tcW w:w="1213" w:type="dxa"/>
                  <w:tcBorders>
                    <w:top w:val="nil"/>
                    <w:left w:val="nil"/>
                    <w:bottom w:val="nil"/>
                    <w:right w:val="nil"/>
                  </w:tcBorders>
                  <w:vAlign w:val="center"/>
                  <w:hideMark/>
                </w:tcPr>
                <w:p w14:paraId="0B8691E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vAlign w:val="center"/>
                  <w:hideMark/>
                </w:tcPr>
                <w:p w14:paraId="449940C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American Prestige Brand</w:t>
                  </w:r>
                </w:p>
              </w:tc>
              <w:tc>
                <w:tcPr>
                  <w:tcW w:w="1697" w:type="dxa"/>
                  <w:tcBorders>
                    <w:top w:val="nil"/>
                    <w:left w:val="nil"/>
                    <w:bottom w:val="nil"/>
                    <w:right w:val="nil"/>
                  </w:tcBorders>
                  <w:vAlign w:val="center"/>
                  <w:hideMark/>
                </w:tcPr>
                <w:p w14:paraId="46582DE0"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Ultra-Premium Skincare Positioning</w:t>
                  </w:r>
                </w:p>
              </w:tc>
              <w:tc>
                <w:tcPr>
                  <w:tcW w:w="1083" w:type="dxa"/>
                  <w:tcBorders>
                    <w:top w:val="nil"/>
                    <w:left w:val="nil"/>
                    <w:bottom w:val="nil"/>
                    <w:right w:val="nil"/>
                  </w:tcBorders>
                  <w:vAlign w:val="center"/>
                  <w:hideMark/>
                </w:tcPr>
                <w:p w14:paraId="3FE4BAB3"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37 Years</w:t>
                  </w:r>
                </w:p>
              </w:tc>
            </w:tr>
            <w:tr w:rsidR="00B314BE" w:rsidRPr="00B314BE" w14:paraId="6C875281" w14:textId="77777777" w:rsidTr="00B314BE">
              <w:trPr>
                <w:trHeight w:val="600"/>
              </w:trPr>
              <w:tc>
                <w:tcPr>
                  <w:tcW w:w="1169" w:type="dxa"/>
                  <w:tcBorders>
                    <w:top w:val="nil"/>
                    <w:left w:val="nil"/>
                    <w:bottom w:val="nil"/>
                    <w:right w:val="nil"/>
                  </w:tcBorders>
                  <w:shd w:val="clear" w:color="000000" w:fill="F2F2F2"/>
                  <w:vAlign w:val="center"/>
                  <w:hideMark/>
                </w:tcPr>
                <w:p w14:paraId="2869AEF2"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La Roche-Posay</w:t>
                  </w:r>
                </w:p>
              </w:tc>
              <w:tc>
                <w:tcPr>
                  <w:tcW w:w="1051" w:type="dxa"/>
                  <w:tcBorders>
                    <w:top w:val="nil"/>
                    <w:left w:val="nil"/>
                    <w:bottom w:val="nil"/>
                    <w:right w:val="nil"/>
                  </w:tcBorders>
                  <w:shd w:val="clear" w:color="000000" w:fill="F2F2F2"/>
                  <w:vAlign w:val="center"/>
                  <w:hideMark/>
                </w:tcPr>
                <w:p w14:paraId="79693EEB"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1989</w:t>
                  </w:r>
                </w:p>
              </w:tc>
              <w:tc>
                <w:tcPr>
                  <w:tcW w:w="1213" w:type="dxa"/>
                  <w:tcBorders>
                    <w:top w:val="nil"/>
                    <w:left w:val="nil"/>
                    <w:bottom w:val="nil"/>
                    <w:right w:val="nil"/>
                  </w:tcBorders>
                  <w:shd w:val="clear" w:color="000000" w:fill="F2F2F2"/>
                  <w:vAlign w:val="center"/>
                  <w:hideMark/>
                </w:tcPr>
                <w:p w14:paraId="559FC8BD"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shd w:val="clear" w:color="000000" w:fill="F2F2F2"/>
                  <w:vAlign w:val="center"/>
                  <w:hideMark/>
                </w:tcPr>
                <w:p w14:paraId="6DE4CECD"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French Dermo-Cosmetic Brand</w:t>
                  </w:r>
                </w:p>
              </w:tc>
              <w:tc>
                <w:tcPr>
                  <w:tcW w:w="1697" w:type="dxa"/>
                  <w:tcBorders>
                    <w:top w:val="nil"/>
                    <w:left w:val="nil"/>
                    <w:bottom w:val="nil"/>
                    <w:right w:val="nil"/>
                  </w:tcBorders>
                  <w:shd w:val="clear" w:color="000000" w:fill="F2F2F2"/>
                  <w:vAlign w:val="center"/>
                  <w:hideMark/>
                </w:tcPr>
                <w:p w14:paraId="7DDE8DF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World's #3 Skincare Brand</w:t>
                  </w:r>
                </w:p>
              </w:tc>
              <w:tc>
                <w:tcPr>
                  <w:tcW w:w="1083" w:type="dxa"/>
                  <w:tcBorders>
                    <w:top w:val="nil"/>
                    <w:left w:val="nil"/>
                    <w:bottom w:val="nil"/>
                    <w:right w:val="nil"/>
                  </w:tcBorders>
                  <w:shd w:val="clear" w:color="000000" w:fill="F2F2F2"/>
                  <w:vAlign w:val="center"/>
                  <w:hideMark/>
                </w:tcPr>
                <w:p w14:paraId="5DFA75D5"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36 Years</w:t>
                  </w:r>
                </w:p>
              </w:tc>
            </w:tr>
            <w:tr w:rsidR="00B314BE" w:rsidRPr="00B314BE" w14:paraId="3A8B8534" w14:textId="77777777" w:rsidTr="00B314BE">
              <w:trPr>
                <w:trHeight w:val="900"/>
              </w:trPr>
              <w:tc>
                <w:tcPr>
                  <w:tcW w:w="1169" w:type="dxa"/>
                  <w:tcBorders>
                    <w:top w:val="nil"/>
                    <w:left w:val="nil"/>
                    <w:bottom w:val="nil"/>
                    <w:right w:val="nil"/>
                  </w:tcBorders>
                  <w:vAlign w:val="center"/>
                  <w:hideMark/>
                </w:tcPr>
                <w:p w14:paraId="1E750EC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Redken</w:t>
                  </w:r>
                </w:p>
              </w:tc>
              <w:tc>
                <w:tcPr>
                  <w:tcW w:w="1051" w:type="dxa"/>
                  <w:tcBorders>
                    <w:top w:val="nil"/>
                    <w:left w:val="nil"/>
                    <w:bottom w:val="nil"/>
                    <w:right w:val="nil"/>
                  </w:tcBorders>
                  <w:vAlign w:val="center"/>
                  <w:hideMark/>
                </w:tcPr>
                <w:p w14:paraId="0BC5DD1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1993</w:t>
                  </w:r>
                </w:p>
              </w:tc>
              <w:tc>
                <w:tcPr>
                  <w:tcW w:w="1213" w:type="dxa"/>
                  <w:tcBorders>
                    <w:top w:val="nil"/>
                    <w:left w:val="nil"/>
                    <w:bottom w:val="nil"/>
                    <w:right w:val="nil"/>
                  </w:tcBorders>
                  <w:vAlign w:val="center"/>
                  <w:hideMark/>
                </w:tcPr>
                <w:p w14:paraId="40BE7BB0"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vAlign w:val="center"/>
                  <w:hideMark/>
                </w:tcPr>
                <w:p w14:paraId="669BF6B6"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American Professional Haircare</w:t>
                  </w:r>
                </w:p>
              </w:tc>
              <w:tc>
                <w:tcPr>
                  <w:tcW w:w="1697" w:type="dxa"/>
                  <w:tcBorders>
                    <w:top w:val="nil"/>
                    <w:left w:val="nil"/>
                    <w:bottom w:val="nil"/>
                    <w:right w:val="nil"/>
                  </w:tcBorders>
                  <w:vAlign w:val="center"/>
                  <w:hideMark/>
                </w:tcPr>
                <w:p w14:paraId="085493EA"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 Professional Haircare Brand in the US</w:t>
                  </w:r>
                </w:p>
              </w:tc>
              <w:tc>
                <w:tcPr>
                  <w:tcW w:w="1083" w:type="dxa"/>
                  <w:tcBorders>
                    <w:top w:val="nil"/>
                    <w:left w:val="nil"/>
                    <w:bottom w:val="nil"/>
                    <w:right w:val="nil"/>
                  </w:tcBorders>
                  <w:vAlign w:val="center"/>
                  <w:hideMark/>
                </w:tcPr>
                <w:p w14:paraId="2FBB2BC9"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32 Years</w:t>
                  </w:r>
                </w:p>
              </w:tc>
            </w:tr>
            <w:tr w:rsidR="00B314BE" w:rsidRPr="00B314BE" w14:paraId="63015499" w14:textId="77777777" w:rsidTr="00B314BE">
              <w:trPr>
                <w:trHeight w:val="600"/>
              </w:trPr>
              <w:tc>
                <w:tcPr>
                  <w:tcW w:w="1169" w:type="dxa"/>
                  <w:tcBorders>
                    <w:top w:val="nil"/>
                    <w:left w:val="nil"/>
                    <w:bottom w:val="nil"/>
                    <w:right w:val="nil"/>
                  </w:tcBorders>
                  <w:shd w:val="clear" w:color="000000" w:fill="F2F2F2"/>
                  <w:vAlign w:val="center"/>
                  <w:hideMark/>
                </w:tcPr>
                <w:p w14:paraId="1581E4CC"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Maybelline</w:t>
                  </w:r>
                </w:p>
              </w:tc>
              <w:tc>
                <w:tcPr>
                  <w:tcW w:w="1051" w:type="dxa"/>
                  <w:tcBorders>
                    <w:top w:val="nil"/>
                    <w:left w:val="nil"/>
                    <w:bottom w:val="nil"/>
                    <w:right w:val="nil"/>
                  </w:tcBorders>
                  <w:shd w:val="clear" w:color="000000" w:fill="F2F2F2"/>
                  <w:vAlign w:val="center"/>
                  <w:hideMark/>
                </w:tcPr>
                <w:p w14:paraId="333335D6"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1996</w:t>
                  </w:r>
                </w:p>
              </w:tc>
              <w:tc>
                <w:tcPr>
                  <w:tcW w:w="1213" w:type="dxa"/>
                  <w:tcBorders>
                    <w:top w:val="nil"/>
                    <w:left w:val="nil"/>
                    <w:bottom w:val="nil"/>
                    <w:right w:val="nil"/>
                  </w:tcBorders>
                  <w:shd w:val="clear" w:color="000000" w:fill="F2F2F2"/>
                  <w:vAlign w:val="center"/>
                  <w:hideMark/>
                </w:tcPr>
                <w:p w14:paraId="4EA51068"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$758M</w:t>
                  </w:r>
                </w:p>
              </w:tc>
              <w:tc>
                <w:tcPr>
                  <w:tcW w:w="1314" w:type="dxa"/>
                  <w:tcBorders>
                    <w:top w:val="nil"/>
                    <w:left w:val="nil"/>
                    <w:bottom w:val="nil"/>
                    <w:right w:val="nil"/>
                  </w:tcBorders>
                  <w:shd w:val="clear" w:color="000000" w:fill="F2F2F2"/>
                  <w:vAlign w:val="center"/>
                  <w:hideMark/>
                </w:tcPr>
                <w:p w14:paraId="2D73526E"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American Mass-Market Makeup</w:t>
                  </w:r>
                </w:p>
              </w:tc>
              <w:tc>
                <w:tcPr>
                  <w:tcW w:w="1697" w:type="dxa"/>
                  <w:tcBorders>
                    <w:top w:val="nil"/>
                    <w:left w:val="nil"/>
                    <w:bottom w:val="nil"/>
                    <w:right w:val="nil"/>
                  </w:tcBorders>
                  <w:shd w:val="clear" w:color="000000" w:fill="F2F2F2"/>
                  <w:vAlign w:val="center"/>
                  <w:hideMark/>
                </w:tcPr>
                <w:p w14:paraId="3C2E07F9"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World's #1 Makeup Brand</w:t>
                  </w:r>
                </w:p>
              </w:tc>
              <w:tc>
                <w:tcPr>
                  <w:tcW w:w="1083" w:type="dxa"/>
                  <w:tcBorders>
                    <w:top w:val="nil"/>
                    <w:left w:val="nil"/>
                    <w:bottom w:val="nil"/>
                    <w:right w:val="nil"/>
                  </w:tcBorders>
                  <w:shd w:val="clear" w:color="000000" w:fill="F2F2F2"/>
                  <w:vAlign w:val="center"/>
                  <w:hideMark/>
                </w:tcPr>
                <w:p w14:paraId="4CF4B645"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28 Years to #1</w:t>
                  </w:r>
                </w:p>
              </w:tc>
            </w:tr>
            <w:tr w:rsidR="00B314BE" w:rsidRPr="00B314BE" w14:paraId="450C9498" w14:textId="77777777" w:rsidTr="00B314BE">
              <w:trPr>
                <w:trHeight w:val="600"/>
              </w:trPr>
              <w:tc>
                <w:tcPr>
                  <w:tcW w:w="1169" w:type="dxa"/>
                  <w:tcBorders>
                    <w:top w:val="nil"/>
                    <w:left w:val="nil"/>
                    <w:bottom w:val="nil"/>
                    <w:right w:val="nil"/>
                  </w:tcBorders>
                  <w:vAlign w:val="center"/>
                  <w:hideMark/>
                </w:tcPr>
                <w:p w14:paraId="45176220"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Kiehl's</w:t>
                  </w:r>
                </w:p>
              </w:tc>
              <w:tc>
                <w:tcPr>
                  <w:tcW w:w="1051" w:type="dxa"/>
                  <w:tcBorders>
                    <w:top w:val="nil"/>
                    <w:left w:val="nil"/>
                    <w:bottom w:val="nil"/>
                    <w:right w:val="nil"/>
                  </w:tcBorders>
                  <w:vAlign w:val="center"/>
                  <w:hideMark/>
                </w:tcPr>
                <w:p w14:paraId="2D1C38B9"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2000</w:t>
                  </w:r>
                </w:p>
              </w:tc>
              <w:tc>
                <w:tcPr>
                  <w:tcW w:w="1213" w:type="dxa"/>
                  <w:tcBorders>
                    <w:top w:val="nil"/>
                    <w:left w:val="nil"/>
                    <w:bottom w:val="nil"/>
                    <w:right w:val="nil"/>
                  </w:tcBorders>
                  <w:vAlign w:val="center"/>
                  <w:hideMark/>
                </w:tcPr>
                <w:p w14:paraId="2EB8D58B"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vAlign w:val="center"/>
                  <w:hideMark/>
                </w:tcPr>
                <w:p w14:paraId="03E50227"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NYC Niche Apothecary</w:t>
                  </w:r>
                </w:p>
              </w:tc>
              <w:tc>
                <w:tcPr>
                  <w:tcW w:w="1697" w:type="dxa"/>
                  <w:tcBorders>
                    <w:top w:val="nil"/>
                    <w:left w:val="nil"/>
                    <w:bottom w:val="nil"/>
                    <w:right w:val="nil"/>
                  </w:tcBorders>
                  <w:vAlign w:val="center"/>
                  <w:hideMark/>
                </w:tcPr>
                <w:p w14:paraId="03903EAE"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Globally Recognized Prestige Skincare Brand</w:t>
                  </w:r>
                </w:p>
              </w:tc>
              <w:tc>
                <w:tcPr>
                  <w:tcW w:w="1083" w:type="dxa"/>
                  <w:tcBorders>
                    <w:top w:val="nil"/>
                    <w:left w:val="nil"/>
                    <w:bottom w:val="nil"/>
                    <w:right w:val="nil"/>
                  </w:tcBorders>
                  <w:vAlign w:val="center"/>
                  <w:hideMark/>
                </w:tcPr>
                <w:p w14:paraId="4FC148A4"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25 Years</w:t>
                  </w:r>
                </w:p>
              </w:tc>
            </w:tr>
            <w:tr w:rsidR="00B314BE" w:rsidRPr="00B314BE" w14:paraId="04E80608" w14:textId="77777777" w:rsidTr="00B314BE">
              <w:trPr>
                <w:trHeight w:val="900"/>
              </w:trPr>
              <w:tc>
                <w:tcPr>
                  <w:tcW w:w="1169" w:type="dxa"/>
                  <w:tcBorders>
                    <w:top w:val="nil"/>
                    <w:left w:val="nil"/>
                    <w:bottom w:val="nil"/>
                    <w:right w:val="nil"/>
                  </w:tcBorders>
                  <w:shd w:val="clear" w:color="000000" w:fill="F2F2F2"/>
                  <w:vAlign w:val="center"/>
                  <w:hideMark/>
                </w:tcPr>
                <w:p w14:paraId="0EAD5CF8" w14:textId="77777777" w:rsidR="00B314BE" w:rsidRPr="00B314BE" w:rsidRDefault="00B314BE" w:rsidP="00B314BE">
                  <w:pPr>
                    <w:jc w:val="center"/>
                    <w:rPr>
                      <w:rFonts w:eastAsia="楷体" w:cs="Calibri"/>
                      <w:snapToGrid/>
                      <w:color w:val="000000"/>
                      <w:sz w:val="18"/>
                      <w:szCs w:val="18"/>
                    </w:rPr>
                  </w:pPr>
                  <w:proofErr w:type="spellStart"/>
                  <w:r w:rsidRPr="00B314BE">
                    <w:rPr>
                      <w:rFonts w:eastAsia="楷体" w:cs="Calibri"/>
                      <w:snapToGrid/>
                      <w:color w:val="000000"/>
                      <w:sz w:val="18"/>
                      <w:szCs w:val="18"/>
                    </w:rPr>
                    <w:t>SkinCeuticals</w:t>
                  </w:r>
                  <w:proofErr w:type="spellEnd"/>
                </w:p>
              </w:tc>
              <w:tc>
                <w:tcPr>
                  <w:tcW w:w="1051" w:type="dxa"/>
                  <w:tcBorders>
                    <w:top w:val="nil"/>
                    <w:left w:val="nil"/>
                    <w:bottom w:val="nil"/>
                    <w:right w:val="nil"/>
                  </w:tcBorders>
                  <w:shd w:val="clear" w:color="000000" w:fill="F2F2F2"/>
                  <w:vAlign w:val="center"/>
                  <w:hideMark/>
                </w:tcPr>
                <w:p w14:paraId="2BD45017"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2005</w:t>
                  </w:r>
                </w:p>
              </w:tc>
              <w:tc>
                <w:tcPr>
                  <w:tcW w:w="1213" w:type="dxa"/>
                  <w:tcBorders>
                    <w:top w:val="nil"/>
                    <w:left w:val="nil"/>
                    <w:bottom w:val="nil"/>
                    <w:right w:val="nil"/>
                  </w:tcBorders>
                  <w:shd w:val="clear" w:color="000000" w:fill="F2F2F2"/>
                  <w:vAlign w:val="center"/>
                  <w:hideMark/>
                </w:tcPr>
                <w:p w14:paraId="0B114C77"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shd w:val="clear" w:color="000000" w:fill="F2F2F2"/>
                  <w:vAlign w:val="center"/>
                  <w:hideMark/>
                </w:tcPr>
                <w:p w14:paraId="31AF16F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American Medical-Grade Skincare</w:t>
                  </w:r>
                </w:p>
              </w:tc>
              <w:tc>
                <w:tcPr>
                  <w:tcW w:w="1697" w:type="dxa"/>
                  <w:tcBorders>
                    <w:top w:val="nil"/>
                    <w:left w:val="nil"/>
                    <w:bottom w:val="nil"/>
                    <w:right w:val="nil"/>
                  </w:tcBorders>
                  <w:shd w:val="clear" w:color="000000" w:fill="F2F2F2"/>
                  <w:vAlign w:val="center"/>
                  <w:hideMark/>
                </w:tcPr>
                <w:p w14:paraId="2511FD18"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Leader in Medical-Grade Vitamin C Serums</w:t>
                  </w:r>
                </w:p>
              </w:tc>
              <w:tc>
                <w:tcPr>
                  <w:tcW w:w="1083" w:type="dxa"/>
                  <w:tcBorders>
                    <w:top w:val="nil"/>
                    <w:left w:val="nil"/>
                    <w:bottom w:val="nil"/>
                    <w:right w:val="nil"/>
                  </w:tcBorders>
                  <w:shd w:val="clear" w:color="000000" w:fill="F2F2F2"/>
                  <w:vAlign w:val="center"/>
                  <w:hideMark/>
                </w:tcPr>
                <w:p w14:paraId="3E274DF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 Years</w:t>
                  </w:r>
                </w:p>
              </w:tc>
            </w:tr>
            <w:tr w:rsidR="00B314BE" w:rsidRPr="00B314BE" w14:paraId="261487F4" w14:textId="77777777" w:rsidTr="00B314BE">
              <w:trPr>
                <w:trHeight w:val="600"/>
              </w:trPr>
              <w:tc>
                <w:tcPr>
                  <w:tcW w:w="1169" w:type="dxa"/>
                  <w:tcBorders>
                    <w:top w:val="nil"/>
                    <w:left w:val="nil"/>
                    <w:bottom w:val="nil"/>
                    <w:right w:val="nil"/>
                  </w:tcBorders>
                  <w:vAlign w:val="center"/>
                  <w:hideMark/>
                </w:tcPr>
                <w:p w14:paraId="543C24F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 xml:space="preserve">YSL </w:t>
                  </w:r>
                  <w:proofErr w:type="spellStart"/>
                  <w:r w:rsidRPr="00B314BE">
                    <w:rPr>
                      <w:rFonts w:eastAsia="楷体" w:cs="Calibri"/>
                      <w:snapToGrid/>
                      <w:color w:val="000000"/>
                      <w:sz w:val="18"/>
                      <w:szCs w:val="18"/>
                    </w:rPr>
                    <w:t>Beauté</w:t>
                  </w:r>
                  <w:proofErr w:type="spellEnd"/>
                </w:p>
              </w:tc>
              <w:tc>
                <w:tcPr>
                  <w:tcW w:w="1051" w:type="dxa"/>
                  <w:tcBorders>
                    <w:top w:val="nil"/>
                    <w:left w:val="nil"/>
                    <w:bottom w:val="nil"/>
                    <w:right w:val="nil"/>
                  </w:tcBorders>
                  <w:vAlign w:val="center"/>
                  <w:hideMark/>
                </w:tcPr>
                <w:p w14:paraId="226208B2"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2008</w:t>
                  </w:r>
                </w:p>
              </w:tc>
              <w:tc>
                <w:tcPr>
                  <w:tcW w:w="1213" w:type="dxa"/>
                  <w:tcBorders>
                    <w:top w:val="nil"/>
                    <w:left w:val="nil"/>
                    <w:bottom w:val="nil"/>
                    <w:right w:val="nil"/>
                  </w:tcBorders>
                  <w:vAlign w:val="center"/>
                  <w:hideMark/>
                </w:tcPr>
                <w:p w14:paraId="25F451A8"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$1.8B</w:t>
                  </w:r>
                </w:p>
              </w:tc>
              <w:tc>
                <w:tcPr>
                  <w:tcW w:w="1314" w:type="dxa"/>
                  <w:tcBorders>
                    <w:top w:val="nil"/>
                    <w:left w:val="nil"/>
                    <w:bottom w:val="nil"/>
                    <w:right w:val="nil"/>
                  </w:tcBorders>
                  <w:vAlign w:val="center"/>
                  <w:hideMark/>
                </w:tcPr>
                <w:p w14:paraId="28ED6E54"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Fashion House Beauty License</w:t>
                  </w:r>
                </w:p>
              </w:tc>
              <w:tc>
                <w:tcPr>
                  <w:tcW w:w="1697" w:type="dxa"/>
                  <w:tcBorders>
                    <w:top w:val="nil"/>
                    <w:left w:val="nil"/>
                    <w:bottom w:val="nil"/>
                    <w:right w:val="nil"/>
                  </w:tcBorders>
                  <w:vAlign w:val="center"/>
                  <w:hideMark/>
                </w:tcPr>
                <w:p w14:paraId="37AE4D4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Core of Couture Brand Portfolio; MYSLF Men's Fragrance Global Hit</w:t>
                  </w:r>
                </w:p>
              </w:tc>
              <w:tc>
                <w:tcPr>
                  <w:tcW w:w="1083" w:type="dxa"/>
                  <w:tcBorders>
                    <w:top w:val="nil"/>
                    <w:left w:val="nil"/>
                    <w:bottom w:val="nil"/>
                    <w:right w:val="nil"/>
                  </w:tcBorders>
                  <w:vAlign w:val="center"/>
                  <w:hideMark/>
                </w:tcPr>
                <w:p w14:paraId="34D68E0E"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17 Years</w:t>
                  </w:r>
                </w:p>
              </w:tc>
            </w:tr>
            <w:tr w:rsidR="00B314BE" w:rsidRPr="00B314BE" w14:paraId="48247780" w14:textId="77777777" w:rsidTr="00B314BE">
              <w:trPr>
                <w:trHeight w:val="600"/>
              </w:trPr>
              <w:tc>
                <w:tcPr>
                  <w:tcW w:w="1169" w:type="dxa"/>
                  <w:tcBorders>
                    <w:top w:val="nil"/>
                    <w:left w:val="nil"/>
                    <w:bottom w:val="nil"/>
                    <w:right w:val="nil"/>
                  </w:tcBorders>
                  <w:shd w:val="clear" w:color="000000" w:fill="F2F2F2"/>
                  <w:vAlign w:val="center"/>
                  <w:hideMark/>
                </w:tcPr>
                <w:p w14:paraId="7CB05F73"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Essie</w:t>
                  </w:r>
                </w:p>
              </w:tc>
              <w:tc>
                <w:tcPr>
                  <w:tcW w:w="1051" w:type="dxa"/>
                  <w:tcBorders>
                    <w:top w:val="nil"/>
                    <w:left w:val="nil"/>
                    <w:bottom w:val="nil"/>
                    <w:right w:val="nil"/>
                  </w:tcBorders>
                  <w:shd w:val="clear" w:color="000000" w:fill="F2F2F2"/>
                  <w:vAlign w:val="center"/>
                  <w:hideMark/>
                </w:tcPr>
                <w:p w14:paraId="154AA76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2010</w:t>
                  </w:r>
                </w:p>
              </w:tc>
              <w:tc>
                <w:tcPr>
                  <w:tcW w:w="1213" w:type="dxa"/>
                  <w:tcBorders>
                    <w:top w:val="nil"/>
                    <w:left w:val="nil"/>
                    <w:bottom w:val="nil"/>
                    <w:right w:val="nil"/>
                  </w:tcBorders>
                  <w:shd w:val="clear" w:color="000000" w:fill="F2F2F2"/>
                  <w:vAlign w:val="center"/>
                  <w:hideMark/>
                </w:tcPr>
                <w:p w14:paraId="6C03FD97"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shd w:val="clear" w:color="000000" w:fill="F2F2F2"/>
                  <w:vAlign w:val="center"/>
                  <w:hideMark/>
                </w:tcPr>
                <w:p w14:paraId="70248363"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American Nail Polish Brand</w:t>
                  </w:r>
                </w:p>
              </w:tc>
              <w:tc>
                <w:tcPr>
                  <w:tcW w:w="1697" w:type="dxa"/>
                  <w:tcBorders>
                    <w:top w:val="nil"/>
                    <w:left w:val="nil"/>
                    <w:bottom w:val="nil"/>
                    <w:right w:val="nil"/>
                  </w:tcBorders>
                  <w:shd w:val="clear" w:color="000000" w:fill="F2F2F2"/>
                  <w:vAlign w:val="center"/>
                  <w:hideMark/>
                </w:tcPr>
                <w:p w14:paraId="43D15EC8"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Category Leader in Nail Color</w:t>
                  </w:r>
                </w:p>
              </w:tc>
              <w:tc>
                <w:tcPr>
                  <w:tcW w:w="1083" w:type="dxa"/>
                  <w:tcBorders>
                    <w:top w:val="nil"/>
                    <w:left w:val="nil"/>
                    <w:bottom w:val="nil"/>
                    <w:right w:val="nil"/>
                  </w:tcBorders>
                  <w:shd w:val="clear" w:color="000000" w:fill="F2F2F2"/>
                  <w:vAlign w:val="center"/>
                  <w:hideMark/>
                </w:tcPr>
                <w:p w14:paraId="522DF533"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15 Years</w:t>
                  </w:r>
                </w:p>
              </w:tc>
            </w:tr>
            <w:tr w:rsidR="00B314BE" w:rsidRPr="00B314BE" w14:paraId="7BCEB530" w14:textId="77777777" w:rsidTr="00B314BE">
              <w:trPr>
                <w:trHeight w:val="600"/>
              </w:trPr>
              <w:tc>
                <w:tcPr>
                  <w:tcW w:w="1169" w:type="dxa"/>
                  <w:tcBorders>
                    <w:top w:val="nil"/>
                    <w:left w:val="nil"/>
                    <w:bottom w:val="nil"/>
                    <w:right w:val="nil"/>
                  </w:tcBorders>
                  <w:vAlign w:val="center"/>
                  <w:hideMark/>
                </w:tcPr>
                <w:p w14:paraId="3A093866"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NYX</w:t>
                  </w:r>
                </w:p>
              </w:tc>
              <w:tc>
                <w:tcPr>
                  <w:tcW w:w="1051" w:type="dxa"/>
                  <w:tcBorders>
                    <w:top w:val="nil"/>
                    <w:left w:val="nil"/>
                    <w:bottom w:val="nil"/>
                    <w:right w:val="nil"/>
                  </w:tcBorders>
                  <w:vAlign w:val="center"/>
                  <w:hideMark/>
                </w:tcPr>
                <w:p w14:paraId="0EC5852A"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2014</w:t>
                  </w:r>
                </w:p>
              </w:tc>
              <w:tc>
                <w:tcPr>
                  <w:tcW w:w="1213" w:type="dxa"/>
                  <w:tcBorders>
                    <w:top w:val="nil"/>
                    <w:left w:val="nil"/>
                    <w:bottom w:val="nil"/>
                    <w:right w:val="nil"/>
                  </w:tcBorders>
                  <w:vAlign w:val="center"/>
                  <w:hideMark/>
                </w:tcPr>
                <w:p w14:paraId="4A924325"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w:t>
                  </w:r>
                </w:p>
              </w:tc>
              <w:tc>
                <w:tcPr>
                  <w:tcW w:w="1314" w:type="dxa"/>
                  <w:tcBorders>
                    <w:top w:val="nil"/>
                    <w:left w:val="nil"/>
                    <w:bottom w:val="nil"/>
                    <w:right w:val="nil"/>
                  </w:tcBorders>
                  <w:vAlign w:val="center"/>
                  <w:hideMark/>
                </w:tcPr>
                <w:p w14:paraId="6826C6B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American Indie Makeup Brand</w:t>
                  </w:r>
                </w:p>
              </w:tc>
              <w:tc>
                <w:tcPr>
                  <w:tcW w:w="1697" w:type="dxa"/>
                  <w:tcBorders>
                    <w:top w:val="nil"/>
                    <w:left w:val="nil"/>
                    <w:bottom w:val="nil"/>
                    <w:right w:val="nil"/>
                  </w:tcBorders>
                  <w:vAlign w:val="center"/>
                  <w:hideMark/>
                </w:tcPr>
                <w:p w14:paraId="32A175DA"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Global Leading Professional Makeup Brand</w:t>
                  </w:r>
                </w:p>
              </w:tc>
              <w:tc>
                <w:tcPr>
                  <w:tcW w:w="1083" w:type="dxa"/>
                  <w:tcBorders>
                    <w:top w:val="nil"/>
                    <w:left w:val="nil"/>
                    <w:bottom w:val="nil"/>
                    <w:right w:val="nil"/>
                  </w:tcBorders>
                  <w:vAlign w:val="center"/>
                  <w:hideMark/>
                </w:tcPr>
                <w:p w14:paraId="77330834"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11 Years</w:t>
                  </w:r>
                </w:p>
              </w:tc>
            </w:tr>
            <w:tr w:rsidR="00B314BE" w:rsidRPr="00B314BE" w14:paraId="285B3349" w14:textId="77777777" w:rsidTr="00B314BE">
              <w:trPr>
                <w:trHeight w:val="600"/>
              </w:trPr>
              <w:tc>
                <w:tcPr>
                  <w:tcW w:w="1169" w:type="dxa"/>
                  <w:tcBorders>
                    <w:top w:val="nil"/>
                    <w:left w:val="nil"/>
                    <w:bottom w:val="nil"/>
                    <w:right w:val="nil"/>
                  </w:tcBorders>
                  <w:shd w:val="clear" w:color="000000" w:fill="F2F2F2"/>
                  <w:vAlign w:val="center"/>
                  <w:hideMark/>
                </w:tcPr>
                <w:p w14:paraId="4409EDD8"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CeraVe</w:t>
                  </w:r>
                </w:p>
              </w:tc>
              <w:tc>
                <w:tcPr>
                  <w:tcW w:w="1051" w:type="dxa"/>
                  <w:tcBorders>
                    <w:top w:val="nil"/>
                    <w:left w:val="nil"/>
                    <w:bottom w:val="nil"/>
                    <w:right w:val="nil"/>
                  </w:tcBorders>
                  <w:shd w:val="clear" w:color="000000" w:fill="F2F2F2"/>
                  <w:vAlign w:val="center"/>
                  <w:hideMark/>
                </w:tcPr>
                <w:p w14:paraId="4BF6579A"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2017</w:t>
                  </w:r>
                </w:p>
              </w:tc>
              <w:tc>
                <w:tcPr>
                  <w:tcW w:w="1213" w:type="dxa"/>
                  <w:tcBorders>
                    <w:top w:val="nil"/>
                    <w:left w:val="nil"/>
                    <w:bottom w:val="nil"/>
                    <w:right w:val="nil"/>
                  </w:tcBorders>
                  <w:shd w:val="clear" w:color="000000" w:fill="F2F2F2"/>
                  <w:vAlign w:val="center"/>
                  <w:hideMark/>
                </w:tcPr>
                <w:p w14:paraId="448B8A82"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$1.3B</w:t>
                  </w:r>
                </w:p>
              </w:tc>
              <w:tc>
                <w:tcPr>
                  <w:tcW w:w="1314" w:type="dxa"/>
                  <w:tcBorders>
                    <w:top w:val="nil"/>
                    <w:left w:val="nil"/>
                    <w:bottom w:val="nil"/>
                    <w:right w:val="nil"/>
                  </w:tcBorders>
                  <w:shd w:val="clear" w:color="000000" w:fill="F2F2F2"/>
                  <w:vAlign w:val="center"/>
                  <w:hideMark/>
                </w:tcPr>
                <w:p w14:paraId="384D75B8"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Revenue ~$168M at Acquisition</w:t>
                  </w:r>
                </w:p>
              </w:tc>
              <w:tc>
                <w:tcPr>
                  <w:tcW w:w="1697" w:type="dxa"/>
                  <w:tcBorders>
                    <w:top w:val="nil"/>
                    <w:left w:val="nil"/>
                    <w:bottom w:val="nil"/>
                    <w:right w:val="nil"/>
                  </w:tcBorders>
                  <w:shd w:val="clear" w:color="000000" w:fill="F2F2F2"/>
                  <w:vAlign w:val="center"/>
                  <w:hideMark/>
                </w:tcPr>
                <w:p w14:paraId="0EA9DB2E"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Gen Z's #1 Skincare Brand</w:t>
                  </w:r>
                </w:p>
              </w:tc>
              <w:tc>
                <w:tcPr>
                  <w:tcW w:w="1083" w:type="dxa"/>
                  <w:tcBorders>
                    <w:top w:val="nil"/>
                    <w:left w:val="nil"/>
                    <w:bottom w:val="nil"/>
                    <w:right w:val="nil"/>
                  </w:tcBorders>
                  <w:shd w:val="clear" w:color="000000" w:fill="F2F2F2"/>
                  <w:vAlign w:val="center"/>
                  <w:hideMark/>
                </w:tcPr>
                <w:p w14:paraId="254A243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12x Revenue Growth in 7 Years</w:t>
                  </w:r>
                </w:p>
              </w:tc>
            </w:tr>
            <w:tr w:rsidR="00B314BE" w:rsidRPr="00B314BE" w14:paraId="13EA01B4" w14:textId="77777777" w:rsidTr="00B314BE">
              <w:trPr>
                <w:trHeight w:val="900"/>
              </w:trPr>
              <w:tc>
                <w:tcPr>
                  <w:tcW w:w="1169" w:type="dxa"/>
                  <w:tcBorders>
                    <w:top w:val="nil"/>
                    <w:left w:val="nil"/>
                    <w:bottom w:val="nil"/>
                    <w:right w:val="nil"/>
                  </w:tcBorders>
                  <w:vAlign w:val="center"/>
                  <w:hideMark/>
                </w:tcPr>
                <w:p w14:paraId="4DCB35EF" w14:textId="77777777" w:rsidR="00B314BE" w:rsidRPr="00B314BE" w:rsidRDefault="00B314BE" w:rsidP="00B314BE">
                  <w:pPr>
                    <w:jc w:val="center"/>
                    <w:rPr>
                      <w:rFonts w:eastAsia="楷体" w:cs="Calibri"/>
                      <w:snapToGrid/>
                      <w:color w:val="000000"/>
                      <w:sz w:val="18"/>
                      <w:szCs w:val="18"/>
                    </w:rPr>
                  </w:pPr>
                  <w:proofErr w:type="spellStart"/>
                  <w:r w:rsidRPr="00B314BE">
                    <w:rPr>
                      <w:rFonts w:eastAsia="楷体" w:cs="Calibri"/>
                      <w:snapToGrid/>
                      <w:color w:val="000000"/>
                      <w:sz w:val="18"/>
                      <w:szCs w:val="18"/>
                    </w:rPr>
                    <w:lastRenderedPageBreak/>
                    <w:t>Aēsop</w:t>
                  </w:r>
                  <w:proofErr w:type="spellEnd"/>
                </w:p>
              </w:tc>
              <w:tc>
                <w:tcPr>
                  <w:tcW w:w="1051" w:type="dxa"/>
                  <w:tcBorders>
                    <w:top w:val="nil"/>
                    <w:left w:val="nil"/>
                    <w:bottom w:val="nil"/>
                    <w:right w:val="nil"/>
                  </w:tcBorders>
                  <w:vAlign w:val="center"/>
                  <w:hideMark/>
                </w:tcPr>
                <w:p w14:paraId="07E0F76E"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2023</w:t>
                  </w:r>
                </w:p>
              </w:tc>
              <w:tc>
                <w:tcPr>
                  <w:tcW w:w="1213" w:type="dxa"/>
                  <w:tcBorders>
                    <w:top w:val="nil"/>
                    <w:left w:val="nil"/>
                    <w:bottom w:val="nil"/>
                    <w:right w:val="nil"/>
                  </w:tcBorders>
                  <w:vAlign w:val="center"/>
                  <w:hideMark/>
                </w:tcPr>
                <w:p w14:paraId="5C80F620"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$2.53B</w:t>
                  </w:r>
                </w:p>
              </w:tc>
              <w:tc>
                <w:tcPr>
                  <w:tcW w:w="1314" w:type="dxa"/>
                  <w:tcBorders>
                    <w:top w:val="nil"/>
                    <w:left w:val="nil"/>
                    <w:bottom w:val="nil"/>
                    <w:right w:val="nil"/>
                  </w:tcBorders>
                  <w:vAlign w:val="center"/>
                  <w:hideMark/>
                </w:tcPr>
                <w:p w14:paraId="5A6F082F"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Australian Ultra-Luxury Brand</w:t>
                  </w:r>
                </w:p>
              </w:tc>
              <w:tc>
                <w:tcPr>
                  <w:tcW w:w="1697" w:type="dxa"/>
                  <w:tcBorders>
                    <w:top w:val="nil"/>
                    <w:left w:val="nil"/>
                    <w:bottom w:val="nil"/>
                    <w:right w:val="nil"/>
                  </w:tcBorders>
                  <w:vAlign w:val="center"/>
                  <w:hideMark/>
                </w:tcPr>
                <w:p w14:paraId="7099D5C1"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Rapid Global Expansion Underway</w:t>
                  </w:r>
                </w:p>
              </w:tc>
              <w:tc>
                <w:tcPr>
                  <w:tcW w:w="1083" w:type="dxa"/>
                  <w:tcBorders>
                    <w:top w:val="nil"/>
                    <w:left w:val="nil"/>
                    <w:bottom w:val="nil"/>
                    <w:right w:val="nil"/>
                  </w:tcBorders>
                  <w:vAlign w:val="center"/>
                  <w:hideMark/>
                </w:tcPr>
                <w:p w14:paraId="58AA2F6B" w14:textId="77777777" w:rsidR="00B314BE" w:rsidRPr="00B314BE" w:rsidRDefault="00B314BE" w:rsidP="00B314BE">
                  <w:pPr>
                    <w:jc w:val="center"/>
                    <w:rPr>
                      <w:rFonts w:eastAsia="楷体" w:cs="Calibri"/>
                      <w:snapToGrid/>
                      <w:color w:val="000000"/>
                      <w:sz w:val="18"/>
                      <w:szCs w:val="18"/>
                    </w:rPr>
                  </w:pPr>
                  <w:r w:rsidRPr="00B314BE">
                    <w:rPr>
                      <w:rFonts w:eastAsia="楷体" w:cs="Calibri"/>
                      <w:snapToGrid/>
                      <w:color w:val="000000"/>
                      <w:sz w:val="18"/>
                      <w:szCs w:val="18"/>
                    </w:rPr>
                    <w:t>2 Years (Integration Ongoing)</w:t>
                  </w:r>
                </w:p>
              </w:tc>
            </w:tr>
          </w:tbl>
          <w:p w14:paraId="04ACDE67" w14:textId="7D692164" w:rsidR="008966C3" w:rsidRPr="00B314BE" w:rsidRDefault="008966C3" w:rsidP="00816572">
            <w:pPr>
              <w:rPr>
                <w:rFonts w:asciiTheme="minorHAnsi" w:eastAsia="楷体" w:hAnsiTheme="minorHAnsi" w:cstheme="minorHAnsi" w:hint="eastAsia"/>
                <w:kern w:val="2"/>
                <w:sz w:val="18"/>
                <w:szCs w:val="18"/>
              </w:rPr>
            </w:pPr>
          </w:p>
        </w:tc>
      </w:tr>
      <w:tr w:rsidR="008966C3" w14:paraId="4E46B35B" w14:textId="77777777" w:rsidTr="00816572">
        <w:tc>
          <w:tcPr>
            <w:tcW w:w="7733" w:type="dxa"/>
            <w:tcBorders>
              <w:top w:val="single" w:sz="4" w:space="0" w:color="auto"/>
            </w:tcBorders>
          </w:tcPr>
          <w:p w14:paraId="0EB4EF22" w14:textId="20D4958D" w:rsid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lastRenderedPageBreak/>
              <w:t xml:space="preserve">Source: </w:t>
            </w:r>
            <w:r w:rsidRPr="008966C3">
              <w:rPr>
                <w:rFonts w:eastAsia="楷体" w:cs="Calibri"/>
                <w:kern w:val="2"/>
                <w:sz w:val="22"/>
                <w:szCs w:val="22"/>
              </w:rPr>
              <w:t>Company Annual Reports</w:t>
            </w:r>
            <w:r w:rsidR="00D7310D">
              <w:rPr>
                <w:rFonts w:eastAsia="楷体" w:cs="Calibri" w:hint="eastAsia"/>
                <w:kern w:val="2"/>
                <w:sz w:val="22"/>
                <w:szCs w:val="22"/>
              </w:rPr>
              <w:t>, HFI</w:t>
            </w:r>
          </w:p>
        </w:tc>
      </w:tr>
    </w:tbl>
    <w:p w14:paraId="233C7B8F" w14:textId="77777777" w:rsidR="00537D0C" w:rsidRPr="008966C3" w:rsidRDefault="00537D0C">
      <w:pPr>
        <w:jc w:val="both"/>
        <w:rPr>
          <w:rFonts w:eastAsia="楷体" w:cs="Calibri"/>
          <w:kern w:val="2"/>
          <w:sz w:val="22"/>
          <w:szCs w:val="22"/>
        </w:rPr>
      </w:pPr>
    </w:p>
    <w:p w14:paraId="48E147A1" w14:textId="0CC90C3C" w:rsidR="008966C3" w:rsidRPr="00D7310D" w:rsidRDefault="006C1A7E" w:rsidP="00D7310D">
      <w:pPr>
        <w:pStyle w:val="af3"/>
        <w:numPr>
          <w:ilvl w:val="0"/>
          <w:numId w:val="7"/>
        </w:numPr>
        <w:jc w:val="both"/>
        <w:rPr>
          <w:rFonts w:eastAsia="楷体" w:cs="Calibri"/>
          <w:kern w:val="2"/>
          <w:sz w:val="22"/>
          <w:szCs w:val="22"/>
        </w:rPr>
      </w:pPr>
      <w:r w:rsidRPr="00D7310D">
        <w:rPr>
          <w:rFonts w:eastAsia="楷体" w:cs="Calibri"/>
          <w:b/>
          <w:bCs/>
          <w:kern w:val="2"/>
          <w:sz w:val="22"/>
          <w:szCs w:val="22"/>
        </w:rPr>
        <w:t>Globalized</w:t>
      </w:r>
      <w:r w:rsidR="008966C3" w:rsidRPr="00D7310D">
        <w:rPr>
          <w:rFonts w:eastAsia="楷体" w:cs="Calibri"/>
          <w:b/>
          <w:bCs/>
          <w:kern w:val="2"/>
          <w:sz w:val="22"/>
          <w:szCs w:val="22"/>
        </w:rPr>
        <w:t xml:space="preserve"> Operations and </w:t>
      </w:r>
      <w:r w:rsidRPr="00D7310D">
        <w:rPr>
          <w:rFonts w:eastAsia="楷体" w:cs="Calibri"/>
          <w:b/>
          <w:bCs/>
          <w:kern w:val="2"/>
          <w:sz w:val="22"/>
          <w:szCs w:val="22"/>
        </w:rPr>
        <w:t>Localization</w:t>
      </w:r>
      <w:r w:rsidR="008966C3" w:rsidRPr="00D7310D">
        <w:rPr>
          <w:rFonts w:eastAsia="楷体" w:cs="Calibri"/>
          <w:b/>
          <w:bCs/>
          <w:kern w:val="2"/>
          <w:sz w:val="22"/>
          <w:szCs w:val="22"/>
        </w:rPr>
        <w:t xml:space="preserve"> Strategy</w:t>
      </w:r>
    </w:p>
    <w:p w14:paraId="0585C5A2" w14:textId="6A126737" w:rsidR="008966C3" w:rsidRDefault="008966C3" w:rsidP="008966C3">
      <w:pPr>
        <w:jc w:val="both"/>
        <w:rPr>
          <w:rFonts w:eastAsia="楷体" w:cs="Calibri"/>
          <w:kern w:val="2"/>
          <w:sz w:val="22"/>
          <w:szCs w:val="22"/>
        </w:rPr>
      </w:pPr>
      <w:r w:rsidRPr="008966C3">
        <w:rPr>
          <w:rFonts w:eastAsia="楷体" w:cs="Calibri"/>
          <w:kern w:val="2"/>
          <w:sz w:val="22"/>
          <w:szCs w:val="22"/>
        </w:rPr>
        <w:t xml:space="preserve">The group operates in more than 150 countries, with 36 manufacturing facilities and 21 R&amp;D </w:t>
      </w:r>
      <w:r w:rsidR="006C1A7E" w:rsidRPr="008966C3">
        <w:rPr>
          <w:rFonts w:eastAsia="楷体" w:cs="Calibri"/>
          <w:kern w:val="2"/>
          <w:sz w:val="22"/>
          <w:szCs w:val="22"/>
        </w:rPr>
        <w:t>centers</w:t>
      </w:r>
      <w:r w:rsidRPr="008966C3">
        <w:rPr>
          <w:rFonts w:eastAsia="楷体" w:cs="Calibri"/>
          <w:kern w:val="2"/>
          <w:sz w:val="22"/>
          <w:szCs w:val="22"/>
        </w:rPr>
        <w:t xml:space="preserve">. It has a dedicated R&amp;D </w:t>
      </w:r>
      <w:r w:rsidR="006C1A7E" w:rsidRPr="008966C3">
        <w:rPr>
          <w:rFonts w:eastAsia="楷体" w:cs="Calibri"/>
          <w:kern w:val="2"/>
          <w:sz w:val="22"/>
          <w:szCs w:val="22"/>
        </w:rPr>
        <w:t>center</w:t>
      </w:r>
      <w:r w:rsidRPr="008966C3">
        <w:rPr>
          <w:rFonts w:eastAsia="楷体" w:cs="Calibri"/>
          <w:kern w:val="2"/>
          <w:sz w:val="22"/>
          <w:szCs w:val="22"/>
        </w:rPr>
        <w:t xml:space="preserve"> in China and manufacturing plants in Suzhou and Yichang, established a new R&amp;D and innovation </w:t>
      </w:r>
      <w:r w:rsidR="006C1A7E" w:rsidRPr="008966C3">
        <w:rPr>
          <w:rFonts w:eastAsia="楷体" w:cs="Calibri"/>
          <w:kern w:val="2"/>
          <w:sz w:val="22"/>
          <w:szCs w:val="22"/>
        </w:rPr>
        <w:t>center</w:t>
      </w:r>
      <w:r w:rsidRPr="008966C3">
        <w:rPr>
          <w:rFonts w:eastAsia="楷体" w:cs="Calibri"/>
          <w:kern w:val="2"/>
          <w:sz w:val="22"/>
          <w:szCs w:val="22"/>
        </w:rPr>
        <w:t xml:space="preserve"> in India in August 2024, and develops dedicated products for Brazil's diverse hair types.</w:t>
      </w:r>
    </w:p>
    <w:p w14:paraId="6BB1472D" w14:textId="77777777" w:rsidR="0052565B" w:rsidRPr="008966C3" w:rsidRDefault="0052565B" w:rsidP="008966C3">
      <w:pPr>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8966C3" w:rsidRPr="009117B9" w14:paraId="207E9A93" w14:textId="77777777" w:rsidTr="00816572">
        <w:trPr>
          <w:trHeight w:val="227"/>
        </w:trPr>
        <w:tc>
          <w:tcPr>
            <w:tcW w:w="5100" w:type="dxa"/>
            <w:tcBorders>
              <w:bottom w:val="single" w:sz="4" w:space="0" w:color="auto"/>
            </w:tcBorders>
            <w:tcMar>
              <w:left w:w="0" w:type="dxa"/>
              <w:right w:w="28" w:type="dxa"/>
            </w:tcMar>
          </w:tcPr>
          <w:p w14:paraId="20A73059" w14:textId="36E9AC3F" w:rsidR="008966C3" w:rsidRPr="009117B9" w:rsidRDefault="008966C3" w:rsidP="00816572">
            <w:pPr>
              <w:spacing w:beforeLines="20" w:before="48" w:afterLines="20" w:after="48"/>
              <w:jc w:val="both"/>
              <w:textAlignment w:val="center"/>
              <w:rPr>
                <w:rFonts w:eastAsia="楷体" w:cs="Calibri"/>
                <w:b/>
                <w:sz w:val="20"/>
                <w:szCs w:val="20"/>
                <w:highlight w:val="yellow"/>
              </w:rPr>
            </w:pPr>
            <w:r w:rsidRPr="008966C3">
              <w:rPr>
                <w:rFonts w:eastAsia="楷体" w:cs="Calibri"/>
                <w:b/>
                <w:sz w:val="20"/>
                <w:szCs w:val="20"/>
              </w:rPr>
              <w:t xml:space="preserve">Figure: Distribution of L'Oréal Research </w:t>
            </w:r>
            <w:proofErr w:type="spellStart"/>
            <w:r w:rsidRPr="008966C3">
              <w:rPr>
                <w:rFonts w:eastAsia="楷体" w:cs="Calibri"/>
                <w:b/>
                <w:sz w:val="20"/>
                <w:szCs w:val="20"/>
              </w:rPr>
              <w:t>Centres</w:t>
            </w:r>
            <w:proofErr w:type="spellEnd"/>
            <w:r w:rsidRPr="008966C3">
              <w:rPr>
                <w:rFonts w:eastAsia="楷体" w:cs="Calibri"/>
                <w:b/>
                <w:sz w:val="20"/>
                <w:szCs w:val="20"/>
              </w:rPr>
              <w:t xml:space="preserve"> 2020–2025</w:t>
            </w:r>
          </w:p>
        </w:tc>
        <w:tc>
          <w:tcPr>
            <w:tcW w:w="241" w:type="dxa"/>
            <w:tcMar>
              <w:left w:w="0" w:type="dxa"/>
              <w:right w:w="28" w:type="dxa"/>
            </w:tcMar>
          </w:tcPr>
          <w:p w14:paraId="48F69887" w14:textId="77777777" w:rsidR="008966C3" w:rsidRPr="009117B9" w:rsidRDefault="008966C3" w:rsidP="00816572">
            <w:pPr>
              <w:spacing w:beforeLines="20" w:before="48" w:afterLines="20" w:after="48"/>
              <w:jc w:val="both"/>
              <w:rPr>
                <w:rFonts w:eastAsia="楷体" w:cs="Calibri"/>
                <w:sz w:val="20"/>
                <w:szCs w:val="20"/>
                <w:highlight w:val="yellow"/>
              </w:rPr>
            </w:pPr>
          </w:p>
        </w:tc>
        <w:tc>
          <w:tcPr>
            <w:tcW w:w="5149" w:type="dxa"/>
            <w:tcBorders>
              <w:bottom w:val="single" w:sz="4" w:space="0" w:color="auto"/>
            </w:tcBorders>
            <w:tcMar>
              <w:left w:w="0" w:type="dxa"/>
              <w:right w:w="28" w:type="dxa"/>
            </w:tcMar>
          </w:tcPr>
          <w:p w14:paraId="374656D9" w14:textId="0647C360" w:rsidR="008966C3" w:rsidRPr="009117B9" w:rsidRDefault="008966C3" w:rsidP="00816572">
            <w:pPr>
              <w:spacing w:beforeLines="20" w:before="48" w:afterLines="20" w:after="48"/>
              <w:jc w:val="both"/>
              <w:rPr>
                <w:rFonts w:eastAsia="楷体" w:cs="Calibri"/>
                <w:b/>
                <w:sz w:val="20"/>
                <w:szCs w:val="20"/>
              </w:rPr>
            </w:pPr>
            <w:r w:rsidRPr="008966C3">
              <w:rPr>
                <w:rFonts w:eastAsia="楷体" w:cs="Calibri"/>
                <w:b/>
                <w:sz w:val="20"/>
                <w:szCs w:val="20"/>
              </w:rPr>
              <w:t>Figure: Distribution of L'Oréal Manufacturing Facilities 2020–2025</w:t>
            </w:r>
          </w:p>
        </w:tc>
      </w:tr>
      <w:tr w:rsidR="008966C3" w:rsidRPr="00EE5C3A" w14:paraId="6AA3DCC9" w14:textId="77777777" w:rsidTr="00816572">
        <w:trPr>
          <w:trHeight w:val="2300"/>
        </w:trPr>
        <w:tc>
          <w:tcPr>
            <w:tcW w:w="5100" w:type="dxa"/>
            <w:tcBorders>
              <w:top w:val="single" w:sz="4" w:space="0" w:color="auto"/>
              <w:bottom w:val="single" w:sz="4" w:space="0" w:color="auto"/>
            </w:tcBorders>
            <w:vAlign w:val="center"/>
          </w:tcPr>
          <w:p w14:paraId="33FCC7C7" w14:textId="77777777" w:rsidR="008966C3" w:rsidRPr="009117B9" w:rsidRDefault="008966C3" w:rsidP="00816572">
            <w:pPr>
              <w:spacing w:beforeLines="20" w:before="48" w:afterLines="20" w:after="48"/>
              <w:ind w:firstLineChars="100" w:firstLine="160"/>
              <w:jc w:val="both"/>
              <w:textAlignment w:val="center"/>
              <w:rPr>
                <w:rFonts w:eastAsia="楷体" w:cs="Calibri"/>
                <w:b/>
                <w:color w:val="000000"/>
                <w:sz w:val="20"/>
                <w:szCs w:val="20"/>
                <w:lang w:bidi="ar"/>
              </w:rPr>
            </w:pPr>
            <w:r>
              <w:rPr>
                <w:noProof/>
                <w:snapToGrid/>
              </w:rPr>
              <w:drawing>
                <wp:inline distT="0" distB="0" distL="0" distR="0" wp14:anchorId="55509759" wp14:editId="3C19E585">
                  <wp:extent cx="2698750" cy="2245489"/>
                  <wp:effectExtent l="0" t="0" r="6350" b="2540"/>
                  <wp:docPr id="65503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09312" name=""/>
                          <pic:cNvPicPr/>
                        </pic:nvPicPr>
                        <pic:blipFill>
                          <a:blip r:embed="rId39"/>
                          <a:stretch>
                            <a:fillRect/>
                          </a:stretch>
                        </pic:blipFill>
                        <pic:spPr>
                          <a:xfrm>
                            <a:off x="0" y="0"/>
                            <a:ext cx="2731141" cy="2272440"/>
                          </a:xfrm>
                          <a:prstGeom prst="rect">
                            <a:avLst/>
                          </a:prstGeom>
                        </pic:spPr>
                      </pic:pic>
                    </a:graphicData>
                  </a:graphic>
                </wp:inline>
              </w:drawing>
            </w:r>
          </w:p>
        </w:tc>
        <w:tc>
          <w:tcPr>
            <w:tcW w:w="241" w:type="dxa"/>
          </w:tcPr>
          <w:p w14:paraId="0388F6FC" w14:textId="77777777" w:rsidR="008966C3" w:rsidRPr="009117B9" w:rsidRDefault="008966C3" w:rsidP="00816572">
            <w:pPr>
              <w:spacing w:beforeLines="20" w:before="48" w:afterLines="20" w:after="48"/>
              <w:jc w:val="both"/>
              <w:rPr>
                <w:rFonts w:eastAsia="楷体" w:cs="Calibri"/>
                <w:sz w:val="20"/>
                <w:szCs w:val="20"/>
              </w:rPr>
            </w:pPr>
            <w:r>
              <w:rPr>
                <w:rFonts w:eastAsia="楷体" w:cs="Calibri" w:hint="eastAsia"/>
                <w:sz w:val="20"/>
                <w:szCs w:val="20"/>
              </w:rPr>
              <w:t xml:space="preserve">    </w:t>
            </w:r>
          </w:p>
        </w:tc>
        <w:tc>
          <w:tcPr>
            <w:tcW w:w="5149" w:type="dxa"/>
            <w:tcBorders>
              <w:top w:val="single" w:sz="4" w:space="0" w:color="auto"/>
              <w:bottom w:val="single" w:sz="4" w:space="0" w:color="auto"/>
            </w:tcBorders>
          </w:tcPr>
          <w:p w14:paraId="3877E548" w14:textId="77777777" w:rsidR="008966C3" w:rsidRPr="00EE5C3A" w:rsidRDefault="008966C3" w:rsidP="00816572">
            <w:pPr>
              <w:spacing w:beforeLines="20" w:before="48" w:afterLines="20" w:after="48"/>
              <w:ind w:firstLineChars="100" w:firstLine="160"/>
              <w:jc w:val="both"/>
              <w:rPr>
                <w:rFonts w:eastAsia="楷体" w:cs="Calibri"/>
                <w:b/>
                <w:sz w:val="14"/>
                <w:szCs w:val="14"/>
              </w:rPr>
            </w:pPr>
            <w:r>
              <w:rPr>
                <w:noProof/>
                <w:snapToGrid/>
              </w:rPr>
              <w:drawing>
                <wp:inline distT="0" distB="0" distL="0" distR="0" wp14:anchorId="7CF99753" wp14:editId="0E2F3BC6">
                  <wp:extent cx="2930487" cy="2026721"/>
                  <wp:effectExtent l="0" t="0" r="3810" b="0"/>
                  <wp:docPr id="1302198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8661" name=""/>
                          <pic:cNvPicPr/>
                        </pic:nvPicPr>
                        <pic:blipFill>
                          <a:blip r:embed="rId40"/>
                          <a:stretch>
                            <a:fillRect/>
                          </a:stretch>
                        </pic:blipFill>
                        <pic:spPr>
                          <a:xfrm>
                            <a:off x="0" y="0"/>
                            <a:ext cx="2954492" cy="2043323"/>
                          </a:xfrm>
                          <a:prstGeom prst="rect">
                            <a:avLst/>
                          </a:prstGeom>
                        </pic:spPr>
                      </pic:pic>
                    </a:graphicData>
                  </a:graphic>
                </wp:inline>
              </w:drawing>
            </w:r>
          </w:p>
        </w:tc>
      </w:tr>
      <w:tr w:rsidR="008966C3" w:rsidRPr="009117B9" w14:paraId="537F4A42" w14:textId="77777777" w:rsidTr="00816572">
        <w:trPr>
          <w:trHeight w:val="227"/>
        </w:trPr>
        <w:tc>
          <w:tcPr>
            <w:tcW w:w="5100" w:type="dxa"/>
            <w:tcBorders>
              <w:top w:val="single" w:sz="4" w:space="0" w:color="auto"/>
            </w:tcBorders>
            <w:tcMar>
              <w:left w:w="0" w:type="dxa"/>
              <w:right w:w="28" w:type="dxa"/>
            </w:tcMar>
            <w:vAlign w:val="center"/>
          </w:tcPr>
          <w:p w14:paraId="2B59FEDC" w14:textId="4AC6CC23" w:rsidR="008966C3" w:rsidRPr="009117B9" w:rsidRDefault="008966C3" w:rsidP="00816572">
            <w:pPr>
              <w:spacing w:beforeLines="20" w:before="48" w:afterLines="20" w:after="48"/>
              <w:jc w:val="both"/>
              <w:textAlignment w:val="center"/>
              <w:rPr>
                <w:rFonts w:eastAsia="楷体" w:cs="Calibri"/>
                <w:sz w:val="20"/>
                <w:szCs w:val="20"/>
              </w:rPr>
            </w:pPr>
            <w:r w:rsidRPr="008966C3">
              <w:rPr>
                <w:rFonts w:eastAsia="楷体" w:cs="Calibri"/>
                <w:b/>
                <w:bCs/>
                <w:sz w:val="20"/>
                <w:szCs w:val="20"/>
              </w:rPr>
              <w:t>Source:</w:t>
            </w:r>
            <w:r w:rsidRPr="008966C3">
              <w:rPr>
                <w:rFonts w:eastAsia="楷体" w:cs="Calibri"/>
                <w:sz w:val="20"/>
                <w:szCs w:val="20"/>
              </w:rPr>
              <w:t xml:space="preserve"> Company Annual Reports, HFI</w:t>
            </w:r>
          </w:p>
        </w:tc>
        <w:tc>
          <w:tcPr>
            <w:tcW w:w="241" w:type="dxa"/>
            <w:tcMar>
              <w:left w:w="0" w:type="dxa"/>
              <w:right w:w="28" w:type="dxa"/>
            </w:tcMar>
          </w:tcPr>
          <w:p w14:paraId="369310B8" w14:textId="77777777" w:rsidR="008966C3" w:rsidRPr="009117B9" w:rsidRDefault="008966C3" w:rsidP="00816572">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42F531AB" w14:textId="52ADA39A" w:rsidR="006C1A7E" w:rsidRPr="009117B9" w:rsidRDefault="008966C3" w:rsidP="00816572">
            <w:pPr>
              <w:spacing w:beforeLines="20" w:before="48" w:afterLines="20" w:after="48"/>
              <w:jc w:val="both"/>
              <w:rPr>
                <w:rFonts w:eastAsia="楷体" w:cs="Calibri"/>
                <w:sz w:val="20"/>
                <w:szCs w:val="20"/>
              </w:rPr>
            </w:pPr>
            <w:r w:rsidRPr="008966C3">
              <w:rPr>
                <w:rFonts w:eastAsia="楷体" w:cs="Calibri"/>
                <w:b/>
                <w:bCs/>
                <w:sz w:val="20"/>
                <w:szCs w:val="20"/>
              </w:rPr>
              <w:t>Source:</w:t>
            </w:r>
            <w:r w:rsidRPr="008966C3">
              <w:rPr>
                <w:rFonts w:eastAsia="楷体" w:cs="Calibri"/>
                <w:sz w:val="20"/>
                <w:szCs w:val="20"/>
              </w:rPr>
              <w:t xml:space="preserve"> Company Annual Reports, HFI</w:t>
            </w:r>
          </w:p>
        </w:tc>
      </w:tr>
    </w:tbl>
    <w:p w14:paraId="524C6CD3" w14:textId="77777777" w:rsidR="008966C3" w:rsidRPr="00D7310D" w:rsidRDefault="008966C3" w:rsidP="00D7310D">
      <w:pPr>
        <w:pStyle w:val="af3"/>
        <w:numPr>
          <w:ilvl w:val="0"/>
          <w:numId w:val="7"/>
        </w:numPr>
        <w:jc w:val="both"/>
        <w:rPr>
          <w:rFonts w:eastAsia="楷体" w:cs="Calibri"/>
          <w:b/>
          <w:bCs/>
          <w:kern w:val="2"/>
          <w:sz w:val="22"/>
          <w:szCs w:val="22"/>
        </w:rPr>
      </w:pPr>
      <w:r w:rsidRPr="00D7310D">
        <w:rPr>
          <w:rFonts w:eastAsia="楷体" w:cs="Calibri"/>
          <w:b/>
          <w:bCs/>
          <w:kern w:val="2"/>
          <w:sz w:val="22"/>
          <w:szCs w:val="22"/>
        </w:rPr>
        <w:t>Broad Channel Coverage</w:t>
      </w:r>
    </w:p>
    <w:p w14:paraId="3CE872F5" w14:textId="58F7CF17" w:rsidR="008966C3" w:rsidRPr="008966C3" w:rsidRDefault="008966C3" w:rsidP="008966C3">
      <w:pPr>
        <w:jc w:val="both"/>
        <w:rPr>
          <w:rFonts w:eastAsia="楷体" w:cs="Calibri"/>
          <w:kern w:val="2"/>
          <w:sz w:val="22"/>
          <w:szCs w:val="22"/>
        </w:rPr>
      </w:pPr>
      <w:r w:rsidRPr="00D7310D">
        <w:rPr>
          <w:rFonts w:eastAsia="楷体" w:cs="Calibri"/>
          <w:b/>
          <w:bCs/>
          <w:kern w:val="2"/>
          <w:sz w:val="22"/>
          <w:szCs w:val="22"/>
        </w:rPr>
        <w:t>L'Oréal is one of the very few beauty companies with deep coverage across all six major channels: pharmacies, department stores, supermarkets, professional hair salons, e-commerce platforms, and proprietary DTC channels.</w:t>
      </w:r>
      <w:r w:rsidRPr="008966C3">
        <w:rPr>
          <w:rFonts w:eastAsia="楷体" w:cs="Calibri"/>
          <w:kern w:val="2"/>
          <w:sz w:val="22"/>
          <w:szCs w:val="22"/>
        </w:rPr>
        <w:t xml:space="preserve"> Different divisions precisely match channels to their core customer segments: Consumer Products targets supermarkets, drugstores, and e-commerce platforms; L'Oréal Luxe controls brand positioning through department store counters, brand boutiques, and travel retail; Professional Products uses approximately 400,000 hair salons as its core base while expanding into e-commerce and selective retail; and Dermatological Beauty anchors in pharmacies and drugstores as its core prescription channel, extending into e-commerce. In the Professional Prod</w:t>
      </w:r>
      <w:r w:rsidRPr="008966C3">
        <w:rPr>
          <w:rFonts w:eastAsia="楷体" w:cs="Calibri" w:hint="eastAsia"/>
          <w:kern w:val="2"/>
          <w:sz w:val="22"/>
          <w:szCs w:val="22"/>
        </w:rPr>
        <w:t>ucts division, K</w:t>
      </w:r>
      <w:r w:rsidRPr="008966C3">
        <w:rPr>
          <w:rFonts w:eastAsia="楷体" w:cs="Calibri" w:hint="eastAsia"/>
          <w:kern w:val="2"/>
          <w:sz w:val="22"/>
          <w:szCs w:val="22"/>
        </w:rPr>
        <w:t>é</w:t>
      </w:r>
      <w:proofErr w:type="spellStart"/>
      <w:r w:rsidRPr="008966C3">
        <w:rPr>
          <w:rFonts w:eastAsia="楷体" w:cs="Calibri" w:hint="eastAsia"/>
          <w:kern w:val="2"/>
          <w:sz w:val="22"/>
          <w:szCs w:val="22"/>
        </w:rPr>
        <w:t>rastase's</w:t>
      </w:r>
      <w:proofErr w:type="spellEnd"/>
      <w:r w:rsidRPr="008966C3">
        <w:rPr>
          <w:rFonts w:eastAsia="楷体" w:cs="Calibri" w:hint="eastAsia"/>
          <w:kern w:val="2"/>
          <w:sz w:val="22"/>
          <w:szCs w:val="22"/>
        </w:rPr>
        <w:t xml:space="preserve"> "salon experience </w:t>
      </w:r>
      <w:r w:rsidRPr="008966C3">
        <w:rPr>
          <w:rFonts w:eastAsia="楷体" w:cs="Calibri" w:hint="eastAsia"/>
          <w:kern w:val="2"/>
          <w:sz w:val="22"/>
          <w:szCs w:val="22"/>
        </w:rPr>
        <w:t>→</w:t>
      </w:r>
      <w:r w:rsidRPr="008966C3">
        <w:rPr>
          <w:rFonts w:eastAsia="楷体" w:cs="Calibri" w:hint="eastAsia"/>
          <w:kern w:val="2"/>
          <w:sz w:val="22"/>
          <w:szCs w:val="22"/>
        </w:rPr>
        <w:t xml:space="preserve"> online repurchase" consumer loop drives double-digit growth, with the division's market share reaching a record 26% in 2024; in Dermatological Beauty, CeraVe leveraged a combination of TikTok social media mark</w:t>
      </w:r>
      <w:r w:rsidRPr="008966C3">
        <w:rPr>
          <w:rFonts w:eastAsia="楷体" w:cs="Calibri"/>
          <w:kern w:val="2"/>
          <w:sz w:val="22"/>
          <w:szCs w:val="22"/>
        </w:rPr>
        <w:t>eting and drugstore distribution to grow from under USD 200 million at acquisition to over EUR 2 billion within seven years. The quantified evidence of channel capability is that e-commerce's share of group revenue rose from 15.6% in 2019 to 28.2% (EUR 12.3 billion) in 2024, surpassing 30% in 2025.</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8966C3" w:rsidRPr="008966C3" w14:paraId="6B634245" w14:textId="77777777" w:rsidTr="00816572">
        <w:tc>
          <w:tcPr>
            <w:tcW w:w="7733" w:type="dxa"/>
            <w:tcBorders>
              <w:bottom w:val="single" w:sz="4" w:space="0" w:color="auto"/>
            </w:tcBorders>
          </w:tcPr>
          <w:p w14:paraId="1F8278DC" w14:textId="119C67E1" w:rsidR="008966C3" w:rsidRP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Figure: L'Oréal E-Commerce Revenue as a Percentage of Total Sales</w:t>
            </w:r>
          </w:p>
        </w:tc>
      </w:tr>
      <w:tr w:rsidR="008966C3" w14:paraId="408091AD" w14:textId="77777777" w:rsidTr="00B314BE">
        <w:tc>
          <w:tcPr>
            <w:tcW w:w="7733" w:type="dxa"/>
            <w:tcBorders>
              <w:top w:val="single" w:sz="4" w:space="0" w:color="auto"/>
              <w:bottom w:val="single" w:sz="4" w:space="0" w:color="auto"/>
            </w:tcBorders>
          </w:tcPr>
          <w:p w14:paraId="59F253AA" w14:textId="5BFA8D53" w:rsidR="008966C3" w:rsidRDefault="00B314BE" w:rsidP="00816572">
            <w:pPr>
              <w:rPr>
                <w:rFonts w:asciiTheme="minorHAnsi" w:eastAsia="楷体" w:hAnsiTheme="minorHAnsi" w:cstheme="minorHAnsi" w:hint="eastAsia"/>
                <w:kern w:val="2"/>
                <w:sz w:val="22"/>
                <w:szCs w:val="22"/>
              </w:rPr>
            </w:pPr>
            <w:r>
              <w:rPr>
                <w:noProof/>
                <w:snapToGrid/>
              </w:rPr>
              <w:lastRenderedPageBreak/>
              <w:drawing>
                <wp:inline distT="0" distB="0" distL="0" distR="0" wp14:anchorId="360CA2E9" wp14:editId="1DD2A4DB">
                  <wp:extent cx="4572000" cy="2438400"/>
                  <wp:effectExtent l="0" t="0" r="0" b="0"/>
                  <wp:docPr id="1437004568" name="图表 1">
                    <a:extLst xmlns:a="http://schemas.openxmlformats.org/drawingml/2006/main">
                      <a:ext uri="{FF2B5EF4-FFF2-40B4-BE49-F238E27FC236}">
                        <a16:creationId xmlns:a16="http://schemas.microsoft.com/office/drawing/2014/main" id="{E698ADFD-D8CC-4DA9-F74D-6D1634B433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8966C3" w14:paraId="77162A53" w14:textId="77777777" w:rsidTr="00816572">
        <w:tc>
          <w:tcPr>
            <w:tcW w:w="7733" w:type="dxa"/>
            <w:tcBorders>
              <w:top w:val="single" w:sz="4" w:space="0" w:color="auto"/>
            </w:tcBorders>
          </w:tcPr>
          <w:p w14:paraId="1F61696C" w14:textId="2D6BC2B3" w:rsid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Reports</w:t>
            </w:r>
            <w:r w:rsidR="00D7310D">
              <w:rPr>
                <w:rFonts w:eastAsia="楷体" w:cs="Calibri" w:hint="eastAsia"/>
                <w:kern w:val="2"/>
                <w:sz w:val="22"/>
                <w:szCs w:val="22"/>
              </w:rPr>
              <w:t>, HFI</w:t>
            </w:r>
          </w:p>
        </w:tc>
      </w:tr>
    </w:tbl>
    <w:p w14:paraId="50AACB23" w14:textId="77777777" w:rsidR="008966C3" w:rsidRDefault="008966C3">
      <w:pPr>
        <w:jc w:val="both"/>
        <w:rPr>
          <w:rFonts w:eastAsia="楷体" w:cs="Calibri"/>
          <w:kern w:val="2"/>
          <w:sz w:val="22"/>
          <w:szCs w:val="22"/>
        </w:rPr>
      </w:pPr>
    </w:p>
    <w:p w14:paraId="6B684BDB" w14:textId="77777777" w:rsidR="008966C3" w:rsidRPr="00D7310D" w:rsidRDefault="008966C3" w:rsidP="00D7310D">
      <w:pPr>
        <w:pStyle w:val="af3"/>
        <w:numPr>
          <w:ilvl w:val="0"/>
          <w:numId w:val="7"/>
        </w:numPr>
        <w:jc w:val="both"/>
        <w:rPr>
          <w:rFonts w:eastAsia="楷体" w:cs="Calibri"/>
          <w:kern w:val="2"/>
          <w:sz w:val="22"/>
          <w:szCs w:val="22"/>
        </w:rPr>
      </w:pPr>
      <w:r w:rsidRPr="00D7310D">
        <w:rPr>
          <w:rFonts w:eastAsia="楷体" w:cs="Calibri"/>
          <w:b/>
          <w:bCs/>
          <w:kern w:val="2"/>
          <w:sz w:val="22"/>
          <w:szCs w:val="22"/>
        </w:rPr>
        <w:t>Digital and Data-Driven Capabilities</w:t>
      </w:r>
    </w:p>
    <w:p w14:paraId="1B33018E" w14:textId="77777777" w:rsidR="008966C3" w:rsidRPr="008966C3" w:rsidRDefault="008966C3" w:rsidP="008966C3">
      <w:pPr>
        <w:jc w:val="both"/>
        <w:rPr>
          <w:rFonts w:eastAsia="楷体" w:cs="Calibri"/>
          <w:kern w:val="2"/>
          <w:sz w:val="22"/>
          <w:szCs w:val="22"/>
        </w:rPr>
      </w:pPr>
      <w:r w:rsidRPr="00D7310D">
        <w:rPr>
          <w:rFonts w:eastAsia="楷体" w:cs="Calibri"/>
          <w:b/>
          <w:bCs/>
          <w:kern w:val="2"/>
          <w:sz w:val="22"/>
          <w:szCs w:val="22"/>
        </w:rPr>
        <w:t xml:space="preserve">In 2018, the group acquired AR/AI company </w:t>
      </w:r>
      <w:proofErr w:type="spellStart"/>
      <w:r w:rsidRPr="00D7310D">
        <w:rPr>
          <w:rFonts w:eastAsia="楷体" w:cs="Calibri"/>
          <w:b/>
          <w:bCs/>
          <w:kern w:val="2"/>
          <w:sz w:val="22"/>
          <w:szCs w:val="22"/>
        </w:rPr>
        <w:t>ModiFace</w:t>
      </w:r>
      <w:proofErr w:type="spellEnd"/>
      <w:r w:rsidRPr="00D7310D">
        <w:rPr>
          <w:rFonts w:eastAsia="楷体" w:cs="Calibri"/>
          <w:b/>
          <w:bCs/>
          <w:kern w:val="2"/>
          <w:sz w:val="22"/>
          <w:szCs w:val="22"/>
        </w:rPr>
        <w:t xml:space="preserve">, formally launching its Beauty Tech strategy and evolving its ambition from "beauty for all" to "beauty for each". </w:t>
      </w:r>
      <w:r w:rsidRPr="008966C3">
        <w:rPr>
          <w:rFonts w:eastAsia="楷体" w:cs="Calibri"/>
          <w:kern w:val="2"/>
          <w:sz w:val="22"/>
          <w:szCs w:val="22"/>
        </w:rPr>
        <w:t xml:space="preserve">The group now employs over 8,000 digital and technology specialists and has accumulated 14,500 TB of data assets. On the consumer side, </w:t>
      </w:r>
      <w:proofErr w:type="spellStart"/>
      <w:r w:rsidRPr="008966C3">
        <w:rPr>
          <w:rFonts w:eastAsia="楷体" w:cs="Calibri"/>
          <w:kern w:val="2"/>
          <w:sz w:val="22"/>
          <w:szCs w:val="22"/>
        </w:rPr>
        <w:t>ModiFace's</w:t>
      </w:r>
      <w:proofErr w:type="spellEnd"/>
      <w:r w:rsidRPr="008966C3">
        <w:rPr>
          <w:rFonts w:eastAsia="楷体" w:cs="Calibri"/>
          <w:kern w:val="2"/>
          <w:sz w:val="22"/>
          <w:szCs w:val="22"/>
        </w:rPr>
        <w:t xml:space="preserve"> virtual try-on was used more than 110 million times in 2024. On the R&amp;D side, the group unveiled the Cell BioPrint proteomics-based skin diagnostic device at CES 2025 and partnered with IBM to develop AI-powered formulation models. The Beauty Tech strategy has directly driven e-commerce's share of total sales from approximately 11% in 2018 to over 30% in 2025, with digital capabilities having evolved from a marketing tool into a core competitive barrier.</w:t>
      </w:r>
    </w:p>
    <w:p w14:paraId="1E51D481" w14:textId="77777777" w:rsidR="008966C3" w:rsidRDefault="008966C3">
      <w:pPr>
        <w:jc w:val="both"/>
        <w:rPr>
          <w:rFonts w:eastAsia="楷体" w:cs="Calibri"/>
          <w:kern w:val="2"/>
          <w:sz w:val="22"/>
          <w:szCs w:val="22"/>
        </w:rPr>
      </w:pPr>
    </w:p>
    <w:p w14:paraId="139D4C0C" w14:textId="68513E40" w:rsidR="008966C3" w:rsidRPr="008966C3" w:rsidRDefault="008966C3" w:rsidP="008966C3">
      <w:pPr>
        <w:pStyle w:val="211"/>
        <w:jc w:val="both"/>
        <w:rPr>
          <w:rFonts w:ascii="Calibri" w:eastAsia="楷体" w:hAnsi="Calibri" w:cs="Calibri"/>
          <w:color w:val="23558C"/>
          <w:sz w:val="24"/>
        </w:rPr>
      </w:pPr>
      <w:bookmarkStart w:id="20" w:name="_Toc224295882"/>
      <w:r w:rsidRPr="008966C3">
        <w:rPr>
          <w:rFonts w:ascii="Calibri" w:eastAsia="楷体" w:hAnsi="Calibri" w:cs="Calibri" w:hint="eastAsia"/>
          <w:color w:val="23558C"/>
          <w:sz w:val="24"/>
        </w:rPr>
        <w:t xml:space="preserve">3.1 </w:t>
      </w:r>
      <w:r w:rsidRPr="008966C3">
        <w:rPr>
          <w:rFonts w:ascii="Calibri" w:eastAsia="楷体" w:hAnsi="Calibri" w:cs="Calibri"/>
          <w:color w:val="23558C"/>
          <w:sz w:val="24"/>
        </w:rPr>
        <w:t>Consumer Products Division: Premium Technology at Accessible Prices, Deep Channel Penetration</w:t>
      </w:r>
      <w:bookmarkEnd w:id="20"/>
    </w:p>
    <w:p w14:paraId="21C98A83" w14:textId="587B5885" w:rsidR="008966C3" w:rsidRPr="008966C3" w:rsidRDefault="008966C3">
      <w:pPr>
        <w:jc w:val="both"/>
        <w:rPr>
          <w:rFonts w:eastAsia="楷体" w:cs="Calibri"/>
          <w:kern w:val="2"/>
          <w:sz w:val="22"/>
          <w:szCs w:val="22"/>
        </w:rPr>
      </w:pPr>
      <w:r w:rsidRPr="00D7310D">
        <w:rPr>
          <w:rFonts w:eastAsia="楷体" w:cs="Calibri"/>
          <w:b/>
          <w:bCs/>
          <w:kern w:val="2"/>
          <w:sz w:val="22"/>
          <w:szCs w:val="22"/>
        </w:rPr>
        <w:t>The global mass beauty market reached approximately USD 360 billion in 2025, with sustained growth over the past five years.</w:t>
      </w:r>
      <w:r w:rsidRPr="008966C3">
        <w:rPr>
          <w:rFonts w:eastAsia="楷体" w:cs="Calibri"/>
          <w:kern w:val="2"/>
          <w:sz w:val="22"/>
          <w:szCs w:val="22"/>
        </w:rPr>
        <w:t xml:space="preserve"> It is the largest sub-segment in the beauty industry by volume and breadth of consumer reach. Key market characteristics include relatively high price sensitivity (core price points of €5–30), low consumer switching costs, high e-commerce penetration (over 40% in the US market), and significant influence of social media and KOLs on purchasing decisions.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8966C3" w:rsidRPr="008966C3" w14:paraId="7F6C2AFE" w14:textId="77777777" w:rsidTr="00816572">
        <w:tc>
          <w:tcPr>
            <w:tcW w:w="7733" w:type="dxa"/>
            <w:tcBorders>
              <w:bottom w:val="single" w:sz="4" w:space="0" w:color="auto"/>
            </w:tcBorders>
          </w:tcPr>
          <w:p w14:paraId="4782C92A" w14:textId="362F7058" w:rsidR="008966C3" w:rsidRP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Figure: Global Mass Beauty Market Size 2019–2025 (USD million)</w:t>
            </w:r>
          </w:p>
        </w:tc>
      </w:tr>
      <w:tr w:rsidR="008966C3" w14:paraId="4DCA0657" w14:textId="77777777" w:rsidTr="00816572">
        <w:tc>
          <w:tcPr>
            <w:tcW w:w="7733" w:type="dxa"/>
            <w:tcBorders>
              <w:top w:val="single" w:sz="4" w:space="0" w:color="auto"/>
              <w:bottom w:val="single" w:sz="4" w:space="0" w:color="auto"/>
            </w:tcBorders>
          </w:tcPr>
          <w:p w14:paraId="73BA5133" w14:textId="04681BD3" w:rsidR="008966C3" w:rsidRDefault="00B314BE" w:rsidP="00816572">
            <w:pPr>
              <w:rPr>
                <w:rFonts w:asciiTheme="minorHAnsi" w:eastAsia="楷体" w:hAnsiTheme="minorHAnsi" w:cstheme="minorHAnsi" w:hint="eastAsia"/>
                <w:kern w:val="2"/>
                <w:sz w:val="22"/>
                <w:szCs w:val="22"/>
              </w:rPr>
            </w:pPr>
            <w:r>
              <w:rPr>
                <w:noProof/>
                <w:snapToGrid/>
              </w:rPr>
              <w:lastRenderedPageBreak/>
              <w:drawing>
                <wp:inline distT="0" distB="0" distL="0" distR="0" wp14:anchorId="29002A0C" wp14:editId="0659D146">
                  <wp:extent cx="4572000" cy="2743200"/>
                  <wp:effectExtent l="0" t="0" r="0" b="0"/>
                  <wp:docPr id="1311343305" name="图表 1">
                    <a:extLst xmlns:a="http://schemas.openxmlformats.org/drawingml/2006/main">
                      <a:ext uri="{FF2B5EF4-FFF2-40B4-BE49-F238E27FC236}">
                        <a16:creationId xmlns:a16="http://schemas.microsoft.com/office/drawing/2014/main" id="{8AE292B4-B583-A888-3DBC-688A07502C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8966C3" w14:paraId="004C8831" w14:textId="77777777" w:rsidTr="00816572">
        <w:tc>
          <w:tcPr>
            <w:tcW w:w="7733" w:type="dxa"/>
            <w:tcBorders>
              <w:top w:val="single" w:sz="4" w:space="0" w:color="auto"/>
            </w:tcBorders>
          </w:tcPr>
          <w:p w14:paraId="5A621856" w14:textId="2D1A7B19" w:rsid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Reports</w:t>
            </w:r>
            <w:r w:rsidR="00B314BE">
              <w:rPr>
                <w:rFonts w:eastAsia="楷体" w:cs="Calibri" w:hint="eastAsia"/>
                <w:kern w:val="2"/>
                <w:sz w:val="22"/>
                <w:szCs w:val="22"/>
              </w:rPr>
              <w:t>, HFI</w:t>
            </w:r>
          </w:p>
        </w:tc>
      </w:tr>
    </w:tbl>
    <w:p w14:paraId="41B05ABA" w14:textId="77777777" w:rsidR="008966C3" w:rsidRDefault="008966C3">
      <w:pPr>
        <w:jc w:val="both"/>
        <w:rPr>
          <w:rFonts w:eastAsia="楷体" w:cs="Calibri"/>
          <w:kern w:val="2"/>
          <w:sz w:val="22"/>
          <w:szCs w:val="22"/>
        </w:rPr>
      </w:pPr>
    </w:p>
    <w:p w14:paraId="341F0F9F" w14:textId="51BBB3C4" w:rsidR="00085CAF" w:rsidRDefault="008966C3">
      <w:pPr>
        <w:jc w:val="both"/>
        <w:rPr>
          <w:rFonts w:eastAsia="楷体" w:cs="Calibri"/>
          <w:kern w:val="2"/>
          <w:sz w:val="22"/>
          <w:szCs w:val="22"/>
        </w:rPr>
      </w:pPr>
      <w:r w:rsidRPr="00D7310D">
        <w:rPr>
          <w:rFonts w:eastAsia="楷体" w:cs="Calibri"/>
          <w:b/>
          <w:bCs/>
          <w:kern w:val="2"/>
          <w:sz w:val="22"/>
          <w:szCs w:val="22"/>
        </w:rPr>
        <w:t xml:space="preserve">The Consumer Products Division manages a portfolio of more than ten international brands. </w:t>
      </w:r>
      <w:r w:rsidRPr="008966C3">
        <w:rPr>
          <w:rFonts w:eastAsia="楷体" w:cs="Calibri"/>
          <w:kern w:val="2"/>
          <w:sz w:val="22"/>
          <w:szCs w:val="22"/>
        </w:rPr>
        <w:t xml:space="preserve">Core brands include: L'Oréal Paris (founded in 1909, the world's number-one beauty brand, covering skincare, </w:t>
      </w:r>
      <w:proofErr w:type="spellStart"/>
      <w:r w:rsidRPr="008966C3">
        <w:rPr>
          <w:rFonts w:eastAsia="楷体" w:cs="Calibri"/>
          <w:kern w:val="2"/>
          <w:sz w:val="22"/>
          <w:szCs w:val="22"/>
        </w:rPr>
        <w:t>colour</w:t>
      </w:r>
      <w:proofErr w:type="spellEnd"/>
      <w:r w:rsidRPr="008966C3">
        <w:rPr>
          <w:rFonts w:eastAsia="楷体" w:cs="Calibri"/>
          <w:kern w:val="2"/>
          <w:sz w:val="22"/>
          <w:szCs w:val="22"/>
        </w:rPr>
        <w:t xml:space="preserve"> cosmetics, haircare, and hair </w:t>
      </w:r>
      <w:proofErr w:type="spellStart"/>
      <w:r w:rsidRPr="008966C3">
        <w:rPr>
          <w:rFonts w:eastAsia="楷体" w:cs="Calibri"/>
          <w:kern w:val="2"/>
          <w:sz w:val="22"/>
          <w:szCs w:val="22"/>
        </w:rPr>
        <w:t>colouring</w:t>
      </w:r>
      <w:proofErr w:type="spellEnd"/>
      <w:r w:rsidRPr="008966C3">
        <w:rPr>
          <w:rFonts w:eastAsia="楷体" w:cs="Calibri"/>
          <w:kern w:val="2"/>
          <w:sz w:val="22"/>
          <w:szCs w:val="22"/>
        </w:rPr>
        <w:t xml:space="preserve">); Maybelline New York (acquired in 1996, the world's number-one </w:t>
      </w:r>
      <w:proofErr w:type="spellStart"/>
      <w:r w:rsidRPr="008966C3">
        <w:rPr>
          <w:rFonts w:eastAsia="楷体" w:cs="Calibri"/>
          <w:kern w:val="2"/>
          <w:sz w:val="22"/>
          <w:szCs w:val="22"/>
        </w:rPr>
        <w:t>colour</w:t>
      </w:r>
      <w:proofErr w:type="spellEnd"/>
      <w:r w:rsidRPr="008966C3">
        <w:rPr>
          <w:rFonts w:eastAsia="楷体" w:cs="Calibri"/>
          <w:kern w:val="2"/>
          <w:sz w:val="22"/>
          <w:szCs w:val="22"/>
        </w:rPr>
        <w:t xml:space="preserve"> cosmetics brand); Garnier (acquired in 1965, focused on natural plant-based skincare and haircare); NYX Professional Makeup (acquired in 2014, </w:t>
      </w:r>
      <w:proofErr w:type="spellStart"/>
      <w:r w:rsidRPr="008966C3">
        <w:rPr>
          <w:rFonts w:eastAsia="楷体" w:cs="Calibri"/>
          <w:kern w:val="2"/>
          <w:sz w:val="22"/>
          <w:szCs w:val="22"/>
        </w:rPr>
        <w:t>democratising</w:t>
      </w:r>
      <w:proofErr w:type="spellEnd"/>
      <w:r w:rsidRPr="008966C3">
        <w:rPr>
          <w:rFonts w:eastAsia="楷体" w:cs="Calibri"/>
          <w:kern w:val="2"/>
          <w:sz w:val="22"/>
          <w:szCs w:val="22"/>
        </w:rPr>
        <w:t xml:space="preserve"> professional makeup); Essie (acquired in 2010, the leading nail </w:t>
      </w:r>
      <w:proofErr w:type="spellStart"/>
      <w:r w:rsidRPr="008966C3">
        <w:rPr>
          <w:rFonts w:eastAsia="楷体" w:cs="Calibri"/>
          <w:kern w:val="2"/>
          <w:sz w:val="22"/>
          <w:szCs w:val="22"/>
        </w:rPr>
        <w:t>colour</w:t>
      </w:r>
      <w:proofErr w:type="spellEnd"/>
      <w:r w:rsidRPr="008966C3">
        <w:rPr>
          <w:rFonts w:eastAsia="楷体" w:cs="Calibri"/>
          <w:kern w:val="2"/>
          <w:sz w:val="22"/>
          <w:szCs w:val="22"/>
        </w:rPr>
        <w:t xml:space="preserve"> brand); and Mixa (the fastest-growing brand in 2024, expanding in the European market). In December 2024, the division also acquired Korean dermatological brand </w:t>
      </w:r>
      <w:proofErr w:type="spellStart"/>
      <w:proofErr w:type="gramStart"/>
      <w:r w:rsidRPr="008966C3">
        <w:rPr>
          <w:rFonts w:eastAsia="楷体" w:cs="Calibri"/>
          <w:kern w:val="2"/>
          <w:sz w:val="22"/>
          <w:szCs w:val="22"/>
        </w:rPr>
        <w:t>Dr.G</w:t>
      </w:r>
      <w:proofErr w:type="spellEnd"/>
      <w:proofErr w:type="gramEnd"/>
      <w:r w:rsidRPr="008966C3">
        <w:rPr>
          <w:rFonts w:eastAsia="楷体" w:cs="Calibri"/>
          <w:kern w:val="2"/>
          <w:sz w:val="22"/>
          <w:szCs w:val="22"/>
        </w:rPr>
        <w:t>, entering the K-Beauty segment.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8966C3" w:rsidRPr="008966C3" w14:paraId="7B7D4268" w14:textId="77777777" w:rsidTr="00816572">
        <w:tc>
          <w:tcPr>
            <w:tcW w:w="7733" w:type="dxa"/>
            <w:tcBorders>
              <w:bottom w:val="single" w:sz="4" w:space="0" w:color="auto"/>
            </w:tcBorders>
          </w:tcPr>
          <w:p w14:paraId="68C8D416" w14:textId="692B472A" w:rsidR="008966C3" w:rsidRP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Figure: Consumer Products Division Brand Portfolio</w:t>
            </w:r>
          </w:p>
        </w:tc>
      </w:tr>
      <w:tr w:rsidR="008966C3" w14:paraId="5C1F5266" w14:textId="77777777" w:rsidTr="00816572">
        <w:tc>
          <w:tcPr>
            <w:tcW w:w="7733" w:type="dxa"/>
            <w:tcBorders>
              <w:top w:val="single" w:sz="4" w:space="0" w:color="auto"/>
              <w:bottom w:val="single" w:sz="4" w:space="0" w:color="auto"/>
            </w:tcBorders>
          </w:tcPr>
          <w:tbl>
            <w:tblPr>
              <w:tblW w:w="7632" w:type="dxa"/>
              <w:tblLook w:val="04A0" w:firstRow="1" w:lastRow="0" w:firstColumn="1" w:lastColumn="0" w:noHBand="0" w:noVBand="1"/>
            </w:tblPr>
            <w:tblGrid>
              <w:gridCol w:w="1210"/>
              <w:gridCol w:w="1236"/>
              <w:gridCol w:w="1559"/>
              <w:gridCol w:w="1701"/>
              <w:gridCol w:w="1926"/>
            </w:tblGrid>
            <w:tr w:rsidR="00A70AE1" w:rsidRPr="00085CAF" w14:paraId="18ED007B" w14:textId="77777777" w:rsidTr="00A70AE1">
              <w:trPr>
                <w:trHeight w:val="526"/>
              </w:trPr>
              <w:tc>
                <w:tcPr>
                  <w:tcW w:w="1210" w:type="dxa"/>
                  <w:tcBorders>
                    <w:top w:val="nil"/>
                    <w:left w:val="nil"/>
                    <w:bottom w:val="nil"/>
                    <w:right w:val="nil"/>
                  </w:tcBorders>
                  <w:shd w:val="clear" w:color="000000" w:fill="002060"/>
                  <w:vAlign w:val="center"/>
                  <w:hideMark/>
                </w:tcPr>
                <w:p w14:paraId="57129B29" w14:textId="77777777" w:rsidR="00A70AE1" w:rsidRPr="00085CAF" w:rsidRDefault="00A70AE1" w:rsidP="00A70AE1">
                  <w:pPr>
                    <w:jc w:val="center"/>
                    <w:rPr>
                      <w:rFonts w:eastAsia="楷体" w:cs="Calibri"/>
                      <w:b/>
                      <w:bCs/>
                      <w:snapToGrid/>
                      <w:color w:val="FFFFFF"/>
                      <w:sz w:val="18"/>
                      <w:szCs w:val="18"/>
                    </w:rPr>
                  </w:pPr>
                  <w:r w:rsidRPr="00085CAF">
                    <w:rPr>
                      <w:rFonts w:eastAsia="楷体" w:cs="Calibri"/>
                      <w:b/>
                      <w:bCs/>
                      <w:snapToGrid/>
                      <w:color w:val="FFFFFF"/>
                      <w:sz w:val="18"/>
                      <w:szCs w:val="18"/>
                    </w:rPr>
                    <w:t>Brand</w:t>
                  </w:r>
                </w:p>
              </w:tc>
              <w:tc>
                <w:tcPr>
                  <w:tcW w:w="1236" w:type="dxa"/>
                  <w:tcBorders>
                    <w:top w:val="nil"/>
                    <w:left w:val="nil"/>
                    <w:bottom w:val="nil"/>
                    <w:right w:val="nil"/>
                  </w:tcBorders>
                  <w:shd w:val="clear" w:color="000000" w:fill="002060"/>
                  <w:vAlign w:val="center"/>
                  <w:hideMark/>
                </w:tcPr>
                <w:p w14:paraId="7FD75FDD" w14:textId="77777777" w:rsidR="00A70AE1" w:rsidRPr="00085CAF" w:rsidRDefault="00A70AE1" w:rsidP="00A70AE1">
                  <w:pPr>
                    <w:jc w:val="center"/>
                    <w:rPr>
                      <w:rFonts w:eastAsia="楷体" w:cs="Calibri"/>
                      <w:b/>
                      <w:bCs/>
                      <w:snapToGrid/>
                      <w:color w:val="FFFFFF"/>
                      <w:sz w:val="18"/>
                      <w:szCs w:val="18"/>
                    </w:rPr>
                  </w:pPr>
                  <w:r w:rsidRPr="00085CAF">
                    <w:rPr>
                      <w:rFonts w:eastAsia="楷体" w:cs="Calibri"/>
                      <w:b/>
                      <w:bCs/>
                      <w:snapToGrid/>
                      <w:color w:val="FFFFFF"/>
                      <w:sz w:val="18"/>
                      <w:szCs w:val="18"/>
                    </w:rPr>
                    <w:t>Founded / Acquired</w:t>
                  </w:r>
                </w:p>
              </w:tc>
              <w:tc>
                <w:tcPr>
                  <w:tcW w:w="1559" w:type="dxa"/>
                  <w:tcBorders>
                    <w:top w:val="nil"/>
                    <w:left w:val="nil"/>
                    <w:bottom w:val="nil"/>
                    <w:right w:val="nil"/>
                  </w:tcBorders>
                  <w:shd w:val="clear" w:color="000000" w:fill="002060"/>
                  <w:vAlign w:val="center"/>
                  <w:hideMark/>
                </w:tcPr>
                <w:p w14:paraId="048597AD" w14:textId="77777777" w:rsidR="00A70AE1" w:rsidRPr="00085CAF" w:rsidRDefault="00A70AE1" w:rsidP="00A70AE1">
                  <w:pPr>
                    <w:jc w:val="center"/>
                    <w:rPr>
                      <w:rFonts w:eastAsia="楷体" w:cs="Calibri"/>
                      <w:b/>
                      <w:bCs/>
                      <w:snapToGrid/>
                      <w:color w:val="FFFFFF"/>
                      <w:sz w:val="18"/>
                      <w:szCs w:val="18"/>
                    </w:rPr>
                  </w:pPr>
                  <w:r w:rsidRPr="00085CAF">
                    <w:rPr>
                      <w:rFonts w:eastAsia="楷体" w:cs="Calibri"/>
                      <w:b/>
                      <w:bCs/>
                      <w:snapToGrid/>
                      <w:color w:val="FFFFFF"/>
                      <w:sz w:val="18"/>
                      <w:szCs w:val="18"/>
                    </w:rPr>
                    <w:t>Positioning</w:t>
                  </w:r>
                </w:p>
              </w:tc>
              <w:tc>
                <w:tcPr>
                  <w:tcW w:w="1701" w:type="dxa"/>
                  <w:tcBorders>
                    <w:top w:val="nil"/>
                    <w:left w:val="nil"/>
                    <w:bottom w:val="nil"/>
                    <w:right w:val="nil"/>
                  </w:tcBorders>
                  <w:shd w:val="clear" w:color="000000" w:fill="002060"/>
                  <w:vAlign w:val="center"/>
                  <w:hideMark/>
                </w:tcPr>
                <w:p w14:paraId="14187B07" w14:textId="77777777" w:rsidR="00A70AE1" w:rsidRPr="00085CAF" w:rsidRDefault="00A70AE1" w:rsidP="00A70AE1">
                  <w:pPr>
                    <w:jc w:val="center"/>
                    <w:rPr>
                      <w:rFonts w:eastAsia="楷体" w:cs="Calibri"/>
                      <w:b/>
                      <w:bCs/>
                      <w:snapToGrid/>
                      <w:color w:val="FFFFFF"/>
                      <w:sz w:val="18"/>
                      <w:szCs w:val="18"/>
                    </w:rPr>
                  </w:pPr>
                  <w:r w:rsidRPr="00085CAF">
                    <w:rPr>
                      <w:rFonts w:eastAsia="楷体" w:cs="Calibri"/>
                      <w:b/>
                      <w:bCs/>
                      <w:snapToGrid/>
                      <w:color w:val="FFFFFF"/>
                      <w:sz w:val="18"/>
                      <w:szCs w:val="18"/>
                    </w:rPr>
                    <w:t>2024 Key Highlights</w:t>
                  </w:r>
                </w:p>
              </w:tc>
              <w:tc>
                <w:tcPr>
                  <w:tcW w:w="1926" w:type="dxa"/>
                  <w:tcBorders>
                    <w:top w:val="nil"/>
                    <w:left w:val="nil"/>
                    <w:bottom w:val="nil"/>
                    <w:right w:val="nil"/>
                  </w:tcBorders>
                  <w:shd w:val="clear" w:color="000000" w:fill="002060"/>
                  <w:vAlign w:val="center"/>
                  <w:hideMark/>
                </w:tcPr>
                <w:p w14:paraId="0A347158" w14:textId="77777777" w:rsidR="00A70AE1" w:rsidRPr="00085CAF" w:rsidRDefault="00A70AE1" w:rsidP="00A70AE1">
                  <w:pPr>
                    <w:jc w:val="center"/>
                    <w:rPr>
                      <w:rFonts w:eastAsia="楷体" w:cs="Calibri"/>
                      <w:b/>
                      <w:bCs/>
                      <w:snapToGrid/>
                      <w:color w:val="FFFFFF"/>
                      <w:sz w:val="18"/>
                      <w:szCs w:val="18"/>
                    </w:rPr>
                  </w:pPr>
                  <w:r w:rsidRPr="00085CAF">
                    <w:rPr>
                      <w:rFonts w:eastAsia="楷体" w:cs="Calibri"/>
                      <w:b/>
                      <w:bCs/>
                      <w:snapToGrid/>
                      <w:color w:val="FFFFFF"/>
                      <w:sz w:val="18"/>
                      <w:szCs w:val="18"/>
                    </w:rPr>
                    <w:t>Hero Products</w:t>
                  </w:r>
                </w:p>
              </w:tc>
            </w:tr>
            <w:tr w:rsidR="00A70AE1" w:rsidRPr="00085CAF" w14:paraId="44E5C46F" w14:textId="77777777" w:rsidTr="00A70AE1">
              <w:trPr>
                <w:trHeight w:val="1117"/>
              </w:trPr>
              <w:tc>
                <w:tcPr>
                  <w:tcW w:w="1210" w:type="dxa"/>
                  <w:tcBorders>
                    <w:top w:val="nil"/>
                    <w:left w:val="nil"/>
                    <w:bottom w:val="nil"/>
                    <w:right w:val="nil"/>
                  </w:tcBorders>
                  <w:vAlign w:val="center"/>
                  <w:hideMark/>
                </w:tcPr>
                <w:p w14:paraId="57383B69"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L'Oréal Paris</w:t>
                  </w:r>
                </w:p>
              </w:tc>
              <w:tc>
                <w:tcPr>
                  <w:tcW w:w="1236" w:type="dxa"/>
                  <w:tcBorders>
                    <w:top w:val="nil"/>
                    <w:left w:val="nil"/>
                    <w:bottom w:val="nil"/>
                    <w:right w:val="nil"/>
                  </w:tcBorders>
                  <w:vAlign w:val="center"/>
                  <w:hideMark/>
                </w:tcPr>
                <w:p w14:paraId="234C04FC"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Founded 1909</w:t>
                  </w:r>
                </w:p>
              </w:tc>
              <w:tc>
                <w:tcPr>
                  <w:tcW w:w="1559" w:type="dxa"/>
                  <w:tcBorders>
                    <w:top w:val="nil"/>
                    <w:left w:val="nil"/>
                    <w:bottom w:val="nil"/>
                    <w:right w:val="nil"/>
                  </w:tcBorders>
                  <w:vAlign w:val="center"/>
                  <w:hideMark/>
                </w:tcPr>
                <w:p w14:paraId="36680938"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World's #1 Beauty Brand; Full Category Coverage</w:t>
                  </w:r>
                </w:p>
              </w:tc>
              <w:tc>
                <w:tcPr>
                  <w:tcW w:w="1701" w:type="dxa"/>
                  <w:tcBorders>
                    <w:top w:val="nil"/>
                    <w:left w:val="nil"/>
                    <w:bottom w:val="nil"/>
                    <w:right w:val="nil"/>
                  </w:tcBorders>
                  <w:vAlign w:val="center"/>
                  <w:hideMark/>
                </w:tcPr>
                <w:p w14:paraId="503682BC"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Outstanding Year Across All Categories</w:t>
                  </w:r>
                </w:p>
              </w:tc>
              <w:tc>
                <w:tcPr>
                  <w:tcW w:w="1926" w:type="dxa"/>
                  <w:tcBorders>
                    <w:top w:val="nil"/>
                    <w:left w:val="nil"/>
                    <w:bottom w:val="nil"/>
                    <w:right w:val="nil"/>
                  </w:tcBorders>
                  <w:vAlign w:val="center"/>
                  <w:hideMark/>
                </w:tcPr>
                <w:p w14:paraId="56423485" w14:textId="77777777" w:rsidR="00A70AE1" w:rsidRPr="00085CAF" w:rsidRDefault="00A70AE1" w:rsidP="00A70AE1">
                  <w:pPr>
                    <w:jc w:val="center"/>
                    <w:rPr>
                      <w:rFonts w:eastAsia="楷体" w:cs="Calibri"/>
                      <w:snapToGrid/>
                      <w:color w:val="333333"/>
                      <w:sz w:val="18"/>
                      <w:szCs w:val="18"/>
                    </w:rPr>
                  </w:pPr>
                  <w:proofErr w:type="spellStart"/>
                  <w:r w:rsidRPr="00085CAF">
                    <w:rPr>
                      <w:rFonts w:eastAsia="楷体" w:cs="Calibri"/>
                      <w:snapToGrid/>
                      <w:color w:val="333333"/>
                      <w:sz w:val="18"/>
                      <w:szCs w:val="18"/>
                    </w:rPr>
                    <w:t>Revitalift</w:t>
                  </w:r>
                  <w:proofErr w:type="spellEnd"/>
                  <w:r w:rsidRPr="00085CAF">
                    <w:rPr>
                      <w:rFonts w:eastAsia="楷体" w:cs="Calibri"/>
                      <w:snapToGrid/>
                      <w:color w:val="333333"/>
                      <w:sz w:val="18"/>
                      <w:szCs w:val="18"/>
                    </w:rPr>
                    <w:t xml:space="preserve">, Panorama Mascara, </w:t>
                  </w:r>
                  <w:proofErr w:type="spellStart"/>
                  <w:r w:rsidRPr="00085CAF">
                    <w:rPr>
                      <w:rFonts w:eastAsia="楷体" w:cs="Calibri"/>
                      <w:snapToGrid/>
                      <w:color w:val="333333"/>
                      <w:sz w:val="18"/>
                      <w:szCs w:val="18"/>
                    </w:rPr>
                    <w:t>Elvive</w:t>
                  </w:r>
                  <w:proofErr w:type="spellEnd"/>
                  <w:r w:rsidRPr="00085CAF">
                    <w:rPr>
                      <w:rFonts w:eastAsia="楷体" w:cs="Calibri"/>
                      <w:snapToGrid/>
                      <w:color w:val="333333"/>
                      <w:sz w:val="18"/>
                      <w:szCs w:val="18"/>
                    </w:rPr>
                    <w:t xml:space="preserve"> Glycolic Gloss</w:t>
                  </w:r>
                </w:p>
              </w:tc>
            </w:tr>
            <w:tr w:rsidR="00A70AE1" w:rsidRPr="00085CAF" w14:paraId="192C8A33" w14:textId="77777777" w:rsidTr="00A70AE1">
              <w:trPr>
                <w:trHeight w:val="670"/>
              </w:trPr>
              <w:tc>
                <w:tcPr>
                  <w:tcW w:w="1210" w:type="dxa"/>
                  <w:tcBorders>
                    <w:top w:val="nil"/>
                    <w:left w:val="nil"/>
                    <w:bottom w:val="nil"/>
                    <w:right w:val="nil"/>
                  </w:tcBorders>
                  <w:shd w:val="clear" w:color="000000" w:fill="F2F2F2"/>
                  <w:vAlign w:val="center"/>
                  <w:hideMark/>
                </w:tcPr>
                <w:p w14:paraId="3DADA24D"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Maybelline New York</w:t>
                  </w:r>
                </w:p>
              </w:tc>
              <w:tc>
                <w:tcPr>
                  <w:tcW w:w="1236" w:type="dxa"/>
                  <w:tcBorders>
                    <w:top w:val="nil"/>
                    <w:left w:val="nil"/>
                    <w:bottom w:val="nil"/>
                    <w:right w:val="nil"/>
                  </w:tcBorders>
                  <w:shd w:val="clear" w:color="000000" w:fill="F2F2F2"/>
                  <w:vAlign w:val="center"/>
                  <w:hideMark/>
                </w:tcPr>
                <w:p w14:paraId="493844DB"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Acquired 1996</w:t>
                  </w:r>
                </w:p>
              </w:tc>
              <w:tc>
                <w:tcPr>
                  <w:tcW w:w="1559" w:type="dxa"/>
                  <w:tcBorders>
                    <w:top w:val="nil"/>
                    <w:left w:val="nil"/>
                    <w:bottom w:val="nil"/>
                    <w:right w:val="nil"/>
                  </w:tcBorders>
                  <w:shd w:val="clear" w:color="000000" w:fill="F2F2F2"/>
                  <w:vAlign w:val="center"/>
                  <w:hideMark/>
                </w:tcPr>
                <w:p w14:paraId="0EB65A15"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World's #1 Makeup Brand</w:t>
                  </w:r>
                </w:p>
              </w:tc>
              <w:tc>
                <w:tcPr>
                  <w:tcW w:w="1701" w:type="dxa"/>
                  <w:tcBorders>
                    <w:top w:val="nil"/>
                    <w:left w:val="nil"/>
                    <w:bottom w:val="nil"/>
                    <w:right w:val="nil"/>
                  </w:tcBorders>
                  <w:shd w:val="clear" w:color="000000" w:fill="F2F2F2"/>
                  <w:vAlign w:val="center"/>
                  <w:hideMark/>
                </w:tcPr>
                <w:p w14:paraId="04AA86EA"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Teddy Tint Breakout Success</w:t>
                  </w:r>
                </w:p>
              </w:tc>
              <w:tc>
                <w:tcPr>
                  <w:tcW w:w="1926" w:type="dxa"/>
                  <w:tcBorders>
                    <w:top w:val="nil"/>
                    <w:left w:val="nil"/>
                    <w:bottom w:val="nil"/>
                    <w:right w:val="nil"/>
                  </w:tcBorders>
                  <w:shd w:val="clear" w:color="000000" w:fill="F2F2F2"/>
                  <w:vAlign w:val="center"/>
                  <w:hideMark/>
                </w:tcPr>
                <w:p w14:paraId="1D0663BA"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 xml:space="preserve">Lash Sensational, </w:t>
                  </w:r>
                  <w:proofErr w:type="spellStart"/>
                  <w:r w:rsidRPr="00085CAF">
                    <w:rPr>
                      <w:rFonts w:eastAsia="楷体" w:cs="Calibri"/>
                      <w:snapToGrid/>
                      <w:color w:val="333333"/>
                      <w:sz w:val="18"/>
                      <w:szCs w:val="18"/>
                    </w:rPr>
                    <w:t>Superstay</w:t>
                  </w:r>
                  <w:proofErr w:type="spellEnd"/>
                  <w:r w:rsidRPr="00085CAF">
                    <w:rPr>
                      <w:rFonts w:eastAsia="楷体" w:cs="Calibri"/>
                      <w:snapToGrid/>
                      <w:color w:val="333333"/>
                      <w:sz w:val="18"/>
                      <w:szCs w:val="18"/>
                    </w:rPr>
                    <w:t>, Fit Me</w:t>
                  </w:r>
                </w:p>
              </w:tc>
            </w:tr>
            <w:tr w:rsidR="00A70AE1" w:rsidRPr="00085CAF" w14:paraId="0FBEA39A" w14:textId="77777777" w:rsidTr="00A70AE1">
              <w:trPr>
                <w:trHeight w:val="1117"/>
              </w:trPr>
              <w:tc>
                <w:tcPr>
                  <w:tcW w:w="1210" w:type="dxa"/>
                  <w:tcBorders>
                    <w:top w:val="nil"/>
                    <w:left w:val="nil"/>
                    <w:bottom w:val="nil"/>
                    <w:right w:val="nil"/>
                  </w:tcBorders>
                  <w:vAlign w:val="center"/>
                  <w:hideMark/>
                </w:tcPr>
                <w:p w14:paraId="5CBE7FC5"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Garnier</w:t>
                  </w:r>
                </w:p>
              </w:tc>
              <w:tc>
                <w:tcPr>
                  <w:tcW w:w="1236" w:type="dxa"/>
                  <w:tcBorders>
                    <w:top w:val="nil"/>
                    <w:left w:val="nil"/>
                    <w:bottom w:val="nil"/>
                    <w:right w:val="nil"/>
                  </w:tcBorders>
                  <w:vAlign w:val="center"/>
                  <w:hideMark/>
                </w:tcPr>
                <w:p w14:paraId="1338A015"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Acquired 1965</w:t>
                  </w:r>
                </w:p>
              </w:tc>
              <w:tc>
                <w:tcPr>
                  <w:tcW w:w="1559" w:type="dxa"/>
                  <w:tcBorders>
                    <w:top w:val="nil"/>
                    <w:left w:val="nil"/>
                    <w:bottom w:val="nil"/>
                    <w:right w:val="nil"/>
                  </w:tcBorders>
                  <w:vAlign w:val="center"/>
                  <w:hideMark/>
                </w:tcPr>
                <w:p w14:paraId="7E61EE3D"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Natural &amp; Plant-Based Skincare and Haircare</w:t>
                  </w:r>
                </w:p>
              </w:tc>
              <w:tc>
                <w:tcPr>
                  <w:tcW w:w="1701" w:type="dxa"/>
                  <w:tcBorders>
                    <w:top w:val="nil"/>
                    <w:left w:val="nil"/>
                    <w:bottom w:val="nil"/>
                    <w:right w:val="nil"/>
                  </w:tcBorders>
                  <w:vAlign w:val="center"/>
                  <w:hideMark/>
                </w:tcPr>
                <w:p w14:paraId="0DFD853C"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Vitamin C UV Sunscreen Mass Adoption</w:t>
                  </w:r>
                </w:p>
              </w:tc>
              <w:tc>
                <w:tcPr>
                  <w:tcW w:w="1926" w:type="dxa"/>
                  <w:tcBorders>
                    <w:top w:val="nil"/>
                    <w:left w:val="nil"/>
                    <w:bottom w:val="nil"/>
                    <w:right w:val="nil"/>
                  </w:tcBorders>
                  <w:vAlign w:val="center"/>
                  <w:hideMark/>
                </w:tcPr>
                <w:p w14:paraId="51ED1800"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Fructis, Good Hair Color</w:t>
                  </w:r>
                </w:p>
              </w:tc>
            </w:tr>
            <w:tr w:rsidR="00A70AE1" w:rsidRPr="00085CAF" w14:paraId="051D44BE" w14:textId="77777777" w:rsidTr="00A70AE1">
              <w:trPr>
                <w:trHeight w:val="894"/>
              </w:trPr>
              <w:tc>
                <w:tcPr>
                  <w:tcW w:w="1210" w:type="dxa"/>
                  <w:tcBorders>
                    <w:top w:val="nil"/>
                    <w:left w:val="nil"/>
                    <w:bottom w:val="nil"/>
                    <w:right w:val="nil"/>
                  </w:tcBorders>
                  <w:shd w:val="clear" w:color="000000" w:fill="F2F2F2"/>
                  <w:vAlign w:val="center"/>
                  <w:hideMark/>
                </w:tcPr>
                <w:p w14:paraId="1F96F821"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NYX Professional Makeup</w:t>
                  </w:r>
                </w:p>
              </w:tc>
              <w:tc>
                <w:tcPr>
                  <w:tcW w:w="1236" w:type="dxa"/>
                  <w:tcBorders>
                    <w:top w:val="nil"/>
                    <w:left w:val="nil"/>
                    <w:bottom w:val="nil"/>
                    <w:right w:val="nil"/>
                  </w:tcBorders>
                  <w:shd w:val="clear" w:color="000000" w:fill="F2F2F2"/>
                  <w:vAlign w:val="center"/>
                  <w:hideMark/>
                </w:tcPr>
                <w:p w14:paraId="7DB9D1C4"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Acquired 2014</w:t>
                  </w:r>
                </w:p>
              </w:tc>
              <w:tc>
                <w:tcPr>
                  <w:tcW w:w="1559" w:type="dxa"/>
                  <w:tcBorders>
                    <w:top w:val="nil"/>
                    <w:left w:val="nil"/>
                    <w:bottom w:val="nil"/>
                    <w:right w:val="nil"/>
                  </w:tcBorders>
                  <w:shd w:val="clear" w:color="000000" w:fill="F2F2F2"/>
                  <w:vAlign w:val="center"/>
                  <w:hideMark/>
                </w:tcPr>
                <w:p w14:paraId="5CB14CDB"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Democratizing Professional Makeup</w:t>
                  </w:r>
                </w:p>
              </w:tc>
              <w:tc>
                <w:tcPr>
                  <w:tcW w:w="1701" w:type="dxa"/>
                  <w:tcBorders>
                    <w:top w:val="nil"/>
                    <w:left w:val="nil"/>
                    <w:bottom w:val="nil"/>
                    <w:right w:val="nil"/>
                  </w:tcBorders>
                  <w:shd w:val="clear" w:color="000000" w:fill="F2F2F2"/>
                  <w:vAlign w:val="center"/>
                  <w:hideMark/>
                </w:tcPr>
                <w:p w14:paraId="18DE42C1"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Outperformed Broader Makeup Market</w:t>
                  </w:r>
                </w:p>
              </w:tc>
              <w:tc>
                <w:tcPr>
                  <w:tcW w:w="1926" w:type="dxa"/>
                  <w:tcBorders>
                    <w:top w:val="nil"/>
                    <w:left w:val="nil"/>
                    <w:bottom w:val="nil"/>
                    <w:right w:val="nil"/>
                  </w:tcBorders>
                  <w:shd w:val="clear" w:color="000000" w:fill="F2F2F2"/>
                  <w:vAlign w:val="center"/>
                  <w:hideMark/>
                </w:tcPr>
                <w:p w14:paraId="21B3ADBF"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Fat Oil, Duck Plump, Butter Melt</w:t>
                  </w:r>
                </w:p>
              </w:tc>
            </w:tr>
            <w:tr w:rsidR="00A70AE1" w:rsidRPr="00085CAF" w14:paraId="640A141B" w14:textId="77777777" w:rsidTr="00A70AE1">
              <w:trPr>
                <w:trHeight w:val="670"/>
              </w:trPr>
              <w:tc>
                <w:tcPr>
                  <w:tcW w:w="1210" w:type="dxa"/>
                  <w:tcBorders>
                    <w:top w:val="nil"/>
                    <w:left w:val="nil"/>
                    <w:bottom w:val="nil"/>
                    <w:right w:val="nil"/>
                  </w:tcBorders>
                  <w:vAlign w:val="center"/>
                  <w:hideMark/>
                </w:tcPr>
                <w:p w14:paraId="4EE2E405"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Mixa</w:t>
                  </w:r>
                </w:p>
              </w:tc>
              <w:tc>
                <w:tcPr>
                  <w:tcW w:w="1236" w:type="dxa"/>
                  <w:tcBorders>
                    <w:top w:val="nil"/>
                    <w:left w:val="nil"/>
                    <w:bottom w:val="nil"/>
                    <w:right w:val="nil"/>
                  </w:tcBorders>
                  <w:vAlign w:val="center"/>
                  <w:hideMark/>
                </w:tcPr>
                <w:p w14:paraId="71527A17"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Proprietary Brand</w:t>
                  </w:r>
                </w:p>
              </w:tc>
              <w:tc>
                <w:tcPr>
                  <w:tcW w:w="1559" w:type="dxa"/>
                  <w:tcBorders>
                    <w:top w:val="nil"/>
                    <w:left w:val="nil"/>
                    <w:bottom w:val="nil"/>
                    <w:right w:val="nil"/>
                  </w:tcBorders>
                  <w:vAlign w:val="center"/>
                  <w:hideMark/>
                </w:tcPr>
                <w:p w14:paraId="0422C23D"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Baby / Body / Facial Care</w:t>
                  </w:r>
                </w:p>
              </w:tc>
              <w:tc>
                <w:tcPr>
                  <w:tcW w:w="1701" w:type="dxa"/>
                  <w:tcBorders>
                    <w:top w:val="nil"/>
                    <w:left w:val="nil"/>
                    <w:bottom w:val="nil"/>
                    <w:right w:val="nil"/>
                  </w:tcBorders>
                  <w:vAlign w:val="center"/>
                  <w:hideMark/>
                </w:tcPr>
                <w:p w14:paraId="448257A1"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Fastest-Growing Brand in the Division</w:t>
                  </w:r>
                </w:p>
              </w:tc>
              <w:tc>
                <w:tcPr>
                  <w:tcW w:w="1926" w:type="dxa"/>
                  <w:tcBorders>
                    <w:top w:val="nil"/>
                    <w:left w:val="nil"/>
                    <w:bottom w:val="nil"/>
                    <w:right w:val="nil"/>
                  </w:tcBorders>
                  <w:vAlign w:val="center"/>
                  <w:hideMark/>
                </w:tcPr>
                <w:p w14:paraId="5768A18A" w14:textId="77777777" w:rsidR="00A70AE1" w:rsidRPr="00085CAF" w:rsidRDefault="00A70AE1" w:rsidP="00A70AE1">
                  <w:pPr>
                    <w:jc w:val="center"/>
                    <w:rPr>
                      <w:rFonts w:eastAsia="楷体" w:cs="Calibri"/>
                      <w:snapToGrid/>
                      <w:color w:val="333333"/>
                      <w:sz w:val="18"/>
                      <w:szCs w:val="18"/>
                    </w:rPr>
                  </w:pPr>
                  <w:proofErr w:type="spellStart"/>
                  <w:r w:rsidRPr="00085CAF">
                    <w:rPr>
                      <w:rFonts w:eastAsia="楷体" w:cs="Calibri"/>
                      <w:snapToGrid/>
                      <w:color w:val="333333"/>
                      <w:sz w:val="18"/>
                      <w:szCs w:val="18"/>
                    </w:rPr>
                    <w:t>Hyalurogel</w:t>
                  </w:r>
                  <w:proofErr w:type="spellEnd"/>
                  <w:r w:rsidRPr="00085CAF">
                    <w:rPr>
                      <w:rFonts w:eastAsia="楷体" w:cs="Calibri"/>
                      <w:snapToGrid/>
                      <w:color w:val="333333"/>
                      <w:sz w:val="18"/>
                      <w:szCs w:val="18"/>
                    </w:rPr>
                    <w:t>, Sensitive Skin Range</w:t>
                  </w:r>
                </w:p>
              </w:tc>
            </w:tr>
            <w:tr w:rsidR="00A70AE1" w:rsidRPr="00085CAF" w14:paraId="37E683B6" w14:textId="77777777" w:rsidTr="00A70AE1">
              <w:trPr>
                <w:trHeight w:val="670"/>
              </w:trPr>
              <w:tc>
                <w:tcPr>
                  <w:tcW w:w="1210" w:type="dxa"/>
                  <w:tcBorders>
                    <w:top w:val="nil"/>
                    <w:left w:val="nil"/>
                    <w:bottom w:val="nil"/>
                    <w:right w:val="nil"/>
                  </w:tcBorders>
                  <w:shd w:val="clear" w:color="000000" w:fill="F2F2F2"/>
                  <w:vAlign w:val="center"/>
                  <w:hideMark/>
                </w:tcPr>
                <w:p w14:paraId="71B23C01"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Essie</w:t>
                  </w:r>
                </w:p>
              </w:tc>
              <w:tc>
                <w:tcPr>
                  <w:tcW w:w="1236" w:type="dxa"/>
                  <w:tcBorders>
                    <w:top w:val="nil"/>
                    <w:left w:val="nil"/>
                    <w:bottom w:val="nil"/>
                    <w:right w:val="nil"/>
                  </w:tcBorders>
                  <w:shd w:val="clear" w:color="000000" w:fill="F2F2F2"/>
                  <w:vAlign w:val="center"/>
                  <w:hideMark/>
                </w:tcPr>
                <w:p w14:paraId="5DB4D74A"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Acquired 2010</w:t>
                  </w:r>
                </w:p>
              </w:tc>
              <w:tc>
                <w:tcPr>
                  <w:tcW w:w="1559" w:type="dxa"/>
                  <w:tcBorders>
                    <w:top w:val="nil"/>
                    <w:left w:val="nil"/>
                    <w:bottom w:val="nil"/>
                    <w:right w:val="nil"/>
                  </w:tcBorders>
                  <w:shd w:val="clear" w:color="000000" w:fill="F2F2F2"/>
                  <w:vAlign w:val="center"/>
                  <w:hideMark/>
                </w:tcPr>
                <w:p w14:paraId="7DB4257E"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Category Leader in Nail Color</w:t>
                  </w:r>
                </w:p>
              </w:tc>
              <w:tc>
                <w:tcPr>
                  <w:tcW w:w="1701" w:type="dxa"/>
                  <w:tcBorders>
                    <w:top w:val="nil"/>
                    <w:left w:val="nil"/>
                    <w:bottom w:val="nil"/>
                    <w:right w:val="nil"/>
                  </w:tcBorders>
                  <w:shd w:val="clear" w:color="000000" w:fill="F2F2F2"/>
                  <w:vAlign w:val="center"/>
                  <w:hideMark/>
                </w:tcPr>
                <w:p w14:paraId="030F5D65"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w:t>
                  </w:r>
                </w:p>
              </w:tc>
              <w:tc>
                <w:tcPr>
                  <w:tcW w:w="1926" w:type="dxa"/>
                  <w:tcBorders>
                    <w:top w:val="nil"/>
                    <w:left w:val="nil"/>
                    <w:bottom w:val="nil"/>
                    <w:right w:val="nil"/>
                  </w:tcBorders>
                  <w:shd w:val="clear" w:color="000000" w:fill="F2F2F2"/>
                  <w:vAlign w:val="center"/>
                  <w:hideMark/>
                </w:tcPr>
                <w:p w14:paraId="7F7EA0AA"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 xml:space="preserve">Gel Couture, </w:t>
                  </w:r>
                  <w:proofErr w:type="spellStart"/>
                  <w:r w:rsidRPr="00085CAF">
                    <w:rPr>
                      <w:rFonts w:eastAsia="楷体" w:cs="Calibri"/>
                      <w:snapToGrid/>
                      <w:color w:val="333333"/>
                      <w:sz w:val="18"/>
                      <w:szCs w:val="18"/>
                    </w:rPr>
                    <w:t>Expressie</w:t>
                  </w:r>
                  <w:proofErr w:type="spellEnd"/>
                </w:p>
              </w:tc>
            </w:tr>
            <w:tr w:rsidR="00A70AE1" w:rsidRPr="00085CAF" w14:paraId="53338294" w14:textId="77777777" w:rsidTr="00A70AE1">
              <w:trPr>
                <w:trHeight w:val="670"/>
              </w:trPr>
              <w:tc>
                <w:tcPr>
                  <w:tcW w:w="1210" w:type="dxa"/>
                  <w:tcBorders>
                    <w:top w:val="nil"/>
                    <w:left w:val="nil"/>
                    <w:bottom w:val="nil"/>
                    <w:right w:val="nil"/>
                  </w:tcBorders>
                  <w:vAlign w:val="center"/>
                  <w:hideMark/>
                </w:tcPr>
                <w:p w14:paraId="2157A187" w14:textId="77777777" w:rsidR="00A70AE1" w:rsidRPr="00085CAF" w:rsidRDefault="00A70AE1" w:rsidP="00A70AE1">
                  <w:pPr>
                    <w:jc w:val="center"/>
                    <w:rPr>
                      <w:rFonts w:eastAsia="楷体" w:cs="Calibri"/>
                      <w:snapToGrid/>
                      <w:color w:val="333333"/>
                      <w:sz w:val="18"/>
                      <w:szCs w:val="18"/>
                    </w:rPr>
                  </w:pPr>
                  <w:proofErr w:type="spellStart"/>
                  <w:proofErr w:type="gramStart"/>
                  <w:r w:rsidRPr="00085CAF">
                    <w:rPr>
                      <w:rFonts w:eastAsia="楷体" w:cs="Calibri"/>
                      <w:snapToGrid/>
                      <w:color w:val="333333"/>
                      <w:sz w:val="18"/>
                      <w:szCs w:val="18"/>
                    </w:rPr>
                    <w:t>Dr.G</w:t>
                  </w:r>
                  <w:proofErr w:type="spellEnd"/>
                  <w:proofErr w:type="gramEnd"/>
                </w:p>
              </w:tc>
              <w:tc>
                <w:tcPr>
                  <w:tcW w:w="1236" w:type="dxa"/>
                  <w:tcBorders>
                    <w:top w:val="nil"/>
                    <w:left w:val="nil"/>
                    <w:bottom w:val="nil"/>
                    <w:right w:val="nil"/>
                  </w:tcBorders>
                  <w:vAlign w:val="center"/>
                  <w:hideMark/>
                </w:tcPr>
                <w:p w14:paraId="39DC8BAA" w14:textId="3185CCFC"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 xml:space="preserve">Acquired </w:t>
                  </w:r>
                  <w:r w:rsidRPr="00085CAF">
                    <w:rPr>
                      <w:rFonts w:eastAsia="楷体" w:cs="Calibri" w:hint="eastAsia"/>
                      <w:snapToGrid/>
                      <w:color w:val="333333"/>
                      <w:sz w:val="18"/>
                      <w:szCs w:val="18"/>
                    </w:rPr>
                    <w:t>2</w:t>
                  </w:r>
                  <w:r w:rsidRPr="00085CAF">
                    <w:rPr>
                      <w:rFonts w:eastAsia="楷体" w:cs="Calibri"/>
                      <w:snapToGrid/>
                      <w:color w:val="333333"/>
                      <w:sz w:val="18"/>
                      <w:szCs w:val="18"/>
                    </w:rPr>
                    <w:t>024</w:t>
                  </w:r>
                </w:p>
              </w:tc>
              <w:tc>
                <w:tcPr>
                  <w:tcW w:w="1559" w:type="dxa"/>
                  <w:tcBorders>
                    <w:top w:val="nil"/>
                    <w:left w:val="nil"/>
                    <w:bottom w:val="nil"/>
                    <w:right w:val="nil"/>
                  </w:tcBorders>
                  <w:vAlign w:val="center"/>
                  <w:hideMark/>
                </w:tcPr>
                <w:p w14:paraId="5CE6C782"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Korean Dermo-Mass</w:t>
                  </w:r>
                </w:p>
              </w:tc>
              <w:tc>
                <w:tcPr>
                  <w:tcW w:w="1701" w:type="dxa"/>
                  <w:tcBorders>
                    <w:top w:val="nil"/>
                    <w:left w:val="nil"/>
                    <w:bottom w:val="nil"/>
                    <w:right w:val="nil"/>
                  </w:tcBorders>
                  <w:vAlign w:val="center"/>
                  <w:hideMark/>
                </w:tcPr>
                <w:p w14:paraId="1C809C66"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Entry into K-Beauty Segment</w:t>
                  </w:r>
                </w:p>
              </w:tc>
              <w:tc>
                <w:tcPr>
                  <w:tcW w:w="1926" w:type="dxa"/>
                  <w:tcBorders>
                    <w:top w:val="nil"/>
                    <w:left w:val="nil"/>
                    <w:bottom w:val="nil"/>
                    <w:right w:val="nil"/>
                  </w:tcBorders>
                  <w:vAlign w:val="center"/>
                  <w:hideMark/>
                </w:tcPr>
                <w:p w14:paraId="0CFCA430" w14:textId="77777777" w:rsidR="00A70AE1" w:rsidRPr="00085CAF" w:rsidRDefault="00A70AE1" w:rsidP="00A70AE1">
                  <w:pPr>
                    <w:jc w:val="center"/>
                    <w:rPr>
                      <w:rFonts w:eastAsia="楷体" w:cs="Calibri"/>
                      <w:snapToGrid/>
                      <w:color w:val="333333"/>
                      <w:sz w:val="18"/>
                      <w:szCs w:val="18"/>
                    </w:rPr>
                  </w:pPr>
                  <w:r w:rsidRPr="00085CAF">
                    <w:rPr>
                      <w:rFonts w:eastAsia="楷体" w:cs="Calibri"/>
                      <w:snapToGrid/>
                      <w:color w:val="333333"/>
                      <w:sz w:val="18"/>
                      <w:szCs w:val="18"/>
                    </w:rPr>
                    <w:t>K-Beauty Skincare</w:t>
                  </w:r>
                </w:p>
              </w:tc>
            </w:tr>
          </w:tbl>
          <w:p w14:paraId="0F6977A3" w14:textId="77777777" w:rsidR="008966C3" w:rsidRPr="00085CAF" w:rsidRDefault="008966C3" w:rsidP="00A70AE1">
            <w:pPr>
              <w:jc w:val="center"/>
              <w:rPr>
                <w:rFonts w:asciiTheme="minorHAnsi" w:eastAsia="楷体" w:hAnsiTheme="minorHAnsi" w:cstheme="minorHAnsi" w:hint="eastAsia"/>
                <w:kern w:val="2"/>
                <w:sz w:val="18"/>
                <w:szCs w:val="18"/>
              </w:rPr>
            </w:pPr>
          </w:p>
        </w:tc>
      </w:tr>
      <w:tr w:rsidR="008966C3" w14:paraId="4518ED67" w14:textId="77777777" w:rsidTr="00816572">
        <w:tc>
          <w:tcPr>
            <w:tcW w:w="7733" w:type="dxa"/>
            <w:tcBorders>
              <w:top w:val="single" w:sz="4" w:space="0" w:color="auto"/>
            </w:tcBorders>
          </w:tcPr>
          <w:p w14:paraId="38A8F703" w14:textId="2AE5072D" w:rsid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Reports</w:t>
            </w:r>
            <w:r>
              <w:rPr>
                <w:rFonts w:eastAsia="楷体" w:cs="Calibri" w:hint="eastAsia"/>
                <w:kern w:val="2"/>
                <w:sz w:val="22"/>
                <w:szCs w:val="22"/>
              </w:rPr>
              <w:t>, HFI</w:t>
            </w:r>
          </w:p>
        </w:tc>
      </w:tr>
    </w:tbl>
    <w:p w14:paraId="72A2896F" w14:textId="4EBCCF36" w:rsidR="008966C3" w:rsidRDefault="008966C3">
      <w:pPr>
        <w:jc w:val="both"/>
        <w:rPr>
          <w:rFonts w:eastAsia="楷体" w:cs="Calibri"/>
          <w:kern w:val="2"/>
          <w:sz w:val="22"/>
          <w:szCs w:val="22"/>
        </w:rPr>
      </w:pPr>
      <w:r w:rsidRPr="00D7310D">
        <w:rPr>
          <w:rFonts w:eastAsia="楷体" w:cs="Calibri"/>
          <w:b/>
          <w:bCs/>
          <w:kern w:val="2"/>
          <w:sz w:val="22"/>
          <w:szCs w:val="22"/>
        </w:rPr>
        <w:lastRenderedPageBreak/>
        <w:t xml:space="preserve">Using L'Oréal Paris as an example, the brand penetrates the market through deep channel investment and premium technology at accessible price points, combining tailored channel and product strategies suited to consumer purchasing habits in different regions. </w:t>
      </w:r>
      <w:r w:rsidRPr="008966C3">
        <w:rPr>
          <w:rFonts w:eastAsia="楷体" w:cs="Calibri"/>
          <w:kern w:val="2"/>
          <w:sz w:val="22"/>
          <w:szCs w:val="22"/>
        </w:rPr>
        <w:t xml:space="preserve">L'Oréal Paris is positioned as "high-quality beauty made accessible through science", targeting women across all age groups (and an increasingly significant male audience), with distinct product lines for each consumer sub-segment. In skincare, the </w:t>
      </w:r>
      <w:proofErr w:type="spellStart"/>
      <w:r w:rsidRPr="008966C3">
        <w:rPr>
          <w:rFonts w:eastAsia="楷体" w:cs="Calibri"/>
          <w:kern w:val="2"/>
          <w:sz w:val="22"/>
          <w:szCs w:val="22"/>
        </w:rPr>
        <w:t>Revitalift</w:t>
      </w:r>
      <w:proofErr w:type="spellEnd"/>
      <w:r w:rsidRPr="008966C3">
        <w:rPr>
          <w:rFonts w:eastAsia="楷体" w:cs="Calibri"/>
          <w:kern w:val="2"/>
          <w:sz w:val="22"/>
          <w:szCs w:val="22"/>
        </w:rPr>
        <w:t xml:space="preserve"> range (featuring hyaluronic acid, retinol, and other active ingredients) serves as the flagship; the Bright Reveal range launched in 2024 was the first to bring the group's proprietary </w:t>
      </w:r>
      <w:proofErr w:type="spellStart"/>
      <w:r w:rsidRPr="008966C3">
        <w:rPr>
          <w:rFonts w:eastAsia="楷体" w:cs="Calibri"/>
          <w:kern w:val="2"/>
          <w:sz w:val="22"/>
          <w:szCs w:val="22"/>
        </w:rPr>
        <w:t>Melasyl</w:t>
      </w:r>
      <w:proofErr w:type="spellEnd"/>
      <w:r w:rsidRPr="008966C3">
        <w:rPr>
          <w:rFonts w:eastAsia="楷体" w:cs="Calibri"/>
          <w:kern w:val="2"/>
          <w:sz w:val="22"/>
          <w:szCs w:val="22"/>
        </w:rPr>
        <w:t xml:space="preserve"> molecule to the mass market. In haircare, </w:t>
      </w:r>
      <w:proofErr w:type="spellStart"/>
      <w:r w:rsidRPr="008966C3">
        <w:rPr>
          <w:rFonts w:eastAsia="楷体" w:cs="Calibri"/>
          <w:kern w:val="2"/>
          <w:sz w:val="22"/>
          <w:szCs w:val="22"/>
        </w:rPr>
        <w:t>Elvive</w:t>
      </w:r>
      <w:proofErr w:type="spellEnd"/>
      <w:r w:rsidRPr="008966C3">
        <w:rPr>
          <w:rFonts w:eastAsia="楷体" w:cs="Calibri"/>
          <w:kern w:val="2"/>
          <w:sz w:val="22"/>
          <w:szCs w:val="22"/>
        </w:rPr>
        <w:t xml:space="preserve"> Glycolic Gloss, with its proprietary glycolic acid technology, has become the number-one haircare brand in Brazil. In China, the division has stepped up investment in online channels through collaborations with leading KOLs; in India, the Glycolic Bright affordable brightening range has been launched; in Brazil, sachet single-use packaging is used to penetrate lower-tier markets; and Garnier Vitamin C Daily UV promotes daily sun protection habits at accessible price points.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8966C3" w:rsidRPr="008966C3" w14:paraId="22C60ABD" w14:textId="77777777" w:rsidTr="00816572">
        <w:tc>
          <w:tcPr>
            <w:tcW w:w="7733" w:type="dxa"/>
            <w:tcBorders>
              <w:bottom w:val="single" w:sz="4" w:space="0" w:color="auto"/>
            </w:tcBorders>
          </w:tcPr>
          <w:p w14:paraId="607FD2C7" w14:textId="50A15B72" w:rsidR="008966C3" w:rsidRP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Figure: L'Oréal Paris Brand Overview</w:t>
            </w:r>
          </w:p>
        </w:tc>
      </w:tr>
      <w:tr w:rsidR="008966C3" w14:paraId="0CFBA781" w14:textId="77777777" w:rsidTr="00816572">
        <w:tc>
          <w:tcPr>
            <w:tcW w:w="7733" w:type="dxa"/>
            <w:tcBorders>
              <w:top w:val="single" w:sz="4" w:space="0" w:color="auto"/>
              <w:bottom w:val="single" w:sz="4" w:space="0" w:color="auto"/>
            </w:tcBorders>
          </w:tcPr>
          <w:tbl>
            <w:tblPr>
              <w:tblW w:w="7622" w:type="dxa"/>
              <w:tblLook w:val="04A0" w:firstRow="1" w:lastRow="0" w:firstColumn="1" w:lastColumn="0" w:noHBand="0" w:noVBand="1"/>
            </w:tblPr>
            <w:tblGrid>
              <w:gridCol w:w="1034"/>
              <w:gridCol w:w="2701"/>
              <w:gridCol w:w="2344"/>
              <w:gridCol w:w="1543"/>
            </w:tblGrid>
            <w:tr w:rsidR="00A70AE1" w:rsidRPr="00A70AE1" w14:paraId="7BF3462C" w14:textId="77777777" w:rsidTr="00A70AE1">
              <w:trPr>
                <w:trHeight w:val="544"/>
              </w:trPr>
              <w:tc>
                <w:tcPr>
                  <w:tcW w:w="809" w:type="dxa"/>
                  <w:tcBorders>
                    <w:top w:val="nil"/>
                    <w:left w:val="nil"/>
                    <w:bottom w:val="nil"/>
                    <w:right w:val="nil"/>
                  </w:tcBorders>
                  <w:shd w:val="clear" w:color="000000" w:fill="002060"/>
                  <w:vAlign w:val="center"/>
                  <w:hideMark/>
                </w:tcPr>
                <w:p w14:paraId="2413D650"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Category</w:t>
                  </w:r>
                </w:p>
              </w:tc>
              <w:tc>
                <w:tcPr>
                  <w:tcW w:w="2813" w:type="dxa"/>
                  <w:tcBorders>
                    <w:top w:val="nil"/>
                    <w:left w:val="nil"/>
                    <w:bottom w:val="nil"/>
                    <w:right w:val="nil"/>
                  </w:tcBorders>
                  <w:shd w:val="clear" w:color="000000" w:fill="002060"/>
                  <w:vAlign w:val="center"/>
                  <w:hideMark/>
                </w:tcPr>
                <w:p w14:paraId="281180F9"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Hero Products</w:t>
                  </w:r>
                </w:p>
              </w:tc>
              <w:tc>
                <w:tcPr>
                  <w:tcW w:w="2421" w:type="dxa"/>
                  <w:tcBorders>
                    <w:top w:val="nil"/>
                    <w:left w:val="nil"/>
                    <w:bottom w:val="nil"/>
                    <w:right w:val="nil"/>
                  </w:tcBorders>
                  <w:shd w:val="clear" w:color="000000" w:fill="002060"/>
                  <w:vAlign w:val="center"/>
                  <w:hideMark/>
                </w:tcPr>
                <w:p w14:paraId="428D95FE"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2024 Innovation Highlights</w:t>
                  </w:r>
                </w:p>
              </w:tc>
              <w:tc>
                <w:tcPr>
                  <w:tcW w:w="1579" w:type="dxa"/>
                  <w:tcBorders>
                    <w:top w:val="nil"/>
                    <w:left w:val="nil"/>
                    <w:bottom w:val="nil"/>
                    <w:right w:val="nil"/>
                  </w:tcBorders>
                  <w:shd w:val="clear" w:color="000000" w:fill="002060"/>
                  <w:vAlign w:val="center"/>
                  <w:hideMark/>
                </w:tcPr>
                <w:p w14:paraId="4CBFFA54"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Channel Mix</w:t>
                  </w:r>
                </w:p>
              </w:tc>
            </w:tr>
            <w:tr w:rsidR="00A70AE1" w:rsidRPr="00A70AE1" w14:paraId="66D0E74B" w14:textId="77777777" w:rsidTr="00A70AE1">
              <w:trPr>
                <w:trHeight w:val="484"/>
              </w:trPr>
              <w:tc>
                <w:tcPr>
                  <w:tcW w:w="809" w:type="dxa"/>
                  <w:tcBorders>
                    <w:top w:val="nil"/>
                    <w:left w:val="nil"/>
                    <w:bottom w:val="nil"/>
                    <w:right w:val="nil"/>
                  </w:tcBorders>
                  <w:vAlign w:val="center"/>
                  <w:hideMark/>
                </w:tcPr>
                <w:p w14:paraId="3ED80823"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Skincare</w:t>
                  </w:r>
                </w:p>
              </w:tc>
              <w:tc>
                <w:tcPr>
                  <w:tcW w:w="2813" w:type="dxa"/>
                  <w:tcBorders>
                    <w:top w:val="nil"/>
                    <w:left w:val="nil"/>
                    <w:bottom w:val="nil"/>
                    <w:right w:val="nil"/>
                  </w:tcBorders>
                  <w:vAlign w:val="center"/>
                  <w:hideMark/>
                </w:tcPr>
                <w:p w14:paraId="00BCEDD3" w14:textId="77777777" w:rsidR="00A70AE1" w:rsidRPr="00085CAF" w:rsidRDefault="00A70AE1" w:rsidP="00A70AE1">
                  <w:pPr>
                    <w:jc w:val="center"/>
                    <w:rPr>
                      <w:rFonts w:eastAsia="楷体" w:cs="Calibri"/>
                      <w:snapToGrid/>
                      <w:sz w:val="18"/>
                      <w:szCs w:val="18"/>
                    </w:rPr>
                  </w:pPr>
                  <w:proofErr w:type="spellStart"/>
                  <w:r w:rsidRPr="00085CAF">
                    <w:rPr>
                      <w:rFonts w:eastAsia="楷体" w:cs="Calibri"/>
                      <w:snapToGrid/>
                      <w:sz w:val="18"/>
                      <w:szCs w:val="18"/>
                    </w:rPr>
                    <w:t>Revitalift</w:t>
                  </w:r>
                  <w:proofErr w:type="spellEnd"/>
                  <w:r w:rsidRPr="00085CAF">
                    <w:rPr>
                      <w:rFonts w:eastAsia="楷体" w:cs="Calibri"/>
                      <w:snapToGrid/>
                      <w:sz w:val="18"/>
                      <w:szCs w:val="18"/>
                    </w:rPr>
                    <w:t xml:space="preserve"> HA, Glycolic Bright Serum, UV Defender</w:t>
                  </w:r>
                </w:p>
              </w:tc>
              <w:tc>
                <w:tcPr>
                  <w:tcW w:w="2421" w:type="dxa"/>
                  <w:tcBorders>
                    <w:top w:val="nil"/>
                    <w:left w:val="nil"/>
                    <w:bottom w:val="nil"/>
                    <w:right w:val="nil"/>
                  </w:tcBorders>
                  <w:vAlign w:val="center"/>
                  <w:hideMark/>
                </w:tcPr>
                <w:p w14:paraId="6AFC7996"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Glycolic Bright Range (Melanin-targeting molecule)</w:t>
                  </w:r>
                </w:p>
              </w:tc>
              <w:tc>
                <w:tcPr>
                  <w:tcW w:w="1579" w:type="dxa"/>
                  <w:tcBorders>
                    <w:top w:val="nil"/>
                    <w:left w:val="nil"/>
                    <w:bottom w:val="nil"/>
                    <w:right w:val="nil"/>
                  </w:tcBorders>
                  <w:vAlign w:val="center"/>
                  <w:hideMark/>
                </w:tcPr>
                <w:p w14:paraId="72D169B3"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Mass Retail + E-Commerce</w:t>
                  </w:r>
                </w:p>
              </w:tc>
            </w:tr>
            <w:tr w:rsidR="00A70AE1" w:rsidRPr="00A70AE1" w14:paraId="5290DE4A" w14:textId="77777777" w:rsidTr="00A70AE1">
              <w:trPr>
                <w:trHeight w:val="484"/>
              </w:trPr>
              <w:tc>
                <w:tcPr>
                  <w:tcW w:w="809" w:type="dxa"/>
                  <w:tcBorders>
                    <w:top w:val="nil"/>
                    <w:left w:val="nil"/>
                    <w:bottom w:val="nil"/>
                    <w:right w:val="nil"/>
                  </w:tcBorders>
                  <w:shd w:val="clear" w:color="000000" w:fill="F2F2F2"/>
                  <w:vAlign w:val="center"/>
                  <w:hideMark/>
                </w:tcPr>
                <w:p w14:paraId="77461E68"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Makeup</w:t>
                  </w:r>
                </w:p>
              </w:tc>
              <w:tc>
                <w:tcPr>
                  <w:tcW w:w="2813" w:type="dxa"/>
                  <w:tcBorders>
                    <w:top w:val="nil"/>
                    <w:left w:val="nil"/>
                    <w:bottom w:val="nil"/>
                    <w:right w:val="nil"/>
                  </w:tcBorders>
                  <w:shd w:val="clear" w:color="000000" w:fill="F2F2F2"/>
                  <w:vAlign w:val="center"/>
                  <w:hideMark/>
                </w:tcPr>
                <w:p w14:paraId="580966C7"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Panorama Mascara, Infallible Series, Color Riche</w:t>
                  </w:r>
                </w:p>
              </w:tc>
              <w:tc>
                <w:tcPr>
                  <w:tcW w:w="2421" w:type="dxa"/>
                  <w:tcBorders>
                    <w:top w:val="nil"/>
                    <w:left w:val="nil"/>
                    <w:bottom w:val="nil"/>
                    <w:right w:val="nil"/>
                  </w:tcBorders>
                  <w:shd w:val="clear" w:color="000000" w:fill="F2F2F2"/>
                  <w:vAlign w:val="center"/>
                  <w:hideMark/>
                </w:tcPr>
                <w:p w14:paraId="7BB8C8D1"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Panorama Mascara: #1 Global New Product Launch by Sales</w:t>
                  </w:r>
                </w:p>
              </w:tc>
              <w:tc>
                <w:tcPr>
                  <w:tcW w:w="1579" w:type="dxa"/>
                  <w:tcBorders>
                    <w:top w:val="nil"/>
                    <w:left w:val="nil"/>
                    <w:bottom w:val="nil"/>
                    <w:right w:val="nil"/>
                  </w:tcBorders>
                  <w:shd w:val="clear" w:color="000000" w:fill="F2F2F2"/>
                  <w:vAlign w:val="center"/>
                  <w:hideMark/>
                </w:tcPr>
                <w:p w14:paraId="7AFCE2AC"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Mass Retail + E-Commerce</w:t>
                  </w:r>
                </w:p>
              </w:tc>
            </w:tr>
            <w:tr w:rsidR="00A70AE1" w:rsidRPr="00A70AE1" w14:paraId="13F5B24F" w14:textId="77777777" w:rsidTr="00A70AE1">
              <w:trPr>
                <w:trHeight w:val="484"/>
              </w:trPr>
              <w:tc>
                <w:tcPr>
                  <w:tcW w:w="809" w:type="dxa"/>
                  <w:tcBorders>
                    <w:top w:val="nil"/>
                    <w:left w:val="nil"/>
                    <w:bottom w:val="nil"/>
                    <w:right w:val="nil"/>
                  </w:tcBorders>
                  <w:vAlign w:val="center"/>
                  <w:hideMark/>
                </w:tcPr>
                <w:p w14:paraId="1AAC95D3"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Haircare</w:t>
                  </w:r>
                </w:p>
              </w:tc>
              <w:tc>
                <w:tcPr>
                  <w:tcW w:w="2813" w:type="dxa"/>
                  <w:tcBorders>
                    <w:top w:val="nil"/>
                    <w:left w:val="nil"/>
                    <w:bottom w:val="nil"/>
                    <w:right w:val="nil"/>
                  </w:tcBorders>
                  <w:vAlign w:val="center"/>
                  <w:hideMark/>
                </w:tcPr>
                <w:p w14:paraId="69FC8A6E" w14:textId="77777777" w:rsidR="00A70AE1" w:rsidRPr="00085CAF" w:rsidRDefault="00A70AE1" w:rsidP="00A70AE1">
                  <w:pPr>
                    <w:jc w:val="center"/>
                    <w:rPr>
                      <w:rFonts w:eastAsia="楷体" w:cs="Calibri"/>
                      <w:snapToGrid/>
                      <w:sz w:val="18"/>
                      <w:szCs w:val="18"/>
                    </w:rPr>
                  </w:pPr>
                  <w:proofErr w:type="spellStart"/>
                  <w:r w:rsidRPr="00085CAF">
                    <w:rPr>
                      <w:rFonts w:eastAsia="楷体" w:cs="Calibri"/>
                      <w:snapToGrid/>
                      <w:sz w:val="18"/>
                      <w:szCs w:val="18"/>
                    </w:rPr>
                    <w:t>Elvive</w:t>
                  </w:r>
                  <w:proofErr w:type="spellEnd"/>
                  <w:r w:rsidRPr="00085CAF">
                    <w:rPr>
                      <w:rFonts w:eastAsia="楷体" w:cs="Calibri"/>
                      <w:snapToGrid/>
                      <w:sz w:val="18"/>
                      <w:szCs w:val="18"/>
                    </w:rPr>
                    <w:t xml:space="preserve"> Glycolic Bright, Hyaluronic Acid Series, Dream Sleek</w:t>
                  </w:r>
                </w:p>
              </w:tc>
              <w:tc>
                <w:tcPr>
                  <w:tcW w:w="2421" w:type="dxa"/>
                  <w:tcBorders>
                    <w:top w:val="nil"/>
                    <w:left w:val="nil"/>
                    <w:bottom w:val="nil"/>
                    <w:right w:val="nil"/>
                  </w:tcBorders>
                  <w:vAlign w:val="center"/>
                  <w:hideMark/>
                </w:tcPr>
                <w:p w14:paraId="18578271" w14:textId="77777777" w:rsidR="00A70AE1" w:rsidRPr="00085CAF" w:rsidRDefault="00A70AE1" w:rsidP="00A70AE1">
                  <w:pPr>
                    <w:jc w:val="center"/>
                    <w:rPr>
                      <w:rFonts w:eastAsia="楷体" w:cs="Calibri"/>
                      <w:snapToGrid/>
                      <w:sz w:val="18"/>
                      <w:szCs w:val="18"/>
                    </w:rPr>
                  </w:pPr>
                  <w:proofErr w:type="spellStart"/>
                  <w:r w:rsidRPr="00085CAF">
                    <w:rPr>
                      <w:rFonts w:eastAsia="楷体" w:cs="Calibri"/>
                      <w:snapToGrid/>
                      <w:sz w:val="18"/>
                      <w:szCs w:val="18"/>
                    </w:rPr>
                    <w:t>Elvive</w:t>
                  </w:r>
                  <w:proofErr w:type="spellEnd"/>
                  <w:r w:rsidRPr="00085CAF">
                    <w:rPr>
                      <w:rFonts w:eastAsia="楷体" w:cs="Calibri"/>
                      <w:snapToGrid/>
                      <w:sz w:val="18"/>
                      <w:szCs w:val="18"/>
                    </w:rPr>
                    <w:t>: #1 Haircare Brand by Sales in Brazil</w:t>
                  </w:r>
                </w:p>
              </w:tc>
              <w:tc>
                <w:tcPr>
                  <w:tcW w:w="1579" w:type="dxa"/>
                  <w:tcBorders>
                    <w:top w:val="nil"/>
                    <w:left w:val="nil"/>
                    <w:bottom w:val="nil"/>
                    <w:right w:val="nil"/>
                  </w:tcBorders>
                  <w:vAlign w:val="center"/>
                  <w:hideMark/>
                </w:tcPr>
                <w:p w14:paraId="7033F2C7"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Mass Retail + E-Commerce</w:t>
                  </w:r>
                </w:p>
              </w:tc>
            </w:tr>
            <w:tr w:rsidR="00A70AE1" w:rsidRPr="00A70AE1" w14:paraId="3BEAE68B" w14:textId="77777777" w:rsidTr="00A70AE1">
              <w:trPr>
                <w:trHeight w:val="484"/>
              </w:trPr>
              <w:tc>
                <w:tcPr>
                  <w:tcW w:w="809" w:type="dxa"/>
                  <w:tcBorders>
                    <w:top w:val="nil"/>
                    <w:left w:val="nil"/>
                    <w:bottom w:val="nil"/>
                    <w:right w:val="nil"/>
                  </w:tcBorders>
                  <w:shd w:val="clear" w:color="000000" w:fill="F2F2F2"/>
                  <w:vAlign w:val="center"/>
                  <w:hideMark/>
                </w:tcPr>
                <w:p w14:paraId="53C63779"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Hair Color</w:t>
                  </w:r>
                </w:p>
              </w:tc>
              <w:tc>
                <w:tcPr>
                  <w:tcW w:w="2813" w:type="dxa"/>
                  <w:tcBorders>
                    <w:top w:val="nil"/>
                    <w:left w:val="nil"/>
                    <w:bottom w:val="nil"/>
                    <w:right w:val="nil"/>
                  </w:tcBorders>
                  <w:shd w:val="clear" w:color="000000" w:fill="F2F2F2"/>
                  <w:vAlign w:val="center"/>
                  <w:hideMark/>
                </w:tcPr>
                <w:p w14:paraId="764AEE53"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 xml:space="preserve">Excellence </w:t>
                  </w:r>
                  <w:proofErr w:type="spellStart"/>
                  <w:r w:rsidRPr="00085CAF">
                    <w:rPr>
                      <w:rFonts w:eastAsia="楷体" w:cs="Calibri"/>
                      <w:snapToGrid/>
                      <w:sz w:val="18"/>
                      <w:szCs w:val="18"/>
                    </w:rPr>
                    <w:t>Créme</w:t>
                  </w:r>
                  <w:proofErr w:type="spellEnd"/>
                  <w:r w:rsidRPr="00085CAF">
                    <w:rPr>
                      <w:rFonts w:eastAsia="楷体" w:cs="Calibri"/>
                      <w:snapToGrid/>
                      <w:sz w:val="18"/>
                      <w:szCs w:val="18"/>
                    </w:rPr>
                    <w:t xml:space="preserve">, </w:t>
                  </w:r>
                  <w:proofErr w:type="spellStart"/>
                  <w:r w:rsidRPr="00085CAF">
                    <w:rPr>
                      <w:rFonts w:eastAsia="楷体" w:cs="Calibri"/>
                      <w:snapToGrid/>
                      <w:sz w:val="18"/>
                      <w:szCs w:val="18"/>
                    </w:rPr>
                    <w:t>Préférence</w:t>
                  </w:r>
                  <w:proofErr w:type="spellEnd"/>
                  <w:r w:rsidRPr="00085CAF">
                    <w:rPr>
                      <w:rFonts w:eastAsia="楷体" w:cs="Calibri"/>
                      <w:snapToGrid/>
                      <w:sz w:val="18"/>
                      <w:szCs w:val="18"/>
                    </w:rPr>
                    <w:t xml:space="preserve">, </w:t>
                  </w:r>
                  <w:proofErr w:type="spellStart"/>
                  <w:r w:rsidRPr="00085CAF">
                    <w:rPr>
                      <w:rFonts w:eastAsia="楷体" w:cs="Calibri"/>
                      <w:snapToGrid/>
                      <w:sz w:val="18"/>
                      <w:szCs w:val="18"/>
                    </w:rPr>
                    <w:t>Colorsonic</w:t>
                  </w:r>
                  <w:proofErr w:type="spellEnd"/>
                </w:p>
              </w:tc>
              <w:tc>
                <w:tcPr>
                  <w:tcW w:w="2421" w:type="dxa"/>
                  <w:tcBorders>
                    <w:top w:val="nil"/>
                    <w:left w:val="nil"/>
                    <w:bottom w:val="nil"/>
                    <w:right w:val="nil"/>
                  </w:tcBorders>
                  <w:shd w:val="clear" w:color="000000" w:fill="F2F2F2"/>
                  <w:vAlign w:val="center"/>
                  <w:hideMark/>
                </w:tcPr>
                <w:p w14:paraId="33A5F065" w14:textId="77777777" w:rsidR="00A70AE1" w:rsidRPr="00085CAF" w:rsidRDefault="00A70AE1" w:rsidP="00A70AE1">
                  <w:pPr>
                    <w:jc w:val="center"/>
                    <w:rPr>
                      <w:rFonts w:eastAsia="楷体" w:cs="Calibri"/>
                      <w:snapToGrid/>
                      <w:sz w:val="18"/>
                      <w:szCs w:val="18"/>
                    </w:rPr>
                  </w:pPr>
                  <w:proofErr w:type="spellStart"/>
                  <w:r w:rsidRPr="00085CAF">
                    <w:rPr>
                      <w:rFonts w:eastAsia="楷体" w:cs="Calibri"/>
                      <w:snapToGrid/>
                      <w:sz w:val="18"/>
                      <w:szCs w:val="18"/>
                    </w:rPr>
                    <w:t>Colorsonic</w:t>
                  </w:r>
                  <w:proofErr w:type="spellEnd"/>
                  <w:r w:rsidRPr="00085CAF">
                    <w:rPr>
                      <w:rFonts w:eastAsia="楷体" w:cs="Calibri"/>
                      <w:snapToGrid/>
                      <w:sz w:val="18"/>
                      <w:szCs w:val="18"/>
                    </w:rPr>
                    <w:t>: AI-Powered At-Home Hair Color Device</w:t>
                  </w:r>
                </w:p>
              </w:tc>
              <w:tc>
                <w:tcPr>
                  <w:tcW w:w="1579" w:type="dxa"/>
                  <w:tcBorders>
                    <w:top w:val="nil"/>
                    <w:left w:val="nil"/>
                    <w:bottom w:val="nil"/>
                    <w:right w:val="nil"/>
                  </w:tcBorders>
                  <w:shd w:val="clear" w:color="000000" w:fill="F2F2F2"/>
                  <w:vAlign w:val="center"/>
                  <w:hideMark/>
                </w:tcPr>
                <w:p w14:paraId="0004317B"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Mass Retail + DTC</w:t>
                  </w:r>
                </w:p>
              </w:tc>
            </w:tr>
            <w:tr w:rsidR="00A70AE1" w:rsidRPr="00A70AE1" w14:paraId="3091613C" w14:textId="77777777" w:rsidTr="00A70AE1">
              <w:trPr>
                <w:trHeight w:val="484"/>
              </w:trPr>
              <w:tc>
                <w:tcPr>
                  <w:tcW w:w="809" w:type="dxa"/>
                  <w:tcBorders>
                    <w:top w:val="nil"/>
                    <w:left w:val="nil"/>
                    <w:bottom w:val="nil"/>
                    <w:right w:val="nil"/>
                  </w:tcBorders>
                  <w:vAlign w:val="center"/>
                  <w:hideMark/>
                </w:tcPr>
                <w:p w14:paraId="3D9B3871"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Men's</w:t>
                  </w:r>
                </w:p>
              </w:tc>
              <w:tc>
                <w:tcPr>
                  <w:tcW w:w="2813" w:type="dxa"/>
                  <w:tcBorders>
                    <w:top w:val="nil"/>
                    <w:left w:val="nil"/>
                    <w:bottom w:val="nil"/>
                    <w:right w:val="nil"/>
                  </w:tcBorders>
                  <w:vAlign w:val="center"/>
                  <w:hideMark/>
                </w:tcPr>
                <w:p w14:paraId="06D11581"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Men Expert</w:t>
                  </w:r>
                </w:p>
              </w:tc>
              <w:tc>
                <w:tcPr>
                  <w:tcW w:w="2421" w:type="dxa"/>
                  <w:tcBorders>
                    <w:top w:val="nil"/>
                    <w:left w:val="nil"/>
                    <w:bottom w:val="nil"/>
                    <w:right w:val="nil"/>
                  </w:tcBorders>
                  <w:vAlign w:val="center"/>
                  <w:hideMark/>
                </w:tcPr>
                <w:p w14:paraId="1E32B029"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Continued Expansion of Men's Grooming Portfolio</w:t>
                  </w:r>
                </w:p>
              </w:tc>
              <w:tc>
                <w:tcPr>
                  <w:tcW w:w="1579" w:type="dxa"/>
                  <w:tcBorders>
                    <w:top w:val="nil"/>
                    <w:left w:val="nil"/>
                    <w:bottom w:val="nil"/>
                    <w:right w:val="nil"/>
                  </w:tcBorders>
                  <w:vAlign w:val="center"/>
                  <w:hideMark/>
                </w:tcPr>
                <w:p w14:paraId="199CD483" w14:textId="77777777" w:rsidR="00A70AE1" w:rsidRPr="00085CAF" w:rsidRDefault="00A70AE1" w:rsidP="00A70AE1">
                  <w:pPr>
                    <w:jc w:val="center"/>
                    <w:rPr>
                      <w:rFonts w:eastAsia="楷体" w:cs="Calibri"/>
                      <w:snapToGrid/>
                      <w:sz w:val="18"/>
                      <w:szCs w:val="18"/>
                    </w:rPr>
                  </w:pPr>
                  <w:r w:rsidRPr="00085CAF">
                    <w:rPr>
                      <w:rFonts w:eastAsia="楷体" w:cs="Calibri"/>
                      <w:snapToGrid/>
                      <w:sz w:val="18"/>
                      <w:szCs w:val="18"/>
                    </w:rPr>
                    <w:t>Mass Retail + E-Commerce</w:t>
                  </w:r>
                </w:p>
              </w:tc>
            </w:tr>
          </w:tbl>
          <w:p w14:paraId="2296C476" w14:textId="77777777" w:rsidR="008966C3" w:rsidRDefault="008966C3" w:rsidP="00816572">
            <w:pPr>
              <w:rPr>
                <w:rFonts w:asciiTheme="minorHAnsi" w:eastAsia="楷体" w:hAnsiTheme="minorHAnsi" w:cstheme="minorHAnsi" w:hint="eastAsia"/>
                <w:kern w:val="2"/>
                <w:sz w:val="22"/>
                <w:szCs w:val="22"/>
              </w:rPr>
            </w:pPr>
          </w:p>
        </w:tc>
      </w:tr>
      <w:tr w:rsidR="008966C3" w14:paraId="4E0148EE" w14:textId="77777777" w:rsidTr="00816572">
        <w:tc>
          <w:tcPr>
            <w:tcW w:w="7733" w:type="dxa"/>
            <w:tcBorders>
              <w:top w:val="single" w:sz="4" w:space="0" w:color="auto"/>
            </w:tcBorders>
          </w:tcPr>
          <w:p w14:paraId="2D55C207" w14:textId="607E80F4" w:rsidR="008966C3" w:rsidRDefault="008966C3"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w:t>
            </w:r>
            <w:r>
              <w:rPr>
                <w:rFonts w:eastAsia="楷体" w:cs="Calibri" w:hint="eastAsia"/>
                <w:kern w:val="2"/>
                <w:sz w:val="22"/>
                <w:szCs w:val="22"/>
              </w:rPr>
              <w:t>r</w:t>
            </w:r>
            <w:r w:rsidRPr="008966C3">
              <w:rPr>
                <w:rFonts w:eastAsia="楷体" w:cs="Calibri"/>
                <w:kern w:val="2"/>
                <w:sz w:val="22"/>
                <w:szCs w:val="22"/>
              </w:rPr>
              <w:t>ts</w:t>
            </w:r>
            <w:r>
              <w:rPr>
                <w:rFonts w:eastAsia="楷体" w:cs="Calibri" w:hint="eastAsia"/>
                <w:kern w:val="2"/>
                <w:sz w:val="22"/>
                <w:szCs w:val="22"/>
              </w:rPr>
              <w:t>, HFI</w:t>
            </w:r>
          </w:p>
        </w:tc>
      </w:tr>
    </w:tbl>
    <w:p w14:paraId="117D05C3" w14:textId="77777777" w:rsidR="008966C3" w:rsidRDefault="008966C3">
      <w:pPr>
        <w:jc w:val="both"/>
        <w:rPr>
          <w:rFonts w:eastAsia="楷体" w:cs="Calibri"/>
          <w:kern w:val="2"/>
          <w:sz w:val="22"/>
          <w:szCs w:val="22"/>
        </w:rPr>
      </w:pPr>
    </w:p>
    <w:p w14:paraId="4E3B200B" w14:textId="4B5ADC80" w:rsidR="005C3356" w:rsidRPr="003465D7" w:rsidRDefault="005C3356" w:rsidP="005C3356">
      <w:pPr>
        <w:pStyle w:val="211"/>
        <w:ind w:right="42"/>
        <w:jc w:val="both"/>
        <w:rPr>
          <w:rFonts w:ascii="Calibri" w:eastAsia="楷体" w:hAnsi="Calibri" w:cs="Calibri"/>
          <w:color w:val="23558C"/>
          <w:sz w:val="24"/>
        </w:rPr>
      </w:pPr>
      <w:bookmarkStart w:id="21" w:name="_Toc224295883"/>
      <w:r w:rsidRPr="008966C3">
        <w:rPr>
          <w:rFonts w:ascii="Calibri" w:eastAsia="楷体" w:hAnsi="Calibri" w:cs="Calibri" w:hint="eastAsia"/>
          <w:color w:val="23558C"/>
          <w:sz w:val="24"/>
        </w:rPr>
        <w:t>3.</w:t>
      </w:r>
      <w:r>
        <w:rPr>
          <w:rFonts w:ascii="Calibri" w:eastAsia="楷体" w:hAnsi="Calibri" w:cs="Calibri" w:hint="eastAsia"/>
          <w:color w:val="23558C"/>
          <w:sz w:val="24"/>
        </w:rPr>
        <w:t>2</w:t>
      </w:r>
      <w:r w:rsidRPr="008966C3">
        <w:rPr>
          <w:rFonts w:ascii="Calibri" w:eastAsia="楷体" w:hAnsi="Calibri" w:cs="Calibri" w:hint="eastAsia"/>
          <w:color w:val="23558C"/>
          <w:sz w:val="24"/>
        </w:rPr>
        <w:t xml:space="preserve"> </w:t>
      </w:r>
      <w:r w:rsidRPr="005C3356">
        <w:rPr>
          <w:rFonts w:ascii="Calibri" w:eastAsia="楷体" w:hAnsi="Calibri" w:cs="Calibri"/>
          <w:color w:val="23558C"/>
          <w:sz w:val="24"/>
        </w:rPr>
        <w:t>L'Oréal Luxe</w:t>
      </w:r>
      <w:r w:rsidR="00085CAF">
        <w:rPr>
          <w:rFonts w:ascii="Calibri" w:eastAsia="楷体" w:hAnsi="Calibri" w:cs="Calibri" w:hint="eastAsia"/>
          <w:color w:val="23558C"/>
          <w:sz w:val="24"/>
        </w:rPr>
        <w:t xml:space="preserve"> Division:</w:t>
      </w:r>
      <w:r w:rsidR="00140EC4">
        <w:rPr>
          <w:rFonts w:ascii="Calibri" w:eastAsia="楷体" w:hAnsi="Calibri" w:cs="Calibri" w:hint="eastAsia"/>
          <w:color w:val="23558C"/>
          <w:sz w:val="24"/>
        </w:rPr>
        <w:t xml:space="preserve"> </w:t>
      </w:r>
      <w:r w:rsidR="003465D7" w:rsidRPr="003465D7">
        <w:rPr>
          <w:rFonts w:ascii="Calibri" w:eastAsia="楷体" w:hAnsi="Calibri" w:cs="Calibri"/>
          <w:color w:val="23558C"/>
          <w:sz w:val="24"/>
        </w:rPr>
        <w:t>Strong Brand-Building Capabilities Establish Brand Premium</w:t>
      </w:r>
      <w:bookmarkEnd w:id="21"/>
    </w:p>
    <w:p w14:paraId="23243217" w14:textId="4132FE91" w:rsidR="008966C3" w:rsidRPr="005C3356" w:rsidRDefault="005C3356">
      <w:pPr>
        <w:jc w:val="both"/>
        <w:rPr>
          <w:rFonts w:eastAsia="楷体" w:cs="Calibri"/>
          <w:kern w:val="2"/>
          <w:sz w:val="22"/>
          <w:szCs w:val="22"/>
        </w:rPr>
      </w:pPr>
      <w:r w:rsidRPr="00D7310D">
        <w:rPr>
          <w:rFonts w:eastAsia="楷体" w:cs="Calibri"/>
          <w:b/>
          <w:bCs/>
          <w:kern w:val="2"/>
          <w:sz w:val="22"/>
          <w:szCs w:val="22"/>
        </w:rPr>
        <w:t>The global luxury beauty market reached approximately USD 160 billion in 2024, maintaining growth over the past four years.</w:t>
      </w:r>
      <w:r w:rsidRPr="005C3356">
        <w:rPr>
          <w:rFonts w:eastAsia="楷体" w:cs="Calibri"/>
          <w:kern w:val="2"/>
          <w:sz w:val="22"/>
          <w:szCs w:val="22"/>
        </w:rPr>
        <w:t xml:space="preserve"> Core consumers in this market place high value on brand narrative, brand heritage, and experience, with brand loyalty significantly higher than in the mass market and relatively lower price elasticity. The </w:t>
      </w:r>
      <w:r w:rsidR="003465D7" w:rsidRPr="005C3356">
        <w:rPr>
          <w:rFonts w:eastAsia="楷体" w:cs="Calibri"/>
          <w:kern w:val="2"/>
          <w:sz w:val="22"/>
          <w:szCs w:val="22"/>
        </w:rPr>
        <w:t>premiumization</w:t>
      </w:r>
      <w:r w:rsidRPr="005C3356">
        <w:rPr>
          <w:rFonts w:eastAsia="楷体" w:cs="Calibri"/>
          <w:kern w:val="2"/>
          <w:sz w:val="22"/>
          <w:szCs w:val="22"/>
        </w:rPr>
        <w:t xml:space="preserve"> trend has been the most important structural variable in the global beauty market over the past five years, particularly pronounced in the fragrances category.</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5C3356" w:rsidRPr="008966C3" w14:paraId="27482CF9" w14:textId="77777777" w:rsidTr="00816572">
        <w:tc>
          <w:tcPr>
            <w:tcW w:w="7733" w:type="dxa"/>
            <w:tcBorders>
              <w:bottom w:val="single" w:sz="4" w:space="0" w:color="auto"/>
            </w:tcBorders>
          </w:tcPr>
          <w:p w14:paraId="6934BD1F" w14:textId="37DABEDD"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Figure: </w:t>
            </w:r>
            <w:r w:rsidRPr="005C3356">
              <w:rPr>
                <w:rFonts w:eastAsia="楷体" w:cs="Calibri"/>
                <w:b/>
                <w:bCs/>
                <w:kern w:val="2"/>
                <w:sz w:val="22"/>
                <w:szCs w:val="22"/>
              </w:rPr>
              <w:t>Global Luxury Beauty Market Size 2019–2024 (USD million)</w:t>
            </w:r>
          </w:p>
        </w:tc>
      </w:tr>
      <w:tr w:rsidR="005C3356" w14:paraId="605E1E2E" w14:textId="77777777" w:rsidTr="00816572">
        <w:tc>
          <w:tcPr>
            <w:tcW w:w="7733" w:type="dxa"/>
            <w:tcBorders>
              <w:top w:val="single" w:sz="4" w:space="0" w:color="auto"/>
              <w:bottom w:val="single" w:sz="4" w:space="0" w:color="auto"/>
            </w:tcBorders>
          </w:tcPr>
          <w:p w14:paraId="16F216B7" w14:textId="1E321562" w:rsidR="005C3356" w:rsidRDefault="00A70AE1" w:rsidP="00816572">
            <w:pPr>
              <w:rPr>
                <w:rFonts w:asciiTheme="minorHAnsi" w:eastAsia="楷体" w:hAnsiTheme="minorHAnsi" w:cstheme="minorHAnsi" w:hint="eastAsia"/>
                <w:kern w:val="2"/>
                <w:sz w:val="22"/>
                <w:szCs w:val="22"/>
              </w:rPr>
            </w:pPr>
            <w:r>
              <w:rPr>
                <w:noProof/>
                <w:snapToGrid/>
              </w:rPr>
              <w:lastRenderedPageBreak/>
              <w:drawing>
                <wp:inline distT="0" distB="0" distL="0" distR="0" wp14:anchorId="026B02A8" wp14:editId="7BBCE753">
                  <wp:extent cx="4572000" cy="2367926"/>
                  <wp:effectExtent l="0" t="0" r="0" b="0"/>
                  <wp:docPr id="1445823874" name="图表 1">
                    <a:extLst xmlns:a="http://schemas.openxmlformats.org/drawingml/2006/main">
                      <a:ext uri="{FF2B5EF4-FFF2-40B4-BE49-F238E27FC236}">
                        <a16:creationId xmlns:a16="http://schemas.microsoft.com/office/drawing/2014/main" id="{B6D697CF-D58E-8AC8-28F8-FE16532E8B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5C3356" w14:paraId="697630E8" w14:textId="77777777" w:rsidTr="00816572">
        <w:tc>
          <w:tcPr>
            <w:tcW w:w="7733" w:type="dxa"/>
            <w:tcBorders>
              <w:top w:val="single" w:sz="4" w:space="0" w:color="auto"/>
            </w:tcBorders>
          </w:tcPr>
          <w:p w14:paraId="15B8B14A" w14:textId="77777777" w:rsidR="005C3356"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w:t>
            </w:r>
            <w:r>
              <w:rPr>
                <w:rFonts w:eastAsia="楷体" w:cs="Calibri" w:hint="eastAsia"/>
                <w:kern w:val="2"/>
                <w:sz w:val="22"/>
                <w:szCs w:val="22"/>
              </w:rPr>
              <w:t>r</w:t>
            </w:r>
            <w:r w:rsidRPr="008966C3">
              <w:rPr>
                <w:rFonts w:eastAsia="楷体" w:cs="Calibri"/>
                <w:kern w:val="2"/>
                <w:sz w:val="22"/>
                <w:szCs w:val="22"/>
              </w:rPr>
              <w:t>ts</w:t>
            </w:r>
            <w:r>
              <w:rPr>
                <w:rFonts w:eastAsia="楷体" w:cs="Calibri" w:hint="eastAsia"/>
                <w:kern w:val="2"/>
                <w:sz w:val="22"/>
                <w:szCs w:val="22"/>
              </w:rPr>
              <w:t>, HFI</w:t>
            </w:r>
          </w:p>
        </w:tc>
      </w:tr>
    </w:tbl>
    <w:p w14:paraId="62BC64BB" w14:textId="2EBF47CA" w:rsidR="008966C3" w:rsidRPr="005C3356" w:rsidRDefault="008966C3">
      <w:pPr>
        <w:jc w:val="both"/>
        <w:rPr>
          <w:rFonts w:eastAsia="楷体" w:cs="Calibri"/>
          <w:kern w:val="2"/>
          <w:sz w:val="22"/>
          <w:szCs w:val="22"/>
        </w:rPr>
      </w:pPr>
    </w:p>
    <w:p w14:paraId="43836EEF" w14:textId="32167552" w:rsidR="008966C3" w:rsidRDefault="005C3356">
      <w:pPr>
        <w:jc w:val="both"/>
        <w:rPr>
          <w:rFonts w:eastAsia="楷体" w:cs="Calibri"/>
          <w:kern w:val="2"/>
          <w:sz w:val="22"/>
          <w:szCs w:val="22"/>
        </w:rPr>
      </w:pPr>
      <w:r w:rsidRPr="00D7310D">
        <w:rPr>
          <w:rFonts w:eastAsia="楷体" w:cs="Calibri"/>
          <w:b/>
          <w:bCs/>
          <w:kern w:val="2"/>
          <w:sz w:val="22"/>
          <w:szCs w:val="22"/>
        </w:rPr>
        <w:t xml:space="preserve">L'Oréal Luxe manages the most </w:t>
      </w:r>
      <w:r w:rsidR="003465D7" w:rsidRPr="00D7310D">
        <w:rPr>
          <w:rFonts w:eastAsia="楷体" w:cs="Calibri"/>
          <w:b/>
          <w:bCs/>
          <w:kern w:val="2"/>
          <w:sz w:val="22"/>
          <w:szCs w:val="22"/>
        </w:rPr>
        <w:t>recognizable</w:t>
      </w:r>
      <w:r w:rsidRPr="00D7310D">
        <w:rPr>
          <w:rFonts w:eastAsia="楷体" w:cs="Calibri"/>
          <w:b/>
          <w:bCs/>
          <w:kern w:val="2"/>
          <w:sz w:val="22"/>
          <w:szCs w:val="22"/>
        </w:rPr>
        <w:t xml:space="preserve"> portfolio of luxury beauty brands globally.</w:t>
      </w:r>
      <w:r w:rsidRPr="005C3356">
        <w:rPr>
          <w:rFonts w:eastAsia="楷体" w:cs="Calibri"/>
          <w:kern w:val="2"/>
          <w:sz w:val="22"/>
          <w:szCs w:val="22"/>
        </w:rPr>
        <w:t xml:space="preserve"> By brand type: Lifestyle brands include Lancôme (acquired in 1964, the division's flagship) and Kiehl's (acquired in 2000). Couture brands include YSL </w:t>
      </w:r>
      <w:proofErr w:type="spellStart"/>
      <w:r w:rsidRPr="005C3356">
        <w:rPr>
          <w:rFonts w:eastAsia="楷体" w:cs="Calibri"/>
          <w:kern w:val="2"/>
          <w:sz w:val="22"/>
          <w:szCs w:val="22"/>
        </w:rPr>
        <w:t>Beauté</w:t>
      </w:r>
      <w:proofErr w:type="spellEnd"/>
      <w:r w:rsidRPr="005C3356">
        <w:rPr>
          <w:rFonts w:eastAsia="楷体" w:cs="Calibri"/>
          <w:kern w:val="2"/>
          <w:sz w:val="22"/>
          <w:szCs w:val="22"/>
        </w:rPr>
        <w:t xml:space="preserve"> (acquired in 2008), Giorgio Armani (licensed since 1988), Prada Beauty (licensed since 2019), Valentino Beauty (licensed since 2019), Maison Margiela, and Miu </w:t>
      </w:r>
      <w:proofErr w:type="spellStart"/>
      <w:r w:rsidRPr="005C3356">
        <w:rPr>
          <w:rFonts w:eastAsia="楷体" w:cs="Calibri"/>
          <w:kern w:val="2"/>
          <w:sz w:val="22"/>
          <w:szCs w:val="22"/>
        </w:rPr>
        <w:t>Miu</w:t>
      </w:r>
      <w:proofErr w:type="spellEnd"/>
      <w:r w:rsidRPr="005C3356">
        <w:rPr>
          <w:rFonts w:eastAsia="楷体" w:cs="Calibri"/>
          <w:kern w:val="2"/>
          <w:sz w:val="22"/>
          <w:szCs w:val="22"/>
        </w:rPr>
        <w:t xml:space="preserve"> (licensed since 2024). The ultra-luxury tier includes </w:t>
      </w:r>
      <w:proofErr w:type="spellStart"/>
      <w:r w:rsidRPr="005C3356">
        <w:rPr>
          <w:rFonts w:eastAsia="楷体" w:cs="Calibri"/>
          <w:kern w:val="2"/>
          <w:sz w:val="22"/>
          <w:szCs w:val="22"/>
        </w:rPr>
        <w:t>Aēsop</w:t>
      </w:r>
      <w:proofErr w:type="spellEnd"/>
      <w:r w:rsidRPr="005C3356">
        <w:rPr>
          <w:rFonts w:eastAsia="楷体" w:cs="Calibri"/>
          <w:kern w:val="2"/>
          <w:sz w:val="22"/>
          <w:szCs w:val="22"/>
        </w:rPr>
        <w:t xml:space="preserve"> (acquired in 2023 for USD 2.53 billion). Efficacy skincare brands include Medik8 (acquired in 2025) and Takami (acquired in 2023). Furthermore, the acquisition of Kering </w:t>
      </w:r>
      <w:proofErr w:type="spellStart"/>
      <w:r w:rsidRPr="005C3356">
        <w:rPr>
          <w:rFonts w:eastAsia="楷体" w:cs="Calibri"/>
          <w:kern w:val="2"/>
          <w:sz w:val="22"/>
          <w:szCs w:val="22"/>
        </w:rPr>
        <w:t>Beauté</w:t>
      </w:r>
      <w:proofErr w:type="spellEnd"/>
      <w:r w:rsidRPr="005C3356">
        <w:rPr>
          <w:rFonts w:eastAsia="楷体" w:cs="Calibri"/>
          <w:kern w:val="2"/>
          <w:sz w:val="22"/>
          <w:szCs w:val="22"/>
        </w:rPr>
        <w:t>, completed in October 2025, added Creed and brands including Gucci and Balenciaga to the portfolio.</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5C3356" w:rsidRPr="008966C3" w14:paraId="3D53382A" w14:textId="77777777" w:rsidTr="00816572">
        <w:tc>
          <w:tcPr>
            <w:tcW w:w="7733" w:type="dxa"/>
            <w:tcBorders>
              <w:bottom w:val="single" w:sz="4" w:space="0" w:color="auto"/>
            </w:tcBorders>
          </w:tcPr>
          <w:p w14:paraId="25C2CD85" w14:textId="767A499B"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Figure: </w:t>
            </w:r>
            <w:r w:rsidRPr="005C3356">
              <w:rPr>
                <w:rFonts w:eastAsia="楷体" w:cs="Calibri"/>
                <w:b/>
                <w:bCs/>
                <w:kern w:val="2"/>
                <w:sz w:val="22"/>
                <w:szCs w:val="22"/>
              </w:rPr>
              <w:t>L'Oréal Luxe Brand Portfolio</w:t>
            </w:r>
          </w:p>
        </w:tc>
      </w:tr>
      <w:tr w:rsidR="005C3356" w14:paraId="27239A67" w14:textId="77777777" w:rsidTr="00816572">
        <w:tc>
          <w:tcPr>
            <w:tcW w:w="7733" w:type="dxa"/>
            <w:tcBorders>
              <w:top w:val="single" w:sz="4" w:space="0" w:color="auto"/>
              <w:bottom w:val="single" w:sz="4" w:space="0" w:color="auto"/>
            </w:tcBorders>
          </w:tcPr>
          <w:tbl>
            <w:tblPr>
              <w:tblW w:w="7627" w:type="dxa"/>
              <w:tblLook w:val="04A0" w:firstRow="1" w:lastRow="0" w:firstColumn="1" w:lastColumn="0" w:noHBand="0" w:noVBand="1"/>
            </w:tblPr>
            <w:tblGrid>
              <w:gridCol w:w="1168"/>
              <w:gridCol w:w="968"/>
              <w:gridCol w:w="1020"/>
              <w:gridCol w:w="1977"/>
              <w:gridCol w:w="2494"/>
            </w:tblGrid>
            <w:tr w:rsidR="00A70AE1" w:rsidRPr="00A70AE1" w14:paraId="685EEB42" w14:textId="77777777" w:rsidTr="00A70AE1">
              <w:trPr>
                <w:trHeight w:val="300"/>
              </w:trPr>
              <w:tc>
                <w:tcPr>
                  <w:tcW w:w="1168" w:type="dxa"/>
                  <w:tcBorders>
                    <w:top w:val="nil"/>
                    <w:left w:val="nil"/>
                    <w:bottom w:val="nil"/>
                    <w:right w:val="nil"/>
                  </w:tcBorders>
                  <w:shd w:val="clear" w:color="000000" w:fill="002060"/>
                  <w:vAlign w:val="center"/>
                  <w:hideMark/>
                </w:tcPr>
                <w:p w14:paraId="19B7892F"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Brand</w:t>
                  </w:r>
                </w:p>
              </w:tc>
              <w:tc>
                <w:tcPr>
                  <w:tcW w:w="968" w:type="dxa"/>
                  <w:tcBorders>
                    <w:top w:val="nil"/>
                    <w:left w:val="nil"/>
                    <w:bottom w:val="nil"/>
                    <w:right w:val="nil"/>
                  </w:tcBorders>
                  <w:shd w:val="clear" w:color="000000" w:fill="002060"/>
                  <w:vAlign w:val="center"/>
                  <w:hideMark/>
                </w:tcPr>
                <w:p w14:paraId="31169FA6"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Type</w:t>
                  </w:r>
                </w:p>
              </w:tc>
              <w:tc>
                <w:tcPr>
                  <w:tcW w:w="1020" w:type="dxa"/>
                  <w:tcBorders>
                    <w:top w:val="nil"/>
                    <w:left w:val="nil"/>
                    <w:bottom w:val="nil"/>
                    <w:right w:val="nil"/>
                  </w:tcBorders>
                  <w:shd w:val="clear" w:color="000000" w:fill="002060"/>
                  <w:vAlign w:val="center"/>
                  <w:hideMark/>
                </w:tcPr>
                <w:p w14:paraId="4BF77966"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Year</w:t>
                  </w:r>
                </w:p>
              </w:tc>
              <w:tc>
                <w:tcPr>
                  <w:tcW w:w="1977" w:type="dxa"/>
                  <w:tcBorders>
                    <w:top w:val="nil"/>
                    <w:left w:val="nil"/>
                    <w:bottom w:val="nil"/>
                    <w:right w:val="nil"/>
                  </w:tcBorders>
                  <w:shd w:val="clear" w:color="000000" w:fill="002060"/>
                  <w:vAlign w:val="center"/>
                  <w:hideMark/>
                </w:tcPr>
                <w:p w14:paraId="6FF90C94"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Hero Products</w:t>
                  </w:r>
                </w:p>
              </w:tc>
              <w:tc>
                <w:tcPr>
                  <w:tcW w:w="2494" w:type="dxa"/>
                  <w:tcBorders>
                    <w:top w:val="nil"/>
                    <w:left w:val="nil"/>
                    <w:bottom w:val="nil"/>
                    <w:right w:val="nil"/>
                  </w:tcBorders>
                  <w:shd w:val="clear" w:color="000000" w:fill="002060"/>
                  <w:vAlign w:val="center"/>
                  <w:hideMark/>
                </w:tcPr>
                <w:p w14:paraId="40647164"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2024 Key Highlights</w:t>
                  </w:r>
                </w:p>
              </w:tc>
            </w:tr>
            <w:tr w:rsidR="00A70AE1" w:rsidRPr="00A70AE1" w14:paraId="2BC23821" w14:textId="77777777" w:rsidTr="00A70AE1">
              <w:trPr>
                <w:trHeight w:val="600"/>
              </w:trPr>
              <w:tc>
                <w:tcPr>
                  <w:tcW w:w="1168" w:type="dxa"/>
                  <w:tcBorders>
                    <w:top w:val="nil"/>
                    <w:left w:val="nil"/>
                    <w:bottom w:val="nil"/>
                    <w:right w:val="nil"/>
                  </w:tcBorders>
                  <w:vAlign w:val="center"/>
                  <w:hideMark/>
                </w:tcPr>
                <w:p w14:paraId="1C742C54"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Lancôme</w:t>
                  </w:r>
                </w:p>
              </w:tc>
              <w:tc>
                <w:tcPr>
                  <w:tcW w:w="968" w:type="dxa"/>
                  <w:tcBorders>
                    <w:top w:val="nil"/>
                    <w:left w:val="nil"/>
                    <w:bottom w:val="nil"/>
                    <w:right w:val="nil"/>
                  </w:tcBorders>
                  <w:vAlign w:val="center"/>
                  <w:hideMark/>
                </w:tcPr>
                <w:p w14:paraId="2FD554D4"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Lifestyle</w:t>
                  </w:r>
                </w:p>
              </w:tc>
              <w:tc>
                <w:tcPr>
                  <w:tcW w:w="1020" w:type="dxa"/>
                  <w:tcBorders>
                    <w:top w:val="nil"/>
                    <w:left w:val="nil"/>
                    <w:bottom w:val="nil"/>
                    <w:right w:val="nil"/>
                  </w:tcBorders>
                  <w:vAlign w:val="center"/>
                  <w:hideMark/>
                </w:tcPr>
                <w:p w14:paraId="26241957"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Acquired 1964</w:t>
                  </w:r>
                </w:p>
              </w:tc>
              <w:tc>
                <w:tcPr>
                  <w:tcW w:w="1977" w:type="dxa"/>
                  <w:tcBorders>
                    <w:top w:val="nil"/>
                    <w:left w:val="nil"/>
                    <w:bottom w:val="nil"/>
                    <w:right w:val="nil"/>
                  </w:tcBorders>
                  <w:vAlign w:val="center"/>
                  <w:hideMark/>
                </w:tcPr>
                <w:p w14:paraId="51ECEDA7" w14:textId="77777777" w:rsidR="00A70AE1" w:rsidRPr="003465D7" w:rsidRDefault="00A70AE1" w:rsidP="00A70AE1">
                  <w:pPr>
                    <w:jc w:val="center"/>
                    <w:rPr>
                      <w:rFonts w:eastAsia="楷体" w:cs="Calibri"/>
                      <w:snapToGrid/>
                      <w:color w:val="000000"/>
                      <w:sz w:val="18"/>
                      <w:szCs w:val="18"/>
                    </w:rPr>
                  </w:pPr>
                  <w:proofErr w:type="spellStart"/>
                  <w:r w:rsidRPr="003465D7">
                    <w:rPr>
                      <w:rFonts w:eastAsia="楷体" w:cs="Calibri"/>
                      <w:snapToGrid/>
                      <w:color w:val="000000"/>
                      <w:sz w:val="18"/>
                      <w:szCs w:val="18"/>
                    </w:rPr>
                    <w:t>Absolue</w:t>
                  </w:r>
                  <w:proofErr w:type="spellEnd"/>
                  <w:r w:rsidRPr="003465D7">
                    <w:rPr>
                      <w:rFonts w:eastAsia="楷体" w:cs="Calibri"/>
                      <w:snapToGrid/>
                      <w:color w:val="000000"/>
                      <w:sz w:val="18"/>
                      <w:szCs w:val="18"/>
                    </w:rPr>
                    <w:t xml:space="preserve">, </w:t>
                  </w:r>
                  <w:proofErr w:type="spellStart"/>
                  <w:r w:rsidRPr="003465D7">
                    <w:rPr>
                      <w:rFonts w:eastAsia="楷体" w:cs="Calibri"/>
                      <w:snapToGrid/>
                      <w:color w:val="000000"/>
                      <w:sz w:val="18"/>
                      <w:szCs w:val="18"/>
                    </w:rPr>
                    <w:t>Teint</w:t>
                  </w:r>
                  <w:proofErr w:type="spellEnd"/>
                  <w:r w:rsidRPr="003465D7">
                    <w:rPr>
                      <w:rFonts w:eastAsia="楷体" w:cs="Calibri"/>
                      <w:snapToGrid/>
                      <w:color w:val="000000"/>
                      <w:sz w:val="18"/>
                      <w:szCs w:val="18"/>
                    </w:rPr>
                    <w:t xml:space="preserve"> </w:t>
                  </w:r>
                  <w:proofErr w:type="spellStart"/>
                  <w:r w:rsidRPr="003465D7">
                    <w:rPr>
                      <w:rFonts w:eastAsia="楷体" w:cs="Calibri"/>
                      <w:snapToGrid/>
                      <w:color w:val="000000"/>
                      <w:sz w:val="18"/>
                      <w:szCs w:val="18"/>
                    </w:rPr>
                    <w:t>Idole</w:t>
                  </w:r>
                  <w:proofErr w:type="spellEnd"/>
                  <w:r w:rsidRPr="003465D7">
                    <w:rPr>
                      <w:rFonts w:eastAsia="楷体" w:cs="Calibri"/>
                      <w:snapToGrid/>
                      <w:color w:val="000000"/>
                      <w:sz w:val="18"/>
                      <w:szCs w:val="18"/>
                    </w:rPr>
                    <w:t>, La Vie est Belle</w:t>
                  </w:r>
                </w:p>
              </w:tc>
              <w:tc>
                <w:tcPr>
                  <w:tcW w:w="2494" w:type="dxa"/>
                  <w:tcBorders>
                    <w:top w:val="nil"/>
                    <w:left w:val="nil"/>
                    <w:bottom w:val="nil"/>
                    <w:right w:val="nil"/>
                  </w:tcBorders>
                  <w:vAlign w:val="center"/>
                  <w:hideMark/>
                </w:tcPr>
                <w:p w14:paraId="096611B6"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Flagship Brand; Top 3 Prestige in China</w:t>
                  </w:r>
                </w:p>
              </w:tc>
            </w:tr>
            <w:tr w:rsidR="00A70AE1" w:rsidRPr="00A70AE1" w14:paraId="5F13F13B" w14:textId="77777777" w:rsidTr="00A70AE1">
              <w:trPr>
                <w:trHeight w:val="600"/>
              </w:trPr>
              <w:tc>
                <w:tcPr>
                  <w:tcW w:w="1168" w:type="dxa"/>
                  <w:tcBorders>
                    <w:top w:val="nil"/>
                    <w:left w:val="nil"/>
                    <w:bottom w:val="nil"/>
                    <w:right w:val="nil"/>
                  </w:tcBorders>
                  <w:shd w:val="clear" w:color="000000" w:fill="F2F2F2"/>
                  <w:vAlign w:val="center"/>
                  <w:hideMark/>
                </w:tcPr>
                <w:p w14:paraId="54F008A1"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Giorgio Armani Beauty</w:t>
                  </w:r>
                </w:p>
              </w:tc>
              <w:tc>
                <w:tcPr>
                  <w:tcW w:w="968" w:type="dxa"/>
                  <w:tcBorders>
                    <w:top w:val="nil"/>
                    <w:left w:val="nil"/>
                    <w:bottom w:val="nil"/>
                    <w:right w:val="nil"/>
                  </w:tcBorders>
                  <w:shd w:val="clear" w:color="000000" w:fill="F2F2F2"/>
                  <w:vAlign w:val="center"/>
                  <w:hideMark/>
                </w:tcPr>
                <w:p w14:paraId="1787DCA3"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Couture</w:t>
                  </w:r>
                </w:p>
              </w:tc>
              <w:tc>
                <w:tcPr>
                  <w:tcW w:w="1020" w:type="dxa"/>
                  <w:tcBorders>
                    <w:top w:val="nil"/>
                    <w:left w:val="nil"/>
                    <w:bottom w:val="nil"/>
                    <w:right w:val="nil"/>
                  </w:tcBorders>
                  <w:shd w:val="clear" w:color="000000" w:fill="F2F2F2"/>
                  <w:vAlign w:val="center"/>
                  <w:hideMark/>
                </w:tcPr>
                <w:p w14:paraId="52280C04"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Licensed 1988</w:t>
                  </w:r>
                </w:p>
              </w:tc>
              <w:tc>
                <w:tcPr>
                  <w:tcW w:w="1977" w:type="dxa"/>
                  <w:tcBorders>
                    <w:top w:val="nil"/>
                    <w:left w:val="nil"/>
                    <w:bottom w:val="nil"/>
                    <w:right w:val="nil"/>
                  </w:tcBorders>
                  <w:shd w:val="clear" w:color="000000" w:fill="F2F2F2"/>
                  <w:vAlign w:val="center"/>
                  <w:hideMark/>
                </w:tcPr>
                <w:p w14:paraId="6561D522"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 xml:space="preserve">Luminous Silk Foundation, </w:t>
                  </w:r>
                  <w:proofErr w:type="spellStart"/>
                  <w:r w:rsidRPr="003465D7">
                    <w:rPr>
                      <w:rFonts w:eastAsia="楷体" w:cs="Calibri"/>
                      <w:snapToGrid/>
                      <w:color w:val="000000"/>
                      <w:sz w:val="18"/>
                      <w:szCs w:val="18"/>
                    </w:rPr>
                    <w:t>Sì</w:t>
                  </w:r>
                  <w:proofErr w:type="spellEnd"/>
                  <w:r w:rsidRPr="003465D7">
                    <w:rPr>
                      <w:rFonts w:eastAsia="楷体" w:cs="Calibri"/>
                      <w:snapToGrid/>
                      <w:color w:val="000000"/>
                      <w:sz w:val="18"/>
                      <w:szCs w:val="18"/>
                    </w:rPr>
                    <w:t>, Privé</w:t>
                  </w:r>
                </w:p>
              </w:tc>
              <w:tc>
                <w:tcPr>
                  <w:tcW w:w="2494" w:type="dxa"/>
                  <w:tcBorders>
                    <w:top w:val="nil"/>
                    <w:left w:val="nil"/>
                    <w:bottom w:val="nil"/>
                    <w:right w:val="nil"/>
                  </w:tcBorders>
                  <w:shd w:val="clear" w:color="000000" w:fill="F2F2F2"/>
                  <w:vAlign w:val="center"/>
                  <w:hideMark/>
                </w:tcPr>
                <w:p w14:paraId="753A77D4"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w:t>
                  </w:r>
                </w:p>
              </w:tc>
            </w:tr>
            <w:tr w:rsidR="00A70AE1" w:rsidRPr="00A70AE1" w14:paraId="123CB1BC" w14:textId="77777777" w:rsidTr="00A70AE1">
              <w:trPr>
                <w:trHeight w:val="600"/>
              </w:trPr>
              <w:tc>
                <w:tcPr>
                  <w:tcW w:w="1168" w:type="dxa"/>
                  <w:tcBorders>
                    <w:top w:val="nil"/>
                    <w:left w:val="nil"/>
                    <w:bottom w:val="nil"/>
                    <w:right w:val="nil"/>
                  </w:tcBorders>
                  <w:vAlign w:val="center"/>
                  <w:hideMark/>
                </w:tcPr>
                <w:p w14:paraId="1B1A4FF5"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Helena Rubinstein</w:t>
                  </w:r>
                </w:p>
              </w:tc>
              <w:tc>
                <w:tcPr>
                  <w:tcW w:w="968" w:type="dxa"/>
                  <w:tcBorders>
                    <w:top w:val="nil"/>
                    <w:left w:val="nil"/>
                    <w:bottom w:val="nil"/>
                    <w:right w:val="nil"/>
                  </w:tcBorders>
                  <w:vAlign w:val="center"/>
                  <w:hideMark/>
                </w:tcPr>
                <w:p w14:paraId="5B7A3694"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Prestige</w:t>
                  </w:r>
                </w:p>
              </w:tc>
              <w:tc>
                <w:tcPr>
                  <w:tcW w:w="1020" w:type="dxa"/>
                  <w:tcBorders>
                    <w:top w:val="nil"/>
                    <w:left w:val="nil"/>
                    <w:bottom w:val="nil"/>
                    <w:right w:val="nil"/>
                  </w:tcBorders>
                  <w:vAlign w:val="center"/>
                  <w:hideMark/>
                </w:tcPr>
                <w:p w14:paraId="7A8CBE07"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Acquired 1988</w:t>
                  </w:r>
                </w:p>
              </w:tc>
              <w:tc>
                <w:tcPr>
                  <w:tcW w:w="1977" w:type="dxa"/>
                  <w:tcBorders>
                    <w:top w:val="nil"/>
                    <w:left w:val="nil"/>
                    <w:bottom w:val="nil"/>
                    <w:right w:val="nil"/>
                  </w:tcBorders>
                  <w:vAlign w:val="center"/>
                  <w:hideMark/>
                </w:tcPr>
                <w:p w14:paraId="046312D3"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Re-</w:t>
                  </w:r>
                  <w:proofErr w:type="spellStart"/>
                  <w:r w:rsidRPr="003465D7">
                    <w:rPr>
                      <w:rFonts w:eastAsia="楷体" w:cs="Calibri"/>
                      <w:snapToGrid/>
                      <w:color w:val="000000"/>
                      <w:sz w:val="18"/>
                      <w:szCs w:val="18"/>
                    </w:rPr>
                    <w:t>Plasty</w:t>
                  </w:r>
                  <w:proofErr w:type="spellEnd"/>
                  <w:r w:rsidRPr="003465D7">
                    <w:rPr>
                      <w:rFonts w:eastAsia="楷体" w:cs="Calibri"/>
                      <w:snapToGrid/>
                      <w:color w:val="000000"/>
                      <w:sz w:val="18"/>
                      <w:szCs w:val="18"/>
                    </w:rPr>
                    <w:t xml:space="preserve">, </w:t>
                  </w:r>
                  <w:proofErr w:type="spellStart"/>
                  <w:r w:rsidRPr="003465D7">
                    <w:rPr>
                      <w:rFonts w:eastAsia="楷体" w:cs="Calibri"/>
                      <w:snapToGrid/>
                      <w:color w:val="000000"/>
                      <w:sz w:val="18"/>
                      <w:szCs w:val="18"/>
                    </w:rPr>
                    <w:t>Powercell</w:t>
                  </w:r>
                  <w:proofErr w:type="spellEnd"/>
                </w:p>
              </w:tc>
              <w:tc>
                <w:tcPr>
                  <w:tcW w:w="2494" w:type="dxa"/>
                  <w:tcBorders>
                    <w:top w:val="nil"/>
                    <w:left w:val="nil"/>
                    <w:bottom w:val="nil"/>
                    <w:right w:val="nil"/>
                  </w:tcBorders>
                  <w:vAlign w:val="center"/>
                  <w:hideMark/>
                </w:tcPr>
                <w:p w14:paraId="67D5DAED"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Ultra-Premium Skincare Positioning</w:t>
                  </w:r>
                </w:p>
              </w:tc>
            </w:tr>
            <w:tr w:rsidR="00A70AE1" w:rsidRPr="00A70AE1" w14:paraId="05EE9C59" w14:textId="77777777" w:rsidTr="00A70AE1">
              <w:trPr>
                <w:trHeight w:val="600"/>
              </w:trPr>
              <w:tc>
                <w:tcPr>
                  <w:tcW w:w="1168" w:type="dxa"/>
                  <w:tcBorders>
                    <w:top w:val="nil"/>
                    <w:left w:val="nil"/>
                    <w:bottom w:val="nil"/>
                    <w:right w:val="nil"/>
                  </w:tcBorders>
                  <w:shd w:val="clear" w:color="000000" w:fill="F2F2F2"/>
                  <w:vAlign w:val="center"/>
                  <w:hideMark/>
                </w:tcPr>
                <w:p w14:paraId="3D7B2189"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 xml:space="preserve">YSL </w:t>
                  </w:r>
                  <w:proofErr w:type="spellStart"/>
                  <w:r w:rsidRPr="003465D7">
                    <w:rPr>
                      <w:rFonts w:eastAsia="楷体" w:cs="Calibri"/>
                      <w:snapToGrid/>
                      <w:color w:val="000000"/>
                      <w:sz w:val="18"/>
                      <w:szCs w:val="18"/>
                    </w:rPr>
                    <w:t>Beauté</w:t>
                  </w:r>
                  <w:proofErr w:type="spellEnd"/>
                </w:p>
              </w:tc>
              <w:tc>
                <w:tcPr>
                  <w:tcW w:w="968" w:type="dxa"/>
                  <w:tcBorders>
                    <w:top w:val="nil"/>
                    <w:left w:val="nil"/>
                    <w:bottom w:val="nil"/>
                    <w:right w:val="nil"/>
                  </w:tcBorders>
                  <w:shd w:val="clear" w:color="000000" w:fill="F2F2F2"/>
                  <w:vAlign w:val="center"/>
                  <w:hideMark/>
                </w:tcPr>
                <w:p w14:paraId="37C24D00"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Couture</w:t>
                  </w:r>
                </w:p>
              </w:tc>
              <w:tc>
                <w:tcPr>
                  <w:tcW w:w="1020" w:type="dxa"/>
                  <w:tcBorders>
                    <w:top w:val="nil"/>
                    <w:left w:val="nil"/>
                    <w:bottom w:val="nil"/>
                    <w:right w:val="nil"/>
                  </w:tcBorders>
                  <w:shd w:val="clear" w:color="000000" w:fill="F2F2F2"/>
                  <w:vAlign w:val="center"/>
                  <w:hideMark/>
                </w:tcPr>
                <w:p w14:paraId="3410D6BD"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Acquired 2008</w:t>
                  </w:r>
                </w:p>
              </w:tc>
              <w:tc>
                <w:tcPr>
                  <w:tcW w:w="1977" w:type="dxa"/>
                  <w:tcBorders>
                    <w:top w:val="nil"/>
                    <w:left w:val="nil"/>
                    <w:bottom w:val="nil"/>
                    <w:right w:val="nil"/>
                  </w:tcBorders>
                  <w:shd w:val="clear" w:color="000000" w:fill="F2F2F2"/>
                  <w:vAlign w:val="center"/>
                  <w:hideMark/>
                </w:tcPr>
                <w:p w14:paraId="050ACD0E"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 xml:space="preserve">MYSLF, Libre, </w:t>
                  </w:r>
                  <w:proofErr w:type="spellStart"/>
                  <w:r w:rsidRPr="003465D7">
                    <w:rPr>
                      <w:rFonts w:eastAsia="楷体" w:cs="Calibri"/>
                      <w:snapToGrid/>
                      <w:color w:val="000000"/>
                      <w:sz w:val="18"/>
                      <w:szCs w:val="18"/>
                    </w:rPr>
                    <w:t>Loveshine</w:t>
                  </w:r>
                  <w:proofErr w:type="spellEnd"/>
                </w:p>
              </w:tc>
              <w:tc>
                <w:tcPr>
                  <w:tcW w:w="2494" w:type="dxa"/>
                  <w:tcBorders>
                    <w:top w:val="nil"/>
                    <w:left w:val="nil"/>
                    <w:bottom w:val="nil"/>
                    <w:right w:val="nil"/>
                  </w:tcBorders>
                  <w:shd w:val="clear" w:color="000000" w:fill="F2F2F2"/>
                  <w:vAlign w:val="center"/>
                  <w:hideMark/>
                </w:tcPr>
                <w:p w14:paraId="0A695500"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MYSLF Becomes Global Fragrance Blockbuster</w:t>
                  </w:r>
                </w:p>
              </w:tc>
            </w:tr>
            <w:tr w:rsidR="00A70AE1" w:rsidRPr="00A70AE1" w14:paraId="6FA77860" w14:textId="77777777" w:rsidTr="00A70AE1">
              <w:trPr>
                <w:trHeight w:val="600"/>
              </w:trPr>
              <w:tc>
                <w:tcPr>
                  <w:tcW w:w="1168" w:type="dxa"/>
                  <w:tcBorders>
                    <w:top w:val="nil"/>
                    <w:left w:val="nil"/>
                    <w:bottom w:val="nil"/>
                    <w:right w:val="nil"/>
                  </w:tcBorders>
                  <w:vAlign w:val="center"/>
                  <w:hideMark/>
                </w:tcPr>
                <w:p w14:paraId="2DF0B06A"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Kiehl's</w:t>
                  </w:r>
                </w:p>
              </w:tc>
              <w:tc>
                <w:tcPr>
                  <w:tcW w:w="968" w:type="dxa"/>
                  <w:tcBorders>
                    <w:top w:val="nil"/>
                    <w:left w:val="nil"/>
                    <w:bottom w:val="nil"/>
                    <w:right w:val="nil"/>
                  </w:tcBorders>
                  <w:vAlign w:val="center"/>
                  <w:hideMark/>
                </w:tcPr>
                <w:p w14:paraId="05ACA130"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Lifestyle</w:t>
                  </w:r>
                </w:p>
              </w:tc>
              <w:tc>
                <w:tcPr>
                  <w:tcW w:w="1020" w:type="dxa"/>
                  <w:tcBorders>
                    <w:top w:val="nil"/>
                    <w:left w:val="nil"/>
                    <w:bottom w:val="nil"/>
                    <w:right w:val="nil"/>
                  </w:tcBorders>
                  <w:vAlign w:val="center"/>
                  <w:hideMark/>
                </w:tcPr>
                <w:p w14:paraId="4AB05746"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Acquired 2000</w:t>
                  </w:r>
                </w:p>
              </w:tc>
              <w:tc>
                <w:tcPr>
                  <w:tcW w:w="1977" w:type="dxa"/>
                  <w:tcBorders>
                    <w:top w:val="nil"/>
                    <w:left w:val="nil"/>
                    <w:bottom w:val="nil"/>
                    <w:right w:val="nil"/>
                  </w:tcBorders>
                  <w:vAlign w:val="center"/>
                  <w:hideMark/>
                </w:tcPr>
                <w:p w14:paraId="6A10F20B"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Ultra Facial Cream, Midnight Recovery</w:t>
                  </w:r>
                </w:p>
              </w:tc>
              <w:tc>
                <w:tcPr>
                  <w:tcW w:w="2494" w:type="dxa"/>
                  <w:tcBorders>
                    <w:top w:val="nil"/>
                    <w:left w:val="nil"/>
                    <w:bottom w:val="nil"/>
                    <w:right w:val="nil"/>
                  </w:tcBorders>
                  <w:vAlign w:val="center"/>
                  <w:hideMark/>
                </w:tcPr>
                <w:p w14:paraId="27227321"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w:t>
                  </w:r>
                </w:p>
              </w:tc>
            </w:tr>
            <w:tr w:rsidR="00A70AE1" w:rsidRPr="00A70AE1" w14:paraId="41A47FCB" w14:textId="77777777" w:rsidTr="00A70AE1">
              <w:trPr>
                <w:trHeight w:val="600"/>
              </w:trPr>
              <w:tc>
                <w:tcPr>
                  <w:tcW w:w="1168" w:type="dxa"/>
                  <w:tcBorders>
                    <w:top w:val="nil"/>
                    <w:left w:val="nil"/>
                    <w:bottom w:val="nil"/>
                    <w:right w:val="nil"/>
                  </w:tcBorders>
                  <w:shd w:val="clear" w:color="000000" w:fill="F2F2F2"/>
                  <w:vAlign w:val="center"/>
                  <w:hideMark/>
                </w:tcPr>
                <w:p w14:paraId="06C1EE58"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Prada Beauty</w:t>
                  </w:r>
                </w:p>
              </w:tc>
              <w:tc>
                <w:tcPr>
                  <w:tcW w:w="968" w:type="dxa"/>
                  <w:tcBorders>
                    <w:top w:val="nil"/>
                    <w:left w:val="nil"/>
                    <w:bottom w:val="nil"/>
                    <w:right w:val="nil"/>
                  </w:tcBorders>
                  <w:shd w:val="clear" w:color="000000" w:fill="F2F2F2"/>
                  <w:vAlign w:val="center"/>
                  <w:hideMark/>
                </w:tcPr>
                <w:p w14:paraId="58E155FF"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Couture</w:t>
                  </w:r>
                </w:p>
              </w:tc>
              <w:tc>
                <w:tcPr>
                  <w:tcW w:w="1020" w:type="dxa"/>
                  <w:tcBorders>
                    <w:top w:val="nil"/>
                    <w:left w:val="nil"/>
                    <w:bottom w:val="nil"/>
                    <w:right w:val="nil"/>
                  </w:tcBorders>
                  <w:shd w:val="clear" w:color="000000" w:fill="F2F2F2"/>
                  <w:vAlign w:val="center"/>
                  <w:hideMark/>
                </w:tcPr>
                <w:p w14:paraId="57AD0209"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Licensed 2019</w:t>
                  </w:r>
                </w:p>
              </w:tc>
              <w:tc>
                <w:tcPr>
                  <w:tcW w:w="1977" w:type="dxa"/>
                  <w:tcBorders>
                    <w:top w:val="nil"/>
                    <w:left w:val="nil"/>
                    <w:bottom w:val="nil"/>
                    <w:right w:val="nil"/>
                  </w:tcBorders>
                  <w:shd w:val="clear" w:color="000000" w:fill="F2F2F2"/>
                  <w:vAlign w:val="center"/>
                  <w:hideMark/>
                </w:tcPr>
                <w:p w14:paraId="2333EA6A" w14:textId="77777777" w:rsidR="00A70AE1" w:rsidRPr="003465D7" w:rsidRDefault="00A70AE1" w:rsidP="00A70AE1">
                  <w:pPr>
                    <w:jc w:val="center"/>
                    <w:rPr>
                      <w:rFonts w:eastAsia="楷体" w:cs="Calibri"/>
                      <w:snapToGrid/>
                      <w:color w:val="000000"/>
                      <w:sz w:val="18"/>
                      <w:szCs w:val="18"/>
                    </w:rPr>
                  </w:pPr>
                  <w:proofErr w:type="spellStart"/>
                  <w:r w:rsidRPr="003465D7">
                    <w:rPr>
                      <w:rFonts w:eastAsia="楷体" w:cs="Calibri"/>
                      <w:snapToGrid/>
                      <w:color w:val="000000"/>
                      <w:sz w:val="18"/>
                      <w:szCs w:val="18"/>
                    </w:rPr>
                    <w:t>Paradoxe</w:t>
                  </w:r>
                  <w:proofErr w:type="spellEnd"/>
                  <w:r w:rsidRPr="003465D7">
                    <w:rPr>
                      <w:rFonts w:eastAsia="楷体" w:cs="Calibri"/>
                      <w:snapToGrid/>
                      <w:color w:val="000000"/>
                      <w:sz w:val="18"/>
                      <w:szCs w:val="18"/>
                    </w:rPr>
                    <w:t xml:space="preserve">, </w:t>
                  </w:r>
                  <w:proofErr w:type="spellStart"/>
                  <w:r w:rsidRPr="003465D7">
                    <w:rPr>
                      <w:rFonts w:eastAsia="楷体" w:cs="Calibri"/>
                      <w:snapToGrid/>
                      <w:color w:val="000000"/>
                      <w:sz w:val="18"/>
                      <w:szCs w:val="18"/>
                    </w:rPr>
                    <w:t>Paradigme</w:t>
                  </w:r>
                  <w:proofErr w:type="spellEnd"/>
                </w:p>
              </w:tc>
              <w:tc>
                <w:tcPr>
                  <w:tcW w:w="2494" w:type="dxa"/>
                  <w:tcBorders>
                    <w:top w:val="nil"/>
                    <w:left w:val="nil"/>
                    <w:bottom w:val="nil"/>
                    <w:right w:val="nil"/>
                  </w:tcBorders>
                  <w:shd w:val="clear" w:color="000000" w:fill="F2F2F2"/>
                  <w:vAlign w:val="center"/>
                  <w:hideMark/>
                </w:tcPr>
                <w:p w14:paraId="19B4A181"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Valentino &amp; Prada Drive Couture Category Growth</w:t>
                  </w:r>
                </w:p>
              </w:tc>
            </w:tr>
            <w:tr w:rsidR="00A70AE1" w:rsidRPr="00A70AE1" w14:paraId="476E3250" w14:textId="77777777" w:rsidTr="00A70AE1">
              <w:trPr>
                <w:trHeight w:val="300"/>
              </w:trPr>
              <w:tc>
                <w:tcPr>
                  <w:tcW w:w="1168" w:type="dxa"/>
                  <w:tcBorders>
                    <w:top w:val="nil"/>
                    <w:left w:val="nil"/>
                    <w:bottom w:val="nil"/>
                    <w:right w:val="nil"/>
                  </w:tcBorders>
                  <w:vAlign w:val="center"/>
                  <w:hideMark/>
                </w:tcPr>
                <w:p w14:paraId="5EC775D9"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Valentino Beauty</w:t>
                  </w:r>
                </w:p>
              </w:tc>
              <w:tc>
                <w:tcPr>
                  <w:tcW w:w="968" w:type="dxa"/>
                  <w:tcBorders>
                    <w:top w:val="nil"/>
                    <w:left w:val="nil"/>
                    <w:bottom w:val="nil"/>
                    <w:right w:val="nil"/>
                  </w:tcBorders>
                  <w:vAlign w:val="center"/>
                  <w:hideMark/>
                </w:tcPr>
                <w:p w14:paraId="2500DD46"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Couture</w:t>
                  </w:r>
                </w:p>
              </w:tc>
              <w:tc>
                <w:tcPr>
                  <w:tcW w:w="1020" w:type="dxa"/>
                  <w:tcBorders>
                    <w:top w:val="nil"/>
                    <w:left w:val="nil"/>
                    <w:bottom w:val="nil"/>
                    <w:right w:val="nil"/>
                  </w:tcBorders>
                  <w:vAlign w:val="center"/>
                  <w:hideMark/>
                </w:tcPr>
                <w:p w14:paraId="2D359F4C"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Licensed 2019</w:t>
                  </w:r>
                </w:p>
              </w:tc>
              <w:tc>
                <w:tcPr>
                  <w:tcW w:w="1977" w:type="dxa"/>
                  <w:tcBorders>
                    <w:top w:val="nil"/>
                    <w:left w:val="nil"/>
                    <w:bottom w:val="nil"/>
                    <w:right w:val="nil"/>
                  </w:tcBorders>
                  <w:vAlign w:val="center"/>
                  <w:hideMark/>
                </w:tcPr>
                <w:p w14:paraId="7D2CEA6B"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Born in Roma, Donna Born in Roma</w:t>
                  </w:r>
                </w:p>
              </w:tc>
              <w:tc>
                <w:tcPr>
                  <w:tcW w:w="2494" w:type="dxa"/>
                  <w:tcBorders>
                    <w:top w:val="nil"/>
                    <w:left w:val="nil"/>
                    <w:bottom w:val="nil"/>
                    <w:right w:val="nil"/>
                  </w:tcBorders>
                  <w:vAlign w:val="center"/>
                  <w:hideMark/>
                </w:tcPr>
                <w:p w14:paraId="3F29F379"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Strong Expansion across North Asia</w:t>
                  </w:r>
                </w:p>
              </w:tc>
            </w:tr>
            <w:tr w:rsidR="00A70AE1" w:rsidRPr="00A70AE1" w14:paraId="3A042C56" w14:textId="77777777" w:rsidTr="00A70AE1">
              <w:trPr>
                <w:trHeight w:val="600"/>
              </w:trPr>
              <w:tc>
                <w:tcPr>
                  <w:tcW w:w="1168" w:type="dxa"/>
                  <w:tcBorders>
                    <w:top w:val="nil"/>
                    <w:left w:val="nil"/>
                    <w:bottom w:val="nil"/>
                    <w:right w:val="nil"/>
                  </w:tcBorders>
                  <w:shd w:val="clear" w:color="000000" w:fill="F2F2F2"/>
                  <w:vAlign w:val="center"/>
                  <w:hideMark/>
                </w:tcPr>
                <w:p w14:paraId="698CFA3B" w14:textId="77777777" w:rsidR="00A70AE1" w:rsidRPr="003465D7" w:rsidRDefault="00A70AE1" w:rsidP="00A70AE1">
                  <w:pPr>
                    <w:jc w:val="center"/>
                    <w:rPr>
                      <w:rFonts w:eastAsia="楷体" w:cs="Calibri"/>
                      <w:snapToGrid/>
                      <w:color w:val="000000"/>
                      <w:sz w:val="18"/>
                      <w:szCs w:val="18"/>
                    </w:rPr>
                  </w:pPr>
                  <w:proofErr w:type="spellStart"/>
                  <w:r w:rsidRPr="003465D7">
                    <w:rPr>
                      <w:rFonts w:eastAsia="楷体" w:cs="Calibri"/>
                      <w:snapToGrid/>
                      <w:color w:val="000000"/>
                      <w:sz w:val="18"/>
                      <w:szCs w:val="18"/>
                    </w:rPr>
                    <w:t>Aēsop</w:t>
                  </w:r>
                  <w:proofErr w:type="spellEnd"/>
                </w:p>
              </w:tc>
              <w:tc>
                <w:tcPr>
                  <w:tcW w:w="968" w:type="dxa"/>
                  <w:tcBorders>
                    <w:top w:val="nil"/>
                    <w:left w:val="nil"/>
                    <w:bottom w:val="nil"/>
                    <w:right w:val="nil"/>
                  </w:tcBorders>
                  <w:shd w:val="clear" w:color="000000" w:fill="F2F2F2"/>
                  <w:vAlign w:val="center"/>
                  <w:hideMark/>
                </w:tcPr>
                <w:p w14:paraId="60689B19"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Ultra-Luxury</w:t>
                  </w:r>
                </w:p>
              </w:tc>
              <w:tc>
                <w:tcPr>
                  <w:tcW w:w="1020" w:type="dxa"/>
                  <w:tcBorders>
                    <w:top w:val="nil"/>
                    <w:left w:val="nil"/>
                    <w:bottom w:val="nil"/>
                    <w:right w:val="nil"/>
                  </w:tcBorders>
                  <w:shd w:val="clear" w:color="000000" w:fill="F2F2F2"/>
                  <w:vAlign w:val="center"/>
                  <w:hideMark/>
                </w:tcPr>
                <w:p w14:paraId="2812FCFA" w14:textId="5C541F78"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Acquired 2023</w:t>
                  </w:r>
                </w:p>
              </w:tc>
              <w:tc>
                <w:tcPr>
                  <w:tcW w:w="1977" w:type="dxa"/>
                  <w:tcBorders>
                    <w:top w:val="nil"/>
                    <w:left w:val="nil"/>
                    <w:bottom w:val="nil"/>
                    <w:right w:val="nil"/>
                  </w:tcBorders>
                  <w:shd w:val="clear" w:color="000000" w:fill="F2F2F2"/>
                  <w:vAlign w:val="center"/>
                  <w:hideMark/>
                </w:tcPr>
                <w:p w14:paraId="7B7FD610"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Resurrection, Marrakech</w:t>
                  </w:r>
                </w:p>
              </w:tc>
              <w:tc>
                <w:tcPr>
                  <w:tcW w:w="2494" w:type="dxa"/>
                  <w:tcBorders>
                    <w:top w:val="nil"/>
                    <w:left w:val="nil"/>
                    <w:bottom w:val="nil"/>
                    <w:right w:val="nil"/>
                  </w:tcBorders>
                  <w:shd w:val="clear" w:color="000000" w:fill="F2F2F2"/>
                  <w:vAlign w:val="center"/>
                  <w:hideMark/>
                </w:tcPr>
                <w:p w14:paraId="72441C72"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42 New Store Openings in 2024 (incl. 13 in China)</w:t>
                  </w:r>
                </w:p>
              </w:tc>
            </w:tr>
            <w:tr w:rsidR="00A70AE1" w:rsidRPr="00A70AE1" w14:paraId="0804E7B8" w14:textId="77777777" w:rsidTr="00A70AE1">
              <w:trPr>
                <w:trHeight w:val="300"/>
              </w:trPr>
              <w:tc>
                <w:tcPr>
                  <w:tcW w:w="1168" w:type="dxa"/>
                  <w:tcBorders>
                    <w:top w:val="nil"/>
                    <w:left w:val="nil"/>
                    <w:bottom w:val="nil"/>
                    <w:right w:val="nil"/>
                  </w:tcBorders>
                  <w:vAlign w:val="center"/>
                  <w:hideMark/>
                </w:tcPr>
                <w:p w14:paraId="4D25C0E0"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Maison Margiela</w:t>
                  </w:r>
                </w:p>
              </w:tc>
              <w:tc>
                <w:tcPr>
                  <w:tcW w:w="968" w:type="dxa"/>
                  <w:tcBorders>
                    <w:top w:val="nil"/>
                    <w:left w:val="nil"/>
                    <w:bottom w:val="nil"/>
                    <w:right w:val="nil"/>
                  </w:tcBorders>
                  <w:vAlign w:val="center"/>
                  <w:hideMark/>
                </w:tcPr>
                <w:p w14:paraId="3C651EDA"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Couture</w:t>
                  </w:r>
                </w:p>
              </w:tc>
              <w:tc>
                <w:tcPr>
                  <w:tcW w:w="1020" w:type="dxa"/>
                  <w:tcBorders>
                    <w:top w:val="nil"/>
                    <w:left w:val="nil"/>
                    <w:bottom w:val="nil"/>
                    <w:right w:val="nil"/>
                  </w:tcBorders>
                  <w:vAlign w:val="center"/>
                  <w:hideMark/>
                </w:tcPr>
                <w:p w14:paraId="0E5D63FF"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w:t>
                  </w:r>
                </w:p>
              </w:tc>
              <w:tc>
                <w:tcPr>
                  <w:tcW w:w="1977" w:type="dxa"/>
                  <w:tcBorders>
                    <w:top w:val="nil"/>
                    <w:left w:val="nil"/>
                    <w:bottom w:val="nil"/>
                    <w:right w:val="nil"/>
                  </w:tcBorders>
                  <w:vAlign w:val="center"/>
                  <w:hideMark/>
                </w:tcPr>
                <w:p w14:paraId="2FD1D619"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Replica Collection</w:t>
                  </w:r>
                </w:p>
              </w:tc>
              <w:tc>
                <w:tcPr>
                  <w:tcW w:w="2494" w:type="dxa"/>
                  <w:tcBorders>
                    <w:top w:val="nil"/>
                    <w:left w:val="nil"/>
                    <w:bottom w:val="nil"/>
                    <w:right w:val="nil"/>
                  </w:tcBorders>
                  <w:vAlign w:val="center"/>
                  <w:hideMark/>
                </w:tcPr>
                <w:p w14:paraId="200F5A38"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Niche Fragrance Growth</w:t>
                  </w:r>
                </w:p>
              </w:tc>
            </w:tr>
            <w:tr w:rsidR="00A70AE1" w:rsidRPr="00A70AE1" w14:paraId="5FB6DB61" w14:textId="77777777" w:rsidTr="00A70AE1">
              <w:trPr>
                <w:trHeight w:val="300"/>
              </w:trPr>
              <w:tc>
                <w:tcPr>
                  <w:tcW w:w="1168" w:type="dxa"/>
                  <w:tcBorders>
                    <w:top w:val="nil"/>
                    <w:left w:val="nil"/>
                    <w:bottom w:val="nil"/>
                    <w:right w:val="nil"/>
                  </w:tcBorders>
                  <w:shd w:val="clear" w:color="000000" w:fill="F2F2F2"/>
                  <w:vAlign w:val="center"/>
                  <w:hideMark/>
                </w:tcPr>
                <w:p w14:paraId="3F3A3B5C"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 xml:space="preserve">Miu </w:t>
                  </w:r>
                  <w:proofErr w:type="spellStart"/>
                  <w:r w:rsidRPr="003465D7">
                    <w:rPr>
                      <w:rFonts w:eastAsia="楷体" w:cs="Calibri"/>
                      <w:snapToGrid/>
                      <w:color w:val="000000"/>
                      <w:sz w:val="18"/>
                      <w:szCs w:val="18"/>
                    </w:rPr>
                    <w:t>Miu</w:t>
                  </w:r>
                  <w:proofErr w:type="spellEnd"/>
                  <w:r w:rsidRPr="003465D7">
                    <w:rPr>
                      <w:rFonts w:eastAsia="楷体" w:cs="Calibri"/>
                      <w:snapToGrid/>
                      <w:color w:val="000000"/>
                      <w:sz w:val="18"/>
                      <w:szCs w:val="18"/>
                    </w:rPr>
                    <w:t xml:space="preserve"> Beauty</w:t>
                  </w:r>
                </w:p>
              </w:tc>
              <w:tc>
                <w:tcPr>
                  <w:tcW w:w="968" w:type="dxa"/>
                  <w:tcBorders>
                    <w:top w:val="nil"/>
                    <w:left w:val="nil"/>
                    <w:bottom w:val="nil"/>
                    <w:right w:val="nil"/>
                  </w:tcBorders>
                  <w:shd w:val="clear" w:color="000000" w:fill="F2F2F2"/>
                  <w:vAlign w:val="center"/>
                  <w:hideMark/>
                </w:tcPr>
                <w:p w14:paraId="38041722"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Couture</w:t>
                  </w:r>
                </w:p>
              </w:tc>
              <w:tc>
                <w:tcPr>
                  <w:tcW w:w="1020" w:type="dxa"/>
                  <w:tcBorders>
                    <w:top w:val="nil"/>
                    <w:left w:val="nil"/>
                    <w:bottom w:val="nil"/>
                    <w:right w:val="nil"/>
                  </w:tcBorders>
                  <w:shd w:val="clear" w:color="000000" w:fill="F2F2F2"/>
                  <w:vAlign w:val="center"/>
                  <w:hideMark/>
                </w:tcPr>
                <w:p w14:paraId="0FF83D9C"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Licensed 2024</w:t>
                  </w:r>
                </w:p>
              </w:tc>
              <w:tc>
                <w:tcPr>
                  <w:tcW w:w="1977" w:type="dxa"/>
                  <w:tcBorders>
                    <w:top w:val="nil"/>
                    <w:left w:val="nil"/>
                    <w:bottom w:val="nil"/>
                    <w:right w:val="nil"/>
                  </w:tcBorders>
                  <w:shd w:val="clear" w:color="000000" w:fill="F2F2F2"/>
                  <w:vAlign w:val="center"/>
                  <w:hideMark/>
                </w:tcPr>
                <w:p w14:paraId="41603D5F" w14:textId="77777777" w:rsidR="00A70AE1" w:rsidRPr="003465D7" w:rsidRDefault="00A70AE1" w:rsidP="00A70AE1">
                  <w:pPr>
                    <w:jc w:val="center"/>
                    <w:rPr>
                      <w:rFonts w:eastAsia="楷体" w:cs="Calibri"/>
                      <w:snapToGrid/>
                      <w:color w:val="000000"/>
                      <w:sz w:val="18"/>
                      <w:szCs w:val="18"/>
                    </w:rPr>
                  </w:pPr>
                  <w:proofErr w:type="spellStart"/>
                  <w:r w:rsidRPr="003465D7">
                    <w:rPr>
                      <w:rFonts w:eastAsia="楷体" w:cs="Calibri"/>
                      <w:snapToGrid/>
                      <w:color w:val="000000"/>
                      <w:sz w:val="18"/>
                      <w:szCs w:val="18"/>
                    </w:rPr>
                    <w:t>Miutine</w:t>
                  </w:r>
                  <w:proofErr w:type="spellEnd"/>
                  <w:r w:rsidRPr="003465D7">
                    <w:rPr>
                      <w:rFonts w:eastAsia="楷体" w:cs="Calibri"/>
                      <w:snapToGrid/>
                      <w:color w:val="000000"/>
                      <w:sz w:val="18"/>
                      <w:szCs w:val="18"/>
                    </w:rPr>
                    <w:t xml:space="preserve"> (Launch 2025)</w:t>
                  </w:r>
                </w:p>
              </w:tc>
              <w:tc>
                <w:tcPr>
                  <w:tcW w:w="2494" w:type="dxa"/>
                  <w:tcBorders>
                    <w:top w:val="nil"/>
                    <w:left w:val="nil"/>
                    <w:bottom w:val="nil"/>
                    <w:right w:val="nil"/>
                  </w:tcBorders>
                  <w:shd w:val="clear" w:color="000000" w:fill="F2F2F2"/>
                  <w:vAlign w:val="center"/>
                  <w:hideMark/>
                </w:tcPr>
                <w:p w14:paraId="241F4C17" w14:textId="77777777" w:rsidR="00A70AE1" w:rsidRPr="003465D7" w:rsidRDefault="00A70AE1" w:rsidP="00A70AE1">
                  <w:pPr>
                    <w:jc w:val="center"/>
                    <w:rPr>
                      <w:rFonts w:ascii="楷体" w:eastAsia="楷体" w:hAnsi="楷体" w:cs="宋体" w:hint="eastAsia"/>
                      <w:snapToGrid/>
                      <w:color w:val="000000"/>
                      <w:sz w:val="18"/>
                      <w:szCs w:val="18"/>
                    </w:rPr>
                  </w:pPr>
                  <w:r w:rsidRPr="003465D7">
                    <w:rPr>
                      <w:rFonts w:ascii="楷体" w:eastAsia="楷体" w:hAnsi="楷体" w:cs="宋体" w:hint="eastAsia"/>
                      <w:snapToGrid/>
                      <w:color w:val="000000"/>
                      <w:sz w:val="18"/>
                      <w:szCs w:val="18"/>
                    </w:rPr>
                    <w:t>Targeting Gen-Z Consumers</w:t>
                  </w:r>
                </w:p>
              </w:tc>
            </w:tr>
            <w:tr w:rsidR="00A70AE1" w:rsidRPr="00A70AE1" w14:paraId="6475FAB7" w14:textId="77777777" w:rsidTr="00A70AE1">
              <w:trPr>
                <w:trHeight w:val="300"/>
              </w:trPr>
              <w:tc>
                <w:tcPr>
                  <w:tcW w:w="1168" w:type="dxa"/>
                  <w:tcBorders>
                    <w:top w:val="nil"/>
                    <w:left w:val="nil"/>
                    <w:bottom w:val="nil"/>
                    <w:right w:val="nil"/>
                  </w:tcBorders>
                  <w:vAlign w:val="center"/>
                  <w:hideMark/>
                </w:tcPr>
                <w:p w14:paraId="050B0DF4"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Medik8</w:t>
                  </w:r>
                </w:p>
              </w:tc>
              <w:tc>
                <w:tcPr>
                  <w:tcW w:w="968" w:type="dxa"/>
                  <w:tcBorders>
                    <w:top w:val="nil"/>
                    <w:left w:val="nil"/>
                    <w:bottom w:val="nil"/>
                    <w:right w:val="nil"/>
                  </w:tcBorders>
                  <w:vAlign w:val="center"/>
                  <w:hideMark/>
                </w:tcPr>
                <w:p w14:paraId="14230AD5"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Skincare</w:t>
                  </w:r>
                </w:p>
              </w:tc>
              <w:tc>
                <w:tcPr>
                  <w:tcW w:w="1020" w:type="dxa"/>
                  <w:tcBorders>
                    <w:top w:val="nil"/>
                    <w:left w:val="nil"/>
                    <w:bottom w:val="nil"/>
                    <w:right w:val="nil"/>
                  </w:tcBorders>
                  <w:vAlign w:val="center"/>
                  <w:hideMark/>
                </w:tcPr>
                <w:p w14:paraId="1F6341E8"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Acquired 2025</w:t>
                  </w:r>
                </w:p>
              </w:tc>
              <w:tc>
                <w:tcPr>
                  <w:tcW w:w="1977" w:type="dxa"/>
                  <w:tcBorders>
                    <w:top w:val="nil"/>
                    <w:left w:val="nil"/>
                    <w:bottom w:val="nil"/>
                    <w:right w:val="nil"/>
                  </w:tcBorders>
                  <w:vAlign w:val="center"/>
                  <w:hideMark/>
                </w:tcPr>
                <w:p w14:paraId="3DE4216C"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Crystal Retinal</w:t>
                  </w:r>
                </w:p>
              </w:tc>
              <w:tc>
                <w:tcPr>
                  <w:tcW w:w="2494" w:type="dxa"/>
                  <w:tcBorders>
                    <w:top w:val="nil"/>
                    <w:left w:val="nil"/>
                    <w:bottom w:val="nil"/>
                    <w:right w:val="nil"/>
                  </w:tcBorders>
                  <w:vAlign w:val="center"/>
                  <w:hideMark/>
                </w:tcPr>
                <w:p w14:paraId="73E2F24A" w14:textId="77777777" w:rsidR="00A70AE1" w:rsidRPr="003465D7" w:rsidRDefault="00A70AE1" w:rsidP="00A70AE1">
                  <w:pPr>
                    <w:jc w:val="center"/>
                    <w:rPr>
                      <w:rFonts w:ascii="楷体" w:eastAsia="楷体" w:hAnsi="楷体" w:cs="宋体" w:hint="eastAsia"/>
                      <w:snapToGrid/>
                      <w:color w:val="000000"/>
                      <w:sz w:val="18"/>
                      <w:szCs w:val="18"/>
                    </w:rPr>
                  </w:pPr>
                  <w:r w:rsidRPr="003465D7">
                    <w:rPr>
                      <w:rFonts w:ascii="楷体" w:eastAsia="楷体" w:hAnsi="楷体" w:cs="宋体" w:hint="eastAsia"/>
                      <w:snapToGrid/>
                      <w:color w:val="000000"/>
                      <w:sz w:val="18"/>
                      <w:szCs w:val="18"/>
                    </w:rPr>
                    <w:t>—</w:t>
                  </w:r>
                </w:p>
              </w:tc>
            </w:tr>
          </w:tbl>
          <w:p w14:paraId="3C9E7CB9" w14:textId="77777777" w:rsidR="005C3356" w:rsidRDefault="005C3356" w:rsidP="00816572">
            <w:pPr>
              <w:rPr>
                <w:rFonts w:asciiTheme="minorHAnsi" w:eastAsia="楷体" w:hAnsiTheme="minorHAnsi" w:cstheme="minorHAnsi" w:hint="eastAsia"/>
                <w:kern w:val="2"/>
                <w:sz w:val="22"/>
                <w:szCs w:val="22"/>
              </w:rPr>
            </w:pPr>
          </w:p>
        </w:tc>
      </w:tr>
      <w:tr w:rsidR="005C3356" w14:paraId="0E1EA414" w14:textId="77777777" w:rsidTr="00816572">
        <w:tc>
          <w:tcPr>
            <w:tcW w:w="7733" w:type="dxa"/>
            <w:tcBorders>
              <w:top w:val="single" w:sz="4" w:space="0" w:color="auto"/>
            </w:tcBorders>
          </w:tcPr>
          <w:p w14:paraId="1BE7290D" w14:textId="77777777" w:rsidR="005C3356"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w:t>
            </w:r>
            <w:r>
              <w:rPr>
                <w:rFonts w:eastAsia="楷体" w:cs="Calibri" w:hint="eastAsia"/>
                <w:kern w:val="2"/>
                <w:sz w:val="22"/>
                <w:szCs w:val="22"/>
              </w:rPr>
              <w:t>r</w:t>
            </w:r>
            <w:r w:rsidRPr="008966C3">
              <w:rPr>
                <w:rFonts w:eastAsia="楷体" w:cs="Calibri"/>
                <w:kern w:val="2"/>
                <w:sz w:val="22"/>
                <w:szCs w:val="22"/>
              </w:rPr>
              <w:t>ts</w:t>
            </w:r>
            <w:r>
              <w:rPr>
                <w:rFonts w:eastAsia="楷体" w:cs="Calibri" w:hint="eastAsia"/>
                <w:kern w:val="2"/>
                <w:sz w:val="22"/>
                <w:szCs w:val="22"/>
              </w:rPr>
              <w:t>, HFI</w:t>
            </w:r>
          </w:p>
        </w:tc>
      </w:tr>
    </w:tbl>
    <w:p w14:paraId="4FFBFC80" w14:textId="77777777" w:rsidR="008966C3" w:rsidRPr="005C3356" w:rsidRDefault="008966C3">
      <w:pPr>
        <w:jc w:val="both"/>
        <w:rPr>
          <w:rFonts w:eastAsia="楷体" w:cs="Calibri"/>
          <w:kern w:val="2"/>
          <w:sz w:val="22"/>
          <w:szCs w:val="22"/>
        </w:rPr>
      </w:pPr>
    </w:p>
    <w:p w14:paraId="11C8D429" w14:textId="44843207" w:rsidR="008966C3" w:rsidRDefault="005C3356">
      <w:pPr>
        <w:jc w:val="both"/>
        <w:rPr>
          <w:rFonts w:eastAsia="楷体" w:cs="Calibri"/>
          <w:kern w:val="2"/>
          <w:sz w:val="22"/>
          <w:szCs w:val="22"/>
        </w:rPr>
      </w:pPr>
      <w:r w:rsidRPr="00D7310D">
        <w:rPr>
          <w:rFonts w:eastAsia="楷体" w:cs="Calibri"/>
          <w:b/>
          <w:bCs/>
          <w:kern w:val="2"/>
          <w:sz w:val="22"/>
          <w:szCs w:val="22"/>
        </w:rPr>
        <w:lastRenderedPageBreak/>
        <w:t xml:space="preserve">The brands in this division command powerful premiums through unique brand stories and innovative technology, demonstrating the group's exceptional brand-building capabilities. </w:t>
      </w:r>
      <w:r w:rsidRPr="005C3356">
        <w:rPr>
          <w:rFonts w:eastAsia="楷体" w:cs="Calibri"/>
          <w:kern w:val="2"/>
          <w:sz w:val="22"/>
          <w:szCs w:val="22"/>
        </w:rPr>
        <w:t xml:space="preserve">Taking Lancôme as an example: founded in 1935 and acquired by L'Oréal in 1964, Lancôme is positioned around French elegance and cutting-edge science, ranking as a leading luxury beauty brand in 130 global markets. At the brand narrative level, Lancôme uses the rose as its inspirational symbol — drawn from the château at </w:t>
      </w:r>
      <w:proofErr w:type="spellStart"/>
      <w:r w:rsidRPr="005C3356">
        <w:rPr>
          <w:rFonts w:eastAsia="楷体" w:cs="Calibri"/>
          <w:kern w:val="2"/>
          <w:sz w:val="22"/>
          <w:szCs w:val="22"/>
        </w:rPr>
        <w:t>Lancosme</w:t>
      </w:r>
      <w:proofErr w:type="spellEnd"/>
      <w:r w:rsidRPr="005C3356">
        <w:rPr>
          <w:rFonts w:eastAsia="楷体" w:cs="Calibri"/>
          <w:kern w:val="2"/>
          <w:sz w:val="22"/>
          <w:szCs w:val="22"/>
        </w:rPr>
        <w:t xml:space="preserve"> — and conveys an ethos of elegance and confidence through global celebrity ambassadors including Julia Roberts and Zendaya. At the product technology level, the </w:t>
      </w:r>
      <w:proofErr w:type="spellStart"/>
      <w:r w:rsidRPr="005C3356">
        <w:rPr>
          <w:rFonts w:eastAsia="楷体" w:cs="Calibri"/>
          <w:kern w:val="2"/>
          <w:sz w:val="22"/>
          <w:szCs w:val="22"/>
        </w:rPr>
        <w:t>Génifique</w:t>
      </w:r>
      <w:proofErr w:type="spellEnd"/>
      <w:r w:rsidRPr="005C3356">
        <w:rPr>
          <w:rFonts w:eastAsia="楷体" w:cs="Calibri"/>
          <w:kern w:val="2"/>
          <w:sz w:val="22"/>
          <w:szCs w:val="22"/>
        </w:rPr>
        <w:t xml:space="preserve"> serum deploys the group's proprietary </w:t>
      </w:r>
      <w:proofErr w:type="spellStart"/>
      <w:r w:rsidRPr="005C3356">
        <w:rPr>
          <w:rFonts w:eastAsia="楷体" w:cs="Calibri"/>
          <w:kern w:val="2"/>
          <w:sz w:val="22"/>
          <w:szCs w:val="22"/>
        </w:rPr>
        <w:t>Bifidus</w:t>
      </w:r>
      <w:proofErr w:type="spellEnd"/>
      <w:r w:rsidRPr="005C3356">
        <w:rPr>
          <w:rFonts w:eastAsia="楷体" w:cs="Calibri"/>
          <w:kern w:val="2"/>
          <w:sz w:val="22"/>
          <w:szCs w:val="22"/>
        </w:rPr>
        <w:t xml:space="preserve"> fermentation technology, and the </w:t>
      </w:r>
      <w:proofErr w:type="spellStart"/>
      <w:r w:rsidRPr="005C3356">
        <w:rPr>
          <w:rFonts w:eastAsia="楷体" w:cs="Calibri"/>
          <w:kern w:val="2"/>
          <w:sz w:val="22"/>
          <w:szCs w:val="22"/>
        </w:rPr>
        <w:t>Absolue</w:t>
      </w:r>
      <w:proofErr w:type="spellEnd"/>
      <w:r w:rsidRPr="005C3356">
        <w:rPr>
          <w:rFonts w:eastAsia="楷体" w:cs="Calibri"/>
          <w:kern w:val="2"/>
          <w:sz w:val="22"/>
          <w:szCs w:val="22"/>
        </w:rPr>
        <w:t xml:space="preserve"> range targets ultra-luxury anti-ageing using Pro-</w:t>
      </w:r>
      <w:proofErr w:type="spellStart"/>
      <w:r w:rsidRPr="005C3356">
        <w:rPr>
          <w:rFonts w:eastAsia="楷体" w:cs="Calibri"/>
          <w:kern w:val="2"/>
          <w:sz w:val="22"/>
          <w:szCs w:val="22"/>
        </w:rPr>
        <w:t>Xylane</w:t>
      </w:r>
      <w:proofErr w:type="spellEnd"/>
      <w:r w:rsidRPr="005C3356">
        <w:rPr>
          <w:rFonts w:eastAsia="楷体" w:cs="Calibri"/>
          <w:kern w:val="2"/>
          <w:sz w:val="22"/>
          <w:szCs w:val="22"/>
        </w:rPr>
        <w:t xml:space="preserve"> and rose extract, translating the group's EUR 1.38 billion annual R&amp;D investment into product differentiation. In terms of channel management, Lancôme strictly limits distribution to premium channels — department store counters, brand boutiques, and official e-commerce — maintaining a unified brand positioning. This is validated by the L'Oréal Luxe division's overall operating profit margin of 22.3% in 2024, confirming the sustainability of brand premium.</w:t>
      </w:r>
    </w:p>
    <w:p w14:paraId="65BE73A2" w14:textId="77777777" w:rsidR="009D2965" w:rsidRDefault="009D2965">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5C3356" w:rsidRPr="008966C3" w14:paraId="69C6C2B7" w14:textId="77777777" w:rsidTr="00816572">
        <w:tc>
          <w:tcPr>
            <w:tcW w:w="7733" w:type="dxa"/>
            <w:tcBorders>
              <w:bottom w:val="single" w:sz="4" w:space="0" w:color="auto"/>
            </w:tcBorders>
          </w:tcPr>
          <w:p w14:paraId="524986D7" w14:textId="093B81A5"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Figure: </w:t>
            </w:r>
            <w:r w:rsidRPr="005C3356">
              <w:rPr>
                <w:rFonts w:eastAsia="楷体" w:cs="Calibri"/>
                <w:b/>
                <w:bCs/>
                <w:kern w:val="2"/>
                <w:sz w:val="22"/>
                <w:szCs w:val="22"/>
              </w:rPr>
              <w:t>Lancôme Brand Overview</w:t>
            </w:r>
          </w:p>
        </w:tc>
      </w:tr>
      <w:tr w:rsidR="005C3356" w14:paraId="7E5239D5" w14:textId="77777777" w:rsidTr="00816572">
        <w:tc>
          <w:tcPr>
            <w:tcW w:w="7733" w:type="dxa"/>
            <w:tcBorders>
              <w:top w:val="single" w:sz="4" w:space="0" w:color="auto"/>
              <w:bottom w:val="single" w:sz="4" w:space="0" w:color="auto"/>
            </w:tcBorders>
          </w:tcPr>
          <w:tbl>
            <w:tblPr>
              <w:tblW w:w="7596" w:type="dxa"/>
              <w:tblLook w:val="04A0" w:firstRow="1" w:lastRow="0" w:firstColumn="1" w:lastColumn="0" w:noHBand="0" w:noVBand="1"/>
            </w:tblPr>
            <w:tblGrid>
              <w:gridCol w:w="1206"/>
              <w:gridCol w:w="2226"/>
              <w:gridCol w:w="1418"/>
              <w:gridCol w:w="2746"/>
            </w:tblGrid>
            <w:tr w:rsidR="00A70AE1" w:rsidRPr="00A70AE1" w14:paraId="32A75513" w14:textId="77777777" w:rsidTr="00A70AE1">
              <w:trPr>
                <w:trHeight w:val="814"/>
              </w:trPr>
              <w:tc>
                <w:tcPr>
                  <w:tcW w:w="1206" w:type="dxa"/>
                  <w:tcBorders>
                    <w:top w:val="nil"/>
                    <w:left w:val="nil"/>
                    <w:bottom w:val="nil"/>
                    <w:right w:val="nil"/>
                  </w:tcBorders>
                  <w:shd w:val="clear" w:color="000000" w:fill="002060"/>
                  <w:vAlign w:val="center"/>
                  <w:hideMark/>
                </w:tcPr>
                <w:p w14:paraId="6A6CBD26"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Category</w:t>
                  </w:r>
                </w:p>
              </w:tc>
              <w:tc>
                <w:tcPr>
                  <w:tcW w:w="2226" w:type="dxa"/>
                  <w:tcBorders>
                    <w:top w:val="nil"/>
                    <w:left w:val="nil"/>
                    <w:bottom w:val="nil"/>
                    <w:right w:val="nil"/>
                  </w:tcBorders>
                  <w:shd w:val="clear" w:color="000000" w:fill="002060"/>
                  <w:vAlign w:val="center"/>
                  <w:hideMark/>
                </w:tcPr>
                <w:p w14:paraId="68A15BE7"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Hero Products</w:t>
                  </w:r>
                </w:p>
              </w:tc>
              <w:tc>
                <w:tcPr>
                  <w:tcW w:w="1418" w:type="dxa"/>
                  <w:tcBorders>
                    <w:top w:val="nil"/>
                    <w:left w:val="nil"/>
                    <w:bottom w:val="nil"/>
                    <w:right w:val="nil"/>
                  </w:tcBorders>
                  <w:shd w:val="clear" w:color="000000" w:fill="002060"/>
                  <w:vAlign w:val="center"/>
                  <w:hideMark/>
                </w:tcPr>
                <w:p w14:paraId="114FABDA"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Target Consumer</w:t>
                  </w:r>
                </w:p>
              </w:tc>
              <w:tc>
                <w:tcPr>
                  <w:tcW w:w="2746" w:type="dxa"/>
                  <w:tcBorders>
                    <w:top w:val="nil"/>
                    <w:left w:val="nil"/>
                    <w:bottom w:val="nil"/>
                    <w:right w:val="nil"/>
                  </w:tcBorders>
                  <w:shd w:val="clear" w:color="000000" w:fill="002060"/>
                  <w:vAlign w:val="center"/>
                  <w:hideMark/>
                </w:tcPr>
                <w:p w14:paraId="38807222"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Highlights</w:t>
                  </w:r>
                </w:p>
              </w:tc>
            </w:tr>
            <w:tr w:rsidR="00A70AE1" w:rsidRPr="00A70AE1" w14:paraId="665E5620" w14:textId="77777777" w:rsidTr="00A70AE1">
              <w:trPr>
                <w:trHeight w:val="542"/>
              </w:trPr>
              <w:tc>
                <w:tcPr>
                  <w:tcW w:w="1206" w:type="dxa"/>
                  <w:tcBorders>
                    <w:top w:val="nil"/>
                    <w:left w:val="nil"/>
                    <w:bottom w:val="nil"/>
                    <w:right w:val="nil"/>
                  </w:tcBorders>
                  <w:vAlign w:val="center"/>
                  <w:hideMark/>
                </w:tcPr>
                <w:p w14:paraId="587781C2"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Skincare</w:t>
                  </w:r>
                </w:p>
              </w:tc>
              <w:tc>
                <w:tcPr>
                  <w:tcW w:w="2226" w:type="dxa"/>
                  <w:tcBorders>
                    <w:top w:val="nil"/>
                    <w:left w:val="nil"/>
                    <w:bottom w:val="nil"/>
                    <w:right w:val="nil"/>
                  </w:tcBorders>
                  <w:vAlign w:val="center"/>
                  <w:hideMark/>
                </w:tcPr>
                <w:p w14:paraId="7BB9D0BB"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 xml:space="preserve">Advanced </w:t>
                  </w:r>
                  <w:proofErr w:type="spellStart"/>
                  <w:r w:rsidRPr="003465D7">
                    <w:rPr>
                      <w:rFonts w:eastAsia="楷体" w:cs="Calibri"/>
                      <w:snapToGrid/>
                      <w:color w:val="000000"/>
                      <w:sz w:val="18"/>
                      <w:szCs w:val="18"/>
                    </w:rPr>
                    <w:t>Génifique</w:t>
                  </w:r>
                  <w:proofErr w:type="spellEnd"/>
                  <w:r w:rsidRPr="003465D7">
                    <w:rPr>
                      <w:rFonts w:eastAsia="楷体" w:cs="Calibri"/>
                      <w:snapToGrid/>
                      <w:color w:val="000000"/>
                      <w:sz w:val="18"/>
                      <w:szCs w:val="18"/>
                    </w:rPr>
                    <w:t xml:space="preserve"> Serum; Biotic Serum</w:t>
                  </w:r>
                </w:p>
              </w:tc>
              <w:tc>
                <w:tcPr>
                  <w:tcW w:w="1418" w:type="dxa"/>
                  <w:tcBorders>
                    <w:top w:val="nil"/>
                    <w:left w:val="nil"/>
                    <w:bottom w:val="nil"/>
                    <w:right w:val="nil"/>
                  </w:tcBorders>
                  <w:vAlign w:val="center"/>
                  <w:hideMark/>
                </w:tcPr>
                <w:p w14:paraId="5CC859C4"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 xml:space="preserve">Women </w:t>
                  </w:r>
                </w:p>
                <w:p w14:paraId="22898D4C" w14:textId="1B5D13AB"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25–55</w:t>
                  </w:r>
                </w:p>
              </w:tc>
              <w:tc>
                <w:tcPr>
                  <w:tcW w:w="2746" w:type="dxa"/>
                  <w:tcBorders>
                    <w:top w:val="nil"/>
                    <w:left w:val="nil"/>
                    <w:bottom w:val="nil"/>
                    <w:right w:val="nil"/>
                  </w:tcBorders>
                  <w:vAlign w:val="center"/>
                  <w:hideMark/>
                </w:tcPr>
                <w:p w14:paraId="11FE5DBA"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Top 3 Prestige Serum in China</w:t>
                  </w:r>
                </w:p>
              </w:tc>
            </w:tr>
            <w:tr w:rsidR="00A70AE1" w:rsidRPr="00A70AE1" w14:paraId="32E95682" w14:textId="77777777" w:rsidTr="00A70AE1">
              <w:trPr>
                <w:trHeight w:val="847"/>
              </w:trPr>
              <w:tc>
                <w:tcPr>
                  <w:tcW w:w="1206" w:type="dxa"/>
                  <w:tcBorders>
                    <w:top w:val="nil"/>
                    <w:left w:val="nil"/>
                    <w:bottom w:val="nil"/>
                    <w:right w:val="nil"/>
                  </w:tcBorders>
                  <w:shd w:val="clear" w:color="000000" w:fill="F2F2F2"/>
                  <w:vAlign w:val="center"/>
                  <w:hideMark/>
                </w:tcPr>
                <w:p w14:paraId="4C1AF43F"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Anti-Aging</w:t>
                  </w:r>
                </w:p>
              </w:tc>
              <w:tc>
                <w:tcPr>
                  <w:tcW w:w="2226" w:type="dxa"/>
                  <w:tcBorders>
                    <w:top w:val="nil"/>
                    <w:left w:val="nil"/>
                    <w:bottom w:val="nil"/>
                    <w:right w:val="nil"/>
                  </w:tcBorders>
                  <w:shd w:val="clear" w:color="000000" w:fill="F2F2F2"/>
                  <w:vAlign w:val="center"/>
                  <w:hideMark/>
                </w:tcPr>
                <w:p w14:paraId="411900EF" w14:textId="77777777" w:rsidR="00A70AE1" w:rsidRPr="003465D7" w:rsidRDefault="00A70AE1" w:rsidP="00A70AE1">
                  <w:pPr>
                    <w:jc w:val="center"/>
                    <w:rPr>
                      <w:rFonts w:eastAsia="楷体" w:cs="Calibri"/>
                      <w:snapToGrid/>
                      <w:color w:val="000000"/>
                      <w:sz w:val="18"/>
                      <w:szCs w:val="18"/>
                    </w:rPr>
                  </w:pPr>
                  <w:proofErr w:type="spellStart"/>
                  <w:r w:rsidRPr="003465D7">
                    <w:rPr>
                      <w:rFonts w:eastAsia="楷体" w:cs="Calibri"/>
                      <w:snapToGrid/>
                      <w:color w:val="000000"/>
                      <w:sz w:val="18"/>
                      <w:szCs w:val="18"/>
                    </w:rPr>
                    <w:t>Absolue</w:t>
                  </w:r>
                  <w:proofErr w:type="spellEnd"/>
                  <w:r w:rsidRPr="003465D7">
                    <w:rPr>
                      <w:rFonts w:eastAsia="楷体" w:cs="Calibri"/>
                      <w:snapToGrid/>
                      <w:color w:val="000000"/>
                      <w:sz w:val="18"/>
                      <w:szCs w:val="18"/>
                    </w:rPr>
                    <w:t xml:space="preserve"> Collection; Rose + Pro-</w:t>
                  </w:r>
                  <w:proofErr w:type="spellStart"/>
                  <w:r w:rsidRPr="003465D7">
                    <w:rPr>
                      <w:rFonts w:eastAsia="楷体" w:cs="Calibri"/>
                      <w:snapToGrid/>
                      <w:color w:val="000000"/>
                      <w:sz w:val="18"/>
                      <w:szCs w:val="18"/>
                    </w:rPr>
                    <w:t>Xylane</w:t>
                  </w:r>
                  <w:proofErr w:type="spellEnd"/>
                </w:p>
              </w:tc>
              <w:tc>
                <w:tcPr>
                  <w:tcW w:w="1418" w:type="dxa"/>
                  <w:tcBorders>
                    <w:top w:val="nil"/>
                    <w:left w:val="nil"/>
                    <w:bottom w:val="nil"/>
                    <w:right w:val="nil"/>
                  </w:tcBorders>
                  <w:shd w:val="clear" w:color="000000" w:fill="F2F2F2"/>
                  <w:vAlign w:val="center"/>
                  <w:hideMark/>
                </w:tcPr>
                <w:p w14:paraId="7745A7D0"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Women 40+</w:t>
                  </w:r>
                </w:p>
              </w:tc>
              <w:tc>
                <w:tcPr>
                  <w:tcW w:w="2746" w:type="dxa"/>
                  <w:tcBorders>
                    <w:top w:val="nil"/>
                    <w:left w:val="nil"/>
                    <w:bottom w:val="nil"/>
                    <w:right w:val="nil"/>
                  </w:tcBorders>
                  <w:shd w:val="clear" w:color="000000" w:fill="F2F2F2"/>
                  <w:vAlign w:val="center"/>
                  <w:hideMark/>
                </w:tcPr>
                <w:p w14:paraId="4643D258"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Ultra-Premium Anti-Aging Line</w:t>
                  </w:r>
                </w:p>
              </w:tc>
            </w:tr>
            <w:tr w:rsidR="00A70AE1" w:rsidRPr="00A70AE1" w14:paraId="0CFDF847" w14:textId="77777777" w:rsidTr="00A70AE1">
              <w:trPr>
                <w:trHeight w:val="542"/>
              </w:trPr>
              <w:tc>
                <w:tcPr>
                  <w:tcW w:w="1206" w:type="dxa"/>
                  <w:tcBorders>
                    <w:top w:val="nil"/>
                    <w:left w:val="nil"/>
                    <w:bottom w:val="nil"/>
                    <w:right w:val="nil"/>
                  </w:tcBorders>
                  <w:vAlign w:val="center"/>
                  <w:hideMark/>
                </w:tcPr>
                <w:p w14:paraId="3CA87937"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Makeup</w:t>
                  </w:r>
                </w:p>
              </w:tc>
              <w:tc>
                <w:tcPr>
                  <w:tcW w:w="2226" w:type="dxa"/>
                  <w:tcBorders>
                    <w:top w:val="nil"/>
                    <w:left w:val="nil"/>
                    <w:bottom w:val="nil"/>
                    <w:right w:val="nil"/>
                  </w:tcBorders>
                  <w:vAlign w:val="center"/>
                  <w:hideMark/>
                </w:tcPr>
                <w:p w14:paraId="263F1178" w14:textId="77777777" w:rsidR="00A70AE1" w:rsidRPr="003465D7" w:rsidRDefault="00A70AE1" w:rsidP="00A70AE1">
                  <w:pPr>
                    <w:jc w:val="center"/>
                    <w:rPr>
                      <w:rFonts w:eastAsia="楷体" w:cs="Calibri"/>
                      <w:snapToGrid/>
                      <w:color w:val="000000"/>
                      <w:sz w:val="18"/>
                      <w:szCs w:val="18"/>
                    </w:rPr>
                  </w:pPr>
                  <w:proofErr w:type="spellStart"/>
                  <w:r w:rsidRPr="003465D7">
                    <w:rPr>
                      <w:rFonts w:eastAsia="楷体" w:cs="Calibri"/>
                      <w:snapToGrid/>
                      <w:color w:val="000000"/>
                      <w:sz w:val="18"/>
                      <w:szCs w:val="18"/>
                    </w:rPr>
                    <w:t>Teint</w:t>
                  </w:r>
                  <w:proofErr w:type="spellEnd"/>
                  <w:r w:rsidRPr="003465D7">
                    <w:rPr>
                      <w:rFonts w:eastAsia="楷体" w:cs="Calibri"/>
                      <w:snapToGrid/>
                      <w:color w:val="000000"/>
                      <w:sz w:val="18"/>
                      <w:szCs w:val="18"/>
                    </w:rPr>
                    <w:t xml:space="preserve"> </w:t>
                  </w:r>
                  <w:proofErr w:type="spellStart"/>
                  <w:r w:rsidRPr="003465D7">
                    <w:rPr>
                      <w:rFonts w:eastAsia="楷体" w:cs="Calibri"/>
                      <w:snapToGrid/>
                      <w:color w:val="000000"/>
                      <w:sz w:val="18"/>
                      <w:szCs w:val="18"/>
                    </w:rPr>
                    <w:t>Idole</w:t>
                  </w:r>
                  <w:proofErr w:type="spellEnd"/>
                  <w:r w:rsidRPr="003465D7">
                    <w:rPr>
                      <w:rFonts w:eastAsia="楷体" w:cs="Calibri"/>
                      <w:snapToGrid/>
                      <w:color w:val="000000"/>
                      <w:sz w:val="18"/>
                      <w:szCs w:val="18"/>
                    </w:rPr>
                    <w:t xml:space="preserve"> Ultra Wear Foundation</w:t>
                  </w:r>
                </w:p>
              </w:tc>
              <w:tc>
                <w:tcPr>
                  <w:tcW w:w="1418" w:type="dxa"/>
                  <w:tcBorders>
                    <w:top w:val="nil"/>
                    <w:left w:val="nil"/>
                    <w:bottom w:val="nil"/>
                    <w:right w:val="nil"/>
                  </w:tcBorders>
                  <w:vAlign w:val="center"/>
                  <w:hideMark/>
                </w:tcPr>
                <w:p w14:paraId="11F99D43" w14:textId="3012C684"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Women</w:t>
                  </w:r>
                </w:p>
                <w:p w14:paraId="5C8DDDF1" w14:textId="705F457C"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20–45</w:t>
                  </w:r>
                </w:p>
              </w:tc>
              <w:tc>
                <w:tcPr>
                  <w:tcW w:w="2746" w:type="dxa"/>
                  <w:tcBorders>
                    <w:top w:val="nil"/>
                    <w:left w:val="nil"/>
                    <w:bottom w:val="nil"/>
                    <w:right w:val="nil"/>
                  </w:tcBorders>
                  <w:vAlign w:val="center"/>
                  <w:hideMark/>
                </w:tcPr>
                <w:p w14:paraId="49884CFA"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One of the Best-Selling Prestige Foundations Globally</w:t>
                  </w:r>
                </w:p>
              </w:tc>
            </w:tr>
            <w:tr w:rsidR="00A70AE1" w:rsidRPr="00A70AE1" w14:paraId="7804AC1B" w14:textId="77777777" w:rsidTr="00A70AE1">
              <w:trPr>
                <w:trHeight w:val="814"/>
              </w:trPr>
              <w:tc>
                <w:tcPr>
                  <w:tcW w:w="1206" w:type="dxa"/>
                  <w:tcBorders>
                    <w:top w:val="nil"/>
                    <w:left w:val="nil"/>
                    <w:bottom w:val="nil"/>
                    <w:right w:val="nil"/>
                  </w:tcBorders>
                  <w:shd w:val="clear" w:color="000000" w:fill="F2F2F2"/>
                  <w:vAlign w:val="center"/>
                  <w:hideMark/>
                </w:tcPr>
                <w:p w14:paraId="062A6D06"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Fragrance</w:t>
                  </w:r>
                </w:p>
              </w:tc>
              <w:tc>
                <w:tcPr>
                  <w:tcW w:w="2226" w:type="dxa"/>
                  <w:tcBorders>
                    <w:top w:val="nil"/>
                    <w:left w:val="nil"/>
                    <w:bottom w:val="nil"/>
                    <w:right w:val="nil"/>
                  </w:tcBorders>
                  <w:shd w:val="clear" w:color="000000" w:fill="F2F2F2"/>
                  <w:vAlign w:val="center"/>
                  <w:hideMark/>
                </w:tcPr>
                <w:p w14:paraId="24A53F9F"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La Vie Est Belle</w:t>
                  </w:r>
                </w:p>
              </w:tc>
              <w:tc>
                <w:tcPr>
                  <w:tcW w:w="1418" w:type="dxa"/>
                  <w:tcBorders>
                    <w:top w:val="nil"/>
                    <w:left w:val="nil"/>
                    <w:bottom w:val="nil"/>
                    <w:right w:val="nil"/>
                  </w:tcBorders>
                  <w:shd w:val="clear" w:color="000000" w:fill="F2F2F2"/>
                  <w:vAlign w:val="center"/>
                  <w:hideMark/>
                </w:tcPr>
                <w:p w14:paraId="0EF024E0"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Women</w:t>
                  </w:r>
                </w:p>
                <w:p w14:paraId="72867254" w14:textId="23304C69"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25–50</w:t>
                  </w:r>
                </w:p>
              </w:tc>
              <w:tc>
                <w:tcPr>
                  <w:tcW w:w="2746" w:type="dxa"/>
                  <w:tcBorders>
                    <w:top w:val="nil"/>
                    <w:left w:val="nil"/>
                    <w:bottom w:val="nil"/>
                    <w:right w:val="nil"/>
                  </w:tcBorders>
                  <w:shd w:val="clear" w:color="000000" w:fill="F2F2F2"/>
                  <w:vAlign w:val="center"/>
                  <w:hideMark/>
                </w:tcPr>
                <w:p w14:paraId="2ADCE9DE" w14:textId="77777777" w:rsidR="00A70AE1" w:rsidRPr="003465D7" w:rsidRDefault="00A70AE1" w:rsidP="00A70AE1">
                  <w:pPr>
                    <w:jc w:val="center"/>
                    <w:rPr>
                      <w:rFonts w:eastAsia="楷体" w:cs="Calibri"/>
                      <w:snapToGrid/>
                      <w:color w:val="000000"/>
                      <w:sz w:val="18"/>
                      <w:szCs w:val="18"/>
                    </w:rPr>
                  </w:pPr>
                  <w:r w:rsidRPr="003465D7">
                    <w:rPr>
                      <w:rFonts w:eastAsia="楷体" w:cs="Calibri"/>
                      <w:snapToGrid/>
                      <w:color w:val="000000"/>
                      <w:sz w:val="18"/>
                      <w:szCs w:val="18"/>
                    </w:rPr>
                    <w:t>Top 5 Best-Selling Women's Fragrance Worldwide</w:t>
                  </w:r>
                </w:p>
              </w:tc>
            </w:tr>
          </w:tbl>
          <w:p w14:paraId="0928D3CE" w14:textId="77777777" w:rsidR="005C3356" w:rsidRPr="00A70AE1" w:rsidRDefault="005C3356" w:rsidP="00816572">
            <w:pPr>
              <w:rPr>
                <w:rFonts w:asciiTheme="minorHAnsi" w:eastAsia="楷体" w:hAnsiTheme="minorHAnsi" w:cstheme="minorHAnsi" w:hint="eastAsia"/>
                <w:kern w:val="2"/>
                <w:sz w:val="22"/>
                <w:szCs w:val="22"/>
              </w:rPr>
            </w:pPr>
          </w:p>
        </w:tc>
      </w:tr>
      <w:tr w:rsidR="005C3356" w14:paraId="0F508200" w14:textId="77777777" w:rsidTr="00816572">
        <w:tc>
          <w:tcPr>
            <w:tcW w:w="7733" w:type="dxa"/>
            <w:tcBorders>
              <w:top w:val="single" w:sz="4" w:space="0" w:color="auto"/>
            </w:tcBorders>
          </w:tcPr>
          <w:p w14:paraId="3381A2D5" w14:textId="77777777" w:rsidR="005C3356"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w:t>
            </w:r>
            <w:r>
              <w:rPr>
                <w:rFonts w:eastAsia="楷体" w:cs="Calibri" w:hint="eastAsia"/>
                <w:kern w:val="2"/>
                <w:sz w:val="22"/>
                <w:szCs w:val="22"/>
              </w:rPr>
              <w:t>r</w:t>
            </w:r>
            <w:r w:rsidRPr="008966C3">
              <w:rPr>
                <w:rFonts w:eastAsia="楷体" w:cs="Calibri"/>
                <w:kern w:val="2"/>
                <w:sz w:val="22"/>
                <w:szCs w:val="22"/>
              </w:rPr>
              <w:t>ts</w:t>
            </w:r>
            <w:r>
              <w:rPr>
                <w:rFonts w:eastAsia="楷体" w:cs="Calibri" w:hint="eastAsia"/>
                <w:kern w:val="2"/>
                <w:sz w:val="22"/>
                <w:szCs w:val="22"/>
              </w:rPr>
              <w:t>, HFI</w:t>
            </w:r>
          </w:p>
        </w:tc>
      </w:tr>
    </w:tbl>
    <w:p w14:paraId="1CA59826" w14:textId="77777777" w:rsidR="005C3356" w:rsidRDefault="005C3356">
      <w:pPr>
        <w:jc w:val="both"/>
        <w:rPr>
          <w:rFonts w:eastAsia="楷体" w:cs="Calibri"/>
          <w:kern w:val="2"/>
          <w:sz w:val="22"/>
          <w:szCs w:val="22"/>
        </w:rPr>
      </w:pPr>
    </w:p>
    <w:p w14:paraId="4D5BBF0D" w14:textId="2D9336DF" w:rsidR="005C3356" w:rsidRPr="0055526B" w:rsidRDefault="005C3356" w:rsidP="005C3356">
      <w:pPr>
        <w:pStyle w:val="211"/>
        <w:ind w:right="42"/>
        <w:jc w:val="both"/>
        <w:rPr>
          <w:rFonts w:ascii="Calibri" w:eastAsia="楷体" w:hAnsi="Calibri" w:cs="Calibri"/>
          <w:color w:val="23558C"/>
          <w:sz w:val="24"/>
        </w:rPr>
      </w:pPr>
      <w:bookmarkStart w:id="22" w:name="_Toc224295884"/>
      <w:r w:rsidRPr="008966C3">
        <w:rPr>
          <w:rFonts w:ascii="Calibri" w:eastAsia="楷体" w:hAnsi="Calibri" w:cs="Calibri" w:hint="eastAsia"/>
          <w:color w:val="23558C"/>
          <w:sz w:val="24"/>
        </w:rPr>
        <w:t>3.</w:t>
      </w:r>
      <w:r>
        <w:rPr>
          <w:rFonts w:ascii="Calibri" w:eastAsia="楷体" w:hAnsi="Calibri" w:cs="Calibri" w:hint="eastAsia"/>
          <w:color w:val="23558C"/>
          <w:sz w:val="24"/>
        </w:rPr>
        <w:t>3</w:t>
      </w:r>
      <w:r w:rsidR="0055526B">
        <w:rPr>
          <w:rFonts w:ascii="Calibri" w:eastAsia="楷体" w:hAnsi="Calibri" w:cs="Calibri" w:hint="eastAsia"/>
          <w:color w:val="23558C"/>
          <w:sz w:val="24"/>
        </w:rPr>
        <w:t xml:space="preserve"> </w:t>
      </w:r>
      <w:r w:rsidRPr="005C3356">
        <w:rPr>
          <w:rFonts w:ascii="Calibri" w:eastAsia="楷体" w:hAnsi="Calibri" w:cs="Calibri"/>
          <w:color w:val="23558C"/>
          <w:sz w:val="24"/>
        </w:rPr>
        <w:t>Professional Products Division</w:t>
      </w:r>
      <w:r w:rsidR="0055526B">
        <w:rPr>
          <w:rFonts w:ascii="Calibri" w:eastAsia="楷体" w:hAnsi="Calibri" w:cs="Calibri" w:hint="eastAsia"/>
          <w:color w:val="23558C"/>
          <w:sz w:val="24"/>
        </w:rPr>
        <w:t>:</w:t>
      </w:r>
      <w:r w:rsidR="0055526B" w:rsidRPr="0055526B">
        <w:t xml:space="preserve"> </w:t>
      </w:r>
      <w:r w:rsidR="0055526B" w:rsidRPr="0055526B">
        <w:rPr>
          <w:rFonts w:ascii="Calibri" w:eastAsia="楷体" w:hAnsi="Calibri" w:cs="Calibri"/>
          <w:color w:val="23558C"/>
          <w:sz w:val="24"/>
        </w:rPr>
        <w:t>Specialized Products</w:t>
      </w:r>
      <w:r w:rsidR="0055526B">
        <w:rPr>
          <w:rFonts w:ascii="Calibri" w:eastAsia="楷体" w:hAnsi="Calibri" w:cs="Calibri" w:hint="eastAsia"/>
          <w:color w:val="23558C"/>
          <w:sz w:val="24"/>
        </w:rPr>
        <w:t xml:space="preserve"> &amp; </w:t>
      </w:r>
      <w:r w:rsidR="0055526B" w:rsidRPr="0055526B">
        <w:rPr>
          <w:rFonts w:ascii="Calibri" w:eastAsia="楷体" w:hAnsi="Calibri" w:cs="Calibri"/>
          <w:color w:val="23558C"/>
          <w:sz w:val="24"/>
        </w:rPr>
        <w:t>Channel Partnerships Build Brand Moats</w:t>
      </w:r>
      <w:bookmarkEnd w:id="22"/>
    </w:p>
    <w:p w14:paraId="45A1F4C0" w14:textId="179016A2" w:rsidR="005C3356" w:rsidRDefault="005C3356">
      <w:pPr>
        <w:jc w:val="both"/>
        <w:rPr>
          <w:rFonts w:eastAsia="楷体" w:cs="Calibri"/>
          <w:kern w:val="2"/>
          <w:sz w:val="22"/>
          <w:szCs w:val="22"/>
        </w:rPr>
      </w:pPr>
      <w:r w:rsidRPr="00D7310D">
        <w:rPr>
          <w:rFonts w:eastAsia="楷体" w:cs="Calibri"/>
          <w:b/>
          <w:bCs/>
          <w:kern w:val="2"/>
          <w:sz w:val="22"/>
          <w:szCs w:val="22"/>
        </w:rPr>
        <w:t xml:space="preserve">The global professional hair salon market reached approximately USD 11.8 billion in 2025, with continuous growth over the past five years. </w:t>
      </w:r>
      <w:r w:rsidRPr="005C3356">
        <w:rPr>
          <w:rFonts w:eastAsia="楷体" w:cs="Calibri"/>
          <w:kern w:val="2"/>
          <w:sz w:val="22"/>
          <w:szCs w:val="22"/>
        </w:rPr>
        <w:t>The segment has distinctive characteristics: the salon channel (B2B) is its core, with extremely high requirements for product professionalism and safety; consumers place greater value on the service experience than on the product itself; and stylist recommendations are the most important purchase driver. The industry is undergoing a transition from a pure B2B model to a hybrid B2B+B2C approach. Growth in the premium haircare market has been particularly strong, with consumers increasingly willing to pay a premium for salon-quality products.</w:t>
      </w:r>
    </w:p>
    <w:p w14:paraId="4A81C189" w14:textId="77777777" w:rsidR="009D2965" w:rsidRDefault="009D2965">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5C3356" w:rsidRPr="008966C3" w14:paraId="25C05DDC" w14:textId="77777777" w:rsidTr="00816572">
        <w:tc>
          <w:tcPr>
            <w:tcW w:w="7733" w:type="dxa"/>
            <w:tcBorders>
              <w:bottom w:val="single" w:sz="4" w:space="0" w:color="auto"/>
            </w:tcBorders>
          </w:tcPr>
          <w:p w14:paraId="6C8AD954" w14:textId="44C498B7"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Figure: </w:t>
            </w:r>
            <w:r w:rsidRPr="005C3356">
              <w:rPr>
                <w:rFonts w:eastAsia="楷体" w:cs="Calibri"/>
                <w:b/>
                <w:bCs/>
                <w:kern w:val="2"/>
                <w:sz w:val="22"/>
                <w:szCs w:val="22"/>
              </w:rPr>
              <w:t>Global Professional Hair Salon Market Size 2019–2025 (USD million)</w:t>
            </w:r>
          </w:p>
        </w:tc>
      </w:tr>
      <w:tr w:rsidR="005C3356" w14:paraId="4EDB3250" w14:textId="77777777" w:rsidTr="00816572">
        <w:tc>
          <w:tcPr>
            <w:tcW w:w="7733" w:type="dxa"/>
            <w:tcBorders>
              <w:top w:val="single" w:sz="4" w:space="0" w:color="auto"/>
              <w:bottom w:val="single" w:sz="4" w:space="0" w:color="auto"/>
            </w:tcBorders>
          </w:tcPr>
          <w:p w14:paraId="5FDD7B97" w14:textId="4F283DA4" w:rsidR="005C3356" w:rsidRPr="003F7B8B" w:rsidRDefault="00A70AE1" w:rsidP="00816572">
            <w:pPr>
              <w:rPr>
                <w:rFonts w:asciiTheme="minorHAnsi" w:eastAsia="楷体" w:hAnsiTheme="minorHAnsi" w:cstheme="minorHAnsi" w:hint="eastAsia"/>
                <w:kern w:val="2"/>
                <w:sz w:val="22"/>
                <w:szCs w:val="22"/>
              </w:rPr>
            </w:pPr>
            <w:r>
              <w:rPr>
                <w:noProof/>
                <w:snapToGrid/>
              </w:rPr>
              <w:lastRenderedPageBreak/>
              <w:drawing>
                <wp:inline distT="0" distB="0" distL="0" distR="0" wp14:anchorId="55D19AC3" wp14:editId="33E2BE0B">
                  <wp:extent cx="4572000" cy="2511706"/>
                  <wp:effectExtent l="0" t="0" r="0" b="3175"/>
                  <wp:docPr id="675894708" name="图表 1">
                    <a:extLst xmlns:a="http://schemas.openxmlformats.org/drawingml/2006/main">
                      <a:ext uri="{FF2B5EF4-FFF2-40B4-BE49-F238E27FC236}">
                        <a16:creationId xmlns:a16="http://schemas.microsoft.com/office/drawing/2014/main" id="{57E93C4D-FAE8-FCCB-7FAA-2C3F4813BD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rsidR="005C3356" w14:paraId="2D20450F" w14:textId="77777777" w:rsidTr="00816572">
        <w:tc>
          <w:tcPr>
            <w:tcW w:w="7733" w:type="dxa"/>
            <w:tcBorders>
              <w:top w:val="single" w:sz="4" w:space="0" w:color="auto"/>
            </w:tcBorders>
          </w:tcPr>
          <w:p w14:paraId="4A25F477" w14:textId="77777777" w:rsidR="005C3356"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w:t>
            </w:r>
            <w:r>
              <w:rPr>
                <w:rFonts w:eastAsia="楷体" w:cs="Calibri" w:hint="eastAsia"/>
                <w:kern w:val="2"/>
                <w:sz w:val="22"/>
                <w:szCs w:val="22"/>
              </w:rPr>
              <w:t>r</w:t>
            </w:r>
            <w:r w:rsidRPr="008966C3">
              <w:rPr>
                <w:rFonts w:eastAsia="楷体" w:cs="Calibri"/>
                <w:kern w:val="2"/>
                <w:sz w:val="22"/>
                <w:szCs w:val="22"/>
              </w:rPr>
              <w:t>ts</w:t>
            </w:r>
            <w:r>
              <w:rPr>
                <w:rFonts w:eastAsia="楷体" w:cs="Calibri" w:hint="eastAsia"/>
                <w:kern w:val="2"/>
                <w:sz w:val="22"/>
                <w:szCs w:val="22"/>
              </w:rPr>
              <w:t>, HFI</w:t>
            </w:r>
          </w:p>
        </w:tc>
      </w:tr>
    </w:tbl>
    <w:p w14:paraId="7167DB2B" w14:textId="77777777" w:rsidR="005C3356" w:rsidRPr="005C3356" w:rsidRDefault="005C3356">
      <w:pPr>
        <w:jc w:val="both"/>
        <w:rPr>
          <w:rFonts w:eastAsia="楷体" w:cs="Calibri"/>
          <w:kern w:val="2"/>
          <w:sz w:val="22"/>
          <w:szCs w:val="22"/>
        </w:rPr>
      </w:pPr>
    </w:p>
    <w:p w14:paraId="709E2C00" w14:textId="12EC0599" w:rsidR="005C3356" w:rsidRDefault="005C3356">
      <w:pPr>
        <w:jc w:val="both"/>
        <w:rPr>
          <w:rFonts w:eastAsia="楷体" w:cs="Calibri"/>
          <w:kern w:val="2"/>
          <w:sz w:val="22"/>
          <w:szCs w:val="22"/>
        </w:rPr>
      </w:pPr>
      <w:r w:rsidRPr="00D7310D">
        <w:rPr>
          <w:rFonts w:eastAsia="楷体" w:cs="Calibri"/>
          <w:b/>
          <w:bCs/>
          <w:kern w:val="2"/>
          <w:sz w:val="22"/>
          <w:szCs w:val="22"/>
        </w:rPr>
        <w:t xml:space="preserve">All brands within the Professional Products Division </w:t>
      </w:r>
      <w:proofErr w:type="spellStart"/>
      <w:r w:rsidRPr="00D7310D">
        <w:rPr>
          <w:rFonts w:eastAsia="楷体" w:cs="Calibri"/>
          <w:b/>
          <w:bCs/>
          <w:kern w:val="2"/>
          <w:sz w:val="22"/>
          <w:szCs w:val="22"/>
        </w:rPr>
        <w:t>centre</w:t>
      </w:r>
      <w:proofErr w:type="spellEnd"/>
      <w:r w:rsidRPr="00D7310D">
        <w:rPr>
          <w:rFonts w:eastAsia="楷体" w:cs="Calibri"/>
          <w:b/>
          <w:bCs/>
          <w:kern w:val="2"/>
          <w:sz w:val="22"/>
          <w:szCs w:val="22"/>
        </w:rPr>
        <w:t xml:space="preserve"> their distribution on the professional hair salon channel: </w:t>
      </w:r>
      <w:proofErr w:type="spellStart"/>
      <w:r w:rsidRPr="005C3356">
        <w:rPr>
          <w:rFonts w:eastAsia="楷体" w:cs="Calibri"/>
          <w:kern w:val="2"/>
          <w:sz w:val="22"/>
          <w:szCs w:val="22"/>
        </w:rPr>
        <w:t>Kérastase</w:t>
      </w:r>
      <w:proofErr w:type="spellEnd"/>
      <w:r w:rsidRPr="005C3356">
        <w:rPr>
          <w:rFonts w:eastAsia="楷体" w:cs="Calibri"/>
          <w:kern w:val="2"/>
          <w:sz w:val="22"/>
          <w:szCs w:val="22"/>
        </w:rPr>
        <w:t xml:space="preserve"> (founded in 1964, the division's largest brand, maintaining double-digit growth), L'Oréal </w:t>
      </w:r>
      <w:proofErr w:type="spellStart"/>
      <w:r w:rsidRPr="005C3356">
        <w:rPr>
          <w:rFonts w:eastAsia="楷体" w:cs="Calibri"/>
          <w:kern w:val="2"/>
          <w:sz w:val="22"/>
          <w:szCs w:val="22"/>
        </w:rPr>
        <w:t>Professionnel</w:t>
      </w:r>
      <w:proofErr w:type="spellEnd"/>
      <w:r w:rsidRPr="005C3356">
        <w:rPr>
          <w:rFonts w:eastAsia="楷体" w:cs="Calibri"/>
          <w:kern w:val="2"/>
          <w:sz w:val="22"/>
          <w:szCs w:val="22"/>
        </w:rPr>
        <w:t xml:space="preserve"> (the original founding brand, with the broadest salon coverage), Redken (acquired in 1993, the number-one professional haircare brand in the US market), Matrix, </w:t>
      </w:r>
      <w:proofErr w:type="spellStart"/>
      <w:r w:rsidRPr="005C3356">
        <w:rPr>
          <w:rFonts w:eastAsia="楷体" w:cs="Calibri"/>
          <w:kern w:val="2"/>
          <w:sz w:val="22"/>
          <w:szCs w:val="22"/>
        </w:rPr>
        <w:t>Biolage</w:t>
      </w:r>
      <w:proofErr w:type="spellEnd"/>
      <w:r w:rsidRPr="005C3356">
        <w:rPr>
          <w:rFonts w:eastAsia="楷体" w:cs="Calibri"/>
          <w:kern w:val="2"/>
          <w:sz w:val="22"/>
          <w:szCs w:val="22"/>
        </w:rPr>
        <w:t>, and Pureology. The acquisition of Color Wow in June 2025 further enriched the premium haircare portfolio.</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5C3356" w:rsidRPr="008966C3" w14:paraId="75058178" w14:textId="77777777" w:rsidTr="00816572">
        <w:tc>
          <w:tcPr>
            <w:tcW w:w="7733" w:type="dxa"/>
            <w:tcBorders>
              <w:bottom w:val="single" w:sz="4" w:space="0" w:color="auto"/>
            </w:tcBorders>
          </w:tcPr>
          <w:p w14:paraId="1947DD67" w14:textId="171B6E51"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Figure:</w:t>
            </w:r>
            <w:r w:rsidRPr="005C3356">
              <w:rPr>
                <w:rFonts w:cs="Times New Roman"/>
              </w:rPr>
              <w:t xml:space="preserve"> </w:t>
            </w:r>
            <w:r w:rsidRPr="005C3356">
              <w:rPr>
                <w:rFonts w:eastAsia="楷体" w:cs="Calibri"/>
                <w:b/>
                <w:bCs/>
                <w:kern w:val="2"/>
                <w:sz w:val="22"/>
                <w:szCs w:val="22"/>
              </w:rPr>
              <w:t>Professional Products Division Brand Portfolio</w:t>
            </w:r>
          </w:p>
        </w:tc>
      </w:tr>
      <w:tr w:rsidR="005C3356" w14:paraId="3FD07556" w14:textId="77777777" w:rsidTr="00816572">
        <w:tc>
          <w:tcPr>
            <w:tcW w:w="7733" w:type="dxa"/>
            <w:tcBorders>
              <w:top w:val="single" w:sz="4" w:space="0" w:color="auto"/>
              <w:bottom w:val="single" w:sz="4" w:space="0" w:color="auto"/>
            </w:tcBorders>
          </w:tcPr>
          <w:tbl>
            <w:tblPr>
              <w:tblW w:w="7615" w:type="dxa"/>
              <w:tblLook w:val="04A0" w:firstRow="1" w:lastRow="0" w:firstColumn="1" w:lastColumn="0" w:noHBand="0" w:noVBand="1"/>
            </w:tblPr>
            <w:tblGrid>
              <w:gridCol w:w="1319"/>
              <w:gridCol w:w="2113"/>
              <w:gridCol w:w="2268"/>
              <w:gridCol w:w="1915"/>
            </w:tblGrid>
            <w:tr w:rsidR="00A70AE1" w:rsidRPr="00A70AE1" w14:paraId="1D487A39" w14:textId="77777777" w:rsidTr="00A70AE1">
              <w:trPr>
                <w:trHeight w:val="255"/>
              </w:trPr>
              <w:tc>
                <w:tcPr>
                  <w:tcW w:w="1319" w:type="dxa"/>
                  <w:tcBorders>
                    <w:top w:val="nil"/>
                    <w:left w:val="nil"/>
                    <w:bottom w:val="nil"/>
                    <w:right w:val="nil"/>
                  </w:tcBorders>
                  <w:shd w:val="clear" w:color="000000" w:fill="002060"/>
                  <w:vAlign w:val="center"/>
                  <w:hideMark/>
                </w:tcPr>
                <w:p w14:paraId="4016C499" w14:textId="77777777" w:rsidR="00A70AE1" w:rsidRPr="00A70AE1" w:rsidRDefault="00A70AE1" w:rsidP="00A70AE1">
                  <w:pPr>
                    <w:jc w:val="center"/>
                    <w:rPr>
                      <w:rFonts w:eastAsia="楷体" w:cs="Calibri"/>
                      <w:b/>
                      <w:bCs/>
                      <w:snapToGrid/>
                      <w:color w:val="FFFFFF"/>
                      <w:sz w:val="20"/>
                      <w:szCs w:val="20"/>
                    </w:rPr>
                  </w:pPr>
                  <w:r w:rsidRPr="00A70AE1">
                    <w:rPr>
                      <w:rFonts w:eastAsia="楷体" w:cs="Calibri"/>
                      <w:b/>
                      <w:bCs/>
                      <w:snapToGrid/>
                      <w:color w:val="FFFFFF"/>
                      <w:sz w:val="20"/>
                      <w:szCs w:val="20"/>
                    </w:rPr>
                    <w:t>Brand</w:t>
                  </w:r>
                </w:p>
              </w:tc>
              <w:tc>
                <w:tcPr>
                  <w:tcW w:w="2113" w:type="dxa"/>
                  <w:tcBorders>
                    <w:top w:val="nil"/>
                    <w:left w:val="nil"/>
                    <w:bottom w:val="nil"/>
                    <w:right w:val="nil"/>
                  </w:tcBorders>
                  <w:shd w:val="clear" w:color="000000" w:fill="002060"/>
                  <w:vAlign w:val="center"/>
                  <w:hideMark/>
                </w:tcPr>
                <w:p w14:paraId="44810948" w14:textId="77777777" w:rsidR="00A70AE1" w:rsidRPr="00A70AE1" w:rsidRDefault="00A70AE1" w:rsidP="00A70AE1">
                  <w:pPr>
                    <w:jc w:val="center"/>
                    <w:rPr>
                      <w:rFonts w:eastAsia="楷体" w:cs="Calibri"/>
                      <w:b/>
                      <w:bCs/>
                      <w:snapToGrid/>
                      <w:color w:val="FFFFFF"/>
                      <w:sz w:val="20"/>
                      <w:szCs w:val="20"/>
                    </w:rPr>
                  </w:pPr>
                  <w:r w:rsidRPr="00A70AE1">
                    <w:rPr>
                      <w:rFonts w:eastAsia="楷体" w:cs="Calibri"/>
                      <w:b/>
                      <w:bCs/>
                      <w:snapToGrid/>
                      <w:color w:val="FFFFFF"/>
                      <w:sz w:val="20"/>
                      <w:szCs w:val="20"/>
                    </w:rPr>
                    <w:t>Positioning</w:t>
                  </w:r>
                </w:p>
              </w:tc>
              <w:tc>
                <w:tcPr>
                  <w:tcW w:w="2268" w:type="dxa"/>
                  <w:tcBorders>
                    <w:top w:val="nil"/>
                    <w:left w:val="nil"/>
                    <w:bottom w:val="nil"/>
                    <w:right w:val="nil"/>
                  </w:tcBorders>
                  <w:shd w:val="clear" w:color="000000" w:fill="002060"/>
                  <w:vAlign w:val="center"/>
                  <w:hideMark/>
                </w:tcPr>
                <w:p w14:paraId="254DF7FC" w14:textId="77777777" w:rsidR="00A70AE1" w:rsidRPr="00A70AE1" w:rsidRDefault="00A70AE1" w:rsidP="00A70AE1">
                  <w:pPr>
                    <w:jc w:val="center"/>
                    <w:rPr>
                      <w:rFonts w:eastAsia="楷体" w:cs="Calibri"/>
                      <w:b/>
                      <w:bCs/>
                      <w:snapToGrid/>
                      <w:color w:val="FFFFFF"/>
                      <w:sz w:val="20"/>
                      <w:szCs w:val="20"/>
                    </w:rPr>
                  </w:pPr>
                  <w:r w:rsidRPr="00A70AE1">
                    <w:rPr>
                      <w:rFonts w:eastAsia="楷体" w:cs="Calibri"/>
                      <w:b/>
                      <w:bCs/>
                      <w:snapToGrid/>
                      <w:color w:val="FFFFFF"/>
                      <w:sz w:val="20"/>
                      <w:szCs w:val="20"/>
                    </w:rPr>
                    <w:t>Hero Products</w:t>
                  </w:r>
                </w:p>
              </w:tc>
              <w:tc>
                <w:tcPr>
                  <w:tcW w:w="1915" w:type="dxa"/>
                  <w:tcBorders>
                    <w:top w:val="nil"/>
                    <w:left w:val="nil"/>
                    <w:bottom w:val="nil"/>
                    <w:right w:val="nil"/>
                  </w:tcBorders>
                  <w:shd w:val="clear" w:color="000000" w:fill="002060"/>
                  <w:vAlign w:val="center"/>
                  <w:hideMark/>
                </w:tcPr>
                <w:p w14:paraId="3B2F3672" w14:textId="77777777" w:rsidR="00A70AE1" w:rsidRPr="00A70AE1" w:rsidRDefault="00A70AE1" w:rsidP="00A70AE1">
                  <w:pPr>
                    <w:jc w:val="center"/>
                    <w:rPr>
                      <w:rFonts w:eastAsia="楷体" w:cs="Calibri"/>
                      <w:b/>
                      <w:bCs/>
                      <w:snapToGrid/>
                      <w:color w:val="FFFFFF"/>
                      <w:sz w:val="20"/>
                      <w:szCs w:val="20"/>
                    </w:rPr>
                  </w:pPr>
                  <w:r w:rsidRPr="00A70AE1">
                    <w:rPr>
                      <w:rFonts w:eastAsia="楷体" w:cs="Calibri"/>
                      <w:b/>
                      <w:bCs/>
                      <w:snapToGrid/>
                      <w:color w:val="FFFFFF"/>
                      <w:sz w:val="20"/>
                      <w:szCs w:val="20"/>
                    </w:rPr>
                    <w:t>Channel Mix</w:t>
                  </w:r>
                </w:p>
              </w:tc>
            </w:tr>
            <w:tr w:rsidR="00A70AE1" w:rsidRPr="00A70AE1" w14:paraId="70B35021" w14:textId="77777777" w:rsidTr="00A70AE1">
              <w:trPr>
                <w:trHeight w:val="510"/>
              </w:trPr>
              <w:tc>
                <w:tcPr>
                  <w:tcW w:w="1319" w:type="dxa"/>
                  <w:tcBorders>
                    <w:top w:val="nil"/>
                    <w:left w:val="nil"/>
                    <w:bottom w:val="nil"/>
                    <w:right w:val="nil"/>
                  </w:tcBorders>
                  <w:vAlign w:val="center"/>
                  <w:hideMark/>
                </w:tcPr>
                <w:p w14:paraId="0085A923" w14:textId="77777777" w:rsidR="00A70AE1" w:rsidRPr="0055526B" w:rsidRDefault="00A70AE1" w:rsidP="00A70AE1">
                  <w:pPr>
                    <w:jc w:val="center"/>
                    <w:rPr>
                      <w:rFonts w:eastAsia="楷体" w:cs="Calibri"/>
                      <w:snapToGrid/>
                      <w:color w:val="000000"/>
                      <w:sz w:val="18"/>
                      <w:szCs w:val="18"/>
                    </w:rPr>
                  </w:pPr>
                  <w:proofErr w:type="spellStart"/>
                  <w:r w:rsidRPr="0055526B">
                    <w:rPr>
                      <w:rFonts w:eastAsia="楷体" w:cs="Calibri"/>
                      <w:snapToGrid/>
                      <w:color w:val="000000"/>
                      <w:sz w:val="18"/>
                      <w:szCs w:val="18"/>
                    </w:rPr>
                    <w:t>Kérastase</w:t>
                  </w:r>
                  <w:proofErr w:type="spellEnd"/>
                </w:p>
              </w:tc>
              <w:tc>
                <w:tcPr>
                  <w:tcW w:w="2113" w:type="dxa"/>
                  <w:tcBorders>
                    <w:top w:val="nil"/>
                    <w:left w:val="nil"/>
                    <w:bottom w:val="nil"/>
                    <w:right w:val="nil"/>
                  </w:tcBorders>
                  <w:vAlign w:val="center"/>
                  <w:hideMark/>
                </w:tcPr>
                <w:p w14:paraId="22B661AF"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Division's #1 Brand; Double-Digit Growth</w:t>
                  </w:r>
                </w:p>
              </w:tc>
              <w:tc>
                <w:tcPr>
                  <w:tcW w:w="2268" w:type="dxa"/>
                  <w:tcBorders>
                    <w:top w:val="nil"/>
                    <w:left w:val="nil"/>
                    <w:bottom w:val="nil"/>
                    <w:right w:val="nil"/>
                  </w:tcBorders>
                  <w:vAlign w:val="center"/>
                  <w:hideMark/>
                </w:tcPr>
                <w:p w14:paraId="49CE325E"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Première, Gloss Absolu</w:t>
                  </w:r>
                </w:p>
              </w:tc>
              <w:tc>
                <w:tcPr>
                  <w:tcW w:w="1915" w:type="dxa"/>
                  <w:tcBorders>
                    <w:top w:val="nil"/>
                    <w:left w:val="nil"/>
                    <w:bottom w:val="nil"/>
                    <w:right w:val="nil"/>
                  </w:tcBorders>
                  <w:vAlign w:val="center"/>
                  <w:hideMark/>
                </w:tcPr>
                <w:p w14:paraId="066F238B"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Salon + E-Commerce + Selective Retail</w:t>
                  </w:r>
                </w:p>
              </w:tc>
            </w:tr>
            <w:tr w:rsidR="00A70AE1" w:rsidRPr="00A70AE1" w14:paraId="2290474E" w14:textId="77777777" w:rsidTr="00A70AE1">
              <w:trPr>
                <w:trHeight w:val="510"/>
              </w:trPr>
              <w:tc>
                <w:tcPr>
                  <w:tcW w:w="1319" w:type="dxa"/>
                  <w:tcBorders>
                    <w:top w:val="nil"/>
                    <w:left w:val="nil"/>
                    <w:bottom w:val="nil"/>
                    <w:right w:val="nil"/>
                  </w:tcBorders>
                  <w:shd w:val="clear" w:color="000000" w:fill="F2F2F2"/>
                  <w:vAlign w:val="center"/>
                  <w:hideMark/>
                </w:tcPr>
                <w:p w14:paraId="2A15EA84"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 xml:space="preserve">L'Oréal </w:t>
                  </w:r>
                  <w:proofErr w:type="spellStart"/>
                  <w:r w:rsidRPr="0055526B">
                    <w:rPr>
                      <w:rFonts w:eastAsia="楷体" w:cs="Calibri"/>
                      <w:snapToGrid/>
                      <w:color w:val="000000"/>
                      <w:sz w:val="18"/>
                      <w:szCs w:val="18"/>
                    </w:rPr>
                    <w:t>Professionnel</w:t>
                  </w:r>
                  <w:proofErr w:type="spellEnd"/>
                </w:p>
              </w:tc>
              <w:tc>
                <w:tcPr>
                  <w:tcW w:w="2113" w:type="dxa"/>
                  <w:tcBorders>
                    <w:top w:val="nil"/>
                    <w:left w:val="nil"/>
                    <w:bottom w:val="nil"/>
                    <w:right w:val="nil"/>
                  </w:tcBorders>
                  <w:shd w:val="clear" w:color="000000" w:fill="F2F2F2"/>
                  <w:vAlign w:val="center"/>
                  <w:hideMark/>
                </w:tcPr>
                <w:p w14:paraId="25D28C6B"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Founding Brand; Largest Salon Footprint</w:t>
                  </w:r>
                </w:p>
              </w:tc>
              <w:tc>
                <w:tcPr>
                  <w:tcW w:w="2268" w:type="dxa"/>
                  <w:tcBorders>
                    <w:top w:val="nil"/>
                    <w:left w:val="nil"/>
                    <w:bottom w:val="nil"/>
                    <w:right w:val="nil"/>
                  </w:tcBorders>
                  <w:shd w:val="clear" w:color="000000" w:fill="F2F2F2"/>
                  <w:vAlign w:val="center"/>
                  <w:hideMark/>
                </w:tcPr>
                <w:p w14:paraId="19619CC5" w14:textId="77777777" w:rsidR="00A70AE1" w:rsidRPr="0055526B" w:rsidRDefault="00A70AE1" w:rsidP="00A70AE1">
                  <w:pPr>
                    <w:jc w:val="center"/>
                    <w:rPr>
                      <w:rFonts w:eastAsia="楷体" w:cs="Calibri"/>
                      <w:snapToGrid/>
                      <w:color w:val="000000"/>
                      <w:sz w:val="18"/>
                      <w:szCs w:val="18"/>
                    </w:rPr>
                  </w:pPr>
                  <w:proofErr w:type="spellStart"/>
                  <w:r w:rsidRPr="0055526B">
                    <w:rPr>
                      <w:rFonts w:eastAsia="楷体" w:cs="Calibri"/>
                      <w:snapToGrid/>
                      <w:color w:val="000000"/>
                      <w:sz w:val="18"/>
                      <w:szCs w:val="18"/>
                    </w:rPr>
                    <w:t>iNOA</w:t>
                  </w:r>
                  <w:proofErr w:type="spellEnd"/>
                  <w:r w:rsidRPr="0055526B">
                    <w:rPr>
                      <w:rFonts w:eastAsia="楷体" w:cs="Calibri"/>
                      <w:snapToGrid/>
                      <w:color w:val="000000"/>
                      <w:sz w:val="18"/>
                      <w:szCs w:val="18"/>
                    </w:rPr>
                    <w:t xml:space="preserve">, Absolut Repair, Série Expert </w:t>
                  </w:r>
                  <w:proofErr w:type="spellStart"/>
                  <w:r w:rsidRPr="0055526B">
                    <w:rPr>
                      <w:rFonts w:eastAsia="楷体" w:cs="Calibri"/>
                      <w:snapToGrid/>
                      <w:color w:val="000000"/>
                      <w:sz w:val="18"/>
                      <w:szCs w:val="18"/>
                    </w:rPr>
                    <w:t>Moleculaire</w:t>
                  </w:r>
                  <w:proofErr w:type="spellEnd"/>
                </w:p>
              </w:tc>
              <w:tc>
                <w:tcPr>
                  <w:tcW w:w="1915" w:type="dxa"/>
                  <w:tcBorders>
                    <w:top w:val="nil"/>
                    <w:left w:val="nil"/>
                    <w:bottom w:val="nil"/>
                    <w:right w:val="nil"/>
                  </w:tcBorders>
                  <w:shd w:val="clear" w:color="000000" w:fill="F2F2F2"/>
                  <w:vAlign w:val="center"/>
                  <w:hideMark/>
                </w:tcPr>
                <w:p w14:paraId="50C7F85F"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Salon-Led</w:t>
                  </w:r>
                </w:p>
              </w:tc>
            </w:tr>
            <w:tr w:rsidR="00A70AE1" w:rsidRPr="00A70AE1" w14:paraId="4711FE2B" w14:textId="77777777" w:rsidTr="00A70AE1">
              <w:trPr>
                <w:trHeight w:val="510"/>
              </w:trPr>
              <w:tc>
                <w:tcPr>
                  <w:tcW w:w="1319" w:type="dxa"/>
                  <w:tcBorders>
                    <w:top w:val="nil"/>
                    <w:left w:val="nil"/>
                    <w:bottom w:val="nil"/>
                    <w:right w:val="nil"/>
                  </w:tcBorders>
                  <w:vAlign w:val="center"/>
                  <w:hideMark/>
                </w:tcPr>
                <w:p w14:paraId="140C394E"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Redken</w:t>
                  </w:r>
                </w:p>
              </w:tc>
              <w:tc>
                <w:tcPr>
                  <w:tcW w:w="2113" w:type="dxa"/>
                  <w:tcBorders>
                    <w:top w:val="nil"/>
                    <w:left w:val="nil"/>
                    <w:bottom w:val="nil"/>
                    <w:right w:val="nil"/>
                  </w:tcBorders>
                  <w:vAlign w:val="center"/>
                  <w:hideMark/>
                </w:tcPr>
                <w:p w14:paraId="33FF2121"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#1 Professional Haircare Brand in the US</w:t>
                  </w:r>
                </w:p>
              </w:tc>
              <w:tc>
                <w:tcPr>
                  <w:tcW w:w="2268" w:type="dxa"/>
                  <w:tcBorders>
                    <w:top w:val="nil"/>
                    <w:left w:val="nil"/>
                    <w:bottom w:val="nil"/>
                    <w:right w:val="nil"/>
                  </w:tcBorders>
                  <w:vAlign w:val="center"/>
                  <w:hideMark/>
                </w:tcPr>
                <w:p w14:paraId="5DA6C6E1"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Acidic Bonding Concentrate, Shades EQ</w:t>
                  </w:r>
                </w:p>
              </w:tc>
              <w:tc>
                <w:tcPr>
                  <w:tcW w:w="1915" w:type="dxa"/>
                  <w:tcBorders>
                    <w:top w:val="nil"/>
                    <w:left w:val="nil"/>
                    <w:bottom w:val="nil"/>
                    <w:right w:val="nil"/>
                  </w:tcBorders>
                  <w:vAlign w:val="center"/>
                  <w:hideMark/>
                </w:tcPr>
                <w:p w14:paraId="6228820C"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Salon + Selective Retail</w:t>
                  </w:r>
                </w:p>
              </w:tc>
            </w:tr>
            <w:tr w:rsidR="00A70AE1" w:rsidRPr="00A70AE1" w14:paraId="3F0082CC" w14:textId="77777777" w:rsidTr="00A70AE1">
              <w:trPr>
                <w:trHeight w:val="255"/>
              </w:trPr>
              <w:tc>
                <w:tcPr>
                  <w:tcW w:w="1319" w:type="dxa"/>
                  <w:tcBorders>
                    <w:top w:val="nil"/>
                    <w:left w:val="nil"/>
                    <w:bottom w:val="nil"/>
                    <w:right w:val="nil"/>
                  </w:tcBorders>
                  <w:shd w:val="clear" w:color="000000" w:fill="F2F2F2"/>
                  <w:vAlign w:val="center"/>
                  <w:hideMark/>
                </w:tcPr>
                <w:p w14:paraId="1850A279"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Matrix</w:t>
                  </w:r>
                </w:p>
              </w:tc>
              <w:tc>
                <w:tcPr>
                  <w:tcW w:w="2113" w:type="dxa"/>
                  <w:tcBorders>
                    <w:top w:val="nil"/>
                    <w:left w:val="nil"/>
                    <w:bottom w:val="nil"/>
                    <w:right w:val="nil"/>
                  </w:tcBorders>
                  <w:shd w:val="clear" w:color="000000" w:fill="F2F2F2"/>
                  <w:vAlign w:val="center"/>
                  <w:hideMark/>
                </w:tcPr>
                <w:p w14:paraId="6875B02E"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Mass Professional Positioning</w:t>
                  </w:r>
                </w:p>
              </w:tc>
              <w:tc>
                <w:tcPr>
                  <w:tcW w:w="2268" w:type="dxa"/>
                  <w:tcBorders>
                    <w:top w:val="nil"/>
                    <w:left w:val="nil"/>
                    <w:bottom w:val="nil"/>
                    <w:right w:val="nil"/>
                  </w:tcBorders>
                  <w:shd w:val="clear" w:color="000000" w:fill="F2F2F2"/>
                  <w:vAlign w:val="center"/>
                  <w:hideMark/>
                </w:tcPr>
                <w:p w14:paraId="05F4C5B5" w14:textId="77777777" w:rsidR="00A70AE1" w:rsidRPr="0055526B" w:rsidRDefault="00A70AE1" w:rsidP="00A70AE1">
                  <w:pPr>
                    <w:jc w:val="center"/>
                    <w:rPr>
                      <w:rFonts w:eastAsia="楷体" w:cs="Calibri"/>
                      <w:snapToGrid/>
                      <w:color w:val="000000"/>
                      <w:sz w:val="18"/>
                      <w:szCs w:val="18"/>
                    </w:rPr>
                  </w:pPr>
                  <w:proofErr w:type="spellStart"/>
                  <w:r w:rsidRPr="0055526B">
                    <w:rPr>
                      <w:rFonts w:eastAsia="楷体" w:cs="Calibri"/>
                      <w:snapToGrid/>
                      <w:color w:val="000000"/>
                      <w:sz w:val="18"/>
                      <w:szCs w:val="18"/>
                    </w:rPr>
                    <w:t>SoColor</w:t>
                  </w:r>
                  <w:proofErr w:type="spellEnd"/>
                  <w:r w:rsidRPr="0055526B">
                    <w:rPr>
                      <w:rFonts w:eastAsia="楷体" w:cs="Calibri"/>
                      <w:snapToGrid/>
                      <w:color w:val="000000"/>
                      <w:sz w:val="18"/>
                      <w:szCs w:val="18"/>
                    </w:rPr>
                    <w:t>, Total Results</w:t>
                  </w:r>
                </w:p>
              </w:tc>
              <w:tc>
                <w:tcPr>
                  <w:tcW w:w="1915" w:type="dxa"/>
                  <w:tcBorders>
                    <w:top w:val="nil"/>
                    <w:left w:val="nil"/>
                    <w:bottom w:val="nil"/>
                    <w:right w:val="nil"/>
                  </w:tcBorders>
                  <w:shd w:val="clear" w:color="000000" w:fill="F2F2F2"/>
                  <w:vAlign w:val="center"/>
                  <w:hideMark/>
                </w:tcPr>
                <w:p w14:paraId="1A5160EF"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Mass Professional Channels</w:t>
                  </w:r>
                </w:p>
              </w:tc>
            </w:tr>
            <w:tr w:rsidR="00A70AE1" w:rsidRPr="00A70AE1" w14:paraId="4E4BBB36" w14:textId="77777777" w:rsidTr="00A70AE1">
              <w:trPr>
                <w:trHeight w:val="510"/>
              </w:trPr>
              <w:tc>
                <w:tcPr>
                  <w:tcW w:w="1319" w:type="dxa"/>
                  <w:tcBorders>
                    <w:top w:val="nil"/>
                    <w:left w:val="nil"/>
                    <w:bottom w:val="nil"/>
                    <w:right w:val="nil"/>
                  </w:tcBorders>
                  <w:vAlign w:val="center"/>
                  <w:hideMark/>
                </w:tcPr>
                <w:p w14:paraId="11A69B03"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Color Wow</w:t>
                  </w:r>
                </w:p>
              </w:tc>
              <w:tc>
                <w:tcPr>
                  <w:tcW w:w="2113" w:type="dxa"/>
                  <w:tcBorders>
                    <w:top w:val="nil"/>
                    <w:left w:val="nil"/>
                    <w:bottom w:val="nil"/>
                    <w:right w:val="nil"/>
                  </w:tcBorders>
                  <w:vAlign w:val="center"/>
                  <w:hideMark/>
                </w:tcPr>
                <w:p w14:paraId="3F957FD5"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Acquired June 2025; Premium Haircare</w:t>
                  </w:r>
                </w:p>
              </w:tc>
              <w:tc>
                <w:tcPr>
                  <w:tcW w:w="2268" w:type="dxa"/>
                  <w:tcBorders>
                    <w:top w:val="nil"/>
                    <w:left w:val="nil"/>
                    <w:bottom w:val="nil"/>
                    <w:right w:val="nil"/>
                  </w:tcBorders>
                  <w:vAlign w:val="center"/>
                  <w:hideMark/>
                </w:tcPr>
                <w:p w14:paraId="6555DBA1"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Dream Coat, Money Masque</w:t>
                  </w:r>
                </w:p>
              </w:tc>
              <w:tc>
                <w:tcPr>
                  <w:tcW w:w="1915" w:type="dxa"/>
                  <w:tcBorders>
                    <w:top w:val="nil"/>
                    <w:left w:val="nil"/>
                    <w:bottom w:val="nil"/>
                    <w:right w:val="nil"/>
                  </w:tcBorders>
                  <w:vAlign w:val="center"/>
                  <w:hideMark/>
                </w:tcPr>
                <w:p w14:paraId="29D793BE" w14:textId="77777777" w:rsidR="00A70AE1" w:rsidRPr="0055526B" w:rsidRDefault="00A70AE1" w:rsidP="00A70AE1">
                  <w:pPr>
                    <w:jc w:val="center"/>
                    <w:rPr>
                      <w:rFonts w:eastAsia="楷体" w:cs="Calibri"/>
                      <w:snapToGrid/>
                      <w:color w:val="000000"/>
                      <w:sz w:val="18"/>
                      <w:szCs w:val="18"/>
                    </w:rPr>
                  </w:pPr>
                  <w:r w:rsidRPr="0055526B">
                    <w:rPr>
                      <w:rFonts w:eastAsia="楷体" w:cs="Calibri"/>
                      <w:snapToGrid/>
                      <w:color w:val="000000"/>
                      <w:sz w:val="18"/>
                      <w:szCs w:val="18"/>
                    </w:rPr>
                    <w:t>Prestige Retail</w:t>
                  </w:r>
                </w:p>
              </w:tc>
            </w:tr>
          </w:tbl>
          <w:p w14:paraId="6F44DC9D" w14:textId="77777777" w:rsidR="005C3356" w:rsidRDefault="005C3356" w:rsidP="00816572">
            <w:pPr>
              <w:rPr>
                <w:rFonts w:asciiTheme="minorHAnsi" w:eastAsia="楷体" w:hAnsiTheme="minorHAnsi" w:cstheme="minorHAnsi" w:hint="eastAsia"/>
                <w:kern w:val="2"/>
                <w:sz w:val="22"/>
                <w:szCs w:val="22"/>
              </w:rPr>
            </w:pPr>
          </w:p>
        </w:tc>
      </w:tr>
      <w:tr w:rsidR="005C3356" w14:paraId="10CC8595" w14:textId="77777777" w:rsidTr="00816572">
        <w:tc>
          <w:tcPr>
            <w:tcW w:w="7733" w:type="dxa"/>
            <w:tcBorders>
              <w:top w:val="single" w:sz="4" w:space="0" w:color="auto"/>
            </w:tcBorders>
          </w:tcPr>
          <w:p w14:paraId="3B323949" w14:textId="77777777" w:rsidR="005C3356"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w:t>
            </w:r>
            <w:r>
              <w:rPr>
                <w:rFonts w:eastAsia="楷体" w:cs="Calibri" w:hint="eastAsia"/>
                <w:kern w:val="2"/>
                <w:sz w:val="22"/>
                <w:szCs w:val="22"/>
              </w:rPr>
              <w:t>r</w:t>
            </w:r>
            <w:r w:rsidRPr="008966C3">
              <w:rPr>
                <w:rFonts w:eastAsia="楷体" w:cs="Calibri"/>
                <w:kern w:val="2"/>
                <w:sz w:val="22"/>
                <w:szCs w:val="22"/>
              </w:rPr>
              <w:t>ts</w:t>
            </w:r>
            <w:r>
              <w:rPr>
                <w:rFonts w:eastAsia="楷体" w:cs="Calibri" w:hint="eastAsia"/>
                <w:kern w:val="2"/>
                <w:sz w:val="22"/>
                <w:szCs w:val="22"/>
              </w:rPr>
              <w:t>, HFI</w:t>
            </w:r>
          </w:p>
        </w:tc>
      </w:tr>
    </w:tbl>
    <w:p w14:paraId="60B42881" w14:textId="77777777" w:rsidR="005C3356" w:rsidRPr="005C3356" w:rsidRDefault="005C3356">
      <w:pPr>
        <w:jc w:val="both"/>
        <w:rPr>
          <w:rFonts w:eastAsia="楷体" w:cs="Calibri"/>
          <w:kern w:val="2"/>
          <w:sz w:val="22"/>
          <w:szCs w:val="22"/>
        </w:rPr>
      </w:pPr>
    </w:p>
    <w:p w14:paraId="06AA4668" w14:textId="49D5AB60" w:rsidR="005C3356" w:rsidRDefault="005C3356">
      <w:pPr>
        <w:jc w:val="both"/>
        <w:rPr>
          <w:rFonts w:eastAsia="楷体" w:cs="Calibri"/>
          <w:kern w:val="2"/>
          <w:sz w:val="22"/>
          <w:szCs w:val="22"/>
        </w:rPr>
      </w:pPr>
      <w:r w:rsidRPr="00D7310D">
        <w:rPr>
          <w:rFonts w:eastAsia="楷体" w:cs="Calibri"/>
          <w:b/>
          <w:bCs/>
          <w:kern w:val="2"/>
          <w:sz w:val="22"/>
          <w:szCs w:val="22"/>
        </w:rPr>
        <w:t xml:space="preserve">The division maintains its competitive strength through proprietary formulations that raise barriers to entry, continuous technology iteration, and close engagement with hair stylists globally. </w:t>
      </w:r>
      <w:r w:rsidRPr="005C3356">
        <w:rPr>
          <w:rFonts w:eastAsia="楷体" w:cs="Calibri"/>
          <w:kern w:val="2"/>
          <w:sz w:val="22"/>
          <w:szCs w:val="22"/>
        </w:rPr>
        <w:t xml:space="preserve">Taking </w:t>
      </w:r>
      <w:proofErr w:type="spellStart"/>
      <w:r w:rsidRPr="005C3356">
        <w:rPr>
          <w:rFonts w:eastAsia="楷体" w:cs="Calibri"/>
          <w:kern w:val="2"/>
          <w:sz w:val="22"/>
          <w:szCs w:val="22"/>
        </w:rPr>
        <w:t>Kérastase</w:t>
      </w:r>
      <w:proofErr w:type="spellEnd"/>
      <w:r w:rsidRPr="005C3356">
        <w:rPr>
          <w:rFonts w:eastAsia="楷体" w:cs="Calibri"/>
          <w:kern w:val="2"/>
          <w:sz w:val="22"/>
          <w:szCs w:val="22"/>
        </w:rPr>
        <w:t xml:space="preserve"> as an example: founded in 1964 and positioned as "salon-grade luxury haircare", </w:t>
      </w:r>
      <w:proofErr w:type="spellStart"/>
      <w:r w:rsidRPr="005C3356">
        <w:rPr>
          <w:rFonts w:eastAsia="楷体" w:cs="Calibri"/>
          <w:kern w:val="2"/>
          <w:sz w:val="22"/>
          <w:szCs w:val="22"/>
        </w:rPr>
        <w:t>Kérastase</w:t>
      </w:r>
      <w:proofErr w:type="spellEnd"/>
      <w:r w:rsidRPr="005C3356">
        <w:rPr>
          <w:rFonts w:eastAsia="楷体" w:cs="Calibri"/>
          <w:kern w:val="2"/>
          <w:sz w:val="22"/>
          <w:szCs w:val="22"/>
        </w:rPr>
        <w:t xml:space="preserve"> surpassed L'Oréal </w:t>
      </w:r>
      <w:proofErr w:type="spellStart"/>
      <w:r w:rsidRPr="005C3356">
        <w:rPr>
          <w:rFonts w:eastAsia="楷体" w:cs="Calibri"/>
          <w:kern w:val="2"/>
          <w:sz w:val="22"/>
          <w:szCs w:val="22"/>
        </w:rPr>
        <w:t>Professionnel</w:t>
      </w:r>
      <w:proofErr w:type="spellEnd"/>
      <w:r w:rsidRPr="005C3356">
        <w:rPr>
          <w:rFonts w:eastAsia="楷体" w:cs="Calibri"/>
          <w:kern w:val="2"/>
          <w:sz w:val="22"/>
          <w:szCs w:val="22"/>
        </w:rPr>
        <w:t xml:space="preserve"> to become the division's largest brand in 2024 while maintaining double-digit growth. The brand's core philosophy of "bringing skincare thinking to haircare" </w:t>
      </w:r>
      <w:proofErr w:type="spellStart"/>
      <w:r w:rsidRPr="005C3356">
        <w:rPr>
          <w:rFonts w:eastAsia="楷体" w:cs="Calibri"/>
          <w:kern w:val="2"/>
          <w:sz w:val="22"/>
          <w:szCs w:val="22"/>
        </w:rPr>
        <w:t>emphasises</w:t>
      </w:r>
      <w:proofErr w:type="spellEnd"/>
      <w:r w:rsidRPr="005C3356">
        <w:rPr>
          <w:rFonts w:eastAsia="楷体" w:cs="Calibri"/>
          <w:kern w:val="2"/>
          <w:sz w:val="22"/>
          <w:szCs w:val="22"/>
        </w:rPr>
        <w:t xml:space="preserve"> a trinity of scientific formulation, </w:t>
      </w:r>
      <w:proofErr w:type="spellStart"/>
      <w:r w:rsidRPr="005C3356">
        <w:rPr>
          <w:rFonts w:eastAsia="楷体" w:cs="Calibri"/>
          <w:kern w:val="2"/>
          <w:sz w:val="22"/>
          <w:szCs w:val="22"/>
        </w:rPr>
        <w:t>personalised</w:t>
      </w:r>
      <w:proofErr w:type="spellEnd"/>
      <w:r w:rsidRPr="005C3356">
        <w:rPr>
          <w:rFonts w:eastAsia="楷体" w:cs="Calibri"/>
          <w:kern w:val="2"/>
          <w:sz w:val="22"/>
          <w:szCs w:val="22"/>
        </w:rPr>
        <w:t xml:space="preserve"> diagnostics, and the salon service experience. At the product level, formulations must meet the professional and safety standards required for salon application. In terms of continuous innovation, the Première range uses citric acid to repair broken di-</w:t>
      </w:r>
      <w:proofErr w:type="spellStart"/>
      <w:r w:rsidRPr="005C3356">
        <w:rPr>
          <w:rFonts w:eastAsia="楷体" w:cs="Calibri"/>
          <w:kern w:val="2"/>
          <w:sz w:val="22"/>
          <w:szCs w:val="22"/>
        </w:rPr>
        <w:t>sulphide</w:t>
      </w:r>
      <w:proofErr w:type="spellEnd"/>
      <w:r w:rsidRPr="005C3356">
        <w:rPr>
          <w:rFonts w:eastAsia="楷体" w:cs="Calibri"/>
          <w:kern w:val="2"/>
          <w:sz w:val="22"/>
          <w:szCs w:val="22"/>
        </w:rPr>
        <w:t xml:space="preserve"> bonds, and Gloss Absolu was the brand's largest new product launch in 2024; the Genesis range is precisely positioned to address the growing hair loss and scalp care trend; and Elixir </w:t>
      </w:r>
      <w:proofErr w:type="spellStart"/>
      <w:r w:rsidRPr="005C3356">
        <w:rPr>
          <w:rFonts w:eastAsia="楷体" w:cs="Calibri"/>
          <w:kern w:val="2"/>
          <w:sz w:val="22"/>
          <w:szCs w:val="22"/>
        </w:rPr>
        <w:t>Ultime</w:t>
      </w:r>
      <w:proofErr w:type="spellEnd"/>
      <w:r w:rsidRPr="005C3356">
        <w:rPr>
          <w:rFonts w:eastAsia="楷体" w:cs="Calibri"/>
          <w:kern w:val="2"/>
          <w:sz w:val="22"/>
          <w:szCs w:val="22"/>
        </w:rPr>
        <w:t xml:space="preserve"> and </w:t>
      </w:r>
      <w:proofErr w:type="spellStart"/>
      <w:r w:rsidRPr="005C3356">
        <w:rPr>
          <w:rFonts w:eastAsia="楷体" w:cs="Calibri"/>
          <w:kern w:val="2"/>
          <w:sz w:val="22"/>
          <w:szCs w:val="22"/>
        </w:rPr>
        <w:t>Chronologiste</w:t>
      </w:r>
      <w:proofErr w:type="spellEnd"/>
      <w:r w:rsidRPr="005C3356">
        <w:rPr>
          <w:rFonts w:eastAsia="楷体" w:cs="Calibri"/>
          <w:kern w:val="2"/>
          <w:sz w:val="22"/>
          <w:szCs w:val="22"/>
        </w:rPr>
        <w:t xml:space="preserve"> target the ultra-luxury tier in premium haircare oils. From a channel perspective, close engagement with the hairstylist community — combined with maintaining the salon as the core channel while actively expanding into e-commerce and selective retail (such as Sephora) — creates a consumer loop of "discover in salon, repurchase online".</w:t>
      </w:r>
    </w:p>
    <w:p w14:paraId="7DEBBB5F" w14:textId="77777777" w:rsidR="0052565B" w:rsidRPr="005C3356" w:rsidRDefault="0052565B">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5C3356" w:rsidRPr="008966C3" w14:paraId="308266E3" w14:textId="77777777" w:rsidTr="00816572">
        <w:tc>
          <w:tcPr>
            <w:tcW w:w="7733" w:type="dxa"/>
            <w:tcBorders>
              <w:bottom w:val="single" w:sz="4" w:space="0" w:color="auto"/>
            </w:tcBorders>
          </w:tcPr>
          <w:p w14:paraId="7ED0EF89" w14:textId="0E695525"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lastRenderedPageBreak/>
              <w:t>Figure:</w:t>
            </w:r>
            <w:r w:rsidRPr="005C3356">
              <w:rPr>
                <w:rFonts w:cs="Times New Roman"/>
              </w:rPr>
              <w:t xml:space="preserve"> </w:t>
            </w:r>
            <w:proofErr w:type="spellStart"/>
            <w:r w:rsidRPr="005C3356">
              <w:rPr>
                <w:rFonts w:eastAsia="楷体" w:cs="Calibri"/>
                <w:b/>
                <w:bCs/>
                <w:kern w:val="2"/>
                <w:sz w:val="22"/>
                <w:szCs w:val="22"/>
              </w:rPr>
              <w:t>Kérastase</w:t>
            </w:r>
            <w:proofErr w:type="spellEnd"/>
            <w:r w:rsidRPr="005C3356">
              <w:rPr>
                <w:rFonts w:eastAsia="楷体" w:cs="Calibri"/>
                <w:b/>
                <w:bCs/>
                <w:kern w:val="2"/>
                <w:sz w:val="22"/>
                <w:szCs w:val="22"/>
              </w:rPr>
              <w:t xml:space="preserve"> Key Milestones</w:t>
            </w:r>
          </w:p>
        </w:tc>
      </w:tr>
      <w:tr w:rsidR="005C3356" w14:paraId="63E053BC" w14:textId="77777777" w:rsidTr="00816572">
        <w:tc>
          <w:tcPr>
            <w:tcW w:w="7733" w:type="dxa"/>
            <w:tcBorders>
              <w:top w:val="single" w:sz="4" w:space="0" w:color="auto"/>
              <w:bottom w:val="single" w:sz="4" w:space="0" w:color="auto"/>
            </w:tcBorders>
          </w:tcPr>
          <w:tbl>
            <w:tblPr>
              <w:tblW w:w="7629" w:type="dxa"/>
              <w:tblLook w:val="04A0" w:firstRow="1" w:lastRow="0" w:firstColumn="1" w:lastColumn="0" w:noHBand="0" w:noVBand="1"/>
            </w:tblPr>
            <w:tblGrid>
              <w:gridCol w:w="628"/>
              <w:gridCol w:w="3796"/>
              <w:gridCol w:w="3205"/>
            </w:tblGrid>
            <w:tr w:rsidR="00A70AE1" w:rsidRPr="00A70AE1" w14:paraId="79C6A24B" w14:textId="77777777" w:rsidTr="00A70AE1">
              <w:trPr>
                <w:trHeight w:val="306"/>
              </w:trPr>
              <w:tc>
                <w:tcPr>
                  <w:tcW w:w="628" w:type="dxa"/>
                  <w:tcBorders>
                    <w:top w:val="nil"/>
                    <w:left w:val="nil"/>
                    <w:bottom w:val="nil"/>
                    <w:right w:val="nil"/>
                  </w:tcBorders>
                  <w:shd w:val="clear" w:color="000000" w:fill="002060"/>
                  <w:vAlign w:val="center"/>
                  <w:hideMark/>
                </w:tcPr>
                <w:p w14:paraId="3E836473"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Year</w:t>
                  </w:r>
                </w:p>
              </w:tc>
              <w:tc>
                <w:tcPr>
                  <w:tcW w:w="3796" w:type="dxa"/>
                  <w:tcBorders>
                    <w:top w:val="nil"/>
                    <w:left w:val="nil"/>
                    <w:bottom w:val="nil"/>
                    <w:right w:val="nil"/>
                  </w:tcBorders>
                  <w:shd w:val="clear" w:color="000000" w:fill="002060"/>
                  <w:vAlign w:val="center"/>
                  <w:hideMark/>
                </w:tcPr>
                <w:p w14:paraId="51B15D07"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Key Events</w:t>
                  </w:r>
                </w:p>
              </w:tc>
              <w:tc>
                <w:tcPr>
                  <w:tcW w:w="3205" w:type="dxa"/>
                  <w:tcBorders>
                    <w:top w:val="nil"/>
                    <w:left w:val="nil"/>
                    <w:bottom w:val="nil"/>
                    <w:right w:val="nil"/>
                  </w:tcBorders>
                  <w:shd w:val="clear" w:color="000000" w:fill="002060"/>
                  <w:vAlign w:val="center"/>
                  <w:hideMark/>
                </w:tcPr>
                <w:p w14:paraId="1C4AB9CD" w14:textId="77777777" w:rsidR="00A70AE1" w:rsidRPr="00A70AE1" w:rsidRDefault="00A70AE1" w:rsidP="00A70AE1">
                  <w:pPr>
                    <w:jc w:val="center"/>
                    <w:rPr>
                      <w:rFonts w:eastAsia="楷体" w:cs="Calibri"/>
                      <w:b/>
                      <w:bCs/>
                      <w:snapToGrid/>
                      <w:color w:val="FFFFFF"/>
                      <w:sz w:val="22"/>
                      <w:szCs w:val="22"/>
                    </w:rPr>
                  </w:pPr>
                  <w:r w:rsidRPr="00A70AE1">
                    <w:rPr>
                      <w:rFonts w:eastAsia="楷体" w:cs="Calibri"/>
                      <w:b/>
                      <w:bCs/>
                      <w:snapToGrid/>
                      <w:color w:val="FFFFFF"/>
                      <w:sz w:val="22"/>
                      <w:szCs w:val="22"/>
                    </w:rPr>
                    <w:t>Key Launches</w:t>
                  </w:r>
                </w:p>
              </w:tc>
            </w:tr>
            <w:tr w:rsidR="00A70AE1" w:rsidRPr="00A70AE1" w14:paraId="4D6E9EBA" w14:textId="77777777" w:rsidTr="00A70AE1">
              <w:trPr>
                <w:trHeight w:val="260"/>
              </w:trPr>
              <w:tc>
                <w:tcPr>
                  <w:tcW w:w="628" w:type="dxa"/>
                  <w:tcBorders>
                    <w:top w:val="nil"/>
                    <w:left w:val="nil"/>
                    <w:bottom w:val="nil"/>
                    <w:right w:val="nil"/>
                  </w:tcBorders>
                  <w:vAlign w:val="center"/>
                  <w:hideMark/>
                </w:tcPr>
                <w:p w14:paraId="544D199F"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2020</w:t>
                  </w:r>
                </w:p>
              </w:tc>
              <w:tc>
                <w:tcPr>
                  <w:tcW w:w="3796" w:type="dxa"/>
                  <w:tcBorders>
                    <w:top w:val="nil"/>
                    <w:left w:val="nil"/>
                    <w:bottom w:val="nil"/>
                    <w:right w:val="nil"/>
                  </w:tcBorders>
                  <w:vAlign w:val="center"/>
                  <w:hideMark/>
                </w:tcPr>
                <w:p w14:paraId="2CDCC4B3"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COVID-19 Impact; Salon Closures</w:t>
                  </w:r>
                </w:p>
              </w:tc>
              <w:tc>
                <w:tcPr>
                  <w:tcW w:w="3205" w:type="dxa"/>
                  <w:tcBorders>
                    <w:top w:val="nil"/>
                    <w:left w:val="nil"/>
                    <w:bottom w:val="nil"/>
                    <w:right w:val="nil"/>
                  </w:tcBorders>
                  <w:vAlign w:val="center"/>
                  <w:hideMark/>
                </w:tcPr>
                <w:p w14:paraId="2C72DBFF"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w:t>
                  </w:r>
                </w:p>
              </w:tc>
            </w:tr>
            <w:tr w:rsidR="00A70AE1" w:rsidRPr="00A70AE1" w14:paraId="33C62D9C" w14:textId="77777777" w:rsidTr="00A70AE1">
              <w:trPr>
                <w:trHeight w:val="260"/>
              </w:trPr>
              <w:tc>
                <w:tcPr>
                  <w:tcW w:w="628" w:type="dxa"/>
                  <w:tcBorders>
                    <w:top w:val="nil"/>
                    <w:left w:val="nil"/>
                    <w:bottom w:val="nil"/>
                    <w:right w:val="nil"/>
                  </w:tcBorders>
                  <w:shd w:val="clear" w:color="000000" w:fill="F2F2F2"/>
                  <w:vAlign w:val="center"/>
                  <w:hideMark/>
                </w:tcPr>
                <w:p w14:paraId="27CC1E4A"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2021</w:t>
                  </w:r>
                </w:p>
              </w:tc>
              <w:tc>
                <w:tcPr>
                  <w:tcW w:w="3796" w:type="dxa"/>
                  <w:tcBorders>
                    <w:top w:val="nil"/>
                    <w:left w:val="nil"/>
                    <w:bottom w:val="nil"/>
                    <w:right w:val="nil"/>
                  </w:tcBorders>
                  <w:shd w:val="clear" w:color="000000" w:fill="F2F2F2"/>
                  <w:vAlign w:val="center"/>
                  <w:hideMark/>
                </w:tcPr>
                <w:p w14:paraId="5CB2B2C1"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Post-Pandemic Salon Recovery</w:t>
                  </w:r>
                </w:p>
              </w:tc>
              <w:tc>
                <w:tcPr>
                  <w:tcW w:w="3205" w:type="dxa"/>
                  <w:tcBorders>
                    <w:top w:val="nil"/>
                    <w:left w:val="nil"/>
                    <w:bottom w:val="nil"/>
                    <w:right w:val="nil"/>
                  </w:tcBorders>
                  <w:shd w:val="clear" w:color="000000" w:fill="F2F2F2"/>
                  <w:vAlign w:val="center"/>
                  <w:hideMark/>
                </w:tcPr>
                <w:p w14:paraId="4E8086F4"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Curl Manifesto</w:t>
                  </w:r>
                </w:p>
              </w:tc>
            </w:tr>
            <w:tr w:rsidR="00A70AE1" w:rsidRPr="00A70AE1" w14:paraId="3AF5062C" w14:textId="77777777" w:rsidTr="00A70AE1">
              <w:trPr>
                <w:trHeight w:val="260"/>
              </w:trPr>
              <w:tc>
                <w:tcPr>
                  <w:tcW w:w="628" w:type="dxa"/>
                  <w:tcBorders>
                    <w:top w:val="nil"/>
                    <w:left w:val="nil"/>
                    <w:bottom w:val="nil"/>
                    <w:right w:val="nil"/>
                  </w:tcBorders>
                  <w:vAlign w:val="center"/>
                  <w:hideMark/>
                </w:tcPr>
                <w:p w14:paraId="54D093E2"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2022</w:t>
                  </w:r>
                </w:p>
              </w:tc>
              <w:tc>
                <w:tcPr>
                  <w:tcW w:w="3796" w:type="dxa"/>
                  <w:tcBorders>
                    <w:top w:val="nil"/>
                    <w:left w:val="nil"/>
                    <w:bottom w:val="nil"/>
                    <w:right w:val="nil"/>
                  </w:tcBorders>
                  <w:vAlign w:val="center"/>
                  <w:hideMark/>
                </w:tcPr>
                <w:p w14:paraId="60C6399D"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Prestige Haircare Boom</w:t>
                  </w:r>
                </w:p>
              </w:tc>
              <w:tc>
                <w:tcPr>
                  <w:tcW w:w="3205" w:type="dxa"/>
                  <w:tcBorders>
                    <w:top w:val="nil"/>
                    <w:left w:val="nil"/>
                    <w:bottom w:val="nil"/>
                    <w:right w:val="nil"/>
                  </w:tcBorders>
                  <w:vAlign w:val="center"/>
                  <w:hideMark/>
                </w:tcPr>
                <w:p w14:paraId="2F9D272F"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Première (Citric Acid Bond Repair)</w:t>
                  </w:r>
                </w:p>
              </w:tc>
            </w:tr>
            <w:tr w:rsidR="00A70AE1" w:rsidRPr="00A70AE1" w14:paraId="606014EA" w14:textId="77777777" w:rsidTr="00A70AE1">
              <w:trPr>
                <w:trHeight w:val="260"/>
              </w:trPr>
              <w:tc>
                <w:tcPr>
                  <w:tcW w:w="628" w:type="dxa"/>
                  <w:tcBorders>
                    <w:top w:val="nil"/>
                    <w:left w:val="nil"/>
                    <w:bottom w:val="nil"/>
                    <w:right w:val="nil"/>
                  </w:tcBorders>
                  <w:shd w:val="clear" w:color="000000" w:fill="F2F2F2"/>
                  <w:vAlign w:val="center"/>
                  <w:hideMark/>
                </w:tcPr>
                <w:p w14:paraId="64FAA67D"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2023</w:t>
                  </w:r>
                </w:p>
              </w:tc>
              <w:tc>
                <w:tcPr>
                  <w:tcW w:w="3796" w:type="dxa"/>
                  <w:tcBorders>
                    <w:top w:val="nil"/>
                    <w:left w:val="nil"/>
                    <w:bottom w:val="nil"/>
                    <w:right w:val="nil"/>
                  </w:tcBorders>
                  <w:shd w:val="clear" w:color="000000" w:fill="F2F2F2"/>
                  <w:vAlign w:val="center"/>
                  <w:hideMark/>
                </w:tcPr>
                <w:p w14:paraId="7ED207D0"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Omnichannel Acceleration</w:t>
                  </w:r>
                </w:p>
              </w:tc>
              <w:tc>
                <w:tcPr>
                  <w:tcW w:w="3205" w:type="dxa"/>
                  <w:tcBorders>
                    <w:top w:val="nil"/>
                    <w:left w:val="nil"/>
                    <w:bottom w:val="nil"/>
                    <w:right w:val="nil"/>
                  </w:tcBorders>
                  <w:shd w:val="clear" w:color="000000" w:fill="F2F2F2"/>
                  <w:vAlign w:val="center"/>
                  <w:hideMark/>
                </w:tcPr>
                <w:p w14:paraId="5A82A0CF"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 xml:space="preserve">Elixir </w:t>
                  </w:r>
                  <w:proofErr w:type="spellStart"/>
                  <w:r w:rsidRPr="0055526B">
                    <w:rPr>
                      <w:rFonts w:eastAsia="楷体" w:cs="Calibri"/>
                      <w:snapToGrid/>
                      <w:color w:val="333333"/>
                      <w:sz w:val="18"/>
                      <w:szCs w:val="18"/>
                    </w:rPr>
                    <w:t>Ultime</w:t>
                  </w:r>
                  <w:proofErr w:type="spellEnd"/>
                </w:p>
              </w:tc>
            </w:tr>
            <w:tr w:rsidR="00A70AE1" w:rsidRPr="00A70AE1" w14:paraId="5406339C" w14:textId="77777777" w:rsidTr="00A70AE1">
              <w:trPr>
                <w:trHeight w:val="520"/>
              </w:trPr>
              <w:tc>
                <w:tcPr>
                  <w:tcW w:w="628" w:type="dxa"/>
                  <w:tcBorders>
                    <w:top w:val="nil"/>
                    <w:left w:val="nil"/>
                    <w:bottom w:val="nil"/>
                    <w:right w:val="nil"/>
                  </w:tcBorders>
                  <w:vAlign w:val="center"/>
                  <w:hideMark/>
                </w:tcPr>
                <w:p w14:paraId="610F4E8A"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2024</w:t>
                  </w:r>
                </w:p>
              </w:tc>
              <w:tc>
                <w:tcPr>
                  <w:tcW w:w="3796" w:type="dxa"/>
                  <w:tcBorders>
                    <w:top w:val="nil"/>
                    <w:left w:val="nil"/>
                    <w:bottom w:val="nil"/>
                    <w:right w:val="nil"/>
                  </w:tcBorders>
                  <w:vAlign w:val="center"/>
                  <w:hideMark/>
                </w:tcPr>
                <w:p w14:paraId="2344F5CD"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 xml:space="preserve">Surpassed L'Oréal </w:t>
                  </w:r>
                  <w:proofErr w:type="spellStart"/>
                  <w:r w:rsidRPr="0055526B">
                    <w:rPr>
                      <w:rFonts w:eastAsia="楷体" w:cs="Calibri"/>
                      <w:snapToGrid/>
                      <w:color w:val="333333"/>
                      <w:sz w:val="18"/>
                      <w:szCs w:val="18"/>
                    </w:rPr>
                    <w:t>Professionnel</w:t>
                  </w:r>
                  <w:proofErr w:type="spellEnd"/>
                  <w:r w:rsidRPr="0055526B">
                    <w:rPr>
                      <w:rFonts w:eastAsia="楷体" w:cs="Calibri"/>
                      <w:snapToGrid/>
                      <w:color w:val="333333"/>
                      <w:sz w:val="18"/>
                      <w:szCs w:val="18"/>
                    </w:rPr>
                    <w:t xml:space="preserve"> to Become Division's #1 Brand; Double-Digit Growth</w:t>
                  </w:r>
                </w:p>
              </w:tc>
              <w:tc>
                <w:tcPr>
                  <w:tcW w:w="3205" w:type="dxa"/>
                  <w:tcBorders>
                    <w:top w:val="nil"/>
                    <w:left w:val="nil"/>
                    <w:bottom w:val="nil"/>
                    <w:right w:val="nil"/>
                  </w:tcBorders>
                  <w:vAlign w:val="center"/>
                  <w:hideMark/>
                </w:tcPr>
                <w:p w14:paraId="27968201" w14:textId="77777777" w:rsidR="00A70AE1" w:rsidRPr="0055526B" w:rsidRDefault="00A70AE1" w:rsidP="00A70AE1">
                  <w:pPr>
                    <w:jc w:val="center"/>
                    <w:rPr>
                      <w:rFonts w:eastAsia="楷体" w:cs="Calibri"/>
                      <w:snapToGrid/>
                      <w:color w:val="333333"/>
                      <w:sz w:val="18"/>
                      <w:szCs w:val="18"/>
                    </w:rPr>
                  </w:pPr>
                  <w:r w:rsidRPr="0055526B">
                    <w:rPr>
                      <w:rFonts w:eastAsia="楷体" w:cs="Calibri"/>
                      <w:snapToGrid/>
                      <w:color w:val="333333"/>
                      <w:sz w:val="18"/>
                      <w:szCs w:val="18"/>
                    </w:rPr>
                    <w:t>Gloss Absolu (New Launch)</w:t>
                  </w:r>
                </w:p>
              </w:tc>
            </w:tr>
          </w:tbl>
          <w:p w14:paraId="15B1DFB8" w14:textId="77777777" w:rsidR="005C3356" w:rsidRDefault="005C3356" w:rsidP="00816572">
            <w:pPr>
              <w:rPr>
                <w:rFonts w:asciiTheme="minorHAnsi" w:eastAsia="楷体" w:hAnsiTheme="minorHAnsi" w:cstheme="minorHAnsi" w:hint="eastAsia"/>
                <w:kern w:val="2"/>
                <w:sz w:val="22"/>
                <w:szCs w:val="22"/>
              </w:rPr>
            </w:pPr>
          </w:p>
        </w:tc>
      </w:tr>
      <w:tr w:rsidR="005C3356" w14:paraId="05792710" w14:textId="77777777" w:rsidTr="00816572">
        <w:tc>
          <w:tcPr>
            <w:tcW w:w="7733" w:type="dxa"/>
            <w:tcBorders>
              <w:top w:val="single" w:sz="4" w:space="0" w:color="auto"/>
            </w:tcBorders>
          </w:tcPr>
          <w:p w14:paraId="2FF92E7C" w14:textId="77777777" w:rsidR="005C3356"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8966C3">
              <w:rPr>
                <w:rFonts w:eastAsia="楷体" w:cs="Calibri"/>
                <w:kern w:val="2"/>
                <w:sz w:val="22"/>
                <w:szCs w:val="22"/>
              </w:rPr>
              <w:t>Company Annual Repo</w:t>
            </w:r>
            <w:r>
              <w:rPr>
                <w:rFonts w:eastAsia="楷体" w:cs="Calibri" w:hint="eastAsia"/>
                <w:kern w:val="2"/>
                <w:sz w:val="22"/>
                <w:szCs w:val="22"/>
              </w:rPr>
              <w:t>r</w:t>
            </w:r>
            <w:r w:rsidRPr="008966C3">
              <w:rPr>
                <w:rFonts w:eastAsia="楷体" w:cs="Calibri"/>
                <w:kern w:val="2"/>
                <w:sz w:val="22"/>
                <w:szCs w:val="22"/>
              </w:rPr>
              <w:t>ts</w:t>
            </w:r>
            <w:r>
              <w:rPr>
                <w:rFonts w:eastAsia="楷体" w:cs="Calibri" w:hint="eastAsia"/>
                <w:kern w:val="2"/>
                <w:sz w:val="22"/>
                <w:szCs w:val="22"/>
              </w:rPr>
              <w:t>, HFI</w:t>
            </w:r>
          </w:p>
        </w:tc>
      </w:tr>
    </w:tbl>
    <w:p w14:paraId="56E05836" w14:textId="77777777" w:rsidR="005C3356" w:rsidRPr="005C3356" w:rsidRDefault="005C3356">
      <w:pPr>
        <w:jc w:val="both"/>
        <w:rPr>
          <w:rFonts w:eastAsia="楷体" w:cs="Calibri"/>
          <w:kern w:val="2"/>
          <w:sz w:val="22"/>
          <w:szCs w:val="22"/>
        </w:rPr>
      </w:pPr>
    </w:p>
    <w:p w14:paraId="3735E9EB" w14:textId="6407E531" w:rsidR="005C3356" w:rsidRPr="000449B1" w:rsidRDefault="005C3356" w:rsidP="005C3356">
      <w:pPr>
        <w:pStyle w:val="211"/>
        <w:ind w:right="42"/>
        <w:jc w:val="both"/>
        <w:rPr>
          <w:rFonts w:ascii="Calibri" w:eastAsia="楷体" w:hAnsi="Calibri" w:cs="Calibri"/>
          <w:color w:val="23558C"/>
          <w:sz w:val="24"/>
        </w:rPr>
      </w:pPr>
      <w:bookmarkStart w:id="23" w:name="_Toc224295885"/>
      <w:r w:rsidRPr="008966C3">
        <w:rPr>
          <w:rFonts w:ascii="Calibri" w:eastAsia="楷体" w:hAnsi="Calibri" w:cs="Calibri" w:hint="eastAsia"/>
          <w:color w:val="23558C"/>
          <w:sz w:val="24"/>
        </w:rPr>
        <w:t>3.</w:t>
      </w:r>
      <w:r>
        <w:rPr>
          <w:rFonts w:ascii="Calibri" w:eastAsia="楷体" w:hAnsi="Calibri" w:cs="Calibri" w:hint="eastAsia"/>
          <w:color w:val="23558C"/>
          <w:sz w:val="24"/>
        </w:rPr>
        <w:t>4</w:t>
      </w:r>
      <w:r w:rsidRPr="008966C3">
        <w:rPr>
          <w:rFonts w:ascii="Calibri" w:eastAsia="楷体" w:hAnsi="Calibri" w:cs="Calibri" w:hint="eastAsia"/>
          <w:color w:val="23558C"/>
          <w:sz w:val="24"/>
        </w:rPr>
        <w:t xml:space="preserve"> </w:t>
      </w:r>
      <w:r w:rsidRPr="005C3356">
        <w:rPr>
          <w:rFonts w:ascii="Calibri" w:eastAsia="楷体" w:hAnsi="Calibri" w:cs="Calibri"/>
          <w:color w:val="23558C"/>
          <w:sz w:val="24"/>
        </w:rPr>
        <w:t>Dermatological Beauty Division</w:t>
      </w:r>
      <w:r w:rsidR="00BB793C">
        <w:rPr>
          <w:rFonts w:ascii="Calibri" w:eastAsia="楷体" w:hAnsi="Calibri" w:cs="Calibri" w:hint="eastAsia"/>
          <w:color w:val="23558C"/>
          <w:sz w:val="24"/>
        </w:rPr>
        <w:t>:</w:t>
      </w:r>
      <w:r w:rsidR="00BB793C" w:rsidRPr="00BB793C">
        <w:t xml:space="preserve"> </w:t>
      </w:r>
      <w:r w:rsidR="00BB793C" w:rsidRPr="00BB793C">
        <w:rPr>
          <w:rFonts w:ascii="Calibri" w:eastAsia="楷体" w:hAnsi="Calibri" w:cs="Calibri"/>
          <w:color w:val="23558C"/>
          <w:sz w:val="24"/>
        </w:rPr>
        <w:t xml:space="preserve">Science-Backed Skincare Solving </w:t>
      </w:r>
      <w:r w:rsidR="000449B1" w:rsidRPr="000449B1">
        <w:rPr>
          <w:rFonts w:ascii="Calibri" w:eastAsia="楷体" w:hAnsi="Calibri" w:cs="Calibri"/>
          <w:color w:val="23558C"/>
          <w:sz w:val="24"/>
        </w:rPr>
        <w:t>Consumer Pain Points</w:t>
      </w:r>
      <w:bookmarkEnd w:id="23"/>
    </w:p>
    <w:p w14:paraId="0C32A3F7" w14:textId="57735AFF" w:rsidR="005C3356" w:rsidRDefault="005C3356">
      <w:pPr>
        <w:jc w:val="both"/>
        <w:rPr>
          <w:rFonts w:eastAsia="楷体" w:cs="Calibri"/>
          <w:kern w:val="2"/>
          <w:sz w:val="22"/>
          <w:szCs w:val="22"/>
        </w:rPr>
      </w:pPr>
      <w:r w:rsidRPr="00D7310D">
        <w:rPr>
          <w:rFonts w:eastAsia="楷体" w:cs="Calibri"/>
          <w:b/>
          <w:bCs/>
          <w:kern w:val="2"/>
          <w:sz w:val="22"/>
          <w:szCs w:val="22"/>
        </w:rPr>
        <w:t xml:space="preserve">The global dermatological skincare market reached approximately USD 23.8 billion in 2024, maintaining growth over the past five years, with growth rates exceeding double digits in both 2021 and 2023. </w:t>
      </w:r>
      <w:r w:rsidRPr="005C3356">
        <w:rPr>
          <w:rFonts w:eastAsia="楷体" w:cs="Calibri"/>
          <w:kern w:val="2"/>
          <w:sz w:val="22"/>
          <w:szCs w:val="22"/>
        </w:rPr>
        <w:t>Key trends include: growing consumer focus on ingredients and clinical efficacy evidence; the "</w:t>
      </w:r>
      <w:proofErr w:type="spellStart"/>
      <w:r w:rsidRPr="005C3356">
        <w:rPr>
          <w:rFonts w:eastAsia="楷体" w:cs="Calibri"/>
          <w:kern w:val="2"/>
          <w:sz w:val="22"/>
          <w:szCs w:val="22"/>
        </w:rPr>
        <w:t>Skintok</w:t>
      </w:r>
      <w:proofErr w:type="spellEnd"/>
      <w:r w:rsidRPr="005C3356">
        <w:rPr>
          <w:rFonts w:eastAsia="楷体" w:cs="Calibri"/>
          <w:kern w:val="2"/>
          <w:sz w:val="22"/>
          <w:szCs w:val="22"/>
        </w:rPr>
        <w:t xml:space="preserve">" effect — dermatologists and skincare creators on TikTok and </w:t>
      </w:r>
      <w:proofErr w:type="spellStart"/>
      <w:r w:rsidRPr="005C3356">
        <w:rPr>
          <w:rFonts w:eastAsia="楷体" w:cs="Calibri"/>
          <w:kern w:val="2"/>
          <w:sz w:val="22"/>
          <w:szCs w:val="22"/>
        </w:rPr>
        <w:t>Xiaohongshu</w:t>
      </w:r>
      <w:proofErr w:type="spellEnd"/>
      <w:r w:rsidRPr="005C3356">
        <w:rPr>
          <w:rFonts w:eastAsia="楷体" w:cs="Calibri"/>
          <w:kern w:val="2"/>
          <w:sz w:val="22"/>
          <w:szCs w:val="22"/>
        </w:rPr>
        <w:t xml:space="preserve"> have substantially elevated awareness of dermatological skincare products; and channel diversification, expanding from traditional pharmacies and hospital prescription channels to e-commerce and selective retail.</w:t>
      </w:r>
    </w:p>
    <w:p w14:paraId="4DAC6A65" w14:textId="77777777" w:rsidR="009D2965" w:rsidRDefault="009D2965">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5C3356" w:rsidRPr="008966C3" w14:paraId="217095AB" w14:textId="77777777" w:rsidTr="00816572">
        <w:tc>
          <w:tcPr>
            <w:tcW w:w="7733" w:type="dxa"/>
            <w:tcBorders>
              <w:bottom w:val="single" w:sz="4" w:space="0" w:color="auto"/>
            </w:tcBorders>
          </w:tcPr>
          <w:p w14:paraId="2C71B66F" w14:textId="0D11DA47"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Figure:</w:t>
            </w:r>
            <w:r w:rsidRPr="005C3356">
              <w:rPr>
                <w:rFonts w:cs="Times New Roman"/>
              </w:rPr>
              <w:t xml:space="preserve"> </w:t>
            </w:r>
            <w:r w:rsidRPr="005C3356">
              <w:rPr>
                <w:rFonts w:eastAsia="楷体" w:cs="Calibri"/>
                <w:b/>
                <w:bCs/>
                <w:kern w:val="2"/>
                <w:sz w:val="22"/>
                <w:szCs w:val="22"/>
              </w:rPr>
              <w:t>Global Dermatological Skincare Market Size 2019–2024 (USD million)</w:t>
            </w:r>
          </w:p>
        </w:tc>
      </w:tr>
      <w:tr w:rsidR="005C3356" w14:paraId="37E3C869" w14:textId="77777777" w:rsidTr="00816572">
        <w:tc>
          <w:tcPr>
            <w:tcW w:w="7733" w:type="dxa"/>
            <w:tcBorders>
              <w:top w:val="single" w:sz="4" w:space="0" w:color="auto"/>
              <w:bottom w:val="single" w:sz="4" w:space="0" w:color="auto"/>
            </w:tcBorders>
          </w:tcPr>
          <w:p w14:paraId="772A96B0" w14:textId="6CD7C537" w:rsidR="005C3356" w:rsidRDefault="00D7310D" w:rsidP="00816572">
            <w:pPr>
              <w:rPr>
                <w:rFonts w:asciiTheme="minorHAnsi" w:eastAsia="楷体" w:hAnsiTheme="minorHAnsi" w:cstheme="minorHAnsi" w:hint="eastAsia"/>
                <w:kern w:val="2"/>
                <w:sz w:val="22"/>
                <w:szCs w:val="22"/>
              </w:rPr>
            </w:pPr>
            <w:r>
              <w:rPr>
                <w:noProof/>
                <w:snapToGrid/>
              </w:rPr>
              <w:drawing>
                <wp:inline distT="0" distB="0" distL="0" distR="0" wp14:anchorId="2CB5CE0F" wp14:editId="065D6091">
                  <wp:extent cx="4669790" cy="2325642"/>
                  <wp:effectExtent l="0" t="0" r="0" b="0"/>
                  <wp:docPr id="515446791" name="图表 1">
                    <a:extLst xmlns:a="http://schemas.openxmlformats.org/drawingml/2006/main">
                      <a:ext uri="{FF2B5EF4-FFF2-40B4-BE49-F238E27FC236}">
                        <a16:creationId xmlns:a16="http://schemas.microsoft.com/office/drawing/2014/main" id="{C6369F14-E00E-29D7-DE91-FBB75F43BA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r w:rsidR="005C3356" w14:paraId="77D976B7" w14:textId="77777777" w:rsidTr="00816572">
        <w:tc>
          <w:tcPr>
            <w:tcW w:w="7733" w:type="dxa"/>
            <w:tcBorders>
              <w:top w:val="single" w:sz="4" w:space="0" w:color="auto"/>
            </w:tcBorders>
          </w:tcPr>
          <w:p w14:paraId="388C4255" w14:textId="2CB07E9B" w:rsidR="005C3356"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t xml:space="preserve">Source: </w:t>
            </w:r>
            <w:r w:rsidRPr="005C3356">
              <w:rPr>
                <w:rFonts w:eastAsia="楷体" w:cs="Calibri"/>
                <w:kern w:val="2"/>
                <w:sz w:val="22"/>
                <w:szCs w:val="22"/>
              </w:rPr>
              <w:t>Euromonitor</w:t>
            </w:r>
          </w:p>
        </w:tc>
      </w:tr>
    </w:tbl>
    <w:p w14:paraId="73E54D3A" w14:textId="77777777" w:rsidR="008966C3" w:rsidRPr="005C3356" w:rsidRDefault="008966C3">
      <w:pPr>
        <w:jc w:val="both"/>
        <w:rPr>
          <w:rFonts w:eastAsia="楷体" w:cs="Calibri"/>
          <w:kern w:val="2"/>
          <w:sz w:val="22"/>
          <w:szCs w:val="22"/>
        </w:rPr>
      </w:pPr>
    </w:p>
    <w:p w14:paraId="77C12906" w14:textId="488F9377" w:rsidR="005C3356" w:rsidRDefault="005C3356">
      <w:pPr>
        <w:jc w:val="both"/>
        <w:rPr>
          <w:rFonts w:eastAsia="楷体" w:cs="Calibri"/>
          <w:kern w:val="2"/>
          <w:sz w:val="22"/>
          <w:szCs w:val="22"/>
        </w:rPr>
      </w:pPr>
      <w:r w:rsidRPr="00D7310D">
        <w:rPr>
          <w:rFonts w:eastAsia="楷体" w:cs="Calibri"/>
          <w:b/>
          <w:bCs/>
          <w:kern w:val="2"/>
          <w:sz w:val="22"/>
          <w:szCs w:val="22"/>
        </w:rPr>
        <w:t xml:space="preserve">The Dermatological Beauty Division is anchored in dermatological science and home to the world's leading dermo-skincare brands: </w:t>
      </w:r>
      <w:r w:rsidRPr="005C3356">
        <w:rPr>
          <w:rFonts w:eastAsia="楷体" w:cs="Calibri"/>
          <w:kern w:val="2"/>
          <w:sz w:val="22"/>
          <w:szCs w:val="22"/>
        </w:rPr>
        <w:t xml:space="preserve">La Roche-Posay (the world's largest dermatological brand), CeraVe (surpassed EUR 2 billion in 2024, Gen Z's </w:t>
      </w:r>
      <w:proofErr w:type="spellStart"/>
      <w:r w:rsidRPr="005C3356">
        <w:rPr>
          <w:rFonts w:eastAsia="楷体" w:cs="Calibri"/>
          <w:kern w:val="2"/>
          <w:sz w:val="22"/>
          <w:szCs w:val="22"/>
        </w:rPr>
        <w:t>favourite</w:t>
      </w:r>
      <w:proofErr w:type="spellEnd"/>
      <w:r w:rsidRPr="005C3356">
        <w:rPr>
          <w:rFonts w:eastAsia="楷体" w:cs="Calibri"/>
          <w:kern w:val="2"/>
          <w:sz w:val="22"/>
          <w:szCs w:val="22"/>
        </w:rPr>
        <w:t xml:space="preserve"> skincare brand), Vichy (renowned for its thermal water and the </w:t>
      </w:r>
      <w:proofErr w:type="spellStart"/>
      <w:r w:rsidRPr="005C3356">
        <w:rPr>
          <w:rFonts w:eastAsia="楷体" w:cs="Calibri"/>
          <w:kern w:val="2"/>
          <w:sz w:val="22"/>
          <w:szCs w:val="22"/>
        </w:rPr>
        <w:t>Dercos</w:t>
      </w:r>
      <w:proofErr w:type="spellEnd"/>
      <w:r w:rsidRPr="005C3356">
        <w:rPr>
          <w:rFonts w:eastAsia="楷体" w:cs="Calibri"/>
          <w:kern w:val="2"/>
          <w:sz w:val="22"/>
          <w:szCs w:val="22"/>
        </w:rPr>
        <w:t xml:space="preserve"> scalp care range), </w:t>
      </w:r>
      <w:proofErr w:type="spellStart"/>
      <w:r w:rsidRPr="005C3356">
        <w:rPr>
          <w:rFonts w:eastAsia="楷体" w:cs="Calibri"/>
          <w:kern w:val="2"/>
          <w:sz w:val="22"/>
          <w:szCs w:val="22"/>
        </w:rPr>
        <w:t>SkinCeuticals</w:t>
      </w:r>
      <w:proofErr w:type="spellEnd"/>
      <w:r w:rsidRPr="005C3356">
        <w:rPr>
          <w:rFonts w:eastAsia="楷体" w:cs="Calibri"/>
          <w:kern w:val="2"/>
          <w:sz w:val="22"/>
          <w:szCs w:val="22"/>
        </w:rPr>
        <w:t xml:space="preserve"> (acquired in 2005, renowned for its medical-grade Vitamin C serum and antioxidant products), and </w:t>
      </w:r>
      <w:proofErr w:type="spellStart"/>
      <w:r w:rsidRPr="005C3356">
        <w:rPr>
          <w:rFonts w:eastAsia="楷体" w:cs="Calibri"/>
          <w:kern w:val="2"/>
          <w:sz w:val="22"/>
          <w:szCs w:val="22"/>
        </w:rPr>
        <w:t>Skinbetter</w:t>
      </w:r>
      <w:proofErr w:type="spellEnd"/>
      <w:r w:rsidRPr="005C3356">
        <w:rPr>
          <w:rFonts w:eastAsia="楷体" w:cs="Calibri"/>
          <w:kern w:val="2"/>
          <w:sz w:val="22"/>
          <w:szCs w:val="22"/>
        </w:rPr>
        <w:t xml:space="preserve"> Science (acquired in 2023, focused on post-injectable skincare).</w:t>
      </w:r>
    </w:p>
    <w:p w14:paraId="4405DE8A" w14:textId="77777777" w:rsidR="009D2965" w:rsidRDefault="009D2965">
      <w:pPr>
        <w:jc w:val="both"/>
        <w:rPr>
          <w:rFonts w:eastAsia="楷体" w:cs="Calibri"/>
          <w:kern w:val="2"/>
          <w:sz w:val="22"/>
          <w:szCs w:val="22"/>
        </w:rPr>
      </w:pPr>
    </w:p>
    <w:p w14:paraId="6520FE13" w14:textId="77777777" w:rsidR="000449B1" w:rsidRDefault="000449B1">
      <w:pPr>
        <w:jc w:val="both"/>
        <w:rPr>
          <w:rFonts w:eastAsia="楷体" w:cs="Calibri"/>
          <w:kern w:val="2"/>
          <w:sz w:val="22"/>
          <w:szCs w:val="22"/>
        </w:rPr>
      </w:pPr>
    </w:p>
    <w:p w14:paraId="0B8AC21C" w14:textId="77777777" w:rsidR="000449B1" w:rsidRDefault="000449B1">
      <w:pPr>
        <w:jc w:val="both"/>
        <w:rPr>
          <w:rFonts w:eastAsia="楷体" w:cs="Calibri"/>
          <w:kern w:val="2"/>
          <w:sz w:val="22"/>
          <w:szCs w:val="22"/>
        </w:rPr>
      </w:pPr>
    </w:p>
    <w:p w14:paraId="30FA7A69" w14:textId="77777777" w:rsidR="000449B1" w:rsidRDefault="000449B1">
      <w:pPr>
        <w:jc w:val="both"/>
        <w:rPr>
          <w:rFonts w:eastAsia="楷体" w:cs="Calibri"/>
          <w:kern w:val="2"/>
          <w:sz w:val="22"/>
          <w:szCs w:val="22"/>
        </w:rPr>
      </w:pPr>
    </w:p>
    <w:p w14:paraId="168EA154" w14:textId="77777777" w:rsidR="000449B1" w:rsidRDefault="000449B1">
      <w:pPr>
        <w:jc w:val="both"/>
        <w:rPr>
          <w:rFonts w:eastAsia="楷体" w:cs="Calibri"/>
          <w:kern w:val="2"/>
          <w:sz w:val="22"/>
          <w:szCs w:val="22"/>
        </w:rPr>
      </w:pPr>
    </w:p>
    <w:p w14:paraId="58E06F9D" w14:textId="77777777" w:rsidR="000449B1" w:rsidRDefault="000449B1">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5C3356" w:rsidRPr="008966C3" w14:paraId="79809481" w14:textId="77777777" w:rsidTr="00816572">
        <w:tc>
          <w:tcPr>
            <w:tcW w:w="7733" w:type="dxa"/>
            <w:tcBorders>
              <w:bottom w:val="single" w:sz="4" w:space="0" w:color="auto"/>
            </w:tcBorders>
          </w:tcPr>
          <w:p w14:paraId="64CBCCE7" w14:textId="7ED231C9" w:rsidR="005C3356" w:rsidRPr="008966C3" w:rsidRDefault="005C3356" w:rsidP="00816572">
            <w:pPr>
              <w:rPr>
                <w:rFonts w:ascii="楷体" w:eastAsia="楷体" w:hAnsi="楷体" w:cstheme="minorHAnsi" w:hint="eastAsia"/>
                <w:b/>
                <w:bCs/>
                <w:kern w:val="2"/>
                <w:sz w:val="22"/>
                <w:szCs w:val="22"/>
              </w:rPr>
            </w:pPr>
            <w:r w:rsidRPr="008966C3">
              <w:rPr>
                <w:rFonts w:eastAsia="楷体" w:cs="Calibri"/>
                <w:b/>
                <w:bCs/>
                <w:kern w:val="2"/>
                <w:sz w:val="22"/>
                <w:szCs w:val="22"/>
              </w:rPr>
              <w:lastRenderedPageBreak/>
              <w:t>Figure:</w:t>
            </w:r>
            <w:r w:rsidRPr="005C3356">
              <w:rPr>
                <w:rFonts w:cs="Times New Roman"/>
                <w:b/>
                <w:bCs/>
                <w:sz w:val="22"/>
                <w:szCs w:val="22"/>
              </w:rPr>
              <w:t xml:space="preserve"> Dermatological Beauty Division Brand Portfolio (2024)</w:t>
            </w:r>
          </w:p>
        </w:tc>
      </w:tr>
      <w:tr w:rsidR="005C3356" w14:paraId="7F5CED19" w14:textId="77777777" w:rsidTr="00816572">
        <w:tc>
          <w:tcPr>
            <w:tcW w:w="7733" w:type="dxa"/>
            <w:tcBorders>
              <w:top w:val="single" w:sz="4" w:space="0" w:color="auto"/>
              <w:bottom w:val="single" w:sz="4" w:space="0" w:color="auto"/>
            </w:tcBorders>
          </w:tcPr>
          <w:tbl>
            <w:tblPr>
              <w:tblW w:w="7635" w:type="dxa"/>
              <w:tblLook w:val="04A0" w:firstRow="1" w:lastRow="0" w:firstColumn="1" w:lastColumn="0" w:noHBand="0" w:noVBand="1"/>
            </w:tblPr>
            <w:tblGrid>
              <w:gridCol w:w="1385"/>
              <w:gridCol w:w="2189"/>
              <w:gridCol w:w="1417"/>
              <w:gridCol w:w="2644"/>
            </w:tblGrid>
            <w:tr w:rsidR="00D7310D" w:rsidRPr="00D7310D" w14:paraId="45C7218D" w14:textId="77777777" w:rsidTr="00D7310D">
              <w:trPr>
                <w:trHeight w:val="553"/>
              </w:trPr>
              <w:tc>
                <w:tcPr>
                  <w:tcW w:w="1385" w:type="dxa"/>
                  <w:tcBorders>
                    <w:top w:val="nil"/>
                    <w:left w:val="nil"/>
                    <w:bottom w:val="nil"/>
                    <w:right w:val="nil"/>
                  </w:tcBorders>
                  <w:shd w:val="clear" w:color="000000" w:fill="002060"/>
                  <w:vAlign w:val="center"/>
                  <w:hideMark/>
                </w:tcPr>
                <w:p w14:paraId="59BE434E" w14:textId="77777777" w:rsidR="00D7310D" w:rsidRPr="00D7310D" w:rsidRDefault="00D7310D" w:rsidP="00D7310D">
                  <w:pPr>
                    <w:jc w:val="center"/>
                    <w:rPr>
                      <w:rFonts w:eastAsia="楷体" w:cs="Calibri"/>
                      <w:b/>
                      <w:bCs/>
                      <w:snapToGrid/>
                      <w:color w:val="FFFFFF"/>
                      <w:sz w:val="22"/>
                      <w:szCs w:val="22"/>
                    </w:rPr>
                  </w:pPr>
                  <w:r w:rsidRPr="00D7310D">
                    <w:rPr>
                      <w:rFonts w:eastAsia="楷体" w:cs="Calibri"/>
                      <w:b/>
                      <w:bCs/>
                      <w:snapToGrid/>
                      <w:color w:val="FFFFFF"/>
                      <w:sz w:val="22"/>
                      <w:szCs w:val="22"/>
                    </w:rPr>
                    <w:t>Brand</w:t>
                  </w:r>
                </w:p>
              </w:tc>
              <w:tc>
                <w:tcPr>
                  <w:tcW w:w="2189" w:type="dxa"/>
                  <w:tcBorders>
                    <w:top w:val="nil"/>
                    <w:left w:val="nil"/>
                    <w:bottom w:val="nil"/>
                    <w:right w:val="nil"/>
                  </w:tcBorders>
                  <w:shd w:val="clear" w:color="000000" w:fill="002060"/>
                  <w:vAlign w:val="center"/>
                  <w:hideMark/>
                </w:tcPr>
                <w:p w14:paraId="7328EA2A" w14:textId="77777777" w:rsidR="00D7310D" w:rsidRPr="00D7310D" w:rsidRDefault="00D7310D" w:rsidP="00D7310D">
                  <w:pPr>
                    <w:jc w:val="center"/>
                    <w:rPr>
                      <w:rFonts w:eastAsia="楷体" w:cs="Calibri"/>
                      <w:b/>
                      <w:bCs/>
                      <w:snapToGrid/>
                      <w:color w:val="FFFFFF"/>
                      <w:sz w:val="22"/>
                      <w:szCs w:val="22"/>
                    </w:rPr>
                  </w:pPr>
                  <w:r w:rsidRPr="00D7310D">
                    <w:rPr>
                      <w:rFonts w:eastAsia="楷体" w:cs="Calibri"/>
                      <w:b/>
                      <w:bCs/>
                      <w:snapToGrid/>
                      <w:color w:val="FFFFFF"/>
                      <w:sz w:val="22"/>
                      <w:szCs w:val="22"/>
                    </w:rPr>
                    <w:t>Hero Products</w:t>
                  </w:r>
                </w:p>
              </w:tc>
              <w:tc>
                <w:tcPr>
                  <w:tcW w:w="1417" w:type="dxa"/>
                  <w:tcBorders>
                    <w:top w:val="nil"/>
                    <w:left w:val="nil"/>
                    <w:bottom w:val="nil"/>
                    <w:right w:val="nil"/>
                  </w:tcBorders>
                  <w:shd w:val="clear" w:color="000000" w:fill="002060"/>
                  <w:vAlign w:val="center"/>
                  <w:hideMark/>
                </w:tcPr>
                <w:p w14:paraId="03AC3D81" w14:textId="77777777" w:rsidR="00D7310D" w:rsidRPr="00D7310D" w:rsidRDefault="00D7310D" w:rsidP="00D7310D">
                  <w:pPr>
                    <w:jc w:val="center"/>
                    <w:rPr>
                      <w:rFonts w:eastAsia="楷体" w:cs="Calibri"/>
                      <w:b/>
                      <w:bCs/>
                      <w:snapToGrid/>
                      <w:color w:val="FFFFFF"/>
                      <w:sz w:val="22"/>
                      <w:szCs w:val="22"/>
                    </w:rPr>
                  </w:pPr>
                  <w:r w:rsidRPr="00D7310D">
                    <w:rPr>
                      <w:rFonts w:eastAsia="楷体" w:cs="Calibri"/>
                      <w:b/>
                      <w:bCs/>
                      <w:snapToGrid/>
                      <w:color w:val="FFFFFF"/>
                      <w:sz w:val="22"/>
                      <w:szCs w:val="22"/>
                    </w:rPr>
                    <w:t>Channel Mix</w:t>
                  </w:r>
                </w:p>
              </w:tc>
              <w:tc>
                <w:tcPr>
                  <w:tcW w:w="2644" w:type="dxa"/>
                  <w:tcBorders>
                    <w:top w:val="nil"/>
                    <w:left w:val="nil"/>
                    <w:bottom w:val="nil"/>
                    <w:right w:val="nil"/>
                  </w:tcBorders>
                  <w:shd w:val="clear" w:color="000000" w:fill="002060"/>
                  <w:vAlign w:val="center"/>
                  <w:hideMark/>
                </w:tcPr>
                <w:p w14:paraId="01C0353D" w14:textId="77777777" w:rsidR="00D7310D" w:rsidRPr="00D7310D" w:rsidRDefault="00D7310D" w:rsidP="00D7310D">
                  <w:pPr>
                    <w:jc w:val="center"/>
                    <w:rPr>
                      <w:rFonts w:eastAsia="楷体" w:cs="Calibri"/>
                      <w:b/>
                      <w:bCs/>
                      <w:snapToGrid/>
                      <w:color w:val="FFFFFF"/>
                      <w:sz w:val="22"/>
                      <w:szCs w:val="22"/>
                    </w:rPr>
                  </w:pPr>
                  <w:r w:rsidRPr="00D7310D">
                    <w:rPr>
                      <w:rFonts w:eastAsia="楷体" w:cs="Calibri"/>
                      <w:b/>
                      <w:bCs/>
                      <w:snapToGrid/>
                      <w:color w:val="FFFFFF"/>
                      <w:sz w:val="22"/>
                      <w:szCs w:val="22"/>
                    </w:rPr>
                    <w:t>2024 Key Highlights</w:t>
                  </w:r>
                </w:p>
              </w:tc>
            </w:tr>
            <w:tr w:rsidR="00D7310D" w:rsidRPr="00D7310D" w14:paraId="6AA27FC3" w14:textId="77777777" w:rsidTr="00D7310D">
              <w:trPr>
                <w:trHeight w:val="923"/>
              </w:trPr>
              <w:tc>
                <w:tcPr>
                  <w:tcW w:w="1385" w:type="dxa"/>
                  <w:tcBorders>
                    <w:top w:val="nil"/>
                    <w:left w:val="nil"/>
                    <w:bottom w:val="nil"/>
                    <w:right w:val="nil"/>
                  </w:tcBorders>
                  <w:vAlign w:val="center"/>
                  <w:hideMark/>
                </w:tcPr>
                <w:p w14:paraId="035F0781"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La Roche-Posay</w:t>
                  </w:r>
                </w:p>
              </w:tc>
              <w:tc>
                <w:tcPr>
                  <w:tcW w:w="2189" w:type="dxa"/>
                  <w:tcBorders>
                    <w:top w:val="nil"/>
                    <w:left w:val="nil"/>
                    <w:bottom w:val="nil"/>
                    <w:right w:val="nil"/>
                  </w:tcBorders>
                  <w:vAlign w:val="center"/>
                  <w:hideMark/>
                </w:tcPr>
                <w:p w14:paraId="6FAF8BD8" w14:textId="77777777" w:rsidR="00D7310D" w:rsidRPr="000449B1" w:rsidRDefault="00D7310D" w:rsidP="00D7310D">
                  <w:pPr>
                    <w:jc w:val="center"/>
                    <w:rPr>
                      <w:rFonts w:eastAsia="楷体" w:cs="Calibri"/>
                      <w:snapToGrid/>
                      <w:color w:val="000000"/>
                      <w:sz w:val="18"/>
                      <w:szCs w:val="18"/>
                    </w:rPr>
                  </w:pPr>
                  <w:proofErr w:type="spellStart"/>
                  <w:r w:rsidRPr="000449B1">
                    <w:rPr>
                      <w:rFonts w:eastAsia="楷体" w:cs="Calibri"/>
                      <w:snapToGrid/>
                      <w:color w:val="000000"/>
                      <w:sz w:val="18"/>
                      <w:szCs w:val="18"/>
                    </w:rPr>
                    <w:t>Toleriane</w:t>
                  </w:r>
                  <w:proofErr w:type="spellEnd"/>
                  <w:r w:rsidRPr="000449B1">
                    <w:rPr>
                      <w:rFonts w:eastAsia="楷体" w:cs="Calibri"/>
                      <w:snapToGrid/>
                      <w:color w:val="000000"/>
                      <w:sz w:val="18"/>
                      <w:szCs w:val="18"/>
                    </w:rPr>
                    <w:t xml:space="preserve">, Vitamin B3 Serum, </w:t>
                  </w:r>
                  <w:proofErr w:type="spellStart"/>
                  <w:r w:rsidRPr="000449B1">
                    <w:rPr>
                      <w:rFonts w:eastAsia="楷体" w:cs="Calibri"/>
                      <w:snapToGrid/>
                      <w:color w:val="000000"/>
                      <w:sz w:val="18"/>
                      <w:szCs w:val="18"/>
                    </w:rPr>
                    <w:t>Cicaplast</w:t>
                  </w:r>
                  <w:proofErr w:type="spellEnd"/>
                  <w:r w:rsidRPr="000449B1">
                    <w:rPr>
                      <w:rFonts w:eastAsia="楷体" w:cs="Calibri"/>
                      <w:snapToGrid/>
                      <w:color w:val="000000"/>
                      <w:sz w:val="18"/>
                      <w:szCs w:val="18"/>
                    </w:rPr>
                    <w:t xml:space="preserve"> B5</w:t>
                  </w:r>
                </w:p>
              </w:tc>
              <w:tc>
                <w:tcPr>
                  <w:tcW w:w="1417" w:type="dxa"/>
                  <w:tcBorders>
                    <w:top w:val="nil"/>
                    <w:left w:val="nil"/>
                    <w:bottom w:val="nil"/>
                    <w:right w:val="nil"/>
                  </w:tcBorders>
                  <w:vAlign w:val="center"/>
                  <w:hideMark/>
                </w:tcPr>
                <w:p w14:paraId="3C94CF36"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Pharmacy + E-Commerce</w:t>
                  </w:r>
                </w:p>
              </w:tc>
              <w:tc>
                <w:tcPr>
                  <w:tcW w:w="2644" w:type="dxa"/>
                  <w:tcBorders>
                    <w:top w:val="nil"/>
                    <w:left w:val="nil"/>
                    <w:bottom w:val="nil"/>
                    <w:right w:val="nil"/>
                  </w:tcBorders>
                  <w:vAlign w:val="center"/>
                  <w:hideMark/>
                </w:tcPr>
                <w:p w14:paraId="33DE1A44"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Division Growth Leader; Double-Digit Growth in SAPMENA</w:t>
                  </w:r>
                </w:p>
              </w:tc>
            </w:tr>
            <w:tr w:rsidR="00D7310D" w:rsidRPr="00D7310D" w14:paraId="03E692AB" w14:textId="77777777" w:rsidTr="00D7310D">
              <w:trPr>
                <w:trHeight w:val="425"/>
              </w:trPr>
              <w:tc>
                <w:tcPr>
                  <w:tcW w:w="1385" w:type="dxa"/>
                  <w:tcBorders>
                    <w:top w:val="nil"/>
                    <w:left w:val="nil"/>
                    <w:bottom w:val="nil"/>
                    <w:right w:val="nil"/>
                  </w:tcBorders>
                  <w:shd w:val="clear" w:color="000000" w:fill="F2F2F2"/>
                  <w:vAlign w:val="center"/>
                  <w:hideMark/>
                </w:tcPr>
                <w:p w14:paraId="770C4C9B"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CeraVe</w:t>
                  </w:r>
                </w:p>
              </w:tc>
              <w:tc>
                <w:tcPr>
                  <w:tcW w:w="2189" w:type="dxa"/>
                  <w:tcBorders>
                    <w:top w:val="nil"/>
                    <w:left w:val="nil"/>
                    <w:bottom w:val="nil"/>
                    <w:right w:val="nil"/>
                  </w:tcBorders>
                  <w:shd w:val="clear" w:color="000000" w:fill="F2F2F2"/>
                  <w:vAlign w:val="center"/>
                  <w:hideMark/>
                </w:tcPr>
                <w:p w14:paraId="2DE3BE4F" w14:textId="77777777" w:rsidR="00D7310D" w:rsidRPr="000449B1" w:rsidRDefault="00D7310D" w:rsidP="00D7310D">
                  <w:pPr>
                    <w:jc w:val="center"/>
                    <w:rPr>
                      <w:rFonts w:eastAsia="楷体" w:cs="Calibri"/>
                      <w:snapToGrid/>
                      <w:color w:val="000000"/>
                      <w:sz w:val="18"/>
                      <w:szCs w:val="18"/>
                    </w:rPr>
                  </w:pPr>
                  <w:proofErr w:type="spellStart"/>
                  <w:r w:rsidRPr="000449B1">
                    <w:rPr>
                      <w:rFonts w:eastAsia="楷体" w:cs="Calibri"/>
                      <w:snapToGrid/>
                      <w:color w:val="000000"/>
                      <w:sz w:val="18"/>
                      <w:szCs w:val="18"/>
                    </w:rPr>
                    <w:t>Moisturising</w:t>
                  </w:r>
                  <w:proofErr w:type="spellEnd"/>
                  <w:r w:rsidRPr="000449B1">
                    <w:rPr>
                      <w:rFonts w:eastAsia="楷体" w:cs="Calibri"/>
                      <w:snapToGrid/>
                      <w:color w:val="000000"/>
                      <w:sz w:val="18"/>
                      <w:szCs w:val="18"/>
                    </w:rPr>
                    <w:t xml:space="preserve"> Cream, Hydrating Cleanser</w:t>
                  </w:r>
                </w:p>
              </w:tc>
              <w:tc>
                <w:tcPr>
                  <w:tcW w:w="1417" w:type="dxa"/>
                  <w:tcBorders>
                    <w:top w:val="nil"/>
                    <w:left w:val="nil"/>
                    <w:bottom w:val="nil"/>
                    <w:right w:val="nil"/>
                  </w:tcBorders>
                  <w:shd w:val="clear" w:color="000000" w:fill="F2F2F2"/>
                  <w:vAlign w:val="center"/>
                  <w:hideMark/>
                </w:tcPr>
                <w:p w14:paraId="1508BB09"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Mass Retail + Pharmacy + E-Commerce</w:t>
                  </w:r>
                </w:p>
              </w:tc>
              <w:tc>
                <w:tcPr>
                  <w:tcW w:w="2644" w:type="dxa"/>
                  <w:tcBorders>
                    <w:top w:val="nil"/>
                    <w:left w:val="nil"/>
                    <w:bottom w:val="nil"/>
                    <w:right w:val="nil"/>
                  </w:tcBorders>
                  <w:shd w:val="clear" w:color="000000" w:fill="F2F2F2"/>
                  <w:vAlign w:val="center"/>
                  <w:hideMark/>
                </w:tcPr>
                <w:p w14:paraId="0AFC160C"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Gen Z's #1 Skincare Brand; Driven by International Expansion</w:t>
                  </w:r>
                </w:p>
              </w:tc>
            </w:tr>
            <w:tr w:rsidR="00D7310D" w:rsidRPr="00D7310D" w14:paraId="3AA8441D" w14:textId="77777777" w:rsidTr="00D7310D">
              <w:trPr>
                <w:trHeight w:val="182"/>
              </w:trPr>
              <w:tc>
                <w:tcPr>
                  <w:tcW w:w="1385" w:type="dxa"/>
                  <w:tcBorders>
                    <w:top w:val="nil"/>
                    <w:left w:val="nil"/>
                    <w:bottom w:val="nil"/>
                    <w:right w:val="nil"/>
                  </w:tcBorders>
                  <w:vAlign w:val="center"/>
                  <w:hideMark/>
                </w:tcPr>
                <w:p w14:paraId="3F956876"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Vichy</w:t>
                  </w:r>
                </w:p>
              </w:tc>
              <w:tc>
                <w:tcPr>
                  <w:tcW w:w="2189" w:type="dxa"/>
                  <w:tcBorders>
                    <w:top w:val="nil"/>
                    <w:left w:val="nil"/>
                    <w:bottom w:val="nil"/>
                    <w:right w:val="nil"/>
                  </w:tcBorders>
                  <w:vAlign w:val="center"/>
                  <w:hideMark/>
                </w:tcPr>
                <w:p w14:paraId="61D55580" w14:textId="77777777" w:rsidR="00D7310D" w:rsidRPr="000449B1" w:rsidRDefault="00D7310D" w:rsidP="00D7310D">
                  <w:pPr>
                    <w:jc w:val="center"/>
                    <w:rPr>
                      <w:rFonts w:eastAsia="楷体" w:cs="Calibri"/>
                      <w:snapToGrid/>
                      <w:color w:val="000000"/>
                      <w:sz w:val="18"/>
                      <w:szCs w:val="18"/>
                    </w:rPr>
                  </w:pPr>
                  <w:proofErr w:type="spellStart"/>
                  <w:r w:rsidRPr="000449B1">
                    <w:rPr>
                      <w:rFonts w:eastAsia="楷体" w:cs="Calibri"/>
                      <w:snapToGrid/>
                      <w:color w:val="000000"/>
                      <w:sz w:val="18"/>
                      <w:szCs w:val="18"/>
                    </w:rPr>
                    <w:t>Dercos</w:t>
                  </w:r>
                  <w:proofErr w:type="spellEnd"/>
                  <w:r w:rsidRPr="000449B1">
                    <w:rPr>
                      <w:rFonts w:eastAsia="楷体" w:cs="Calibri"/>
                      <w:snapToGrid/>
                      <w:color w:val="000000"/>
                      <w:sz w:val="18"/>
                      <w:szCs w:val="18"/>
                    </w:rPr>
                    <w:t xml:space="preserve">, </w:t>
                  </w:r>
                  <w:proofErr w:type="spellStart"/>
                  <w:r w:rsidRPr="000449B1">
                    <w:rPr>
                      <w:rFonts w:eastAsia="楷体" w:cs="Calibri"/>
                      <w:snapToGrid/>
                      <w:color w:val="000000"/>
                      <w:sz w:val="18"/>
                      <w:szCs w:val="18"/>
                    </w:rPr>
                    <w:t>Minéral</w:t>
                  </w:r>
                  <w:proofErr w:type="spellEnd"/>
                  <w:r w:rsidRPr="000449B1">
                    <w:rPr>
                      <w:rFonts w:eastAsia="楷体" w:cs="Calibri"/>
                      <w:snapToGrid/>
                      <w:color w:val="000000"/>
                      <w:sz w:val="18"/>
                      <w:szCs w:val="18"/>
                    </w:rPr>
                    <w:t xml:space="preserve"> 89 Serum, </w:t>
                  </w:r>
                  <w:proofErr w:type="spellStart"/>
                  <w:r w:rsidRPr="000449B1">
                    <w:rPr>
                      <w:rFonts w:eastAsia="楷体" w:cs="Calibri"/>
                      <w:snapToGrid/>
                      <w:color w:val="000000"/>
                      <w:sz w:val="18"/>
                      <w:szCs w:val="18"/>
                    </w:rPr>
                    <w:t>Liftactiv</w:t>
                  </w:r>
                  <w:proofErr w:type="spellEnd"/>
                </w:p>
              </w:tc>
              <w:tc>
                <w:tcPr>
                  <w:tcW w:w="1417" w:type="dxa"/>
                  <w:tcBorders>
                    <w:top w:val="nil"/>
                    <w:left w:val="nil"/>
                    <w:bottom w:val="nil"/>
                    <w:right w:val="nil"/>
                  </w:tcBorders>
                  <w:vAlign w:val="center"/>
                  <w:hideMark/>
                </w:tcPr>
                <w:p w14:paraId="503DF926"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Pharmacy</w:t>
                  </w:r>
                </w:p>
              </w:tc>
              <w:tc>
                <w:tcPr>
                  <w:tcW w:w="2644" w:type="dxa"/>
                  <w:tcBorders>
                    <w:top w:val="nil"/>
                    <w:left w:val="nil"/>
                    <w:bottom w:val="nil"/>
                    <w:right w:val="nil"/>
                  </w:tcBorders>
                  <w:vAlign w:val="center"/>
                  <w:hideMark/>
                </w:tcPr>
                <w:p w14:paraId="748C04FD"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Thermal Water Heritage + Scalp Care</w:t>
                  </w:r>
                </w:p>
              </w:tc>
            </w:tr>
            <w:tr w:rsidR="00D7310D" w:rsidRPr="00D7310D" w14:paraId="0271BCDC" w14:textId="77777777" w:rsidTr="00D7310D">
              <w:trPr>
                <w:trHeight w:val="661"/>
              </w:trPr>
              <w:tc>
                <w:tcPr>
                  <w:tcW w:w="1385" w:type="dxa"/>
                  <w:tcBorders>
                    <w:top w:val="nil"/>
                    <w:left w:val="nil"/>
                    <w:bottom w:val="nil"/>
                    <w:right w:val="nil"/>
                  </w:tcBorders>
                  <w:shd w:val="clear" w:color="000000" w:fill="F2F2F2"/>
                  <w:vAlign w:val="center"/>
                  <w:hideMark/>
                </w:tcPr>
                <w:p w14:paraId="6449DD15" w14:textId="6449B214" w:rsidR="00D7310D" w:rsidRPr="000449B1" w:rsidRDefault="00D7310D" w:rsidP="00D7310D">
                  <w:pPr>
                    <w:jc w:val="center"/>
                    <w:rPr>
                      <w:rFonts w:eastAsia="楷体" w:cs="Calibri"/>
                      <w:snapToGrid/>
                      <w:color w:val="000000"/>
                      <w:sz w:val="18"/>
                      <w:szCs w:val="18"/>
                    </w:rPr>
                  </w:pPr>
                  <w:proofErr w:type="spellStart"/>
                  <w:r w:rsidRPr="000449B1">
                    <w:rPr>
                      <w:rFonts w:eastAsia="楷体" w:cs="Calibri"/>
                      <w:snapToGrid/>
                      <w:color w:val="000000"/>
                      <w:sz w:val="18"/>
                      <w:szCs w:val="18"/>
                    </w:rPr>
                    <w:t>SkinCeuticals</w:t>
                  </w:r>
                  <w:proofErr w:type="spellEnd"/>
                </w:p>
              </w:tc>
              <w:tc>
                <w:tcPr>
                  <w:tcW w:w="2189" w:type="dxa"/>
                  <w:tcBorders>
                    <w:top w:val="nil"/>
                    <w:left w:val="nil"/>
                    <w:bottom w:val="nil"/>
                    <w:right w:val="nil"/>
                  </w:tcBorders>
                  <w:shd w:val="clear" w:color="000000" w:fill="F2F2F2"/>
                  <w:vAlign w:val="center"/>
                  <w:hideMark/>
                </w:tcPr>
                <w:p w14:paraId="00B35296"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C E Ferulic, P-</w:t>
                  </w:r>
                  <w:proofErr w:type="spellStart"/>
                  <w:r w:rsidRPr="000449B1">
                    <w:rPr>
                      <w:rFonts w:eastAsia="楷体" w:cs="Calibri"/>
                      <w:snapToGrid/>
                      <w:color w:val="000000"/>
                      <w:sz w:val="18"/>
                      <w:szCs w:val="18"/>
                    </w:rPr>
                    <w:t>Tiox</w:t>
                  </w:r>
                  <w:proofErr w:type="spellEnd"/>
                </w:p>
              </w:tc>
              <w:tc>
                <w:tcPr>
                  <w:tcW w:w="1417" w:type="dxa"/>
                  <w:tcBorders>
                    <w:top w:val="nil"/>
                    <w:left w:val="nil"/>
                    <w:bottom w:val="nil"/>
                    <w:right w:val="nil"/>
                  </w:tcBorders>
                  <w:shd w:val="clear" w:color="000000" w:fill="F2F2F2"/>
                  <w:vAlign w:val="center"/>
                  <w:hideMark/>
                </w:tcPr>
                <w:p w14:paraId="7A7403CE"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Medi-Spa + DTC</w:t>
                  </w:r>
                </w:p>
              </w:tc>
              <w:tc>
                <w:tcPr>
                  <w:tcW w:w="2644" w:type="dxa"/>
                  <w:tcBorders>
                    <w:top w:val="nil"/>
                    <w:left w:val="nil"/>
                    <w:bottom w:val="nil"/>
                    <w:right w:val="nil"/>
                  </w:tcBorders>
                  <w:shd w:val="clear" w:color="000000" w:fill="F2F2F2"/>
                  <w:vAlign w:val="center"/>
                  <w:hideMark/>
                </w:tcPr>
                <w:p w14:paraId="4FC2E255"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Medical-Grade Positioning; High DTC Mix</w:t>
                  </w:r>
                </w:p>
              </w:tc>
            </w:tr>
            <w:tr w:rsidR="00D7310D" w:rsidRPr="00D7310D" w14:paraId="029B02A1" w14:textId="77777777" w:rsidTr="00D7310D">
              <w:trPr>
                <w:trHeight w:val="418"/>
              </w:trPr>
              <w:tc>
                <w:tcPr>
                  <w:tcW w:w="1385" w:type="dxa"/>
                  <w:tcBorders>
                    <w:top w:val="nil"/>
                    <w:left w:val="nil"/>
                    <w:bottom w:val="nil"/>
                    <w:right w:val="nil"/>
                  </w:tcBorders>
                  <w:vAlign w:val="center"/>
                  <w:hideMark/>
                </w:tcPr>
                <w:p w14:paraId="6066FF90" w14:textId="77777777" w:rsidR="00D7310D" w:rsidRPr="000449B1" w:rsidRDefault="00D7310D" w:rsidP="00D7310D">
                  <w:pPr>
                    <w:jc w:val="center"/>
                    <w:rPr>
                      <w:rFonts w:eastAsia="楷体" w:cs="Calibri"/>
                      <w:snapToGrid/>
                      <w:color w:val="000000"/>
                      <w:sz w:val="18"/>
                      <w:szCs w:val="18"/>
                    </w:rPr>
                  </w:pPr>
                  <w:proofErr w:type="spellStart"/>
                  <w:r w:rsidRPr="000449B1">
                    <w:rPr>
                      <w:rFonts w:eastAsia="楷体" w:cs="Calibri"/>
                      <w:snapToGrid/>
                      <w:color w:val="000000"/>
                      <w:sz w:val="18"/>
                      <w:szCs w:val="18"/>
                    </w:rPr>
                    <w:t>Skinbetter</w:t>
                  </w:r>
                  <w:proofErr w:type="spellEnd"/>
                  <w:r w:rsidRPr="000449B1">
                    <w:rPr>
                      <w:rFonts w:eastAsia="楷体" w:cs="Calibri"/>
                      <w:snapToGrid/>
                      <w:color w:val="000000"/>
                      <w:sz w:val="18"/>
                      <w:szCs w:val="18"/>
                    </w:rPr>
                    <w:t xml:space="preserve"> Science</w:t>
                  </w:r>
                </w:p>
              </w:tc>
              <w:tc>
                <w:tcPr>
                  <w:tcW w:w="2189" w:type="dxa"/>
                  <w:tcBorders>
                    <w:top w:val="nil"/>
                    <w:left w:val="nil"/>
                    <w:bottom w:val="nil"/>
                    <w:right w:val="nil"/>
                  </w:tcBorders>
                  <w:vAlign w:val="center"/>
                  <w:hideMark/>
                </w:tcPr>
                <w:p w14:paraId="6A6727A1" w14:textId="77777777" w:rsidR="00D7310D" w:rsidRPr="000449B1" w:rsidRDefault="00D7310D" w:rsidP="00D7310D">
                  <w:pPr>
                    <w:jc w:val="center"/>
                    <w:rPr>
                      <w:rFonts w:eastAsia="楷体" w:cs="Calibri"/>
                      <w:snapToGrid/>
                      <w:color w:val="000000"/>
                      <w:sz w:val="18"/>
                      <w:szCs w:val="18"/>
                    </w:rPr>
                  </w:pPr>
                  <w:proofErr w:type="spellStart"/>
                  <w:r w:rsidRPr="000449B1">
                    <w:rPr>
                      <w:rFonts w:eastAsia="楷体" w:cs="Calibri"/>
                      <w:snapToGrid/>
                      <w:color w:val="000000"/>
                      <w:sz w:val="18"/>
                      <w:szCs w:val="18"/>
                    </w:rPr>
                    <w:t>AlphaRet</w:t>
                  </w:r>
                  <w:proofErr w:type="spellEnd"/>
                  <w:r w:rsidRPr="000449B1">
                    <w:rPr>
                      <w:rFonts w:eastAsia="楷体" w:cs="Calibri"/>
                      <w:snapToGrid/>
                      <w:color w:val="000000"/>
                      <w:sz w:val="18"/>
                      <w:szCs w:val="18"/>
                    </w:rPr>
                    <w:t xml:space="preserve">, </w:t>
                  </w:r>
                  <w:proofErr w:type="spellStart"/>
                  <w:r w:rsidRPr="000449B1">
                    <w:rPr>
                      <w:rFonts w:eastAsia="楷体" w:cs="Calibri"/>
                      <w:snapToGrid/>
                      <w:color w:val="000000"/>
                      <w:sz w:val="18"/>
                      <w:szCs w:val="18"/>
                    </w:rPr>
                    <w:t>InterFuse</w:t>
                  </w:r>
                  <w:proofErr w:type="spellEnd"/>
                </w:p>
              </w:tc>
              <w:tc>
                <w:tcPr>
                  <w:tcW w:w="1417" w:type="dxa"/>
                  <w:tcBorders>
                    <w:top w:val="nil"/>
                    <w:left w:val="nil"/>
                    <w:bottom w:val="nil"/>
                    <w:right w:val="nil"/>
                  </w:tcBorders>
                  <w:vAlign w:val="center"/>
                  <w:hideMark/>
                </w:tcPr>
                <w:p w14:paraId="1268470C"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Medi-Spa + DTC</w:t>
                  </w:r>
                </w:p>
              </w:tc>
              <w:tc>
                <w:tcPr>
                  <w:tcW w:w="2644" w:type="dxa"/>
                  <w:tcBorders>
                    <w:top w:val="nil"/>
                    <w:left w:val="nil"/>
                    <w:bottom w:val="nil"/>
                    <w:right w:val="nil"/>
                  </w:tcBorders>
                  <w:vAlign w:val="center"/>
                  <w:hideMark/>
                </w:tcPr>
                <w:p w14:paraId="457A5EFE" w14:textId="77777777" w:rsidR="00D7310D" w:rsidRPr="000449B1" w:rsidRDefault="00D7310D" w:rsidP="00D7310D">
                  <w:pPr>
                    <w:jc w:val="center"/>
                    <w:rPr>
                      <w:rFonts w:eastAsia="楷体" w:cs="Calibri"/>
                      <w:snapToGrid/>
                      <w:color w:val="000000"/>
                      <w:sz w:val="18"/>
                      <w:szCs w:val="18"/>
                    </w:rPr>
                  </w:pPr>
                  <w:r w:rsidRPr="000449B1">
                    <w:rPr>
                      <w:rFonts w:eastAsia="楷体" w:cs="Calibri"/>
                      <w:snapToGrid/>
                      <w:color w:val="000000"/>
                      <w:sz w:val="18"/>
                      <w:szCs w:val="18"/>
                    </w:rPr>
                    <w:t>Post-Procedure Skincare Specialist</w:t>
                  </w:r>
                </w:p>
              </w:tc>
            </w:tr>
          </w:tbl>
          <w:p w14:paraId="54CE09DB" w14:textId="77777777" w:rsidR="005C3356" w:rsidRDefault="005C3356" w:rsidP="00816572">
            <w:pPr>
              <w:rPr>
                <w:rFonts w:asciiTheme="minorHAnsi" w:eastAsia="楷体" w:hAnsiTheme="minorHAnsi" w:cstheme="minorHAnsi" w:hint="eastAsia"/>
                <w:kern w:val="2"/>
                <w:sz w:val="22"/>
                <w:szCs w:val="22"/>
              </w:rPr>
            </w:pPr>
          </w:p>
        </w:tc>
      </w:tr>
      <w:tr w:rsidR="005C3356" w14:paraId="594867EB" w14:textId="77777777" w:rsidTr="00816572">
        <w:tc>
          <w:tcPr>
            <w:tcW w:w="7733" w:type="dxa"/>
            <w:tcBorders>
              <w:top w:val="single" w:sz="4" w:space="0" w:color="auto"/>
            </w:tcBorders>
          </w:tcPr>
          <w:p w14:paraId="2B00D06B" w14:textId="4E708BC6" w:rsidR="005C3356" w:rsidRPr="005C3356" w:rsidRDefault="005C3356" w:rsidP="00816572">
            <w:pPr>
              <w:rPr>
                <w:rFonts w:eastAsia="楷体" w:cs="Calibri"/>
                <w:kern w:val="2"/>
                <w:sz w:val="22"/>
                <w:szCs w:val="22"/>
              </w:rPr>
            </w:pPr>
            <w:r w:rsidRPr="008966C3">
              <w:rPr>
                <w:rFonts w:eastAsia="楷体" w:cs="Calibri"/>
                <w:b/>
                <w:bCs/>
                <w:kern w:val="2"/>
                <w:sz w:val="22"/>
                <w:szCs w:val="22"/>
              </w:rPr>
              <w:t xml:space="preserve">Source: </w:t>
            </w:r>
            <w:r w:rsidRPr="005C3356">
              <w:rPr>
                <w:rFonts w:eastAsia="楷体" w:cs="Calibri"/>
                <w:kern w:val="2"/>
                <w:sz w:val="22"/>
                <w:szCs w:val="22"/>
              </w:rPr>
              <w:t>Company Annual Reports</w:t>
            </w:r>
            <w:r w:rsidR="00D7310D">
              <w:rPr>
                <w:rFonts w:eastAsia="楷体" w:cs="Calibri" w:hint="eastAsia"/>
                <w:kern w:val="2"/>
                <w:sz w:val="22"/>
                <w:szCs w:val="22"/>
              </w:rPr>
              <w:t>, HFI</w:t>
            </w:r>
          </w:p>
        </w:tc>
      </w:tr>
    </w:tbl>
    <w:p w14:paraId="3482CB15" w14:textId="77777777" w:rsidR="005C3356" w:rsidRDefault="005C3356">
      <w:pPr>
        <w:jc w:val="both"/>
        <w:rPr>
          <w:rFonts w:eastAsia="楷体" w:cs="Calibri"/>
          <w:kern w:val="2"/>
          <w:sz w:val="22"/>
          <w:szCs w:val="22"/>
        </w:rPr>
      </w:pPr>
    </w:p>
    <w:p w14:paraId="255CC50A" w14:textId="77777777" w:rsidR="003F7B8B" w:rsidRPr="003F7B8B" w:rsidRDefault="003F7B8B" w:rsidP="003F7B8B">
      <w:pPr>
        <w:jc w:val="both"/>
        <w:rPr>
          <w:rFonts w:eastAsia="楷体" w:cs="Calibri"/>
          <w:kern w:val="2"/>
          <w:sz w:val="22"/>
          <w:szCs w:val="22"/>
        </w:rPr>
      </w:pPr>
      <w:r w:rsidRPr="00D7310D">
        <w:rPr>
          <w:rFonts w:eastAsia="楷体" w:cs="Calibri"/>
          <w:b/>
          <w:bCs/>
          <w:kern w:val="2"/>
          <w:sz w:val="22"/>
          <w:szCs w:val="22"/>
        </w:rPr>
        <w:t xml:space="preserve">Brands within this division achieve sustained, market-leading growth through physician endorsement and rigorous ongoing research into skin concerns that address consumer needs. </w:t>
      </w:r>
      <w:r w:rsidRPr="003F7B8B">
        <w:rPr>
          <w:rFonts w:eastAsia="楷体" w:cs="Calibri"/>
          <w:kern w:val="2"/>
          <w:sz w:val="22"/>
          <w:szCs w:val="22"/>
        </w:rPr>
        <w:t xml:space="preserve">Taking La Roche-Posay as an example: founded in 1975 by dermatologists and built on the thermal spring water of La Roche-Posay, France, the brand is recommended by over 90,000 dermatologists worldwide. Its </w:t>
      </w:r>
      <w:proofErr w:type="spellStart"/>
      <w:r w:rsidRPr="003F7B8B">
        <w:rPr>
          <w:rFonts w:eastAsia="楷体" w:cs="Calibri"/>
          <w:kern w:val="2"/>
          <w:sz w:val="22"/>
          <w:szCs w:val="22"/>
        </w:rPr>
        <w:t>Effaclar</w:t>
      </w:r>
      <w:proofErr w:type="spellEnd"/>
      <w:r w:rsidRPr="003F7B8B">
        <w:rPr>
          <w:rFonts w:eastAsia="楷体" w:cs="Calibri"/>
          <w:kern w:val="2"/>
          <w:sz w:val="22"/>
          <w:szCs w:val="22"/>
        </w:rPr>
        <w:t xml:space="preserve"> range is one of the world's best-selling acne care products; the Mela B3 range, launched in 2024 and featuring the group's proprietary </w:t>
      </w:r>
      <w:proofErr w:type="spellStart"/>
      <w:r w:rsidRPr="003F7B8B">
        <w:rPr>
          <w:rFonts w:eastAsia="楷体" w:cs="Calibri"/>
          <w:kern w:val="2"/>
          <w:sz w:val="22"/>
          <w:szCs w:val="22"/>
        </w:rPr>
        <w:t>Melasyl</w:t>
      </w:r>
      <w:proofErr w:type="spellEnd"/>
      <w:r w:rsidRPr="003F7B8B">
        <w:rPr>
          <w:rFonts w:eastAsia="楷体" w:cs="Calibri"/>
          <w:kern w:val="2"/>
          <w:sz w:val="22"/>
          <w:szCs w:val="22"/>
        </w:rPr>
        <w:t xml:space="preserve"> molecule, represents a breakthrough innovation in the anti-hyperpigmentation space; and the </w:t>
      </w:r>
      <w:proofErr w:type="spellStart"/>
      <w:r w:rsidRPr="003F7B8B">
        <w:rPr>
          <w:rFonts w:eastAsia="楷体" w:cs="Calibri"/>
          <w:kern w:val="2"/>
          <w:sz w:val="22"/>
          <w:szCs w:val="22"/>
        </w:rPr>
        <w:t>Anthelios</w:t>
      </w:r>
      <w:proofErr w:type="spellEnd"/>
      <w:r w:rsidRPr="003F7B8B">
        <w:rPr>
          <w:rFonts w:eastAsia="楷体" w:cs="Calibri"/>
          <w:kern w:val="2"/>
          <w:sz w:val="22"/>
          <w:szCs w:val="22"/>
        </w:rPr>
        <w:t xml:space="preserve"> suncare range perennially ranks first in the pharmacy channel.</w:t>
      </w:r>
    </w:p>
    <w:p w14:paraId="56E2A6BC" w14:textId="4F2F06D0" w:rsidR="003F7B8B" w:rsidRDefault="003F7B8B" w:rsidP="003F7B8B">
      <w:pPr>
        <w:jc w:val="both"/>
        <w:rPr>
          <w:rFonts w:eastAsia="楷体" w:cs="Calibri"/>
          <w:kern w:val="2"/>
          <w:sz w:val="22"/>
          <w:szCs w:val="22"/>
        </w:rPr>
      </w:pPr>
      <w:r w:rsidRPr="003F7B8B">
        <w:rPr>
          <w:rFonts w:eastAsia="楷体" w:cs="Calibri"/>
          <w:kern w:val="2"/>
          <w:sz w:val="22"/>
          <w:szCs w:val="22"/>
        </w:rPr>
        <w:t xml:space="preserve">In terms of revenue scale, the Dermatological Beauty Division is the group's fastest-growing division. </w:t>
      </w:r>
      <w:proofErr w:type="spellStart"/>
      <w:r w:rsidRPr="003F7B8B">
        <w:rPr>
          <w:rFonts w:eastAsia="楷体" w:cs="Calibri"/>
          <w:kern w:val="2"/>
          <w:sz w:val="22"/>
          <w:szCs w:val="22"/>
        </w:rPr>
        <w:t>Its</w:t>
      </w:r>
      <w:proofErr w:type="spellEnd"/>
      <w:r w:rsidRPr="003F7B8B">
        <w:rPr>
          <w:rFonts w:eastAsia="楷体" w:cs="Calibri"/>
          <w:kern w:val="2"/>
          <w:sz w:val="22"/>
          <w:szCs w:val="22"/>
        </w:rPr>
        <w:t xml:space="preserve"> like-for-like growth from 2022 to 2024 was +21.1%, +18.3%, and +9.8% respectively, substantially outperforming the group-level LFL of +10.9%, +11.0%, and +5.1% over the same period. By comparison, L'Oréal Luxe achieved LFL growth of only +2.7% in 2024, Consumer Products +5.4%, and Professional Products +5.3%. The division's outperformance reflects the high growth momentum in the global dermatological skincare segment (Euromonitor CAGR 2019–2024 of approximately 10.6%), as well as the group's first-mover advantage in physician prescription channels and its multi-brand portfolio.</w:t>
      </w:r>
    </w:p>
    <w:p w14:paraId="27F7B800" w14:textId="77777777" w:rsidR="008552C6" w:rsidRPr="003F7B8B" w:rsidRDefault="008552C6" w:rsidP="003F7B8B">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3F7B8B" w:rsidRPr="008966C3" w14:paraId="2E081762" w14:textId="77777777" w:rsidTr="00FE6ABA">
        <w:tc>
          <w:tcPr>
            <w:tcW w:w="7733" w:type="dxa"/>
            <w:tcBorders>
              <w:bottom w:val="single" w:sz="4" w:space="0" w:color="auto"/>
            </w:tcBorders>
          </w:tcPr>
          <w:p w14:paraId="61239B42" w14:textId="15C2B6E1" w:rsidR="003F7B8B" w:rsidRPr="008966C3" w:rsidRDefault="003F7B8B" w:rsidP="00FE6ABA">
            <w:pPr>
              <w:rPr>
                <w:rFonts w:ascii="楷体" w:eastAsia="楷体" w:hAnsi="楷体" w:cstheme="minorHAnsi" w:hint="eastAsia"/>
                <w:b/>
                <w:bCs/>
                <w:kern w:val="2"/>
                <w:sz w:val="22"/>
                <w:szCs w:val="22"/>
              </w:rPr>
            </w:pPr>
            <w:r w:rsidRPr="008966C3">
              <w:rPr>
                <w:rFonts w:eastAsia="楷体" w:cs="Calibri"/>
                <w:b/>
                <w:bCs/>
                <w:kern w:val="2"/>
                <w:sz w:val="22"/>
                <w:szCs w:val="22"/>
              </w:rPr>
              <w:t>Figure:</w:t>
            </w:r>
            <w:r w:rsidRPr="005C3356">
              <w:rPr>
                <w:rFonts w:cs="Times New Roman"/>
                <w:b/>
                <w:bCs/>
                <w:sz w:val="22"/>
                <w:szCs w:val="22"/>
              </w:rPr>
              <w:t xml:space="preserve"> </w:t>
            </w:r>
            <w:r w:rsidRPr="003F7B8B">
              <w:rPr>
                <w:rFonts w:cs="Times New Roman"/>
                <w:b/>
                <w:bCs/>
                <w:sz w:val="22"/>
                <w:szCs w:val="22"/>
              </w:rPr>
              <w:t>La Roche-Posay Brand Overview</w:t>
            </w:r>
          </w:p>
        </w:tc>
      </w:tr>
      <w:tr w:rsidR="003F7B8B" w14:paraId="4D543C8E" w14:textId="77777777" w:rsidTr="00FE6ABA">
        <w:tc>
          <w:tcPr>
            <w:tcW w:w="7733" w:type="dxa"/>
            <w:tcBorders>
              <w:top w:val="single" w:sz="4" w:space="0" w:color="auto"/>
              <w:bottom w:val="single" w:sz="4" w:space="0" w:color="auto"/>
            </w:tcBorders>
          </w:tcPr>
          <w:tbl>
            <w:tblPr>
              <w:tblW w:w="7620" w:type="dxa"/>
              <w:tblLook w:val="04A0" w:firstRow="1" w:lastRow="0" w:firstColumn="1" w:lastColumn="0" w:noHBand="0" w:noVBand="1"/>
            </w:tblPr>
            <w:tblGrid>
              <w:gridCol w:w="1195"/>
              <w:gridCol w:w="6425"/>
            </w:tblGrid>
            <w:tr w:rsidR="00D7310D" w:rsidRPr="00D7310D" w14:paraId="1BFBDB93" w14:textId="77777777" w:rsidTr="00D7310D">
              <w:trPr>
                <w:trHeight w:val="271"/>
              </w:trPr>
              <w:tc>
                <w:tcPr>
                  <w:tcW w:w="881" w:type="dxa"/>
                  <w:tcBorders>
                    <w:top w:val="nil"/>
                    <w:left w:val="nil"/>
                    <w:bottom w:val="nil"/>
                    <w:right w:val="nil"/>
                  </w:tcBorders>
                  <w:shd w:val="clear" w:color="000000" w:fill="002060"/>
                  <w:vAlign w:val="center"/>
                  <w:hideMark/>
                </w:tcPr>
                <w:p w14:paraId="7E89B3A4" w14:textId="77777777" w:rsidR="00D7310D" w:rsidRPr="008552C6" w:rsidRDefault="00D7310D" w:rsidP="00D7310D">
                  <w:pPr>
                    <w:jc w:val="center"/>
                    <w:rPr>
                      <w:rFonts w:eastAsia="楷体" w:cs="Calibri"/>
                      <w:b/>
                      <w:bCs/>
                      <w:snapToGrid/>
                      <w:color w:val="FFFFFF"/>
                      <w:sz w:val="22"/>
                      <w:szCs w:val="22"/>
                    </w:rPr>
                  </w:pPr>
                  <w:r w:rsidRPr="008552C6">
                    <w:rPr>
                      <w:rFonts w:eastAsia="楷体" w:cs="Calibri"/>
                      <w:b/>
                      <w:bCs/>
                      <w:snapToGrid/>
                      <w:color w:val="FFFFFF"/>
                      <w:sz w:val="22"/>
                      <w:szCs w:val="22"/>
                    </w:rPr>
                    <w:t>Dimension</w:t>
                  </w:r>
                </w:p>
              </w:tc>
              <w:tc>
                <w:tcPr>
                  <w:tcW w:w="6739" w:type="dxa"/>
                  <w:tcBorders>
                    <w:top w:val="nil"/>
                    <w:left w:val="nil"/>
                    <w:bottom w:val="nil"/>
                    <w:right w:val="nil"/>
                  </w:tcBorders>
                  <w:shd w:val="clear" w:color="000000" w:fill="002060"/>
                  <w:vAlign w:val="center"/>
                  <w:hideMark/>
                </w:tcPr>
                <w:p w14:paraId="03BD9B4F" w14:textId="77777777" w:rsidR="00D7310D" w:rsidRPr="008552C6" w:rsidRDefault="00D7310D" w:rsidP="00D7310D">
                  <w:pPr>
                    <w:jc w:val="center"/>
                    <w:rPr>
                      <w:rFonts w:eastAsia="楷体" w:cs="Calibri"/>
                      <w:b/>
                      <w:bCs/>
                      <w:snapToGrid/>
                      <w:color w:val="FFFFFF"/>
                      <w:sz w:val="22"/>
                      <w:szCs w:val="22"/>
                    </w:rPr>
                  </w:pPr>
                  <w:r w:rsidRPr="008552C6">
                    <w:rPr>
                      <w:rFonts w:eastAsia="楷体" w:cs="Calibri"/>
                      <w:b/>
                      <w:bCs/>
                      <w:snapToGrid/>
                      <w:color w:val="FFFFFF"/>
                      <w:sz w:val="22"/>
                      <w:szCs w:val="22"/>
                    </w:rPr>
                    <w:t>Highlights</w:t>
                  </w:r>
                </w:p>
              </w:tc>
            </w:tr>
            <w:tr w:rsidR="00D7310D" w:rsidRPr="00D7310D" w14:paraId="2964A7F8" w14:textId="77777777" w:rsidTr="00D7310D">
              <w:trPr>
                <w:trHeight w:val="602"/>
              </w:trPr>
              <w:tc>
                <w:tcPr>
                  <w:tcW w:w="881" w:type="dxa"/>
                  <w:tcBorders>
                    <w:top w:val="nil"/>
                    <w:left w:val="nil"/>
                    <w:bottom w:val="nil"/>
                    <w:right w:val="nil"/>
                  </w:tcBorders>
                  <w:vAlign w:val="center"/>
                  <w:hideMark/>
                </w:tcPr>
                <w:p w14:paraId="282360E2"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Positioning</w:t>
                  </w:r>
                </w:p>
              </w:tc>
              <w:tc>
                <w:tcPr>
                  <w:tcW w:w="6739" w:type="dxa"/>
                  <w:tcBorders>
                    <w:top w:val="nil"/>
                    <w:left w:val="nil"/>
                    <w:bottom w:val="nil"/>
                    <w:right w:val="nil"/>
                  </w:tcBorders>
                  <w:vAlign w:val="center"/>
                  <w:hideMark/>
                </w:tcPr>
                <w:p w14:paraId="704886B4"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World's Leading Dermatological Skincare Brand; Founded by Dermatologists in 1975</w:t>
                  </w:r>
                </w:p>
              </w:tc>
            </w:tr>
            <w:tr w:rsidR="00D7310D" w:rsidRPr="00D7310D" w14:paraId="1AD8D296" w14:textId="77777777" w:rsidTr="00D7310D">
              <w:trPr>
                <w:trHeight w:val="904"/>
              </w:trPr>
              <w:tc>
                <w:tcPr>
                  <w:tcW w:w="881" w:type="dxa"/>
                  <w:tcBorders>
                    <w:top w:val="nil"/>
                    <w:left w:val="nil"/>
                    <w:bottom w:val="nil"/>
                    <w:right w:val="nil"/>
                  </w:tcBorders>
                  <w:shd w:val="clear" w:color="000000" w:fill="F2F2F2"/>
                  <w:vAlign w:val="center"/>
                  <w:hideMark/>
                </w:tcPr>
                <w:p w14:paraId="158CA33F"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Hero Products</w:t>
                  </w:r>
                </w:p>
              </w:tc>
              <w:tc>
                <w:tcPr>
                  <w:tcW w:w="6739" w:type="dxa"/>
                  <w:tcBorders>
                    <w:top w:val="nil"/>
                    <w:left w:val="nil"/>
                    <w:bottom w:val="nil"/>
                    <w:right w:val="nil"/>
                  </w:tcBorders>
                  <w:shd w:val="clear" w:color="000000" w:fill="F2F2F2"/>
                  <w:vAlign w:val="center"/>
                  <w:hideMark/>
                </w:tcPr>
                <w:p w14:paraId="4F5F6CAC" w14:textId="77777777" w:rsidR="00D7310D" w:rsidRPr="008552C6" w:rsidRDefault="00D7310D" w:rsidP="00D7310D">
                  <w:pPr>
                    <w:jc w:val="center"/>
                    <w:rPr>
                      <w:rFonts w:eastAsia="楷体" w:cs="Calibri"/>
                      <w:snapToGrid/>
                      <w:color w:val="333333"/>
                      <w:sz w:val="18"/>
                      <w:szCs w:val="18"/>
                    </w:rPr>
                  </w:pPr>
                  <w:proofErr w:type="spellStart"/>
                  <w:r w:rsidRPr="008552C6">
                    <w:rPr>
                      <w:rFonts w:eastAsia="楷体" w:cs="Calibri"/>
                      <w:snapToGrid/>
                      <w:color w:val="333333"/>
                      <w:sz w:val="18"/>
                      <w:szCs w:val="18"/>
                    </w:rPr>
                    <w:t>Effaclar</w:t>
                  </w:r>
                  <w:proofErr w:type="spellEnd"/>
                  <w:r w:rsidRPr="008552C6">
                    <w:rPr>
                      <w:rFonts w:eastAsia="楷体" w:cs="Calibri"/>
                      <w:snapToGrid/>
                      <w:color w:val="333333"/>
                      <w:sz w:val="18"/>
                      <w:szCs w:val="18"/>
                    </w:rPr>
                    <w:t xml:space="preserve"> (Acne) | Mela B3 (Pigmentation, </w:t>
                  </w:r>
                  <w:proofErr w:type="spellStart"/>
                  <w:r w:rsidRPr="008552C6">
                    <w:rPr>
                      <w:rFonts w:eastAsia="楷体" w:cs="Calibri"/>
                      <w:snapToGrid/>
                      <w:color w:val="333333"/>
                      <w:sz w:val="18"/>
                      <w:szCs w:val="18"/>
                    </w:rPr>
                    <w:t>Melasyl</w:t>
                  </w:r>
                  <w:proofErr w:type="spellEnd"/>
                  <w:r w:rsidRPr="008552C6">
                    <w:rPr>
                      <w:rFonts w:eastAsia="楷体" w:cs="Calibri"/>
                      <w:snapToGrid/>
                      <w:color w:val="333333"/>
                      <w:sz w:val="18"/>
                      <w:szCs w:val="18"/>
                    </w:rPr>
                    <w:t xml:space="preserve"> Molecule) | </w:t>
                  </w:r>
                  <w:proofErr w:type="spellStart"/>
                  <w:r w:rsidRPr="008552C6">
                    <w:rPr>
                      <w:rFonts w:eastAsia="楷体" w:cs="Calibri"/>
                      <w:snapToGrid/>
                      <w:color w:val="333333"/>
                      <w:sz w:val="18"/>
                      <w:szCs w:val="18"/>
                    </w:rPr>
                    <w:t>Cicaplast</w:t>
                  </w:r>
                  <w:proofErr w:type="spellEnd"/>
                  <w:r w:rsidRPr="008552C6">
                    <w:rPr>
                      <w:rFonts w:eastAsia="楷体" w:cs="Calibri"/>
                      <w:snapToGrid/>
                      <w:color w:val="333333"/>
                      <w:sz w:val="18"/>
                      <w:szCs w:val="18"/>
                    </w:rPr>
                    <w:t xml:space="preserve"> B5 (Repair) | </w:t>
                  </w:r>
                  <w:proofErr w:type="spellStart"/>
                  <w:r w:rsidRPr="008552C6">
                    <w:rPr>
                      <w:rFonts w:eastAsia="楷体" w:cs="Calibri"/>
                      <w:snapToGrid/>
                      <w:color w:val="333333"/>
                      <w:sz w:val="18"/>
                      <w:szCs w:val="18"/>
                    </w:rPr>
                    <w:t>Anthelios</w:t>
                  </w:r>
                  <w:proofErr w:type="spellEnd"/>
                  <w:r w:rsidRPr="008552C6">
                    <w:rPr>
                      <w:rFonts w:eastAsia="楷体" w:cs="Calibri"/>
                      <w:snapToGrid/>
                      <w:color w:val="333333"/>
                      <w:sz w:val="18"/>
                      <w:szCs w:val="18"/>
                    </w:rPr>
                    <w:t xml:space="preserve"> (Sun Protection) | </w:t>
                  </w:r>
                  <w:proofErr w:type="spellStart"/>
                  <w:r w:rsidRPr="008552C6">
                    <w:rPr>
                      <w:rFonts w:eastAsia="楷体" w:cs="Calibri"/>
                      <w:snapToGrid/>
                      <w:color w:val="333333"/>
                      <w:sz w:val="18"/>
                      <w:szCs w:val="18"/>
                    </w:rPr>
                    <w:t>Toleriane</w:t>
                  </w:r>
                  <w:proofErr w:type="spellEnd"/>
                  <w:r w:rsidRPr="008552C6">
                    <w:rPr>
                      <w:rFonts w:eastAsia="楷体" w:cs="Calibri"/>
                      <w:snapToGrid/>
                      <w:color w:val="333333"/>
                      <w:sz w:val="18"/>
                      <w:szCs w:val="18"/>
                    </w:rPr>
                    <w:t xml:space="preserve"> (Sensitive Skin)</w:t>
                  </w:r>
                </w:p>
              </w:tc>
            </w:tr>
            <w:tr w:rsidR="00D7310D" w:rsidRPr="00D7310D" w14:paraId="1832A6DD" w14:textId="77777777" w:rsidTr="00D7310D">
              <w:trPr>
                <w:trHeight w:val="602"/>
              </w:trPr>
              <w:tc>
                <w:tcPr>
                  <w:tcW w:w="881" w:type="dxa"/>
                  <w:tcBorders>
                    <w:top w:val="nil"/>
                    <w:left w:val="nil"/>
                    <w:bottom w:val="nil"/>
                    <w:right w:val="nil"/>
                  </w:tcBorders>
                  <w:vAlign w:val="center"/>
                  <w:hideMark/>
                </w:tcPr>
                <w:p w14:paraId="0B137EA4"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Clinical Authority</w:t>
                  </w:r>
                </w:p>
              </w:tc>
              <w:tc>
                <w:tcPr>
                  <w:tcW w:w="6739" w:type="dxa"/>
                  <w:tcBorders>
                    <w:top w:val="nil"/>
                    <w:left w:val="nil"/>
                    <w:bottom w:val="nil"/>
                    <w:right w:val="nil"/>
                  </w:tcBorders>
                  <w:vAlign w:val="center"/>
                  <w:hideMark/>
                </w:tcPr>
                <w:p w14:paraId="05EE0B42"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200+ Clinical Studies over 3 Years</w:t>
                  </w:r>
                </w:p>
              </w:tc>
            </w:tr>
            <w:tr w:rsidR="00D7310D" w:rsidRPr="00D7310D" w14:paraId="18996846" w14:textId="77777777" w:rsidTr="00D7310D">
              <w:trPr>
                <w:trHeight w:val="301"/>
              </w:trPr>
              <w:tc>
                <w:tcPr>
                  <w:tcW w:w="881" w:type="dxa"/>
                  <w:tcBorders>
                    <w:top w:val="nil"/>
                    <w:left w:val="nil"/>
                    <w:bottom w:val="nil"/>
                    <w:right w:val="nil"/>
                  </w:tcBorders>
                  <w:shd w:val="clear" w:color="000000" w:fill="F2F2F2"/>
                  <w:vAlign w:val="center"/>
                  <w:hideMark/>
                </w:tcPr>
                <w:p w14:paraId="6A38357D"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Channel Mix</w:t>
                  </w:r>
                </w:p>
              </w:tc>
              <w:tc>
                <w:tcPr>
                  <w:tcW w:w="6739" w:type="dxa"/>
                  <w:tcBorders>
                    <w:top w:val="nil"/>
                    <w:left w:val="nil"/>
                    <w:bottom w:val="nil"/>
                    <w:right w:val="nil"/>
                  </w:tcBorders>
                  <w:shd w:val="clear" w:color="000000" w:fill="F2F2F2"/>
                  <w:vAlign w:val="center"/>
                  <w:hideMark/>
                </w:tcPr>
                <w:p w14:paraId="0968E803"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Pharmacy | E-Commerce</w:t>
                  </w:r>
                </w:p>
              </w:tc>
            </w:tr>
            <w:tr w:rsidR="00D7310D" w:rsidRPr="00D7310D" w14:paraId="08065B67" w14:textId="77777777" w:rsidTr="00D7310D">
              <w:trPr>
                <w:trHeight w:val="301"/>
              </w:trPr>
              <w:tc>
                <w:tcPr>
                  <w:tcW w:w="881" w:type="dxa"/>
                  <w:tcBorders>
                    <w:top w:val="nil"/>
                    <w:left w:val="nil"/>
                    <w:bottom w:val="nil"/>
                    <w:right w:val="nil"/>
                  </w:tcBorders>
                  <w:vAlign w:val="center"/>
                  <w:hideMark/>
                </w:tcPr>
                <w:p w14:paraId="50420D36"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Innovation</w:t>
                  </w:r>
                </w:p>
              </w:tc>
              <w:tc>
                <w:tcPr>
                  <w:tcW w:w="6739" w:type="dxa"/>
                  <w:tcBorders>
                    <w:top w:val="nil"/>
                    <w:left w:val="nil"/>
                    <w:bottom w:val="nil"/>
                    <w:right w:val="nil"/>
                  </w:tcBorders>
                  <w:vAlign w:val="center"/>
                  <w:hideMark/>
                </w:tcPr>
                <w:p w14:paraId="1101AAE9" w14:textId="77777777" w:rsidR="00D7310D" w:rsidRPr="008552C6" w:rsidRDefault="00D7310D" w:rsidP="00D7310D">
                  <w:pPr>
                    <w:jc w:val="center"/>
                    <w:rPr>
                      <w:rFonts w:eastAsia="楷体" w:cs="Calibri"/>
                      <w:snapToGrid/>
                      <w:color w:val="333333"/>
                      <w:sz w:val="18"/>
                      <w:szCs w:val="18"/>
                    </w:rPr>
                  </w:pPr>
                  <w:proofErr w:type="spellStart"/>
                  <w:r w:rsidRPr="008552C6">
                    <w:rPr>
                      <w:rFonts w:eastAsia="楷体" w:cs="Calibri"/>
                      <w:snapToGrid/>
                      <w:color w:val="333333"/>
                      <w:sz w:val="18"/>
                      <w:szCs w:val="18"/>
                    </w:rPr>
                    <w:t>Melasyl</w:t>
                  </w:r>
                  <w:proofErr w:type="spellEnd"/>
                  <w:r w:rsidRPr="008552C6">
                    <w:rPr>
                      <w:rFonts w:eastAsia="楷体" w:cs="Calibri"/>
                      <w:snapToGrid/>
                      <w:color w:val="333333"/>
                      <w:sz w:val="18"/>
                      <w:szCs w:val="18"/>
                    </w:rPr>
                    <w:t xml:space="preserve"> Molecule | </w:t>
                  </w:r>
                  <w:proofErr w:type="spellStart"/>
                  <w:r w:rsidRPr="008552C6">
                    <w:rPr>
                      <w:rFonts w:eastAsia="楷体" w:cs="Calibri"/>
                      <w:snapToGrid/>
                      <w:color w:val="333333"/>
                      <w:sz w:val="18"/>
                      <w:szCs w:val="18"/>
                    </w:rPr>
                    <w:t>UVMune</w:t>
                  </w:r>
                  <w:proofErr w:type="spellEnd"/>
                  <w:r w:rsidRPr="008552C6">
                    <w:rPr>
                      <w:rFonts w:eastAsia="楷体" w:cs="Calibri"/>
                      <w:snapToGrid/>
                      <w:color w:val="333333"/>
                      <w:sz w:val="18"/>
                      <w:szCs w:val="18"/>
                    </w:rPr>
                    <w:t xml:space="preserve"> 400 Sun Protection Technology</w:t>
                  </w:r>
                </w:p>
              </w:tc>
            </w:tr>
            <w:tr w:rsidR="00D7310D" w:rsidRPr="00D7310D" w14:paraId="572A9795" w14:textId="77777777" w:rsidTr="00D7310D">
              <w:trPr>
                <w:trHeight w:val="602"/>
              </w:trPr>
              <w:tc>
                <w:tcPr>
                  <w:tcW w:w="881" w:type="dxa"/>
                  <w:tcBorders>
                    <w:top w:val="nil"/>
                    <w:left w:val="nil"/>
                    <w:bottom w:val="nil"/>
                    <w:right w:val="nil"/>
                  </w:tcBorders>
                  <w:shd w:val="clear" w:color="000000" w:fill="F2F2F2"/>
                  <w:vAlign w:val="center"/>
                  <w:hideMark/>
                </w:tcPr>
                <w:p w14:paraId="76ED3F14"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Growth Markets</w:t>
                  </w:r>
                </w:p>
              </w:tc>
              <w:tc>
                <w:tcPr>
                  <w:tcW w:w="6739" w:type="dxa"/>
                  <w:tcBorders>
                    <w:top w:val="nil"/>
                    <w:left w:val="nil"/>
                    <w:bottom w:val="nil"/>
                    <w:right w:val="nil"/>
                  </w:tcBorders>
                  <w:shd w:val="clear" w:color="000000" w:fill="F2F2F2"/>
                  <w:vAlign w:val="center"/>
                  <w:hideMark/>
                </w:tcPr>
                <w:p w14:paraId="0699D91B"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 xml:space="preserve">Double-Digit Growth in SAPMENA | Leading </w:t>
                  </w:r>
                  <w:proofErr w:type="spellStart"/>
                  <w:r w:rsidRPr="008552C6">
                    <w:rPr>
                      <w:rFonts w:eastAsia="楷体" w:cs="Calibri"/>
                      <w:snapToGrid/>
                      <w:color w:val="333333"/>
                      <w:sz w:val="18"/>
                      <w:szCs w:val="18"/>
                    </w:rPr>
                    <w:t>Dermocosmetic</w:t>
                  </w:r>
                  <w:proofErr w:type="spellEnd"/>
                  <w:r w:rsidRPr="008552C6">
                    <w:rPr>
                      <w:rFonts w:eastAsia="楷体" w:cs="Calibri"/>
                      <w:snapToGrid/>
                      <w:color w:val="333333"/>
                      <w:sz w:val="18"/>
                      <w:szCs w:val="18"/>
                    </w:rPr>
                    <w:t xml:space="preserve"> Brand in China</w:t>
                  </w:r>
                </w:p>
              </w:tc>
            </w:tr>
            <w:tr w:rsidR="00D7310D" w:rsidRPr="00D7310D" w14:paraId="0323F1F4" w14:textId="77777777" w:rsidTr="00D7310D">
              <w:trPr>
                <w:trHeight w:val="542"/>
              </w:trPr>
              <w:tc>
                <w:tcPr>
                  <w:tcW w:w="881" w:type="dxa"/>
                  <w:tcBorders>
                    <w:top w:val="nil"/>
                    <w:left w:val="nil"/>
                    <w:bottom w:val="nil"/>
                    <w:right w:val="nil"/>
                  </w:tcBorders>
                  <w:vAlign w:val="center"/>
                  <w:hideMark/>
                </w:tcPr>
                <w:p w14:paraId="18060081" w14:textId="77777777" w:rsidR="00D7310D" w:rsidRPr="008552C6" w:rsidRDefault="00D7310D" w:rsidP="00D7310D">
                  <w:pPr>
                    <w:jc w:val="center"/>
                    <w:rPr>
                      <w:rFonts w:eastAsia="楷体" w:cs="Calibri"/>
                      <w:snapToGrid/>
                      <w:color w:val="333333"/>
                      <w:sz w:val="18"/>
                      <w:szCs w:val="18"/>
                    </w:rPr>
                  </w:pPr>
                  <w:proofErr w:type="gramStart"/>
                  <w:r w:rsidRPr="008552C6">
                    <w:rPr>
                      <w:rFonts w:eastAsia="楷体" w:cs="Calibri"/>
                      <w:snapToGrid/>
                      <w:color w:val="333333"/>
                      <w:sz w:val="18"/>
                      <w:szCs w:val="18"/>
                    </w:rPr>
                    <w:t>Social Media</w:t>
                  </w:r>
                  <w:proofErr w:type="gramEnd"/>
                </w:p>
              </w:tc>
              <w:tc>
                <w:tcPr>
                  <w:tcW w:w="6739" w:type="dxa"/>
                  <w:tcBorders>
                    <w:top w:val="nil"/>
                    <w:left w:val="nil"/>
                    <w:bottom w:val="nil"/>
                    <w:right w:val="nil"/>
                  </w:tcBorders>
                  <w:vAlign w:val="center"/>
                  <w:hideMark/>
                </w:tcPr>
                <w:p w14:paraId="394E1261" w14:textId="77777777" w:rsidR="00D7310D" w:rsidRPr="008552C6" w:rsidRDefault="00D7310D" w:rsidP="00D7310D">
                  <w:pPr>
                    <w:jc w:val="center"/>
                    <w:rPr>
                      <w:rFonts w:eastAsia="楷体" w:cs="Calibri"/>
                      <w:snapToGrid/>
                      <w:color w:val="333333"/>
                      <w:sz w:val="18"/>
                      <w:szCs w:val="18"/>
                    </w:rPr>
                  </w:pPr>
                  <w:r w:rsidRPr="008552C6">
                    <w:rPr>
                      <w:rFonts w:eastAsia="楷体" w:cs="Calibri"/>
                      <w:snapToGrid/>
                      <w:color w:val="333333"/>
                      <w:sz w:val="18"/>
                      <w:szCs w:val="18"/>
                    </w:rPr>
                    <w:t>TikTok #LaRochePosay Billions of Views | #SkinTok Effect</w:t>
                  </w:r>
                </w:p>
              </w:tc>
            </w:tr>
          </w:tbl>
          <w:p w14:paraId="0775CD5E" w14:textId="77777777" w:rsidR="003F7B8B" w:rsidRPr="00D7310D" w:rsidRDefault="003F7B8B" w:rsidP="00FE6ABA">
            <w:pPr>
              <w:rPr>
                <w:rFonts w:asciiTheme="minorHAnsi" w:eastAsia="楷体" w:hAnsiTheme="minorHAnsi" w:cstheme="minorHAnsi" w:hint="eastAsia"/>
                <w:kern w:val="2"/>
                <w:sz w:val="22"/>
                <w:szCs w:val="22"/>
              </w:rPr>
            </w:pPr>
          </w:p>
        </w:tc>
      </w:tr>
      <w:tr w:rsidR="003F7B8B" w:rsidRPr="005C3356" w14:paraId="33457B5B" w14:textId="77777777" w:rsidTr="00FE6ABA">
        <w:tc>
          <w:tcPr>
            <w:tcW w:w="7733" w:type="dxa"/>
            <w:tcBorders>
              <w:top w:val="single" w:sz="4" w:space="0" w:color="auto"/>
            </w:tcBorders>
          </w:tcPr>
          <w:p w14:paraId="33A3F046" w14:textId="4683929E" w:rsidR="003F7B8B" w:rsidRPr="005C3356" w:rsidRDefault="003F7B8B" w:rsidP="00FE6ABA">
            <w:pPr>
              <w:rPr>
                <w:rFonts w:eastAsia="楷体" w:cs="Calibri"/>
                <w:kern w:val="2"/>
                <w:sz w:val="22"/>
                <w:szCs w:val="22"/>
              </w:rPr>
            </w:pPr>
            <w:r w:rsidRPr="008966C3">
              <w:rPr>
                <w:rFonts w:eastAsia="楷体" w:cs="Calibri"/>
                <w:b/>
                <w:bCs/>
                <w:kern w:val="2"/>
                <w:sz w:val="22"/>
                <w:szCs w:val="22"/>
              </w:rPr>
              <w:lastRenderedPageBreak/>
              <w:t xml:space="preserve">Source: </w:t>
            </w:r>
            <w:r w:rsidRPr="005C3356">
              <w:rPr>
                <w:rFonts w:eastAsia="楷体" w:cs="Calibri"/>
                <w:kern w:val="2"/>
                <w:sz w:val="22"/>
                <w:szCs w:val="22"/>
              </w:rPr>
              <w:t>Company Annual Reports</w:t>
            </w:r>
            <w:r>
              <w:rPr>
                <w:rFonts w:eastAsia="楷体" w:cs="Calibri" w:hint="eastAsia"/>
                <w:kern w:val="2"/>
                <w:sz w:val="22"/>
                <w:szCs w:val="22"/>
              </w:rPr>
              <w:t>, HFI</w:t>
            </w:r>
          </w:p>
        </w:tc>
      </w:tr>
    </w:tbl>
    <w:p w14:paraId="0CBB1167" w14:textId="77777777" w:rsidR="005C3356" w:rsidRDefault="005C3356">
      <w:pPr>
        <w:jc w:val="both"/>
        <w:rPr>
          <w:rFonts w:eastAsia="楷体" w:cs="Calibri"/>
          <w:kern w:val="2"/>
          <w:sz w:val="22"/>
          <w:szCs w:val="22"/>
        </w:rPr>
      </w:pPr>
    </w:p>
    <w:p w14:paraId="7AD703B0" w14:textId="1985F118" w:rsidR="00CF633E" w:rsidRPr="001F2A9A" w:rsidRDefault="00A9571C" w:rsidP="00CF633E">
      <w:pPr>
        <w:pStyle w:val="1"/>
        <w:spacing w:beforeLines="100" w:before="240" w:afterLines="100" w:after="240"/>
        <w:jc w:val="both"/>
        <w:rPr>
          <w:rFonts w:ascii="Calibri" w:eastAsia="楷体" w:hAnsi="Calibri" w:cs="Calibri"/>
          <w:b/>
          <w:bCs/>
          <w:color w:val="23558C"/>
          <w:sz w:val="28"/>
          <w:szCs w:val="28"/>
        </w:rPr>
      </w:pPr>
      <w:bookmarkStart w:id="24" w:name="_Toc224295886"/>
      <w:bookmarkEnd w:id="13"/>
      <w:r>
        <w:rPr>
          <w:rFonts w:ascii="Calibri" w:eastAsia="楷体" w:hAnsi="Calibri" w:cs="Calibri" w:hint="eastAsia"/>
          <w:b/>
          <w:bCs/>
          <w:color w:val="23558C"/>
          <w:sz w:val="28"/>
          <w:szCs w:val="28"/>
        </w:rPr>
        <w:t xml:space="preserve">4 </w:t>
      </w:r>
      <w:r w:rsidR="00CF633E" w:rsidRPr="001F2A9A">
        <w:rPr>
          <w:rFonts w:ascii="Calibri" w:eastAsia="楷体" w:hAnsi="Calibri" w:cs="Calibri"/>
          <w:b/>
          <w:bCs/>
          <w:color w:val="23558C"/>
          <w:sz w:val="28"/>
          <w:szCs w:val="28"/>
        </w:rPr>
        <w:t>Future Highlights: Driving Growth Through Organic Expansion and External Acquisitions</w:t>
      </w:r>
      <w:bookmarkEnd w:id="24"/>
    </w:p>
    <w:p w14:paraId="25B5787E" w14:textId="64F9DFF8" w:rsidR="00CF633E" w:rsidRPr="008552C6" w:rsidRDefault="00A9571C" w:rsidP="008552C6">
      <w:pPr>
        <w:pStyle w:val="211"/>
        <w:ind w:right="42"/>
        <w:jc w:val="both"/>
        <w:rPr>
          <w:rFonts w:ascii="Calibri" w:eastAsia="楷体" w:hAnsi="Calibri" w:cs="Calibri"/>
          <w:color w:val="23558C"/>
          <w:sz w:val="24"/>
        </w:rPr>
      </w:pPr>
      <w:bookmarkStart w:id="25" w:name="_Toc224295887"/>
      <w:r w:rsidRPr="008552C6">
        <w:rPr>
          <w:rFonts w:ascii="Calibri" w:eastAsia="楷体" w:hAnsi="Calibri" w:cs="Calibri"/>
          <w:color w:val="23558C"/>
          <w:sz w:val="24"/>
        </w:rPr>
        <w:t>4.1</w:t>
      </w:r>
      <w:r w:rsidRPr="008552C6">
        <w:rPr>
          <w:rFonts w:ascii="Calibri" w:eastAsia="楷体" w:hAnsi="Calibri" w:cs="Calibri" w:hint="eastAsia"/>
          <w:color w:val="23558C"/>
          <w:sz w:val="24"/>
        </w:rPr>
        <w:t xml:space="preserve"> </w:t>
      </w:r>
      <w:r w:rsidR="00140EC4" w:rsidRPr="005C3356">
        <w:rPr>
          <w:rFonts w:ascii="Calibri" w:eastAsia="楷体" w:hAnsi="Calibri" w:cs="Calibri"/>
          <w:color w:val="23558C"/>
          <w:sz w:val="24"/>
        </w:rPr>
        <w:t>L'Oréal Luxe</w:t>
      </w:r>
      <w:r w:rsidR="00140EC4">
        <w:rPr>
          <w:rFonts w:ascii="Calibri" w:eastAsia="楷体" w:hAnsi="Calibri" w:cs="Calibri" w:hint="eastAsia"/>
          <w:color w:val="23558C"/>
          <w:sz w:val="24"/>
        </w:rPr>
        <w:t xml:space="preserve"> Division</w:t>
      </w:r>
      <w:r w:rsidR="00CF633E" w:rsidRPr="008552C6">
        <w:rPr>
          <w:rFonts w:ascii="Calibri" w:eastAsia="楷体" w:hAnsi="Calibri" w:cs="Calibri"/>
          <w:color w:val="23558C"/>
          <w:sz w:val="24"/>
        </w:rPr>
        <w:t>: Capitalizing on Structural Upgrades in Fragrances and Filling Super-Premium Gaps</w:t>
      </w:r>
      <w:bookmarkEnd w:id="25"/>
    </w:p>
    <w:p w14:paraId="3DDC2F7F" w14:textId="77777777" w:rsidR="00CF633E" w:rsidRPr="00A9571C" w:rsidRDefault="00CF633E" w:rsidP="00CF633E">
      <w:pPr>
        <w:jc w:val="both"/>
        <w:rPr>
          <w:rFonts w:eastAsia="楷体" w:cs="Calibri"/>
          <w:b/>
          <w:bCs/>
          <w:color w:val="000000" w:themeColor="text1"/>
          <w:sz w:val="22"/>
          <w:szCs w:val="22"/>
          <w:u w:val="single"/>
        </w:rPr>
      </w:pPr>
      <w:r w:rsidRPr="00A9571C">
        <w:rPr>
          <w:rFonts w:eastAsia="楷体" w:cs="Calibri"/>
          <w:b/>
          <w:bCs/>
          <w:color w:val="000000" w:themeColor="text1"/>
          <w:sz w:val="22"/>
          <w:szCs w:val="22"/>
          <w:u w:val="single"/>
        </w:rPr>
        <w:t>The company's Premium Consumer Goods Division will focus on two key dimensions: structural upgrades within the fragrance category (targeting young male consumers, leveraging Asia's rise, and capturing premium value through uniqueness) and rapid expansion of its high-end brand portfolio (filling super-premium gaps through Creed and Kering licensing agreements).</w:t>
      </w:r>
    </w:p>
    <w:p w14:paraId="4316FE0B" w14:textId="77777777" w:rsidR="00CF633E" w:rsidRPr="00A9571C" w:rsidRDefault="00CF633E" w:rsidP="00CF633E">
      <w:pPr>
        <w:jc w:val="both"/>
        <w:rPr>
          <w:rFonts w:eastAsia="楷体" w:cs="Calibri"/>
          <w:b/>
          <w:bCs/>
          <w:color w:val="000000" w:themeColor="text1"/>
          <w:sz w:val="22"/>
          <w:szCs w:val="22"/>
          <w:u w:val="single"/>
        </w:rPr>
      </w:pPr>
    </w:p>
    <w:p w14:paraId="641CBCD8" w14:textId="77777777" w:rsidR="00CF633E" w:rsidRPr="00A9571C" w:rsidRDefault="00CF633E" w:rsidP="00CF633E">
      <w:pPr>
        <w:pStyle w:val="af3"/>
        <w:numPr>
          <w:ilvl w:val="0"/>
          <w:numId w:val="9"/>
        </w:numPr>
        <w:jc w:val="both"/>
        <w:rPr>
          <w:rFonts w:eastAsia="楷体" w:cs="Calibri"/>
          <w:color w:val="000000" w:themeColor="text1"/>
          <w:sz w:val="22"/>
          <w:szCs w:val="22"/>
        </w:rPr>
      </w:pPr>
      <w:r w:rsidRPr="00A9571C">
        <w:rPr>
          <w:rFonts w:eastAsia="楷体" w:cs="Calibri"/>
          <w:b/>
          <w:bCs/>
          <w:color w:val="000000" w:themeColor="text1"/>
          <w:sz w:val="22"/>
          <w:szCs w:val="22"/>
        </w:rPr>
        <w:t xml:space="preserve">Fragrances serve as the strongest growth engine within the Luxe division, having made significant contributions over the past few years. </w:t>
      </w:r>
      <w:r w:rsidRPr="00A9571C">
        <w:rPr>
          <w:rFonts w:eastAsia="楷体" w:cs="Calibri"/>
          <w:color w:val="000000" w:themeColor="text1"/>
          <w:sz w:val="22"/>
          <w:szCs w:val="22"/>
        </w:rPr>
        <w:t xml:space="preserve">Key drivers include platforms like TikTok, which have spurred young men to layer multiple scents rather than using just one and share their combinations; additionally, Asian fragrance consumption is experiencing a structural surge. The company has strategically positioned itself in this sector with brands including YSL (blockbusters like Libre and MYSLF maintain strong sales, with annual revenue exceeding €3 billion and sustained double-digit growth over multiple years), Valentino (the Born in Roma collection has surpassed €700 million in sales), Prada (new releases like </w:t>
      </w:r>
      <w:proofErr w:type="spellStart"/>
      <w:r w:rsidRPr="00A9571C">
        <w:rPr>
          <w:rFonts w:eastAsia="楷体" w:cs="Calibri"/>
          <w:color w:val="000000" w:themeColor="text1"/>
          <w:sz w:val="22"/>
          <w:szCs w:val="22"/>
        </w:rPr>
        <w:t>Paradoxe</w:t>
      </w:r>
      <w:proofErr w:type="spellEnd"/>
      <w:r w:rsidRPr="00A9571C">
        <w:rPr>
          <w:rFonts w:eastAsia="楷体" w:cs="Calibri"/>
          <w:color w:val="000000" w:themeColor="text1"/>
          <w:sz w:val="22"/>
          <w:szCs w:val="22"/>
        </w:rPr>
        <w:t xml:space="preserve"> and </w:t>
      </w:r>
      <w:proofErr w:type="spellStart"/>
      <w:r w:rsidRPr="00A9571C">
        <w:rPr>
          <w:rFonts w:eastAsia="楷体" w:cs="Calibri"/>
          <w:color w:val="000000" w:themeColor="text1"/>
          <w:sz w:val="22"/>
          <w:szCs w:val="22"/>
        </w:rPr>
        <w:t>Paradigme</w:t>
      </w:r>
      <w:proofErr w:type="spellEnd"/>
      <w:r w:rsidRPr="00A9571C">
        <w:rPr>
          <w:rFonts w:eastAsia="楷体" w:cs="Calibri"/>
          <w:color w:val="000000" w:themeColor="text1"/>
          <w:sz w:val="22"/>
          <w:szCs w:val="22"/>
        </w:rPr>
        <w:t xml:space="preserve"> demonstrate robust performance), and Miu </w:t>
      </w:r>
      <w:proofErr w:type="spellStart"/>
      <w:r w:rsidRPr="00A9571C">
        <w:rPr>
          <w:rFonts w:eastAsia="楷体" w:cs="Calibri"/>
          <w:color w:val="000000" w:themeColor="text1"/>
          <w:sz w:val="22"/>
          <w:szCs w:val="22"/>
        </w:rPr>
        <w:t>Miu</w:t>
      </w:r>
      <w:proofErr w:type="spellEnd"/>
      <w:r w:rsidRPr="00A9571C">
        <w:rPr>
          <w:rFonts w:eastAsia="楷体" w:cs="Calibri"/>
          <w:color w:val="000000" w:themeColor="text1"/>
          <w:sz w:val="22"/>
          <w:szCs w:val="22"/>
        </w:rPr>
        <w:t>.</w:t>
      </w:r>
    </w:p>
    <w:p w14:paraId="3D8583EF" w14:textId="77777777" w:rsidR="00CF633E" w:rsidRPr="001F2A9A" w:rsidRDefault="00CF633E" w:rsidP="00CF633E">
      <w:pPr>
        <w:pStyle w:val="af3"/>
        <w:ind w:left="360"/>
        <w:rPr>
          <w:rFonts w:eastAsia="楷体" w:cs="Calibri"/>
          <w:color w:val="000000" w:themeColor="text1"/>
          <w:sz w:val="24"/>
          <w:szCs w:val="48"/>
        </w:rPr>
      </w:pPr>
    </w:p>
    <w:tbl>
      <w:tblPr>
        <w:tblW w:w="10585" w:type="dxa"/>
        <w:tblInd w:w="-2980" w:type="dxa"/>
        <w:tblLayout w:type="fixed"/>
        <w:tblLook w:val="04A0" w:firstRow="1" w:lastRow="0" w:firstColumn="1" w:lastColumn="0" w:noHBand="0" w:noVBand="1"/>
      </w:tblPr>
      <w:tblGrid>
        <w:gridCol w:w="5195"/>
        <w:gridCol w:w="241"/>
        <w:gridCol w:w="5149"/>
      </w:tblGrid>
      <w:tr w:rsidR="00CF633E" w14:paraId="0ACCE75A" w14:textId="77777777" w:rsidTr="00610813">
        <w:trPr>
          <w:trHeight w:val="227"/>
        </w:trPr>
        <w:tc>
          <w:tcPr>
            <w:tcW w:w="5195" w:type="dxa"/>
            <w:tcBorders>
              <w:bottom w:val="single" w:sz="4" w:space="0" w:color="auto"/>
            </w:tcBorders>
            <w:tcMar>
              <w:left w:w="0" w:type="dxa"/>
              <w:right w:w="28" w:type="dxa"/>
            </w:tcMar>
          </w:tcPr>
          <w:p w14:paraId="46233D05" w14:textId="77777777" w:rsidR="00CF633E" w:rsidRPr="001F2A9A" w:rsidRDefault="00CF633E" w:rsidP="00610813">
            <w:pPr>
              <w:spacing w:beforeLines="20" w:before="48" w:afterLines="20" w:after="48"/>
              <w:jc w:val="both"/>
              <w:textAlignment w:val="center"/>
              <w:rPr>
                <w:rFonts w:eastAsia="楷体" w:cs="Calibri"/>
                <w:b/>
                <w:bCs/>
                <w:kern w:val="2"/>
                <w:sz w:val="20"/>
                <w:szCs w:val="20"/>
              </w:rPr>
            </w:pPr>
            <w:r>
              <w:rPr>
                <w:rFonts w:eastAsia="楷体" w:cs="Calibri" w:hint="eastAsia"/>
                <w:b/>
                <w:bCs/>
                <w:kern w:val="2"/>
                <w:sz w:val="20"/>
                <w:szCs w:val="20"/>
              </w:rPr>
              <w:t xml:space="preserve">Figure: </w:t>
            </w:r>
            <w:r w:rsidRPr="001F2A9A">
              <w:rPr>
                <w:rFonts w:eastAsia="楷体" w:cs="Calibri"/>
                <w:b/>
                <w:bCs/>
                <w:kern w:val="2"/>
                <w:sz w:val="20"/>
                <w:szCs w:val="20"/>
              </w:rPr>
              <w:t>2020–2025</w:t>
            </w:r>
            <w:r>
              <w:rPr>
                <w:rFonts w:eastAsia="楷体" w:cs="Calibri" w:hint="eastAsia"/>
                <w:b/>
                <w:bCs/>
                <w:kern w:val="2"/>
                <w:sz w:val="20"/>
                <w:szCs w:val="20"/>
              </w:rPr>
              <w:t xml:space="preserve"> </w:t>
            </w:r>
            <w:r w:rsidRPr="001F2A9A">
              <w:rPr>
                <w:rFonts w:eastAsia="楷体" w:cs="Calibri"/>
                <w:b/>
                <w:bCs/>
                <w:kern w:val="2"/>
                <w:sz w:val="20"/>
                <w:szCs w:val="20"/>
              </w:rPr>
              <w:t xml:space="preserve">Global Perfume Retail Sales </w:t>
            </w:r>
            <w:r>
              <w:rPr>
                <w:rFonts w:eastAsia="楷体" w:cs="Calibri" w:hint="eastAsia"/>
                <w:b/>
                <w:bCs/>
                <w:kern w:val="2"/>
                <w:sz w:val="20"/>
                <w:szCs w:val="20"/>
              </w:rPr>
              <w:t>(in millions of USD)</w:t>
            </w:r>
          </w:p>
        </w:tc>
        <w:tc>
          <w:tcPr>
            <w:tcW w:w="241" w:type="dxa"/>
            <w:tcMar>
              <w:left w:w="0" w:type="dxa"/>
              <w:right w:w="28" w:type="dxa"/>
            </w:tcMar>
          </w:tcPr>
          <w:p w14:paraId="50E8B072" w14:textId="77777777" w:rsidR="00CF633E" w:rsidRDefault="00CF633E" w:rsidP="00610813">
            <w:pPr>
              <w:spacing w:beforeLines="20" w:before="48" w:afterLines="20" w:after="48"/>
              <w:jc w:val="both"/>
              <w:rPr>
                <w:rFonts w:eastAsia="楷体_GB2312" w:cs="Calibri"/>
                <w:sz w:val="20"/>
                <w:szCs w:val="20"/>
                <w:highlight w:val="yellow"/>
              </w:rPr>
            </w:pPr>
          </w:p>
        </w:tc>
        <w:tc>
          <w:tcPr>
            <w:tcW w:w="5149" w:type="dxa"/>
            <w:tcBorders>
              <w:bottom w:val="single" w:sz="4" w:space="0" w:color="auto"/>
            </w:tcBorders>
            <w:tcMar>
              <w:left w:w="0" w:type="dxa"/>
              <w:right w:w="28" w:type="dxa"/>
            </w:tcMar>
          </w:tcPr>
          <w:p w14:paraId="09C5F822" w14:textId="77777777" w:rsidR="00CF633E" w:rsidRDefault="00CF633E" w:rsidP="00610813">
            <w:pPr>
              <w:spacing w:beforeLines="20" w:before="48" w:afterLines="20" w:after="48"/>
              <w:jc w:val="both"/>
              <w:rPr>
                <w:rFonts w:ascii="楷体" w:eastAsia="楷体" w:hAnsi="楷体" w:cs="Calibri" w:hint="eastAsia"/>
                <w:b/>
                <w:sz w:val="20"/>
                <w:szCs w:val="20"/>
              </w:rPr>
            </w:pPr>
            <w:r>
              <w:rPr>
                <w:rFonts w:eastAsia="楷体" w:cs="Calibri" w:hint="eastAsia"/>
                <w:b/>
                <w:bCs/>
                <w:kern w:val="2"/>
                <w:sz w:val="20"/>
                <w:szCs w:val="20"/>
              </w:rPr>
              <w:t xml:space="preserve">Figure: </w:t>
            </w:r>
            <w:r w:rsidRPr="001F2A9A">
              <w:rPr>
                <w:rFonts w:eastAsia="楷体" w:cs="Calibri"/>
                <w:b/>
                <w:bCs/>
                <w:kern w:val="2"/>
                <w:sz w:val="20"/>
                <w:szCs w:val="20"/>
              </w:rPr>
              <w:t>2022–2024</w:t>
            </w:r>
            <w:r>
              <w:rPr>
                <w:rFonts w:eastAsia="楷体" w:cs="Calibri" w:hint="eastAsia"/>
                <w:b/>
                <w:bCs/>
                <w:kern w:val="2"/>
                <w:sz w:val="20"/>
                <w:szCs w:val="20"/>
              </w:rPr>
              <w:t xml:space="preserve"> </w:t>
            </w:r>
            <w:r w:rsidRPr="001F2A9A">
              <w:rPr>
                <w:rFonts w:eastAsia="楷体" w:cs="Calibri"/>
                <w:b/>
                <w:bCs/>
                <w:kern w:val="2"/>
                <w:sz w:val="20"/>
                <w:szCs w:val="20"/>
              </w:rPr>
              <w:t xml:space="preserve">Sales Revenue of the Top Three Brands (in </w:t>
            </w:r>
            <w:r>
              <w:rPr>
                <w:rFonts w:eastAsia="楷体" w:cs="Calibri" w:hint="eastAsia"/>
                <w:b/>
                <w:bCs/>
                <w:kern w:val="2"/>
                <w:sz w:val="20"/>
                <w:szCs w:val="20"/>
              </w:rPr>
              <w:t xml:space="preserve">100 </w:t>
            </w:r>
            <w:proofErr w:type="gramStart"/>
            <w:r>
              <w:rPr>
                <w:rFonts w:eastAsia="楷体" w:cs="Calibri" w:hint="eastAsia"/>
                <w:b/>
                <w:bCs/>
                <w:kern w:val="2"/>
                <w:sz w:val="20"/>
                <w:szCs w:val="20"/>
              </w:rPr>
              <w:t>m</w:t>
            </w:r>
            <w:r w:rsidRPr="001F2A9A">
              <w:rPr>
                <w:rFonts w:eastAsia="楷体" w:cs="Calibri"/>
                <w:b/>
                <w:bCs/>
                <w:kern w:val="2"/>
                <w:sz w:val="20"/>
                <w:szCs w:val="20"/>
              </w:rPr>
              <w:t>illions</w:t>
            </w:r>
            <w:proofErr w:type="gramEnd"/>
            <w:r w:rsidRPr="001F2A9A">
              <w:rPr>
                <w:rFonts w:eastAsia="楷体" w:cs="Calibri"/>
                <w:b/>
                <w:bCs/>
                <w:kern w:val="2"/>
                <w:sz w:val="20"/>
                <w:szCs w:val="20"/>
              </w:rPr>
              <w:t xml:space="preserve"> of USD)</w:t>
            </w:r>
          </w:p>
        </w:tc>
      </w:tr>
      <w:tr w:rsidR="00CF633E" w14:paraId="5D4C2531" w14:textId="77777777" w:rsidTr="00610813">
        <w:trPr>
          <w:trHeight w:val="2300"/>
        </w:trPr>
        <w:tc>
          <w:tcPr>
            <w:tcW w:w="5195" w:type="dxa"/>
            <w:tcBorders>
              <w:top w:val="single" w:sz="4" w:space="0" w:color="auto"/>
              <w:bottom w:val="single" w:sz="4" w:space="0" w:color="auto"/>
            </w:tcBorders>
            <w:vAlign w:val="center"/>
          </w:tcPr>
          <w:p w14:paraId="71D4279B" w14:textId="77777777" w:rsidR="00CF633E" w:rsidRDefault="00CF633E" w:rsidP="00610813">
            <w:pPr>
              <w:spacing w:beforeLines="20" w:before="48" w:afterLines="20" w:after="48"/>
              <w:jc w:val="both"/>
              <w:textAlignment w:val="center"/>
              <w:rPr>
                <w:rFonts w:eastAsia="楷体_GB2312" w:cs="Calibri"/>
                <w:b/>
                <w:color w:val="000000"/>
                <w:sz w:val="20"/>
                <w:szCs w:val="20"/>
                <w:lang w:bidi="ar"/>
              </w:rPr>
            </w:pPr>
            <w:r>
              <w:rPr>
                <w:noProof/>
                <w:snapToGrid/>
              </w:rPr>
              <w:drawing>
                <wp:inline distT="0" distB="0" distL="0" distR="0" wp14:anchorId="60F71562" wp14:editId="01FC31DD">
                  <wp:extent cx="3049905" cy="1938020"/>
                  <wp:effectExtent l="0" t="0" r="0" b="5080"/>
                  <wp:docPr id="1542022344" name="图表 1">
                    <a:extLst xmlns:a="http://schemas.openxmlformats.org/drawingml/2006/main">
                      <a:ext uri="{FF2B5EF4-FFF2-40B4-BE49-F238E27FC236}">
                        <a16:creationId xmlns:a16="http://schemas.microsoft.com/office/drawing/2014/main" id="{B8642A8E-82C8-65D8-EE7F-74F5DEA87F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c>
          <w:tcPr>
            <w:tcW w:w="241" w:type="dxa"/>
          </w:tcPr>
          <w:p w14:paraId="7300632F" w14:textId="77777777" w:rsidR="00CF633E" w:rsidRDefault="00CF633E" w:rsidP="00610813">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70EA0845" w14:textId="77777777" w:rsidR="00CF633E" w:rsidRDefault="00CF633E" w:rsidP="00610813">
            <w:pPr>
              <w:spacing w:beforeLines="20" w:before="48" w:afterLines="20" w:after="48"/>
              <w:jc w:val="both"/>
              <w:rPr>
                <w:rFonts w:eastAsia="楷体_GB2312" w:cs="Calibri"/>
                <w:b/>
                <w:sz w:val="20"/>
                <w:szCs w:val="20"/>
              </w:rPr>
            </w:pPr>
            <w:r>
              <w:rPr>
                <w:noProof/>
                <w:snapToGrid/>
              </w:rPr>
              <w:drawing>
                <wp:inline distT="0" distB="0" distL="0" distR="0" wp14:anchorId="431195EB" wp14:editId="14B13FC7">
                  <wp:extent cx="3275217" cy="1996633"/>
                  <wp:effectExtent l="0" t="0" r="1905" b="3810"/>
                  <wp:docPr id="1430452423" name="图表 1">
                    <a:extLst xmlns:a="http://schemas.openxmlformats.org/drawingml/2006/main">
                      <a:ext uri="{FF2B5EF4-FFF2-40B4-BE49-F238E27FC236}">
                        <a16:creationId xmlns:a16="http://schemas.microsoft.com/office/drawing/2014/main" id="{FF3DAE55-01E0-BF00-73BF-73A755D0AE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r w:rsidR="00CF633E" w14:paraId="7CD044D2" w14:textId="77777777" w:rsidTr="00610813">
        <w:trPr>
          <w:trHeight w:val="227"/>
        </w:trPr>
        <w:tc>
          <w:tcPr>
            <w:tcW w:w="5195" w:type="dxa"/>
            <w:tcBorders>
              <w:top w:val="single" w:sz="4" w:space="0" w:color="auto"/>
            </w:tcBorders>
            <w:tcMar>
              <w:left w:w="0" w:type="dxa"/>
              <w:right w:w="28" w:type="dxa"/>
            </w:tcMar>
            <w:vAlign w:val="center"/>
          </w:tcPr>
          <w:p w14:paraId="4D3BB8D1" w14:textId="77777777" w:rsidR="00CF633E" w:rsidRDefault="00CF633E" w:rsidP="00610813">
            <w:pPr>
              <w:spacing w:beforeLines="20" w:before="48" w:afterLines="20" w:after="48"/>
              <w:jc w:val="both"/>
              <w:textAlignment w:val="center"/>
              <w:rPr>
                <w:rFonts w:ascii="楷体" w:eastAsia="楷体" w:hAnsi="楷体" w:cs="Calibri" w:hint="eastAsia"/>
                <w:sz w:val="20"/>
                <w:szCs w:val="20"/>
              </w:rPr>
            </w:pPr>
            <w:r>
              <w:rPr>
                <w:rFonts w:eastAsia="楷体" w:cs="Calibri" w:hint="eastAsia"/>
                <w:b/>
                <w:bCs/>
                <w:kern w:val="2"/>
                <w:sz w:val="20"/>
                <w:szCs w:val="20"/>
              </w:rPr>
              <w:t>Source:</w:t>
            </w:r>
            <w:r>
              <w:rPr>
                <w:rFonts w:eastAsia="楷体" w:cs="Calibri" w:hint="eastAsia"/>
                <w:kern w:val="2"/>
                <w:sz w:val="20"/>
                <w:szCs w:val="20"/>
              </w:rPr>
              <w:t xml:space="preserve"> </w:t>
            </w:r>
            <w:r>
              <w:rPr>
                <w:rFonts w:eastAsia="楷体" w:cs="Calibri"/>
                <w:kern w:val="2"/>
                <w:sz w:val="20"/>
                <w:szCs w:val="20"/>
              </w:rPr>
              <w:t>E</w:t>
            </w:r>
            <w:r>
              <w:rPr>
                <w:rFonts w:eastAsia="楷体" w:cs="Calibri" w:hint="eastAsia"/>
                <w:kern w:val="2"/>
                <w:sz w:val="20"/>
                <w:szCs w:val="20"/>
              </w:rPr>
              <w:t>uro</w:t>
            </w:r>
            <w:r>
              <w:rPr>
                <w:rFonts w:eastAsia="楷体" w:cs="Calibri"/>
                <w:kern w:val="2"/>
                <w:sz w:val="20"/>
                <w:szCs w:val="20"/>
              </w:rPr>
              <w:t>monitor</w:t>
            </w:r>
            <w:r>
              <w:rPr>
                <w:rFonts w:eastAsia="楷体" w:cs="Calibri" w:hint="eastAsia"/>
                <w:kern w:val="2"/>
                <w:sz w:val="20"/>
                <w:szCs w:val="20"/>
              </w:rPr>
              <w:t>, HFI</w:t>
            </w:r>
          </w:p>
        </w:tc>
        <w:tc>
          <w:tcPr>
            <w:tcW w:w="241" w:type="dxa"/>
            <w:tcMar>
              <w:left w:w="0" w:type="dxa"/>
              <w:right w:w="28" w:type="dxa"/>
            </w:tcMar>
          </w:tcPr>
          <w:p w14:paraId="072E18F9" w14:textId="77777777" w:rsidR="00CF633E" w:rsidRDefault="00CF633E" w:rsidP="00610813">
            <w:pPr>
              <w:spacing w:beforeLines="20" w:before="48" w:afterLines="20" w:after="48"/>
              <w:jc w:val="both"/>
              <w:rPr>
                <w:rFonts w:ascii="楷体" w:eastAsia="楷体" w:hAnsi="楷体" w:cs="Calibri" w:hint="eastAsia"/>
                <w:sz w:val="20"/>
                <w:szCs w:val="20"/>
              </w:rPr>
            </w:pPr>
          </w:p>
        </w:tc>
        <w:tc>
          <w:tcPr>
            <w:tcW w:w="5149" w:type="dxa"/>
            <w:tcBorders>
              <w:top w:val="single" w:sz="4" w:space="0" w:color="auto"/>
            </w:tcBorders>
            <w:tcMar>
              <w:left w:w="0" w:type="dxa"/>
              <w:right w:w="28" w:type="dxa"/>
            </w:tcMar>
          </w:tcPr>
          <w:p w14:paraId="0E80C347" w14:textId="77777777" w:rsidR="00CF633E" w:rsidRPr="001F2A9A" w:rsidRDefault="00CF633E" w:rsidP="00610813">
            <w:pPr>
              <w:rPr>
                <w:rFonts w:eastAsia="楷体" w:cs="Calibri"/>
                <w:kern w:val="2"/>
                <w:sz w:val="20"/>
                <w:szCs w:val="20"/>
              </w:rPr>
            </w:pPr>
            <w:r>
              <w:rPr>
                <w:rFonts w:eastAsia="楷体" w:cs="Calibri" w:hint="eastAsia"/>
                <w:b/>
                <w:bCs/>
                <w:kern w:val="2"/>
                <w:sz w:val="20"/>
                <w:szCs w:val="20"/>
              </w:rPr>
              <w:t>Source:</w:t>
            </w:r>
            <w:r>
              <w:rPr>
                <w:rFonts w:eastAsia="楷体" w:cs="Calibri" w:hint="eastAsia"/>
                <w:kern w:val="2"/>
                <w:sz w:val="20"/>
                <w:szCs w:val="20"/>
              </w:rPr>
              <w:t xml:space="preserve"> </w:t>
            </w:r>
            <w:r>
              <w:rPr>
                <w:rFonts w:eastAsia="楷体" w:cs="Calibri"/>
                <w:kern w:val="2"/>
                <w:sz w:val="20"/>
                <w:szCs w:val="20"/>
              </w:rPr>
              <w:t>E</w:t>
            </w:r>
            <w:r>
              <w:rPr>
                <w:rFonts w:eastAsia="楷体" w:cs="Calibri" w:hint="eastAsia"/>
                <w:kern w:val="2"/>
                <w:sz w:val="20"/>
                <w:szCs w:val="20"/>
              </w:rPr>
              <w:t>uro</w:t>
            </w:r>
            <w:r>
              <w:rPr>
                <w:rFonts w:eastAsia="楷体" w:cs="Calibri"/>
                <w:kern w:val="2"/>
                <w:sz w:val="20"/>
                <w:szCs w:val="20"/>
              </w:rPr>
              <w:t>monitor</w:t>
            </w:r>
            <w:r>
              <w:rPr>
                <w:rFonts w:eastAsia="楷体" w:cs="Calibri" w:hint="eastAsia"/>
                <w:kern w:val="2"/>
                <w:sz w:val="20"/>
                <w:szCs w:val="20"/>
              </w:rPr>
              <w:t>, HFI</w:t>
            </w:r>
          </w:p>
        </w:tc>
      </w:tr>
    </w:tbl>
    <w:p w14:paraId="5CED17CF" w14:textId="77777777" w:rsidR="00CF633E" w:rsidRDefault="00CF633E" w:rsidP="00CF633E">
      <w:pPr>
        <w:rPr>
          <w:rFonts w:eastAsia="楷体" w:cs="Calibri"/>
          <w:color w:val="000000" w:themeColor="text1"/>
          <w:sz w:val="24"/>
          <w:szCs w:val="48"/>
        </w:rPr>
      </w:pPr>
    </w:p>
    <w:p w14:paraId="0EB75338" w14:textId="77777777" w:rsidR="00CF633E" w:rsidRPr="00A9571C" w:rsidRDefault="00CF633E" w:rsidP="00CF633E">
      <w:pPr>
        <w:jc w:val="both"/>
        <w:rPr>
          <w:rFonts w:eastAsia="楷体" w:cs="Calibri"/>
          <w:color w:val="000000" w:themeColor="text1"/>
          <w:sz w:val="22"/>
          <w:szCs w:val="22"/>
        </w:rPr>
      </w:pPr>
      <w:r w:rsidRPr="00A9571C">
        <w:rPr>
          <w:rFonts w:eastAsia="楷体" w:cs="Calibri"/>
          <w:color w:val="000000" w:themeColor="text1"/>
          <w:sz w:val="22"/>
          <w:szCs w:val="22"/>
        </w:rPr>
        <w:t xml:space="preserve">2) </w:t>
      </w:r>
      <w:r w:rsidRPr="00A9571C">
        <w:rPr>
          <w:rFonts w:eastAsia="楷体" w:cs="Calibri"/>
          <w:b/>
          <w:bCs/>
          <w:color w:val="000000" w:themeColor="text1"/>
          <w:sz w:val="22"/>
          <w:szCs w:val="22"/>
        </w:rPr>
        <w:t xml:space="preserve">The Group will rapidly fill gaps in the ultra-luxury perfume and Couture beauty segments through acquisitions and licensing, establishing a formidable competitive barrier. </w:t>
      </w:r>
      <w:r w:rsidRPr="00A9571C">
        <w:rPr>
          <w:rFonts w:eastAsia="楷体" w:cs="Calibri"/>
          <w:color w:val="000000" w:themeColor="text1"/>
          <w:sz w:val="22"/>
          <w:szCs w:val="22"/>
        </w:rPr>
        <w:t xml:space="preserve">L'Oréal Luxe's brand matrix strategy has proven highly effective: starting with licensing (YSL as a model), scaling rapidly (Valentino/Prada exceeding €700 million), making major acquisitions to fill gaps (Creed in ultra-luxury), and expanding through long-term licensing (Kering alliance), forming a closed-loop ecosystem. In 2025, the Luxe division achieved actual like-for-like growth of +2.8% (accelerating to +3.6% in H2, nearing +5% excluding Asia travel retail), with Fragrances outperforming the market at double digits and Couture brands (YSL, Prada, Valentino) delivering standout </w:t>
      </w:r>
      <w:r w:rsidRPr="00A9571C">
        <w:rPr>
          <w:rFonts w:eastAsia="楷体" w:cs="Calibri"/>
          <w:color w:val="000000" w:themeColor="text1"/>
          <w:sz w:val="22"/>
          <w:szCs w:val="22"/>
        </w:rPr>
        <w:lastRenderedPageBreak/>
        <w:t>contributions. In 2026, this matrix is expected to further drive structural growth through Creed integration, gradual Kering brand infusion, and Asian recovery, solidifying the group's leadership in luxury beauty.</w:t>
      </w:r>
    </w:p>
    <w:p w14:paraId="2A0037DA" w14:textId="77777777" w:rsidR="00CF633E" w:rsidRDefault="00CF633E" w:rsidP="00CF633E">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CF633E" w14:paraId="678071EC" w14:textId="77777777" w:rsidTr="00610813">
        <w:tc>
          <w:tcPr>
            <w:tcW w:w="7733" w:type="dxa"/>
            <w:tcBorders>
              <w:bottom w:val="single" w:sz="4" w:space="0" w:color="auto"/>
            </w:tcBorders>
          </w:tcPr>
          <w:p w14:paraId="656B7BFC" w14:textId="77777777" w:rsidR="00CF633E" w:rsidRDefault="00CF633E" w:rsidP="00610813">
            <w:pPr>
              <w:jc w:val="both"/>
              <w:rPr>
                <w:rFonts w:ascii="楷体" w:eastAsia="楷体" w:hAnsi="楷体" w:cstheme="minorHAnsi" w:hint="eastAsia"/>
                <w:b/>
                <w:bCs/>
                <w:kern w:val="2"/>
                <w:sz w:val="22"/>
                <w:szCs w:val="22"/>
              </w:rPr>
            </w:pPr>
            <w:r>
              <w:rPr>
                <w:rFonts w:eastAsia="楷体" w:cs="Calibri" w:hint="eastAsia"/>
                <w:b/>
                <w:bCs/>
                <w:kern w:val="2"/>
                <w:sz w:val="20"/>
                <w:szCs w:val="20"/>
              </w:rPr>
              <w:t xml:space="preserve">Figure: </w:t>
            </w:r>
            <w:r w:rsidRPr="001F2A9A">
              <w:rPr>
                <w:rFonts w:eastAsia="楷体" w:cs="Calibri"/>
                <w:b/>
                <w:bCs/>
                <w:kern w:val="2"/>
                <w:sz w:val="20"/>
                <w:szCs w:val="20"/>
              </w:rPr>
              <w:t xml:space="preserve">L'Oréal Group's </w:t>
            </w:r>
            <w:r>
              <w:rPr>
                <w:rFonts w:eastAsia="楷体" w:cs="Calibri"/>
                <w:b/>
                <w:bCs/>
                <w:kern w:val="2"/>
                <w:sz w:val="20"/>
                <w:szCs w:val="20"/>
              </w:rPr>
              <w:t xml:space="preserve">Luxe </w:t>
            </w:r>
            <w:r w:rsidRPr="001F2A9A">
              <w:rPr>
                <w:rFonts w:eastAsia="楷体" w:cs="Calibri" w:hint="eastAsia"/>
                <w:b/>
                <w:bCs/>
                <w:kern w:val="2"/>
                <w:sz w:val="20"/>
                <w:szCs w:val="20"/>
              </w:rPr>
              <w:t>B</w:t>
            </w:r>
            <w:r w:rsidRPr="001F2A9A">
              <w:rPr>
                <w:rFonts w:eastAsia="楷体" w:cs="Calibri"/>
                <w:b/>
                <w:bCs/>
                <w:kern w:val="2"/>
                <w:sz w:val="20"/>
                <w:szCs w:val="20"/>
              </w:rPr>
              <w:t>rands: Scale and Growth Projections for 2025</w:t>
            </w:r>
          </w:p>
        </w:tc>
      </w:tr>
      <w:tr w:rsidR="00CF633E" w14:paraId="0E9FD8D4" w14:textId="77777777" w:rsidTr="00610813">
        <w:tc>
          <w:tcPr>
            <w:tcW w:w="7733" w:type="dxa"/>
            <w:tcBorders>
              <w:top w:val="single" w:sz="4" w:space="0" w:color="auto"/>
              <w:bottom w:val="single" w:sz="4" w:space="0" w:color="auto"/>
            </w:tcBorders>
          </w:tcPr>
          <w:p w14:paraId="459F62D8" w14:textId="77777777" w:rsidR="00CF633E" w:rsidRPr="001F2A9A" w:rsidRDefault="00CF633E" w:rsidP="00610813">
            <w:pPr>
              <w:ind w:firstLineChars="100" w:firstLine="160"/>
              <w:rPr>
                <w:rFonts w:asciiTheme="minorHAnsi" w:eastAsia="楷体" w:hAnsiTheme="minorHAnsi" w:cstheme="minorHAnsi" w:hint="eastAsia"/>
                <w:kern w:val="2"/>
                <w:sz w:val="22"/>
                <w:szCs w:val="22"/>
              </w:rPr>
            </w:pPr>
            <w:r>
              <w:rPr>
                <w:noProof/>
                <w:snapToGrid/>
              </w:rPr>
              <w:drawing>
                <wp:inline distT="0" distB="0" distL="0" distR="0" wp14:anchorId="6EE872E2" wp14:editId="668C2DC7">
                  <wp:extent cx="4735830" cy="1663700"/>
                  <wp:effectExtent l="0" t="0" r="7620" b="0"/>
                  <wp:docPr id="229354927" name="图片 3">
                    <a:extLst xmlns:a="http://schemas.openxmlformats.org/drawingml/2006/main">
                      <a:ext uri="{FF2B5EF4-FFF2-40B4-BE49-F238E27FC236}">
                        <a16:creationId xmlns:a16="http://schemas.microsoft.com/office/drawing/2014/main" id="{CAEE4C02-8781-AB77-4840-1C669A8DF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AEE4C02-8781-AB77-4840-1C669A8DFD04}"/>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35830" cy="1663700"/>
                          </a:xfrm>
                          <a:prstGeom prst="rect">
                            <a:avLst/>
                          </a:prstGeom>
                          <a:noFill/>
                        </pic:spPr>
                      </pic:pic>
                    </a:graphicData>
                  </a:graphic>
                </wp:inline>
              </w:drawing>
            </w:r>
          </w:p>
        </w:tc>
      </w:tr>
      <w:tr w:rsidR="00CF633E" w14:paraId="3D73FC64" w14:textId="77777777" w:rsidTr="00610813">
        <w:trPr>
          <w:trHeight w:val="61"/>
        </w:trPr>
        <w:tc>
          <w:tcPr>
            <w:tcW w:w="7733" w:type="dxa"/>
            <w:tcBorders>
              <w:top w:val="single" w:sz="4" w:space="0" w:color="auto"/>
            </w:tcBorders>
          </w:tcPr>
          <w:p w14:paraId="254E071F" w14:textId="77777777" w:rsidR="00CF633E" w:rsidRPr="001F2A9A" w:rsidRDefault="00CF633E" w:rsidP="00610813">
            <w:pPr>
              <w:rPr>
                <w:rFonts w:eastAsia="楷体" w:cs="Calibri"/>
                <w:kern w:val="2"/>
                <w:sz w:val="20"/>
                <w:szCs w:val="20"/>
              </w:rPr>
            </w:pPr>
            <w:r>
              <w:rPr>
                <w:rFonts w:eastAsia="楷体" w:cs="Calibri" w:hint="eastAsia"/>
                <w:b/>
                <w:bCs/>
                <w:kern w:val="2"/>
                <w:sz w:val="20"/>
                <w:szCs w:val="20"/>
              </w:rPr>
              <w:t xml:space="preserve">Source: </w:t>
            </w:r>
            <w:r w:rsidRPr="001F2A9A">
              <w:rPr>
                <w:rFonts w:eastAsia="楷体" w:cs="Calibri"/>
                <w:kern w:val="2"/>
                <w:sz w:val="20"/>
                <w:szCs w:val="20"/>
              </w:rPr>
              <w:t>L'Oréal</w:t>
            </w:r>
            <w:r>
              <w:rPr>
                <w:rFonts w:eastAsia="楷体" w:cs="Calibri"/>
                <w:kern w:val="2"/>
                <w:sz w:val="20"/>
                <w:szCs w:val="20"/>
              </w:rPr>
              <w:t xml:space="preserve"> A</w:t>
            </w:r>
            <w:r>
              <w:rPr>
                <w:rFonts w:eastAsia="楷体" w:cs="Calibri" w:hint="eastAsia"/>
                <w:kern w:val="2"/>
                <w:sz w:val="20"/>
                <w:szCs w:val="20"/>
              </w:rPr>
              <w:t xml:space="preserve">nnual </w:t>
            </w:r>
            <w:r>
              <w:rPr>
                <w:rFonts w:eastAsia="楷体" w:cs="Calibri"/>
                <w:kern w:val="2"/>
                <w:sz w:val="20"/>
                <w:szCs w:val="20"/>
              </w:rPr>
              <w:t>R</w:t>
            </w:r>
            <w:r>
              <w:rPr>
                <w:rFonts w:eastAsia="楷体" w:cs="Calibri" w:hint="eastAsia"/>
                <w:kern w:val="2"/>
                <w:sz w:val="20"/>
                <w:szCs w:val="20"/>
              </w:rPr>
              <w:t>eport</w:t>
            </w:r>
            <w:r w:rsidRPr="001F2A9A">
              <w:rPr>
                <w:rFonts w:eastAsia="楷体" w:cs="Calibri" w:hint="eastAsia"/>
                <w:kern w:val="2"/>
                <w:sz w:val="20"/>
                <w:szCs w:val="20"/>
              </w:rPr>
              <w:t>,</w:t>
            </w:r>
            <w:r>
              <w:rPr>
                <w:rFonts w:eastAsia="楷体" w:cs="Calibri"/>
                <w:kern w:val="2"/>
                <w:sz w:val="20"/>
                <w:szCs w:val="20"/>
              </w:rPr>
              <w:t xml:space="preserve"> </w:t>
            </w:r>
            <w:proofErr w:type="spellStart"/>
            <w:r w:rsidRPr="00C07889">
              <w:rPr>
                <w:rFonts w:eastAsia="楷体" w:cs="Calibri" w:hint="eastAsia"/>
                <w:kern w:val="2"/>
                <w:sz w:val="20"/>
                <w:szCs w:val="20"/>
              </w:rPr>
              <w:t>dfnionline</w:t>
            </w:r>
            <w:proofErr w:type="spellEnd"/>
            <w:r>
              <w:rPr>
                <w:rFonts w:eastAsia="楷体" w:cs="Calibri"/>
                <w:kern w:val="2"/>
                <w:sz w:val="20"/>
                <w:szCs w:val="20"/>
              </w:rPr>
              <w:t>,</w:t>
            </w:r>
            <w:r>
              <w:rPr>
                <w:rFonts w:eastAsia="楷体" w:cs="Calibri" w:hint="eastAsia"/>
                <w:kern w:val="2"/>
                <w:sz w:val="20"/>
                <w:szCs w:val="20"/>
              </w:rPr>
              <w:t xml:space="preserve"> HFI</w:t>
            </w:r>
          </w:p>
        </w:tc>
      </w:tr>
    </w:tbl>
    <w:p w14:paraId="25A650C9" w14:textId="77777777" w:rsidR="00CF633E" w:rsidRPr="001F2A9A" w:rsidRDefault="00CF633E" w:rsidP="00CF633E"/>
    <w:p w14:paraId="7875FB4B" w14:textId="0CCDB9BA" w:rsidR="00CF633E" w:rsidRPr="00B268C3" w:rsidRDefault="00CF633E" w:rsidP="00B268C3">
      <w:pPr>
        <w:pStyle w:val="211"/>
        <w:ind w:right="42"/>
        <w:jc w:val="both"/>
        <w:rPr>
          <w:rFonts w:ascii="Calibri" w:eastAsia="楷体" w:hAnsi="Calibri" w:cs="Calibri"/>
          <w:color w:val="23558C"/>
          <w:sz w:val="24"/>
        </w:rPr>
      </w:pPr>
      <w:bookmarkStart w:id="26" w:name="_Toc224295888"/>
      <w:r w:rsidRPr="00B268C3">
        <w:rPr>
          <w:rFonts w:ascii="Calibri" w:eastAsia="楷体" w:hAnsi="Calibri" w:cs="Calibri"/>
          <w:color w:val="23558C"/>
          <w:sz w:val="24"/>
        </w:rPr>
        <w:t>4.2</w:t>
      </w:r>
      <w:r w:rsidRPr="00185483">
        <w:rPr>
          <w:rFonts w:ascii="Calibri" w:eastAsia="楷体" w:hAnsi="Calibri" w:cs="Calibri"/>
          <w:color w:val="23558C"/>
          <w:sz w:val="24"/>
        </w:rPr>
        <w:t xml:space="preserve"> </w:t>
      </w:r>
      <w:r w:rsidR="00140EC4" w:rsidRPr="005C3356">
        <w:rPr>
          <w:rFonts w:ascii="Calibri" w:eastAsia="楷体" w:hAnsi="Calibri" w:cs="Calibri"/>
          <w:color w:val="23558C"/>
          <w:sz w:val="24"/>
        </w:rPr>
        <w:t>Dermatological Beauty Division</w:t>
      </w:r>
      <w:r w:rsidRPr="00B268C3">
        <w:rPr>
          <w:rFonts w:ascii="Calibri" w:eastAsia="楷体" w:hAnsi="Calibri" w:cs="Calibri"/>
          <w:color w:val="23558C"/>
          <w:sz w:val="24"/>
        </w:rPr>
        <w:t>: Targeting Consumer Needs to Accelerate Emerging Market Penetration</w:t>
      </w:r>
      <w:bookmarkEnd w:id="26"/>
    </w:p>
    <w:p w14:paraId="61366900" w14:textId="77777777" w:rsidR="00CF633E" w:rsidRPr="00A9571C" w:rsidRDefault="00CF633E" w:rsidP="00CF633E">
      <w:pPr>
        <w:jc w:val="both"/>
        <w:rPr>
          <w:rFonts w:eastAsia="楷体" w:cs="Calibri"/>
          <w:b/>
          <w:bCs/>
          <w:color w:val="000000" w:themeColor="text1"/>
          <w:sz w:val="22"/>
          <w:szCs w:val="22"/>
          <w:u w:val="single"/>
        </w:rPr>
      </w:pPr>
      <w:r w:rsidRPr="00A9571C">
        <w:rPr>
          <w:rFonts w:eastAsia="楷体" w:cs="Calibri"/>
          <w:b/>
          <w:bCs/>
          <w:color w:val="000000" w:themeColor="text1"/>
          <w:sz w:val="22"/>
          <w:szCs w:val="22"/>
          <w:u w:val="single"/>
        </w:rPr>
        <w:t>The Active Health Cosmetics Division precisely targets consumer demands, capitalizing on sustained upward trends.</w:t>
      </w:r>
    </w:p>
    <w:p w14:paraId="7F670F78" w14:textId="77777777" w:rsidR="00CF633E" w:rsidRPr="00A9571C" w:rsidRDefault="00CF633E" w:rsidP="00CF633E">
      <w:pPr>
        <w:jc w:val="both"/>
        <w:rPr>
          <w:rFonts w:eastAsia="楷体" w:cs="Calibri"/>
          <w:color w:val="000000" w:themeColor="text1"/>
          <w:sz w:val="22"/>
          <w:szCs w:val="22"/>
        </w:rPr>
      </w:pPr>
      <w:r w:rsidRPr="00A9571C">
        <w:rPr>
          <w:rFonts w:eastAsia="楷体" w:cs="Calibri"/>
          <w:b/>
          <w:bCs/>
          <w:color w:val="000000" w:themeColor="text1"/>
          <w:sz w:val="22"/>
          <w:szCs w:val="22"/>
        </w:rPr>
        <w:t>Emphasizing "dermatologist-endorsed + patented technology," it addresses consumers' essential needs for efficacy, safety, and gentleness.</w:t>
      </w:r>
      <w:r w:rsidRPr="00A9571C">
        <w:rPr>
          <w:rFonts w:eastAsia="楷体" w:cs="Calibri"/>
          <w:color w:val="000000" w:themeColor="text1"/>
          <w:sz w:val="22"/>
          <w:szCs w:val="22"/>
        </w:rPr>
        <w:t xml:space="preserve"> Under CeraVe, the focus is on "Triple Ceramide" barrier repair, with core business recovery driven by innovative products like Intensive Moisturizing Lotion in the second half of 2025. La Roche-Posay's </w:t>
      </w:r>
      <w:proofErr w:type="spellStart"/>
      <w:r w:rsidRPr="00A9571C">
        <w:rPr>
          <w:rFonts w:eastAsia="楷体" w:cs="Calibri"/>
          <w:color w:val="000000" w:themeColor="text1"/>
          <w:sz w:val="22"/>
          <w:szCs w:val="22"/>
        </w:rPr>
        <w:t>Cicaplast</w:t>
      </w:r>
      <w:proofErr w:type="spellEnd"/>
      <w:r w:rsidRPr="00A9571C">
        <w:rPr>
          <w:rFonts w:eastAsia="楷体" w:cs="Calibri"/>
          <w:color w:val="000000" w:themeColor="text1"/>
          <w:sz w:val="22"/>
          <w:szCs w:val="22"/>
        </w:rPr>
        <w:t xml:space="preserve"> line remains a bestseller as the go-to repair solution. Mela B3 (featuring patented Melasyl™) leads in addressing hyperpigmentation, leveraging robust scientific patents to excel in Asia, particularly China. Expansion of the P-</w:t>
      </w:r>
      <w:proofErr w:type="spellStart"/>
      <w:r w:rsidRPr="00A9571C">
        <w:rPr>
          <w:rFonts w:eastAsia="楷体" w:cs="Calibri"/>
          <w:color w:val="000000" w:themeColor="text1"/>
          <w:sz w:val="22"/>
          <w:szCs w:val="22"/>
        </w:rPr>
        <w:t>Tiox</w:t>
      </w:r>
      <w:proofErr w:type="spellEnd"/>
      <w:r w:rsidRPr="00A9571C">
        <w:rPr>
          <w:rFonts w:eastAsia="楷体" w:cs="Calibri"/>
          <w:color w:val="000000" w:themeColor="text1"/>
          <w:sz w:val="22"/>
          <w:szCs w:val="22"/>
        </w:rPr>
        <w:t xml:space="preserve"> line and new launches like HA Intensifier drive double-digit growth, targeting $1 billion in revenue by 2025. Future plans include increased investment in patented technologies (e.g., </w:t>
      </w:r>
      <w:proofErr w:type="spellStart"/>
      <w:r w:rsidRPr="00A9571C">
        <w:rPr>
          <w:rFonts w:eastAsia="楷体" w:cs="Calibri"/>
          <w:color w:val="000000" w:themeColor="text1"/>
          <w:sz w:val="22"/>
          <w:szCs w:val="22"/>
        </w:rPr>
        <w:t>Melasyl</w:t>
      </w:r>
      <w:proofErr w:type="spellEnd"/>
      <w:r w:rsidRPr="00A9571C">
        <w:rPr>
          <w:rFonts w:eastAsia="楷体" w:cs="Calibri"/>
          <w:color w:val="000000" w:themeColor="text1"/>
          <w:sz w:val="22"/>
          <w:szCs w:val="22"/>
        </w:rPr>
        <w:t>™ expansion, P-</w:t>
      </w:r>
      <w:proofErr w:type="spellStart"/>
      <w:r w:rsidRPr="00A9571C">
        <w:rPr>
          <w:rFonts w:eastAsia="楷体" w:cs="Calibri"/>
          <w:color w:val="000000" w:themeColor="text1"/>
          <w:sz w:val="22"/>
          <w:szCs w:val="22"/>
        </w:rPr>
        <w:t>Tiox</w:t>
      </w:r>
      <w:proofErr w:type="spellEnd"/>
      <w:r w:rsidRPr="00A9571C">
        <w:rPr>
          <w:rFonts w:eastAsia="楷体" w:cs="Calibri"/>
          <w:color w:val="000000" w:themeColor="text1"/>
          <w:sz w:val="22"/>
          <w:szCs w:val="22"/>
        </w:rPr>
        <w:t xml:space="preserve"> globalization) and launching breakthrough products targeting hyperpigmentation, aging, and barrier damage. The brand will capitalize on the "longevity science" and preventative skincare trends, with CeraVe planning to enter the sunscreen category by late 2025 or early 2026.</w:t>
      </w:r>
    </w:p>
    <w:p w14:paraId="2FC97311" w14:textId="77777777" w:rsidR="00CF633E" w:rsidRDefault="00CF633E" w:rsidP="00CF633E">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CF633E" w14:paraId="45AABAD0" w14:textId="77777777" w:rsidTr="00610813">
        <w:tc>
          <w:tcPr>
            <w:tcW w:w="7733" w:type="dxa"/>
            <w:tcBorders>
              <w:bottom w:val="single" w:sz="4" w:space="0" w:color="auto"/>
            </w:tcBorders>
          </w:tcPr>
          <w:p w14:paraId="5E503268" w14:textId="77777777" w:rsidR="00CF633E" w:rsidRDefault="00CF633E" w:rsidP="00610813">
            <w:pPr>
              <w:jc w:val="both"/>
              <w:rPr>
                <w:rFonts w:ascii="楷体" w:eastAsia="楷体" w:hAnsi="楷体" w:cstheme="minorHAnsi" w:hint="eastAsia"/>
                <w:b/>
                <w:bCs/>
                <w:kern w:val="2"/>
                <w:sz w:val="22"/>
                <w:szCs w:val="22"/>
              </w:rPr>
            </w:pPr>
            <w:r>
              <w:rPr>
                <w:rFonts w:eastAsia="楷体" w:cs="Calibri" w:hint="eastAsia"/>
                <w:b/>
                <w:bCs/>
                <w:kern w:val="2"/>
                <w:sz w:val="20"/>
                <w:szCs w:val="20"/>
              </w:rPr>
              <w:t xml:space="preserve">Figure: </w:t>
            </w:r>
            <w:r w:rsidRPr="001F2A9A">
              <w:rPr>
                <w:rFonts w:eastAsia="楷体" w:cs="Calibri"/>
                <w:b/>
                <w:bCs/>
                <w:kern w:val="2"/>
                <w:sz w:val="20"/>
                <w:szCs w:val="20"/>
              </w:rPr>
              <w:t>L'Oréal Group Active Health Cosmetics Division Growth Driver Model</w:t>
            </w:r>
          </w:p>
        </w:tc>
      </w:tr>
      <w:tr w:rsidR="00CF633E" w14:paraId="08ABCB48" w14:textId="77777777" w:rsidTr="00610813">
        <w:tc>
          <w:tcPr>
            <w:tcW w:w="7733" w:type="dxa"/>
            <w:tcBorders>
              <w:top w:val="single" w:sz="4" w:space="0" w:color="auto"/>
              <w:bottom w:val="single" w:sz="4" w:space="0" w:color="auto"/>
            </w:tcBorders>
          </w:tcPr>
          <w:p w14:paraId="41CDA124" w14:textId="77777777" w:rsidR="00CF633E" w:rsidRPr="001F2A9A" w:rsidRDefault="00CF633E" w:rsidP="00D41FC7">
            <w:pPr>
              <w:ind w:firstLineChars="300" w:firstLine="480"/>
              <w:rPr>
                <w:rFonts w:asciiTheme="minorHAnsi" w:eastAsia="楷体" w:hAnsiTheme="minorHAnsi" w:cstheme="minorHAnsi" w:hint="eastAsia"/>
                <w:kern w:val="2"/>
                <w:sz w:val="22"/>
                <w:szCs w:val="22"/>
              </w:rPr>
            </w:pPr>
            <w:r>
              <w:rPr>
                <w:noProof/>
                <w:snapToGrid/>
              </w:rPr>
              <w:drawing>
                <wp:inline distT="0" distB="0" distL="0" distR="0" wp14:anchorId="2AC517DE" wp14:editId="169511D3">
                  <wp:extent cx="4252008" cy="2257063"/>
                  <wp:effectExtent l="19050" t="0" r="34290" b="10160"/>
                  <wp:docPr id="116854460" name="图示 1">
                    <a:extLst xmlns:a="http://schemas.openxmlformats.org/drawingml/2006/main">
                      <a:ext uri="{FF2B5EF4-FFF2-40B4-BE49-F238E27FC236}">
                        <a16:creationId xmlns:a16="http://schemas.microsoft.com/office/drawing/2014/main" id="{C09D37FF-A095-671B-B0EA-084A88AA26E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tc>
      </w:tr>
      <w:tr w:rsidR="00CF633E" w14:paraId="3724B8C2" w14:textId="77777777" w:rsidTr="00610813">
        <w:trPr>
          <w:trHeight w:val="61"/>
        </w:trPr>
        <w:tc>
          <w:tcPr>
            <w:tcW w:w="7733" w:type="dxa"/>
            <w:tcBorders>
              <w:top w:val="single" w:sz="4" w:space="0" w:color="auto"/>
            </w:tcBorders>
          </w:tcPr>
          <w:p w14:paraId="41A23D88" w14:textId="77777777" w:rsidR="00CF633E" w:rsidRDefault="00CF633E" w:rsidP="00610813">
            <w:pPr>
              <w:rPr>
                <w:rFonts w:eastAsia="楷体" w:cs="Calibri"/>
                <w:kern w:val="2"/>
                <w:sz w:val="20"/>
                <w:szCs w:val="20"/>
              </w:rPr>
            </w:pPr>
            <w:r>
              <w:rPr>
                <w:rFonts w:eastAsia="楷体" w:cs="Calibri" w:hint="eastAsia"/>
                <w:b/>
                <w:bCs/>
                <w:kern w:val="2"/>
                <w:sz w:val="20"/>
                <w:szCs w:val="20"/>
              </w:rPr>
              <w:t xml:space="preserve">Source: </w:t>
            </w:r>
            <w:r w:rsidRPr="001F2A9A">
              <w:rPr>
                <w:rFonts w:eastAsia="楷体" w:cs="Calibri"/>
                <w:kern w:val="2"/>
                <w:sz w:val="20"/>
                <w:szCs w:val="20"/>
              </w:rPr>
              <w:t>L'Oréal</w:t>
            </w:r>
            <w:r>
              <w:rPr>
                <w:rFonts w:eastAsia="楷体" w:cs="Calibri"/>
                <w:kern w:val="2"/>
                <w:sz w:val="20"/>
                <w:szCs w:val="20"/>
              </w:rPr>
              <w:t xml:space="preserve"> A</w:t>
            </w:r>
            <w:r>
              <w:rPr>
                <w:rFonts w:eastAsia="楷体" w:cs="Calibri" w:hint="eastAsia"/>
                <w:kern w:val="2"/>
                <w:sz w:val="20"/>
                <w:szCs w:val="20"/>
              </w:rPr>
              <w:t xml:space="preserve">nnual </w:t>
            </w:r>
            <w:r>
              <w:rPr>
                <w:rFonts w:eastAsia="楷体" w:cs="Calibri"/>
                <w:kern w:val="2"/>
                <w:sz w:val="20"/>
                <w:szCs w:val="20"/>
              </w:rPr>
              <w:t>R</w:t>
            </w:r>
            <w:r>
              <w:rPr>
                <w:rFonts w:eastAsia="楷体" w:cs="Calibri" w:hint="eastAsia"/>
                <w:kern w:val="2"/>
                <w:sz w:val="20"/>
                <w:szCs w:val="20"/>
              </w:rPr>
              <w:t>eport</w:t>
            </w:r>
            <w:r w:rsidRPr="001F2A9A">
              <w:rPr>
                <w:rFonts w:eastAsia="楷体" w:cs="Calibri" w:hint="eastAsia"/>
                <w:kern w:val="2"/>
                <w:sz w:val="20"/>
                <w:szCs w:val="20"/>
              </w:rPr>
              <w:t>,</w:t>
            </w:r>
            <w:r>
              <w:rPr>
                <w:rFonts w:eastAsia="楷体" w:cs="Calibri" w:hint="eastAsia"/>
                <w:kern w:val="2"/>
                <w:sz w:val="20"/>
                <w:szCs w:val="20"/>
              </w:rPr>
              <w:t xml:space="preserve"> HFI</w:t>
            </w:r>
          </w:p>
          <w:p w14:paraId="081F62FA" w14:textId="77777777" w:rsidR="00CF633E" w:rsidRPr="001F2A9A" w:rsidRDefault="00CF633E" w:rsidP="00610813">
            <w:pPr>
              <w:rPr>
                <w:rFonts w:eastAsia="楷体" w:cs="Calibri"/>
                <w:kern w:val="2"/>
                <w:sz w:val="20"/>
                <w:szCs w:val="20"/>
              </w:rPr>
            </w:pPr>
          </w:p>
        </w:tc>
      </w:tr>
    </w:tbl>
    <w:p w14:paraId="0718DB97" w14:textId="16D0BD33" w:rsidR="00CA1CB5" w:rsidRPr="00A9571C" w:rsidRDefault="00CF633E">
      <w:pPr>
        <w:rPr>
          <w:rFonts w:eastAsiaTheme="minorEastAsia"/>
          <w:sz w:val="22"/>
          <w:szCs w:val="22"/>
        </w:rPr>
      </w:pPr>
      <w:r w:rsidRPr="00A9571C">
        <w:rPr>
          <w:rFonts w:eastAsia="楷体" w:cs="Calibri"/>
          <w:b/>
          <w:bCs/>
          <w:color w:val="000000" w:themeColor="text1"/>
          <w:sz w:val="22"/>
          <w:szCs w:val="22"/>
        </w:rPr>
        <w:lastRenderedPageBreak/>
        <w:t xml:space="preserve">Capturing scalp care trends to accelerate product portfolio expansion. </w:t>
      </w:r>
      <w:r w:rsidRPr="00A9571C">
        <w:rPr>
          <w:rFonts w:eastAsia="楷体" w:cs="Calibri"/>
          <w:color w:val="000000" w:themeColor="text1"/>
          <w:sz w:val="22"/>
          <w:szCs w:val="22"/>
        </w:rPr>
        <w:t>Consumers now view the scalp as "skin on the head," shifting demand from cleansing to prevention/therapy. The company successfully entered this trend with CeraVe scalp care products, addressing high-frequency treatment pain points and driving cross-category vitality within the division. Vichy (</w:t>
      </w:r>
      <w:proofErr w:type="spellStart"/>
      <w:r w:rsidRPr="00A9571C">
        <w:rPr>
          <w:rFonts w:eastAsia="楷体" w:cs="Calibri"/>
          <w:color w:val="000000" w:themeColor="text1"/>
          <w:sz w:val="22"/>
          <w:szCs w:val="22"/>
        </w:rPr>
        <w:t>Dercos</w:t>
      </w:r>
      <w:proofErr w:type="spellEnd"/>
      <w:r w:rsidRPr="00A9571C">
        <w:rPr>
          <w:rFonts w:eastAsia="楷体" w:cs="Calibri"/>
          <w:color w:val="000000" w:themeColor="text1"/>
          <w:sz w:val="22"/>
          <w:szCs w:val="22"/>
        </w:rPr>
        <w:t xml:space="preserve"> line) launched dandruff solutions in markets like the U.S., contributing to its recovery. Moving forward, we will build upon CeraVe's scalp care foundation to deepen our "hair-skin convergence" strategy, capturing the growing demand for scalp health prevention.</w:t>
      </w:r>
    </w:p>
    <w:p w14:paraId="790AB66F" w14:textId="77777777" w:rsidR="00B35E6A" w:rsidRPr="00717372" w:rsidRDefault="00B35E6A" w:rsidP="00B35E6A">
      <w:pPr>
        <w:pStyle w:val="EFABodyText"/>
        <w:jc w:val="both"/>
        <w:rPr>
          <w:rFonts w:ascii="楷体" w:eastAsia="楷体" w:hAnsi="楷体" w:cs="Calibri" w:hint="eastAsia"/>
          <w:snapToGrid/>
          <w:sz w:val="22"/>
          <w:szCs w:val="22"/>
          <w:lang w:eastAsia="zh-CN"/>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6"/>
      </w:tblGrid>
      <w:tr w:rsidR="00B35E6A" w:rsidRPr="00BD0437" w14:paraId="1852DA60" w14:textId="77777777" w:rsidTr="00610813">
        <w:tc>
          <w:tcPr>
            <w:tcW w:w="7448" w:type="dxa"/>
            <w:tcBorders>
              <w:bottom w:val="single" w:sz="4" w:space="0" w:color="auto"/>
            </w:tcBorders>
          </w:tcPr>
          <w:p w14:paraId="2B05CB3E" w14:textId="2D791055" w:rsidR="00B35E6A" w:rsidRPr="00BD0437" w:rsidRDefault="00B35E6A" w:rsidP="00610813">
            <w:pPr>
              <w:pStyle w:val="EFABodyText"/>
              <w:jc w:val="both"/>
              <w:rPr>
                <w:rFonts w:ascii="楷体" w:eastAsia="楷体" w:hAnsi="楷体" w:cs="Calibri" w:hint="eastAsia"/>
                <w:b/>
                <w:bCs/>
                <w:snapToGrid/>
                <w:szCs w:val="20"/>
                <w:lang w:eastAsia="zh-CN"/>
              </w:rPr>
            </w:pPr>
            <w:r w:rsidRPr="00BD0437">
              <w:rPr>
                <w:rFonts w:ascii="楷体" w:eastAsia="楷体" w:hAnsi="楷体" w:cs="Calibri" w:hint="eastAsia"/>
                <w:b/>
                <w:bCs/>
                <w:snapToGrid/>
                <w:szCs w:val="20"/>
                <w:lang w:eastAsia="zh-CN"/>
              </w:rPr>
              <w:t>图：</w:t>
            </w:r>
            <w:r w:rsidR="00400E77" w:rsidRPr="001F2A9A">
              <w:rPr>
                <w:rFonts w:eastAsia="楷体" w:cs="Calibri"/>
                <w:b/>
                <w:bCs/>
                <w:kern w:val="2"/>
                <w:szCs w:val="20"/>
              </w:rPr>
              <w:t>Ce</w:t>
            </w:r>
            <w:r w:rsidR="00400E77">
              <w:rPr>
                <w:rFonts w:eastAsia="楷体" w:cs="Calibri" w:hint="eastAsia"/>
                <w:b/>
                <w:bCs/>
                <w:kern w:val="2"/>
                <w:szCs w:val="20"/>
              </w:rPr>
              <w:t>r</w:t>
            </w:r>
            <w:r w:rsidR="00400E77" w:rsidRPr="001F2A9A">
              <w:rPr>
                <w:rFonts w:eastAsia="楷体" w:cs="Calibri"/>
                <w:b/>
                <w:bCs/>
                <w:kern w:val="2"/>
                <w:szCs w:val="20"/>
              </w:rPr>
              <w:t>a</w:t>
            </w:r>
            <w:r w:rsidR="00400E77">
              <w:rPr>
                <w:rFonts w:eastAsia="楷体" w:cs="Calibri"/>
                <w:b/>
                <w:bCs/>
                <w:kern w:val="2"/>
                <w:szCs w:val="20"/>
              </w:rPr>
              <w:t>V</w:t>
            </w:r>
            <w:r w:rsidR="00400E77" w:rsidRPr="001F2A9A">
              <w:rPr>
                <w:rFonts w:eastAsia="楷体" w:cs="Calibri"/>
                <w:b/>
                <w:bCs/>
                <w:kern w:val="2"/>
                <w:szCs w:val="20"/>
              </w:rPr>
              <w:t xml:space="preserve">e and Vichy </w:t>
            </w:r>
            <w:r w:rsidR="003C2FB7" w:rsidRPr="003C2FB7">
              <w:rPr>
                <w:rFonts w:eastAsia="楷体" w:cs="Calibri"/>
                <w:b/>
                <w:bCs/>
                <w:kern w:val="2"/>
                <w:szCs w:val="20"/>
              </w:rPr>
              <w:t>hair-skin</w:t>
            </w:r>
            <w:r w:rsidR="00400E77" w:rsidRPr="001F2A9A">
              <w:rPr>
                <w:rFonts w:eastAsia="楷体" w:cs="Calibri"/>
                <w:b/>
                <w:bCs/>
                <w:kern w:val="2"/>
                <w:szCs w:val="20"/>
              </w:rPr>
              <w:t xml:space="preserve"> Products</w:t>
            </w:r>
          </w:p>
        </w:tc>
      </w:tr>
      <w:tr w:rsidR="00B35E6A" w14:paraId="63261703" w14:textId="77777777" w:rsidTr="00610813">
        <w:tc>
          <w:tcPr>
            <w:tcW w:w="7448" w:type="dxa"/>
            <w:tcBorders>
              <w:top w:val="single" w:sz="4" w:space="0" w:color="auto"/>
              <w:bottom w:val="single" w:sz="4" w:space="0" w:color="auto"/>
            </w:tcBorders>
          </w:tcPr>
          <w:p w14:paraId="3D9047FA" w14:textId="77777777" w:rsidR="00B35E6A" w:rsidRPr="0046348D" w:rsidRDefault="00B35E6A" w:rsidP="00610813">
            <w:pPr>
              <w:pStyle w:val="EFABodyText"/>
              <w:jc w:val="both"/>
              <w:rPr>
                <w:rFonts w:eastAsia="楷体_GB2312" w:cs="Calibri"/>
                <w:snapToGrid/>
                <w:szCs w:val="20"/>
                <w:lang w:eastAsia="zh-CN"/>
              </w:rPr>
            </w:pPr>
            <w:r>
              <w:rPr>
                <w:noProof/>
                <w:snapToGrid/>
              </w:rPr>
              <w:drawing>
                <wp:inline distT="0" distB="0" distL="0" distR="0" wp14:anchorId="77576154" wp14:editId="6E3DB9CA">
                  <wp:extent cx="4639901" cy="1835928"/>
                  <wp:effectExtent l="0" t="0" r="8890" b="0"/>
                  <wp:docPr id="6" name="图片 5">
                    <a:extLst xmlns:a="http://schemas.openxmlformats.org/drawingml/2006/main">
                      <a:ext uri="{FF2B5EF4-FFF2-40B4-BE49-F238E27FC236}">
                        <a16:creationId xmlns:a16="http://schemas.microsoft.com/office/drawing/2014/main" id="{B0F58574-737B-2F4D-D2F0-2BA5556CF4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0F58574-737B-2F4D-D2F0-2BA5556CF436}"/>
                              </a:ext>
                            </a:extLs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44203" cy="1837630"/>
                          </a:xfrm>
                          <a:prstGeom prst="rect">
                            <a:avLst/>
                          </a:prstGeom>
                          <a:noFill/>
                        </pic:spPr>
                      </pic:pic>
                    </a:graphicData>
                  </a:graphic>
                </wp:inline>
              </w:drawing>
            </w:r>
          </w:p>
        </w:tc>
      </w:tr>
      <w:tr w:rsidR="00B35E6A" w:rsidRPr="00CF7090" w14:paraId="0C356459" w14:textId="77777777" w:rsidTr="00610813">
        <w:tc>
          <w:tcPr>
            <w:tcW w:w="7448" w:type="dxa"/>
            <w:tcBorders>
              <w:top w:val="single" w:sz="4" w:space="0" w:color="auto"/>
            </w:tcBorders>
          </w:tcPr>
          <w:p w14:paraId="474DBC16" w14:textId="31470DED" w:rsidR="00B35E6A" w:rsidRPr="00CF7090" w:rsidRDefault="00496F6A" w:rsidP="00610813">
            <w:pPr>
              <w:pStyle w:val="EFABodyText"/>
              <w:jc w:val="both"/>
              <w:rPr>
                <w:rFonts w:ascii="楷体" w:eastAsia="楷体" w:hAnsi="楷体" w:cs="Calibri" w:hint="eastAsia"/>
                <w:snapToGrid/>
                <w:szCs w:val="20"/>
                <w:lang w:eastAsia="zh-CN"/>
              </w:rPr>
            </w:pPr>
            <w:r>
              <w:rPr>
                <w:rFonts w:eastAsia="楷体" w:cs="Calibri" w:hint="eastAsia"/>
                <w:b/>
                <w:bCs/>
                <w:kern w:val="2"/>
                <w:szCs w:val="20"/>
              </w:rPr>
              <w:t xml:space="preserve">Source: </w:t>
            </w:r>
            <w:r w:rsidR="00D172D5" w:rsidRPr="00D172D5">
              <w:rPr>
                <w:rFonts w:eastAsia="楷体" w:cs="Calibri"/>
                <w:b/>
                <w:bCs/>
                <w:snapToGrid/>
                <w:szCs w:val="20"/>
                <w:lang w:eastAsia="zh-CN"/>
              </w:rPr>
              <w:t>Amazon Official Website, HFI</w:t>
            </w:r>
          </w:p>
        </w:tc>
      </w:tr>
    </w:tbl>
    <w:p w14:paraId="073AFE50" w14:textId="77777777" w:rsidR="00CA1CB5" w:rsidRPr="00B35E6A" w:rsidRDefault="00CA1CB5">
      <w:pPr>
        <w:rPr>
          <w:rFonts w:eastAsiaTheme="minorEastAsia"/>
        </w:rPr>
      </w:pPr>
    </w:p>
    <w:p w14:paraId="4C4036C1" w14:textId="42234EB6" w:rsidR="00CA1CB5" w:rsidRDefault="006C0FFE">
      <w:pPr>
        <w:jc w:val="both"/>
        <w:rPr>
          <w:rFonts w:eastAsia="楷体" w:cs="Calibri"/>
          <w:kern w:val="2"/>
          <w:sz w:val="22"/>
          <w:szCs w:val="22"/>
        </w:rPr>
      </w:pPr>
      <w:r w:rsidRPr="006C0FFE">
        <w:rPr>
          <w:rFonts w:eastAsia="楷体" w:cs="Calibri"/>
          <w:b/>
          <w:bCs/>
          <w:kern w:val="2"/>
          <w:sz w:val="22"/>
          <w:szCs w:val="22"/>
        </w:rPr>
        <w:t xml:space="preserve">Focus on untapped/high-growth regions including India, Mainland China, Southeast Asia, Latin America, and the GCC, employing a "city-by-city" or digital-first strategy to rapidly capture market share (emerging markets have become the department's primary growth driver). </w:t>
      </w:r>
      <w:r w:rsidRPr="00265213">
        <w:rPr>
          <w:rFonts w:eastAsia="楷体" w:cs="Calibri"/>
          <w:kern w:val="2"/>
          <w:sz w:val="22"/>
          <w:szCs w:val="22"/>
        </w:rPr>
        <w:t>In India, the strategy emphasizes city-by-city penetration + digital-first (</w:t>
      </w:r>
      <w:proofErr w:type="spellStart"/>
      <w:r w:rsidRPr="00265213">
        <w:rPr>
          <w:rFonts w:eastAsia="楷体" w:cs="Calibri"/>
          <w:kern w:val="2"/>
          <w:sz w:val="22"/>
          <w:szCs w:val="22"/>
        </w:rPr>
        <w:t>Nykaa</w:t>
      </w:r>
      <w:proofErr w:type="spellEnd"/>
      <w:r w:rsidRPr="00265213">
        <w:rPr>
          <w:rFonts w:eastAsia="楷体" w:cs="Calibri"/>
          <w:kern w:val="2"/>
          <w:sz w:val="22"/>
          <w:szCs w:val="22"/>
        </w:rPr>
        <w:t xml:space="preserve"> e-commerce + social), with localized solutions for hyperpigmentation/dullness (La Roche-Posay Mela B3, CeraVe Gentle Repair). Demand significantly exceeded expectations in 2025, driving high single-digit growth, with </w:t>
      </w:r>
      <w:r w:rsidR="00FA7F8C" w:rsidRPr="00FA7F8C">
        <w:rPr>
          <w:rFonts w:eastAsia="楷体" w:cs="Calibri"/>
          <w:kern w:val="2"/>
          <w:sz w:val="22"/>
          <w:szCs w:val="22"/>
        </w:rPr>
        <w:t>acceleration anticipated in 2026. Southeast Asia adopts a digital-first approach (Shopee/Lazada + social education) with localized gentle barrier/oil-sensitive products, achieving strong double-digit growth by 2025. GCC (Gulf Cooperation Council) markets leverage online dominance + cosmeceutical/dermatologist endorsements, building premium dermo trust. These regions will become key growth drivers by 2025, with increased investment anticipated. The Latin American market focuses on cosmeceutical-driven strategies + localized sun protection/repair solutions, with ongoing channel optimization and product upgrades. In the Mainland China market, the company will continue expanding e-commerce channels and new product iterations, anticipating recovery in the second half of 2025. Future strategies will prioritize premium segment recovery and digitalization maintenance.</w:t>
      </w:r>
    </w:p>
    <w:p w14:paraId="413781CE" w14:textId="77777777" w:rsidR="009B3E1D" w:rsidRDefault="009B3E1D">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9B3E1D" w14:paraId="48BEA924" w14:textId="77777777" w:rsidTr="00610813">
        <w:tc>
          <w:tcPr>
            <w:tcW w:w="7733" w:type="dxa"/>
            <w:tcBorders>
              <w:bottom w:val="single" w:sz="4" w:space="0" w:color="auto"/>
            </w:tcBorders>
          </w:tcPr>
          <w:p w14:paraId="2540F9DF" w14:textId="77777777" w:rsidR="009B3E1D" w:rsidRDefault="009B3E1D" w:rsidP="00610813">
            <w:pPr>
              <w:jc w:val="both"/>
              <w:rPr>
                <w:rFonts w:ascii="楷体" w:eastAsia="楷体" w:hAnsi="楷体" w:cstheme="minorHAnsi" w:hint="eastAsia"/>
                <w:b/>
                <w:bCs/>
                <w:kern w:val="2"/>
                <w:sz w:val="22"/>
                <w:szCs w:val="22"/>
              </w:rPr>
            </w:pPr>
            <w:r>
              <w:rPr>
                <w:rFonts w:eastAsia="楷体" w:cs="Calibri" w:hint="eastAsia"/>
                <w:b/>
                <w:bCs/>
                <w:kern w:val="2"/>
                <w:sz w:val="20"/>
                <w:szCs w:val="20"/>
              </w:rPr>
              <w:t xml:space="preserve">Figure: </w:t>
            </w:r>
            <w:r w:rsidRPr="001F2A9A">
              <w:rPr>
                <w:rFonts w:eastAsia="楷体" w:cs="Calibri"/>
                <w:b/>
                <w:bCs/>
                <w:kern w:val="2"/>
                <w:sz w:val="20"/>
                <w:szCs w:val="20"/>
              </w:rPr>
              <w:t>Regional Product Layout</w:t>
            </w:r>
          </w:p>
        </w:tc>
      </w:tr>
      <w:tr w:rsidR="009B3E1D" w:rsidRPr="001F2A9A" w14:paraId="1F1A2D6C" w14:textId="77777777" w:rsidTr="00610813">
        <w:tc>
          <w:tcPr>
            <w:tcW w:w="7733" w:type="dxa"/>
            <w:tcBorders>
              <w:top w:val="single" w:sz="4" w:space="0" w:color="auto"/>
              <w:bottom w:val="single" w:sz="4" w:space="0" w:color="auto"/>
            </w:tcBorders>
          </w:tcPr>
          <w:p w14:paraId="556BAEB5" w14:textId="4B0527E5" w:rsidR="009B3E1D" w:rsidRPr="001F2A9A" w:rsidRDefault="00145029" w:rsidP="00610813">
            <w:pPr>
              <w:ind w:firstLineChars="100" w:firstLine="160"/>
              <w:rPr>
                <w:rFonts w:asciiTheme="minorHAnsi" w:eastAsia="楷体" w:hAnsiTheme="minorHAnsi" w:cstheme="minorHAnsi" w:hint="eastAsia"/>
                <w:kern w:val="2"/>
                <w:sz w:val="22"/>
                <w:szCs w:val="22"/>
              </w:rPr>
            </w:pPr>
            <w:r>
              <w:rPr>
                <w:noProof/>
                <w:snapToGrid/>
              </w:rPr>
              <w:lastRenderedPageBreak/>
              <w:drawing>
                <wp:inline distT="0" distB="0" distL="0" distR="0" wp14:anchorId="1FD85C1A" wp14:editId="200E5D18">
                  <wp:extent cx="4526211" cy="1908175"/>
                  <wp:effectExtent l="0" t="0" r="8255" b="0"/>
                  <wp:docPr id="7" name="图片 6">
                    <a:extLst xmlns:a="http://schemas.openxmlformats.org/drawingml/2006/main">
                      <a:ext uri="{FF2B5EF4-FFF2-40B4-BE49-F238E27FC236}">
                        <a16:creationId xmlns:a16="http://schemas.microsoft.com/office/drawing/2014/main" id="{ACEC089E-FA8B-8C6C-8E67-28B88CF42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ACEC089E-FA8B-8C6C-8E67-28B88CF42CD6}"/>
                              </a:ext>
                            </a:extLs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32527" cy="1910838"/>
                          </a:xfrm>
                          <a:prstGeom prst="rect">
                            <a:avLst/>
                          </a:prstGeom>
                          <a:noFill/>
                        </pic:spPr>
                      </pic:pic>
                    </a:graphicData>
                  </a:graphic>
                </wp:inline>
              </w:drawing>
            </w:r>
          </w:p>
        </w:tc>
      </w:tr>
      <w:tr w:rsidR="009B3E1D" w:rsidRPr="001F2A9A" w14:paraId="12F52464" w14:textId="77777777" w:rsidTr="00610813">
        <w:trPr>
          <w:trHeight w:val="61"/>
        </w:trPr>
        <w:tc>
          <w:tcPr>
            <w:tcW w:w="7733" w:type="dxa"/>
            <w:tcBorders>
              <w:top w:val="single" w:sz="4" w:space="0" w:color="auto"/>
            </w:tcBorders>
          </w:tcPr>
          <w:p w14:paraId="4A4D4FA4" w14:textId="3373BEF6" w:rsidR="009B3E1D" w:rsidRPr="001F2A9A" w:rsidRDefault="009B3E1D" w:rsidP="00610813">
            <w:pPr>
              <w:rPr>
                <w:rFonts w:eastAsia="楷体" w:cs="Calibri"/>
                <w:kern w:val="2"/>
                <w:sz w:val="20"/>
                <w:szCs w:val="20"/>
              </w:rPr>
            </w:pPr>
            <w:r>
              <w:rPr>
                <w:rFonts w:eastAsia="楷体" w:cs="Calibri" w:hint="eastAsia"/>
                <w:b/>
                <w:bCs/>
                <w:kern w:val="2"/>
                <w:sz w:val="20"/>
                <w:szCs w:val="20"/>
              </w:rPr>
              <w:t xml:space="preserve">Source: </w:t>
            </w:r>
            <w:r w:rsidRPr="001F2A9A">
              <w:rPr>
                <w:rFonts w:eastAsia="楷体" w:cs="Calibri"/>
                <w:kern w:val="2"/>
                <w:sz w:val="20"/>
                <w:szCs w:val="20"/>
              </w:rPr>
              <w:t>L'Oréal</w:t>
            </w:r>
            <w:r>
              <w:rPr>
                <w:rFonts w:eastAsia="楷体" w:cs="Calibri"/>
                <w:kern w:val="2"/>
                <w:sz w:val="20"/>
                <w:szCs w:val="20"/>
              </w:rPr>
              <w:t xml:space="preserve"> G</w:t>
            </w:r>
            <w:r>
              <w:rPr>
                <w:rFonts w:eastAsia="楷体" w:cs="Calibri" w:hint="eastAsia"/>
                <w:kern w:val="2"/>
                <w:sz w:val="20"/>
                <w:szCs w:val="20"/>
              </w:rPr>
              <w:t>roup</w:t>
            </w:r>
            <w:r>
              <w:rPr>
                <w:rFonts w:eastAsia="楷体" w:cs="Calibri"/>
                <w:kern w:val="2"/>
                <w:sz w:val="20"/>
                <w:szCs w:val="20"/>
              </w:rPr>
              <w:t xml:space="preserve"> O</w:t>
            </w:r>
            <w:r>
              <w:rPr>
                <w:rFonts w:eastAsia="楷体" w:cs="Calibri" w:hint="eastAsia"/>
                <w:kern w:val="2"/>
                <w:sz w:val="20"/>
                <w:szCs w:val="20"/>
              </w:rPr>
              <w:t xml:space="preserve">fficial </w:t>
            </w:r>
            <w:r>
              <w:rPr>
                <w:rFonts w:eastAsia="楷体" w:cs="Calibri"/>
                <w:kern w:val="2"/>
                <w:sz w:val="20"/>
                <w:szCs w:val="20"/>
              </w:rPr>
              <w:t>W</w:t>
            </w:r>
            <w:r>
              <w:rPr>
                <w:rFonts w:eastAsia="楷体" w:cs="Calibri" w:hint="eastAsia"/>
                <w:kern w:val="2"/>
                <w:sz w:val="20"/>
                <w:szCs w:val="20"/>
              </w:rPr>
              <w:t>ebsite</w:t>
            </w:r>
            <w:r w:rsidRPr="001F2A9A">
              <w:rPr>
                <w:rFonts w:eastAsia="楷体" w:cs="Calibri" w:hint="eastAsia"/>
                <w:kern w:val="2"/>
                <w:sz w:val="20"/>
                <w:szCs w:val="20"/>
              </w:rPr>
              <w:t>,</w:t>
            </w:r>
            <w:r>
              <w:rPr>
                <w:rFonts w:eastAsia="楷体" w:cs="Calibri" w:hint="eastAsia"/>
                <w:kern w:val="2"/>
                <w:sz w:val="20"/>
                <w:szCs w:val="20"/>
              </w:rPr>
              <w:t xml:space="preserve"> </w:t>
            </w:r>
            <w:r w:rsidRPr="00C07889">
              <w:rPr>
                <w:rFonts w:eastAsia="楷体" w:cs="Calibri" w:hint="eastAsia"/>
                <w:kern w:val="2"/>
                <w:sz w:val="20"/>
                <w:szCs w:val="20"/>
              </w:rPr>
              <w:t>be</w:t>
            </w:r>
            <w:r w:rsidR="00145029">
              <w:rPr>
                <w:rFonts w:eastAsia="楷体" w:cs="Calibri" w:hint="eastAsia"/>
                <w:kern w:val="2"/>
                <w:sz w:val="20"/>
                <w:szCs w:val="20"/>
              </w:rPr>
              <w:t>a</w:t>
            </w:r>
            <w:r w:rsidRPr="00C07889">
              <w:rPr>
                <w:rFonts w:eastAsia="楷体" w:cs="Calibri" w:hint="eastAsia"/>
                <w:kern w:val="2"/>
                <w:sz w:val="20"/>
                <w:szCs w:val="20"/>
              </w:rPr>
              <w:t>uty</w:t>
            </w:r>
            <w:r w:rsidR="00F67BFB">
              <w:rPr>
                <w:rFonts w:eastAsia="楷体" w:cs="Calibri" w:hint="eastAsia"/>
                <w:kern w:val="2"/>
                <w:sz w:val="20"/>
                <w:szCs w:val="20"/>
              </w:rPr>
              <w:t xml:space="preserve"> </w:t>
            </w:r>
            <w:r w:rsidRPr="00C07889">
              <w:rPr>
                <w:rFonts w:eastAsia="楷体" w:cs="Calibri" w:hint="eastAsia"/>
                <w:kern w:val="2"/>
                <w:sz w:val="20"/>
                <w:szCs w:val="20"/>
              </w:rPr>
              <w:t>packaging</w:t>
            </w:r>
            <w:r w:rsidR="00CC1EF1">
              <w:rPr>
                <w:rFonts w:eastAsia="楷体" w:cs="Calibri" w:hint="eastAsia"/>
                <w:kern w:val="2"/>
                <w:sz w:val="20"/>
                <w:szCs w:val="20"/>
              </w:rPr>
              <w:t xml:space="preserve">, </w:t>
            </w:r>
            <w:r w:rsidR="00145029">
              <w:rPr>
                <w:rFonts w:eastAsia="楷体" w:cs="Calibri" w:hint="eastAsia"/>
                <w:kern w:val="2"/>
                <w:sz w:val="20"/>
                <w:szCs w:val="20"/>
              </w:rPr>
              <w:t>HFI</w:t>
            </w:r>
          </w:p>
        </w:tc>
      </w:tr>
    </w:tbl>
    <w:p w14:paraId="086DE058" w14:textId="77777777" w:rsidR="00145029" w:rsidRDefault="00145029">
      <w:pPr>
        <w:jc w:val="both"/>
        <w:rPr>
          <w:rFonts w:eastAsia="楷体" w:cs="Calibri"/>
          <w:b/>
          <w:bCs/>
          <w:kern w:val="2"/>
          <w:sz w:val="22"/>
          <w:szCs w:val="22"/>
        </w:rPr>
      </w:pPr>
    </w:p>
    <w:p w14:paraId="5215481A" w14:textId="7D371403" w:rsidR="00185483" w:rsidRPr="00B268C3" w:rsidRDefault="00185483" w:rsidP="00B268C3">
      <w:pPr>
        <w:pStyle w:val="211"/>
        <w:ind w:right="42"/>
        <w:jc w:val="both"/>
        <w:rPr>
          <w:rFonts w:ascii="Calibri" w:eastAsia="楷体" w:hAnsi="Calibri" w:cs="Calibri"/>
          <w:color w:val="23558C"/>
          <w:sz w:val="24"/>
        </w:rPr>
      </w:pPr>
      <w:bookmarkStart w:id="27" w:name="_Toc224295889"/>
      <w:r w:rsidRPr="00B268C3">
        <w:rPr>
          <w:rFonts w:ascii="Calibri" w:eastAsia="楷体" w:hAnsi="Calibri" w:cs="Calibri" w:hint="eastAsia"/>
          <w:color w:val="23558C"/>
          <w:sz w:val="24"/>
        </w:rPr>
        <w:t>4.3</w:t>
      </w:r>
      <w:r w:rsidR="00B268C3">
        <w:rPr>
          <w:rFonts w:ascii="Calibri" w:eastAsia="楷体" w:hAnsi="Calibri" w:cs="Calibri" w:hint="eastAsia"/>
          <w:color w:val="23558C"/>
          <w:sz w:val="24"/>
        </w:rPr>
        <w:t xml:space="preserve"> </w:t>
      </w:r>
      <w:r w:rsidRPr="00B268C3">
        <w:rPr>
          <w:rFonts w:ascii="Calibri" w:eastAsia="楷体" w:hAnsi="Calibri" w:cs="Calibri"/>
          <w:color w:val="23558C"/>
          <w:sz w:val="24"/>
        </w:rPr>
        <w:t xml:space="preserve">Expanding through </w:t>
      </w:r>
      <w:r w:rsidR="00B268C3">
        <w:rPr>
          <w:rFonts w:ascii="Calibri" w:eastAsia="楷体" w:hAnsi="Calibri" w:cs="Calibri" w:hint="eastAsia"/>
          <w:color w:val="23558C"/>
          <w:sz w:val="24"/>
        </w:rPr>
        <w:t>A</w:t>
      </w:r>
      <w:r w:rsidRPr="00B268C3">
        <w:rPr>
          <w:rFonts w:ascii="Calibri" w:eastAsia="楷体" w:hAnsi="Calibri" w:cs="Calibri"/>
          <w:color w:val="23558C"/>
          <w:sz w:val="24"/>
        </w:rPr>
        <w:t>cquisitions: Continuously strengthen the international brand operating platform</w:t>
      </w:r>
      <w:bookmarkEnd w:id="27"/>
    </w:p>
    <w:p w14:paraId="022724DA" w14:textId="41D6CF2F" w:rsidR="00CA1CB5" w:rsidRDefault="000076DA">
      <w:pPr>
        <w:jc w:val="both"/>
        <w:rPr>
          <w:rFonts w:eastAsia="楷体" w:cs="Calibri"/>
          <w:kern w:val="2"/>
          <w:sz w:val="22"/>
          <w:szCs w:val="22"/>
        </w:rPr>
      </w:pPr>
      <w:r w:rsidRPr="000076DA">
        <w:rPr>
          <w:rFonts w:eastAsia="楷体" w:cs="Calibri"/>
          <w:b/>
          <w:bCs/>
          <w:kern w:val="2"/>
          <w:sz w:val="22"/>
          <w:szCs w:val="22"/>
        </w:rPr>
        <w:t xml:space="preserve">L'Oréal Group has achieved sustained global expansion through strategic brand acquisitions and licensing, significantly enhancing its competitiveness in high-end luxury, niche segments, and high-growth categories. </w:t>
      </w:r>
      <w:r w:rsidRPr="00AF3FEC">
        <w:rPr>
          <w:rFonts w:eastAsia="楷体" w:cs="Calibri"/>
          <w:kern w:val="2"/>
          <w:sz w:val="22"/>
          <w:szCs w:val="22"/>
        </w:rPr>
        <w:t>Notable historical examples include Yves Saint Laurent (licensed in 2008, starting from hundreds of millions of euros and surging to over €3 billion after years of double-digit growth), Valentino and Prada (both with initial sales of €50-100 million, now exceeding €700 million each), and more recently Aesop (acquired in 2023 for $2.5 billion), and Color Wow (to be acquired in 2025, strengthening its premium haircare portfolio). The most significant move in 2025 is the €4 billion strategic alliance with Kering: Acquiring Creed (filling the ultra-luxury/niche fragrance market gap, transaction expected to close in H1 2026) and securing 50-year exclusive beauty licensing rights for brands including Bottega Veneta and Balenciaga (Gucci's beauty operations will transition post-2028), further cementing the group's leadership in luxury beauty.</w:t>
      </w:r>
    </w:p>
    <w:p w14:paraId="1205F7B0" w14:textId="77777777" w:rsidR="00481CD7" w:rsidRDefault="00481CD7">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481CD7" w14:paraId="4F93B33F" w14:textId="77777777" w:rsidTr="00610813">
        <w:tc>
          <w:tcPr>
            <w:tcW w:w="7733" w:type="dxa"/>
            <w:tcBorders>
              <w:bottom w:val="single" w:sz="4" w:space="0" w:color="auto"/>
            </w:tcBorders>
          </w:tcPr>
          <w:p w14:paraId="42BC5EF5" w14:textId="77777777" w:rsidR="00481CD7" w:rsidRDefault="00481CD7" w:rsidP="00610813">
            <w:pPr>
              <w:jc w:val="both"/>
              <w:rPr>
                <w:rFonts w:ascii="楷体" w:eastAsia="楷体" w:hAnsi="楷体" w:cstheme="minorHAnsi" w:hint="eastAsia"/>
                <w:b/>
                <w:bCs/>
                <w:kern w:val="2"/>
                <w:sz w:val="22"/>
                <w:szCs w:val="22"/>
              </w:rPr>
            </w:pPr>
            <w:r>
              <w:rPr>
                <w:rFonts w:eastAsia="楷体" w:cs="Calibri" w:hint="eastAsia"/>
                <w:b/>
                <w:bCs/>
                <w:kern w:val="2"/>
                <w:sz w:val="20"/>
                <w:szCs w:val="20"/>
              </w:rPr>
              <w:t xml:space="preserve">Figure: </w:t>
            </w:r>
            <w:r w:rsidRPr="001F2A9A">
              <w:rPr>
                <w:rFonts w:eastAsia="楷体" w:cs="Calibri"/>
                <w:b/>
                <w:bCs/>
                <w:kern w:val="2"/>
                <w:sz w:val="20"/>
                <w:szCs w:val="20"/>
              </w:rPr>
              <w:t>Time and Amount of Brand Acquisition</w:t>
            </w:r>
          </w:p>
        </w:tc>
      </w:tr>
      <w:tr w:rsidR="00481CD7" w:rsidRPr="001F2A9A" w14:paraId="7F8B6BA8" w14:textId="77777777" w:rsidTr="00610813">
        <w:tc>
          <w:tcPr>
            <w:tcW w:w="7733" w:type="dxa"/>
            <w:tcBorders>
              <w:top w:val="single" w:sz="4" w:space="0" w:color="auto"/>
              <w:bottom w:val="single" w:sz="4" w:space="0" w:color="auto"/>
            </w:tcBorders>
          </w:tcPr>
          <w:tbl>
            <w:tblPr>
              <w:tblW w:w="7359" w:type="dxa"/>
              <w:tblLook w:val="04A0" w:firstRow="1" w:lastRow="0" w:firstColumn="1" w:lastColumn="0" w:noHBand="0" w:noVBand="1"/>
            </w:tblPr>
            <w:tblGrid>
              <w:gridCol w:w="1400"/>
              <w:gridCol w:w="5959"/>
            </w:tblGrid>
            <w:tr w:rsidR="00481CD7" w:rsidRPr="00414240" w14:paraId="00A1842A" w14:textId="77777777" w:rsidTr="00610813">
              <w:trPr>
                <w:trHeight w:val="275"/>
              </w:trPr>
              <w:tc>
                <w:tcPr>
                  <w:tcW w:w="1400" w:type="dxa"/>
                  <w:tcBorders>
                    <w:top w:val="nil"/>
                    <w:left w:val="nil"/>
                    <w:bottom w:val="nil"/>
                    <w:right w:val="nil"/>
                  </w:tcBorders>
                  <w:shd w:val="clear" w:color="000000" w:fill="002060"/>
                  <w:vAlign w:val="center"/>
                  <w:hideMark/>
                </w:tcPr>
                <w:p w14:paraId="70505458" w14:textId="18261C65" w:rsidR="00481CD7" w:rsidRPr="00B268C3" w:rsidRDefault="00B268C3" w:rsidP="00610813">
                  <w:pPr>
                    <w:jc w:val="center"/>
                    <w:rPr>
                      <w:rFonts w:eastAsia="楷体" w:cs="Calibri"/>
                      <w:b/>
                      <w:bCs/>
                      <w:snapToGrid/>
                      <w:color w:val="FFFFFF"/>
                      <w:sz w:val="22"/>
                      <w:szCs w:val="22"/>
                    </w:rPr>
                  </w:pPr>
                  <w:r w:rsidRPr="00B268C3">
                    <w:rPr>
                      <w:rFonts w:eastAsia="楷体" w:cs="Calibri"/>
                      <w:b/>
                      <w:bCs/>
                      <w:snapToGrid/>
                      <w:color w:val="FFFFFF"/>
                      <w:sz w:val="22"/>
                      <w:szCs w:val="22"/>
                    </w:rPr>
                    <w:t>Brand</w:t>
                  </w:r>
                </w:p>
              </w:tc>
              <w:tc>
                <w:tcPr>
                  <w:tcW w:w="5959" w:type="dxa"/>
                  <w:tcBorders>
                    <w:top w:val="nil"/>
                    <w:left w:val="nil"/>
                    <w:bottom w:val="nil"/>
                    <w:right w:val="nil"/>
                  </w:tcBorders>
                  <w:shd w:val="clear" w:color="000000" w:fill="002060"/>
                  <w:vAlign w:val="center"/>
                  <w:hideMark/>
                </w:tcPr>
                <w:p w14:paraId="54C0B9B7" w14:textId="3D008F82" w:rsidR="00481CD7" w:rsidRPr="00B268C3" w:rsidRDefault="00B268C3" w:rsidP="00610813">
                  <w:pPr>
                    <w:jc w:val="center"/>
                    <w:rPr>
                      <w:rFonts w:eastAsia="楷体" w:cs="Calibri"/>
                      <w:b/>
                      <w:bCs/>
                      <w:snapToGrid/>
                      <w:color w:val="FFFFFF"/>
                      <w:sz w:val="22"/>
                      <w:szCs w:val="22"/>
                    </w:rPr>
                  </w:pPr>
                  <w:r w:rsidRPr="00B268C3">
                    <w:rPr>
                      <w:rFonts w:eastAsia="楷体" w:cs="Calibri"/>
                      <w:b/>
                      <w:bCs/>
                      <w:snapToGrid/>
                      <w:color w:val="FFFFFF"/>
                      <w:sz w:val="22"/>
                      <w:szCs w:val="22"/>
                    </w:rPr>
                    <w:t>Acquisition time and Amount</w:t>
                  </w:r>
                </w:p>
              </w:tc>
            </w:tr>
            <w:tr w:rsidR="00481CD7" w:rsidRPr="00414240" w14:paraId="036FB799" w14:textId="77777777" w:rsidTr="00610813">
              <w:trPr>
                <w:trHeight w:val="53"/>
              </w:trPr>
              <w:tc>
                <w:tcPr>
                  <w:tcW w:w="1400" w:type="dxa"/>
                  <w:tcBorders>
                    <w:top w:val="nil"/>
                    <w:left w:val="nil"/>
                    <w:bottom w:val="nil"/>
                    <w:right w:val="nil"/>
                  </w:tcBorders>
                  <w:hideMark/>
                </w:tcPr>
                <w:p w14:paraId="4F57FB33" w14:textId="77777777" w:rsidR="00481CD7" w:rsidRPr="00414240" w:rsidRDefault="00481CD7" w:rsidP="00610813">
                  <w:pPr>
                    <w:jc w:val="center"/>
                    <w:rPr>
                      <w:rFonts w:eastAsia="楷体" w:cs="Calibri"/>
                      <w:snapToGrid/>
                      <w:color w:val="333333"/>
                      <w:sz w:val="22"/>
                      <w:szCs w:val="22"/>
                    </w:rPr>
                  </w:pPr>
                  <w:r w:rsidRPr="00492EF4">
                    <w:t>YSL Beauty</w:t>
                  </w:r>
                </w:p>
              </w:tc>
              <w:tc>
                <w:tcPr>
                  <w:tcW w:w="5959" w:type="dxa"/>
                  <w:tcBorders>
                    <w:top w:val="nil"/>
                    <w:left w:val="nil"/>
                    <w:bottom w:val="nil"/>
                    <w:right w:val="nil"/>
                  </w:tcBorders>
                  <w:hideMark/>
                </w:tcPr>
                <w:p w14:paraId="7D4CB95A" w14:textId="77777777" w:rsidR="00481CD7" w:rsidRPr="00414240" w:rsidRDefault="00481CD7" w:rsidP="00610813">
                  <w:pPr>
                    <w:jc w:val="center"/>
                    <w:rPr>
                      <w:rFonts w:eastAsia="楷体" w:cs="Calibri"/>
                      <w:snapToGrid/>
                      <w:color w:val="333333"/>
                      <w:sz w:val="22"/>
                      <w:szCs w:val="22"/>
                    </w:rPr>
                  </w:pPr>
                  <w:r w:rsidRPr="00306E18">
                    <w:t>2008</w:t>
                  </w:r>
                  <w:r>
                    <w:rPr>
                      <w:rFonts w:ascii="宋体" w:eastAsia="宋体" w:hAnsi="宋体" w:hint="eastAsia"/>
                    </w:rPr>
                    <w:t>，</w:t>
                  </w:r>
                  <w:r w:rsidRPr="00450124">
                    <w:rPr>
                      <w:rFonts w:eastAsia="宋体" w:cs="Calibri"/>
                    </w:rPr>
                    <w:t>$1.8B</w:t>
                  </w:r>
                </w:p>
              </w:tc>
            </w:tr>
            <w:tr w:rsidR="00481CD7" w:rsidRPr="00414240" w14:paraId="7BD79E8A" w14:textId="77777777" w:rsidTr="00610813">
              <w:trPr>
                <w:trHeight w:val="198"/>
              </w:trPr>
              <w:tc>
                <w:tcPr>
                  <w:tcW w:w="1400" w:type="dxa"/>
                  <w:tcBorders>
                    <w:top w:val="nil"/>
                    <w:left w:val="nil"/>
                    <w:bottom w:val="nil"/>
                    <w:right w:val="nil"/>
                  </w:tcBorders>
                  <w:shd w:val="clear" w:color="000000" w:fill="F2F2F2"/>
                  <w:hideMark/>
                </w:tcPr>
                <w:p w14:paraId="6FE30C78" w14:textId="77777777" w:rsidR="00481CD7" w:rsidRPr="00414240" w:rsidRDefault="00481CD7" w:rsidP="00610813">
                  <w:pPr>
                    <w:jc w:val="center"/>
                    <w:rPr>
                      <w:rFonts w:eastAsia="楷体" w:cs="Calibri"/>
                      <w:snapToGrid/>
                      <w:color w:val="333333"/>
                      <w:sz w:val="22"/>
                      <w:szCs w:val="22"/>
                    </w:rPr>
                  </w:pPr>
                  <w:r w:rsidRPr="00492EF4">
                    <w:t>Valentino</w:t>
                  </w:r>
                </w:p>
              </w:tc>
              <w:tc>
                <w:tcPr>
                  <w:tcW w:w="5959" w:type="dxa"/>
                  <w:tcBorders>
                    <w:top w:val="nil"/>
                    <w:left w:val="nil"/>
                    <w:bottom w:val="nil"/>
                    <w:right w:val="nil"/>
                  </w:tcBorders>
                  <w:shd w:val="clear" w:color="000000" w:fill="F2F2F2"/>
                  <w:hideMark/>
                </w:tcPr>
                <w:p w14:paraId="74625805" w14:textId="77777777" w:rsidR="00481CD7" w:rsidRPr="00414240" w:rsidRDefault="00481CD7" w:rsidP="00610813">
                  <w:pPr>
                    <w:jc w:val="center"/>
                    <w:rPr>
                      <w:rFonts w:eastAsia="楷体" w:cs="Calibri"/>
                      <w:snapToGrid/>
                      <w:color w:val="333333"/>
                      <w:sz w:val="22"/>
                      <w:szCs w:val="22"/>
                    </w:rPr>
                  </w:pPr>
                  <w:r w:rsidRPr="00306E18">
                    <w:t>2019</w:t>
                  </w:r>
                </w:p>
              </w:tc>
            </w:tr>
            <w:tr w:rsidR="00481CD7" w:rsidRPr="00414240" w14:paraId="3E358085" w14:textId="77777777" w:rsidTr="00610813">
              <w:trPr>
                <w:trHeight w:val="100"/>
              </w:trPr>
              <w:tc>
                <w:tcPr>
                  <w:tcW w:w="1400" w:type="dxa"/>
                  <w:tcBorders>
                    <w:top w:val="nil"/>
                    <w:left w:val="nil"/>
                    <w:bottom w:val="nil"/>
                    <w:right w:val="nil"/>
                  </w:tcBorders>
                  <w:hideMark/>
                </w:tcPr>
                <w:p w14:paraId="19EA1589" w14:textId="77777777" w:rsidR="00481CD7" w:rsidRPr="00414240" w:rsidRDefault="00481CD7" w:rsidP="00610813">
                  <w:pPr>
                    <w:jc w:val="center"/>
                    <w:rPr>
                      <w:rFonts w:eastAsia="楷体" w:cs="Calibri"/>
                      <w:snapToGrid/>
                      <w:color w:val="333333"/>
                      <w:sz w:val="22"/>
                      <w:szCs w:val="22"/>
                    </w:rPr>
                  </w:pPr>
                  <w:r w:rsidRPr="00492EF4">
                    <w:t>Prada</w:t>
                  </w:r>
                </w:p>
              </w:tc>
              <w:tc>
                <w:tcPr>
                  <w:tcW w:w="5959" w:type="dxa"/>
                  <w:tcBorders>
                    <w:top w:val="nil"/>
                    <w:left w:val="nil"/>
                    <w:bottom w:val="nil"/>
                    <w:right w:val="nil"/>
                  </w:tcBorders>
                  <w:hideMark/>
                </w:tcPr>
                <w:p w14:paraId="4448F6EB" w14:textId="77777777" w:rsidR="00481CD7" w:rsidRPr="00414240" w:rsidRDefault="00481CD7" w:rsidP="00610813">
                  <w:pPr>
                    <w:jc w:val="center"/>
                    <w:rPr>
                      <w:rFonts w:eastAsia="楷体" w:cs="Calibri"/>
                      <w:snapToGrid/>
                      <w:color w:val="333333"/>
                      <w:sz w:val="22"/>
                      <w:szCs w:val="22"/>
                    </w:rPr>
                  </w:pPr>
                  <w:r w:rsidRPr="00306E18">
                    <w:t>2021</w:t>
                  </w:r>
                </w:p>
              </w:tc>
            </w:tr>
            <w:tr w:rsidR="00481CD7" w:rsidRPr="00414240" w14:paraId="7778F67E" w14:textId="77777777" w:rsidTr="00610813">
              <w:trPr>
                <w:trHeight w:val="188"/>
              </w:trPr>
              <w:tc>
                <w:tcPr>
                  <w:tcW w:w="1400" w:type="dxa"/>
                  <w:tcBorders>
                    <w:top w:val="nil"/>
                    <w:left w:val="nil"/>
                    <w:bottom w:val="nil"/>
                    <w:right w:val="nil"/>
                  </w:tcBorders>
                  <w:shd w:val="clear" w:color="000000" w:fill="F2F2F2"/>
                  <w:hideMark/>
                </w:tcPr>
                <w:p w14:paraId="25903E6B" w14:textId="77777777" w:rsidR="00481CD7" w:rsidRPr="00414240" w:rsidRDefault="00481CD7" w:rsidP="00610813">
                  <w:pPr>
                    <w:jc w:val="center"/>
                    <w:rPr>
                      <w:rFonts w:eastAsia="楷体" w:cs="Calibri"/>
                      <w:snapToGrid/>
                      <w:color w:val="333333"/>
                      <w:sz w:val="22"/>
                      <w:szCs w:val="22"/>
                    </w:rPr>
                  </w:pPr>
                  <w:r w:rsidRPr="00492EF4">
                    <w:t>Aesop</w:t>
                  </w:r>
                </w:p>
              </w:tc>
              <w:tc>
                <w:tcPr>
                  <w:tcW w:w="5959" w:type="dxa"/>
                  <w:tcBorders>
                    <w:top w:val="nil"/>
                    <w:left w:val="nil"/>
                    <w:bottom w:val="nil"/>
                    <w:right w:val="nil"/>
                  </w:tcBorders>
                  <w:shd w:val="clear" w:color="000000" w:fill="F2F2F2"/>
                  <w:hideMark/>
                </w:tcPr>
                <w:p w14:paraId="29B74904" w14:textId="77777777" w:rsidR="00481CD7" w:rsidRPr="00414240" w:rsidRDefault="00481CD7" w:rsidP="00610813">
                  <w:pPr>
                    <w:jc w:val="center"/>
                    <w:rPr>
                      <w:rFonts w:eastAsia="楷体" w:cs="Calibri"/>
                      <w:snapToGrid/>
                      <w:color w:val="333333"/>
                      <w:sz w:val="22"/>
                      <w:szCs w:val="22"/>
                    </w:rPr>
                  </w:pPr>
                  <w:r w:rsidRPr="00306E18">
                    <w:t>2023</w:t>
                  </w:r>
                  <w:r>
                    <w:rPr>
                      <w:rFonts w:ascii="宋体" w:eastAsia="宋体" w:hAnsi="宋体" w:hint="eastAsia"/>
                    </w:rPr>
                    <w:t>，</w:t>
                  </w:r>
                  <w:r w:rsidRPr="00450124">
                    <w:rPr>
                      <w:rFonts w:eastAsia="宋体" w:cs="Calibri"/>
                    </w:rPr>
                    <w:t>$2.5B</w:t>
                  </w:r>
                </w:p>
              </w:tc>
            </w:tr>
            <w:tr w:rsidR="00481CD7" w:rsidRPr="00414240" w14:paraId="0833E805" w14:textId="77777777" w:rsidTr="00610813">
              <w:trPr>
                <w:trHeight w:val="134"/>
              </w:trPr>
              <w:tc>
                <w:tcPr>
                  <w:tcW w:w="1400" w:type="dxa"/>
                  <w:tcBorders>
                    <w:top w:val="nil"/>
                    <w:left w:val="nil"/>
                    <w:bottom w:val="nil"/>
                    <w:right w:val="nil"/>
                  </w:tcBorders>
                  <w:hideMark/>
                </w:tcPr>
                <w:p w14:paraId="76952A05" w14:textId="77777777" w:rsidR="00481CD7" w:rsidRPr="00414240" w:rsidRDefault="00481CD7" w:rsidP="00610813">
                  <w:pPr>
                    <w:jc w:val="center"/>
                    <w:rPr>
                      <w:rFonts w:eastAsia="楷体" w:cs="Calibri"/>
                      <w:snapToGrid/>
                      <w:color w:val="333333"/>
                      <w:sz w:val="22"/>
                      <w:szCs w:val="22"/>
                    </w:rPr>
                  </w:pPr>
                  <w:r w:rsidRPr="00492EF4">
                    <w:t>Color Wow</w:t>
                  </w:r>
                </w:p>
              </w:tc>
              <w:tc>
                <w:tcPr>
                  <w:tcW w:w="5959" w:type="dxa"/>
                  <w:tcBorders>
                    <w:top w:val="nil"/>
                    <w:left w:val="nil"/>
                    <w:bottom w:val="nil"/>
                    <w:right w:val="nil"/>
                  </w:tcBorders>
                  <w:hideMark/>
                </w:tcPr>
                <w:p w14:paraId="5379F189" w14:textId="77777777" w:rsidR="00481CD7" w:rsidRPr="00414240" w:rsidRDefault="00481CD7" w:rsidP="00610813">
                  <w:pPr>
                    <w:jc w:val="center"/>
                    <w:rPr>
                      <w:rFonts w:eastAsia="楷体" w:cs="Calibri"/>
                      <w:snapToGrid/>
                      <w:color w:val="333333"/>
                      <w:sz w:val="22"/>
                      <w:szCs w:val="22"/>
                    </w:rPr>
                  </w:pPr>
                  <w:r w:rsidRPr="00306E18">
                    <w:t>2025</w:t>
                  </w:r>
                  <w:r>
                    <w:rPr>
                      <w:rFonts w:ascii="宋体" w:eastAsia="宋体" w:hAnsi="宋体" w:hint="eastAsia"/>
                    </w:rPr>
                    <w:t>，</w:t>
                  </w:r>
                  <w:r w:rsidRPr="00450124">
                    <w:rPr>
                      <w:rFonts w:eastAsia="宋体" w:cs="Calibri"/>
                    </w:rPr>
                    <w:t>$1B</w:t>
                  </w:r>
                </w:p>
              </w:tc>
            </w:tr>
            <w:tr w:rsidR="00481CD7" w:rsidRPr="00414240" w14:paraId="69F332CD" w14:textId="77777777" w:rsidTr="00610813">
              <w:trPr>
                <w:trHeight w:val="208"/>
              </w:trPr>
              <w:tc>
                <w:tcPr>
                  <w:tcW w:w="1400" w:type="dxa"/>
                  <w:tcBorders>
                    <w:top w:val="nil"/>
                    <w:left w:val="nil"/>
                    <w:bottom w:val="nil"/>
                    <w:right w:val="nil"/>
                  </w:tcBorders>
                  <w:shd w:val="clear" w:color="000000" w:fill="F2F2F2"/>
                  <w:hideMark/>
                </w:tcPr>
                <w:p w14:paraId="4A58B3B9" w14:textId="77777777" w:rsidR="00481CD7" w:rsidRPr="00414240" w:rsidRDefault="00481CD7" w:rsidP="00610813">
                  <w:pPr>
                    <w:jc w:val="center"/>
                    <w:rPr>
                      <w:rFonts w:eastAsia="楷体" w:cs="Calibri"/>
                      <w:snapToGrid/>
                      <w:color w:val="333333"/>
                      <w:sz w:val="22"/>
                      <w:szCs w:val="22"/>
                    </w:rPr>
                  </w:pPr>
                  <w:r w:rsidRPr="00492EF4">
                    <w:t>Creed</w:t>
                  </w:r>
                </w:p>
              </w:tc>
              <w:tc>
                <w:tcPr>
                  <w:tcW w:w="5959" w:type="dxa"/>
                  <w:tcBorders>
                    <w:top w:val="nil"/>
                    <w:left w:val="nil"/>
                    <w:bottom w:val="nil"/>
                    <w:right w:val="nil"/>
                  </w:tcBorders>
                  <w:shd w:val="clear" w:color="000000" w:fill="F2F2F2"/>
                  <w:hideMark/>
                </w:tcPr>
                <w:p w14:paraId="47F3AAFB" w14:textId="77777777" w:rsidR="00481CD7" w:rsidRPr="00414240" w:rsidRDefault="00481CD7" w:rsidP="00610813">
                  <w:pPr>
                    <w:jc w:val="center"/>
                    <w:rPr>
                      <w:rFonts w:eastAsia="楷体" w:cs="Calibri"/>
                      <w:snapToGrid/>
                      <w:color w:val="333333"/>
                      <w:sz w:val="22"/>
                      <w:szCs w:val="22"/>
                    </w:rPr>
                  </w:pPr>
                  <w:r w:rsidRPr="00306E18">
                    <w:t>2025</w:t>
                  </w:r>
                  <w:r>
                    <w:rPr>
                      <w:rFonts w:ascii="宋体" w:eastAsia="宋体" w:hAnsi="宋体" w:hint="eastAsia"/>
                    </w:rPr>
                    <w:t>，</w:t>
                  </w:r>
                  <w:r w:rsidRPr="00450124">
                    <w:rPr>
                      <w:rFonts w:eastAsia="宋体" w:cs="Calibri"/>
                    </w:rPr>
                    <w:t>€4B</w:t>
                  </w:r>
                </w:p>
              </w:tc>
            </w:tr>
          </w:tbl>
          <w:p w14:paraId="31F0D796" w14:textId="77777777" w:rsidR="00481CD7" w:rsidRPr="001F2A9A" w:rsidRDefault="00481CD7" w:rsidP="00610813">
            <w:pPr>
              <w:ind w:firstLineChars="100" w:firstLine="220"/>
              <w:rPr>
                <w:rFonts w:asciiTheme="minorHAnsi" w:eastAsia="楷体" w:hAnsiTheme="minorHAnsi" w:cstheme="minorHAnsi" w:hint="eastAsia"/>
                <w:kern w:val="2"/>
                <w:sz w:val="22"/>
                <w:szCs w:val="22"/>
              </w:rPr>
            </w:pPr>
          </w:p>
        </w:tc>
      </w:tr>
      <w:tr w:rsidR="00481CD7" w:rsidRPr="001F2A9A" w14:paraId="119296E8" w14:textId="77777777" w:rsidTr="00610813">
        <w:trPr>
          <w:trHeight w:val="61"/>
        </w:trPr>
        <w:tc>
          <w:tcPr>
            <w:tcW w:w="7733" w:type="dxa"/>
            <w:tcBorders>
              <w:top w:val="single" w:sz="4" w:space="0" w:color="auto"/>
            </w:tcBorders>
          </w:tcPr>
          <w:p w14:paraId="22AE07E4" w14:textId="77777777" w:rsidR="00481CD7" w:rsidRDefault="00481CD7" w:rsidP="00610813">
            <w:pPr>
              <w:rPr>
                <w:rFonts w:eastAsia="楷体" w:cs="Calibri"/>
                <w:kern w:val="2"/>
                <w:sz w:val="20"/>
                <w:szCs w:val="20"/>
              </w:rPr>
            </w:pPr>
            <w:r>
              <w:rPr>
                <w:rFonts w:eastAsia="楷体" w:cs="Calibri" w:hint="eastAsia"/>
                <w:b/>
                <w:bCs/>
                <w:kern w:val="2"/>
                <w:sz w:val="20"/>
                <w:szCs w:val="20"/>
              </w:rPr>
              <w:t xml:space="preserve">Source: </w:t>
            </w:r>
            <w:r w:rsidRPr="001F2A9A">
              <w:rPr>
                <w:rFonts w:eastAsia="楷体" w:cs="Calibri"/>
                <w:kern w:val="2"/>
                <w:sz w:val="20"/>
                <w:szCs w:val="20"/>
              </w:rPr>
              <w:t>L'Oréal</w:t>
            </w:r>
            <w:r>
              <w:rPr>
                <w:rFonts w:eastAsia="楷体" w:cs="Calibri"/>
                <w:kern w:val="2"/>
                <w:sz w:val="20"/>
                <w:szCs w:val="20"/>
              </w:rPr>
              <w:t xml:space="preserve"> G</w:t>
            </w:r>
            <w:r>
              <w:rPr>
                <w:rFonts w:eastAsia="楷体" w:cs="Calibri" w:hint="eastAsia"/>
                <w:kern w:val="2"/>
                <w:sz w:val="20"/>
                <w:szCs w:val="20"/>
              </w:rPr>
              <w:t>roup</w:t>
            </w:r>
            <w:r>
              <w:rPr>
                <w:rFonts w:eastAsia="楷体" w:cs="Calibri"/>
                <w:kern w:val="2"/>
                <w:sz w:val="20"/>
                <w:szCs w:val="20"/>
              </w:rPr>
              <w:t xml:space="preserve"> O</w:t>
            </w:r>
            <w:r>
              <w:rPr>
                <w:rFonts w:eastAsia="楷体" w:cs="Calibri" w:hint="eastAsia"/>
                <w:kern w:val="2"/>
                <w:sz w:val="20"/>
                <w:szCs w:val="20"/>
              </w:rPr>
              <w:t xml:space="preserve">fficial </w:t>
            </w:r>
            <w:r>
              <w:rPr>
                <w:rFonts w:eastAsia="楷体" w:cs="Calibri"/>
                <w:kern w:val="2"/>
                <w:sz w:val="20"/>
                <w:szCs w:val="20"/>
              </w:rPr>
              <w:t>W</w:t>
            </w:r>
            <w:r>
              <w:rPr>
                <w:rFonts w:eastAsia="楷体" w:cs="Calibri" w:hint="eastAsia"/>
                <w:kern w:val="2"/>
                <w:sz w:val="20"/>
                <w:szCs w:val="20"/>
              </w:rPr>
              <w:t>ebsite</w:t>
            </w:r>
            <w:r w:rsidRPr="001F2A9A">
              <w:rPr>
                <w:rFonts w:eastAsia="楷体" w:cs="Calibri" w:hint="eastAsia"/>
                <w:kern w:val="2"/>
                <w:sz w:val="20"/>
                <w:szCs w:val="20"/>
              </w:rPr>
              <w:t>,</w:t>
            </w:r>
            <w:r>
              <w:rPr>
                <w:rFonts w:eastAsia="楷体" w:cs="Calibri" w:hint="eastAsia"/>
                <w:kern w:val="2"/>
                <w:sz w:val="20"/>
                <w:szCs w:val="20"/>
              </w:rPr>
              <w:t xml:space="preserve"> HFI</w:t>
            </w:r>
          </w:p>
          <w:p w14:paraId="0971730C" w14:textId="77777777" w:rsidR="00481CD7" w:rsidRDefault="00481CD7" w:rsidP="00610813">
            <w:pPr>
              <w:rPr>
                <w:rFonts w:eastAsia="楷体" w:cs="Calibri"/>
                <w:kern w:val="2"/>
                <w:sz w:val="20"/>
                <w:szCs w:val="20"/>
              </w:rPr>
            </w:pPr>
          </w:p>
          <w:p w14:paraId="60575632" w14:textId="77777777" w:rsidR="00481CD7" w:rsidRPr="001F2A9A" w:rsidRDefault="00481CD7" w:rsidP="00610813">
            <w:pPr>
              <w:rPr>
                <w:rFonts w:eastAsia="楷体" w:cs="Calibri"/>
                <w:kern w:val="2"/>
                <w:sz w:val="20"/>
                <w:szCs w:val="20"/>
              </w:rPr>
            </w:pPr>
          </w:p>
        </w:tc>
      </w:tr>
    </w:tbl>
    <w:p w14:paraId="22EBFA59" w14:textId="02EBDCC9" w:rsidR="00CA1CB5" w:rsidRDefault="008B432D">
      <w:pPr>
        <w:jc w:val="both"/>
        <w:rPr>
          <w:rFonts w:eastAsia="楷体" w:cs="Calibri"/>
          <w:color w:val="000000" w:themeColor="text1"/>
          <w:sz w:val="22"/>
          <w:szCs w:val="22"/>
        </w:rPr>
      </w:pPr>
      <w:r w:rsidRPr="008B432D">
        <w:rPr>
          <w:rFonts w:eastAsia="楷体" w:cs="Calibri"/>
          <w:b/>
          <w:bCs/>
          <w:color w:val="000000" w:themeColor="text1"/>
          <w:sz w:val="22"/>
          <w:szCs w:val="22"/>
        </w:rPr>
        <w:t xml:space="preserve">Looking ahead, L'Oréal will continue to leverage mergers and acquisitions as one of its core growth engines. </w:t>
      </w:r>
      <w:r w:rsidRPr="008B432D">
        <w:rPr>
          <w:rFonts w:eastAsia="楷体" w:cs="Calibri"/>
          <w:color w:val="000000" w:themeColor="text1"/>
          <w:sz w:val="22"/>
          <w:szCs w:val="22"/>
        </w:rPr>
        <w:t xml:space="preserve">Acquisition decisions are primarily based on three considerations: First, strategic alignment and category/price point complementarity, prioritizing premium/luxury, niche, or high-growth segments (such as fragrances and hair care) to fill gaps in the existing portfolio; Second, growth potential and scalability, where target brands must demonstrate the ability to rapidly scale from a low base (as demonstrated by historical examples like YSL and Valentino); Third, long-term value and synergies, where brands must possess strong DNA and leverage the Group's R&amp;D, channels, marketing, and global resources to accelerate worldwide expansion while exploring emerging segments like wellness/longevity. Historical data indicates acquired brands typically require 3-8 years to achieve significant sales growth: YSL achieved double-digit growth for years starting in 2008, surpassing €3 billion; Valentino/Prada </w:t>
      </w:r>
      <w:r w:rsidRPr="008B432D">
        <w:rPr>
          <w:rFonts w:eastAsia="楷体" w:cs="Calibri"/>
          <w:color w:val="000000" w:themeColor="text1"/>
          <w:sz w:val="22"/>
          <w:szCs w:val="22"/>
        </w:rPr>
        <w:lastRenderedPageBreak/>
        <w:t>surged from low bases to over €700 million within several years; new brands like Creed are projected to rapidly scale from their current €300-350 million potential to €1 billion levels. Leveraging robust operational and integration capabilities, L'Oréal typically delivers significant growth within 3-5 years post-acquisition, supporting the group's sustained outperformance relative to the market.</w:t>
      </w:r>
    </w:p>
    <w:p w14:paraId="11F57416" w14:textId="77777777" w:rsidR="008B432D" w:rsidRPr="008B432D" w:rsidRDefault="008B432D">
      <w:pPr>
        <w:jc w:val="both"/>
        <w:rPr>
          <w:rFonts w:eastAsia="楷体" w:cs="Calibri"/>
          <w:kern w:val="2"/>
          <w:sz w:val="22"/>
          <w:szCs w:val="22"/>
        </w:rPr>
      </w:pPr>
    </w:p>
    <w:p w14:paraId="51EFF5A8" w14:textId="4D58D016" w:rsidR="00CA1CB5" w:rsidRPr="00BF7E70" w:rsidRDefault="00FF3409">
      <w:pPr>
        <w:pStyle w:val="1"/>
        <w:spacing w:beforeLines="100" w:before="240" w:afterLines="100" w:after="240"/>
        <w:jc w:val="both"/>
        <w:rPr>
          <w:rFonts w:ascii="Calibri" w:eastAsia="楷体" w:hAnsi="Calibri" w:cs="Calibri"/>
          <w:b/>
          <w:bCs/>
          <w:color w:val="23558C"/>
          <w:sz w:val="28"/>
          <w:szCs w:val="28"/>
        </w:rPr>
      </w:pPr>
      <w:bookmarkStart w:id="28" w:name="_Toc220275552"/>
      <w:bookmarkStart w:id="29" w:name="_Toc224295890"/>
      <w:bookmarkEnd w:id="14"/>
      <w:r>
        <w:rPr>
          <w:rFonts w:ascii="楷体" w:eastAsia="楷体" w:hAnsi="楷体" w:cs="楷体" w:hint="eastAsia"/>
          <w:b/>
          <w:bCs/>
          <w:color w:val="23558C"/>
          <w:sz w:val="28"/>
          <w:szCs w:val="28"/>
        </w:rPr>
        <w:t>5</w:t>
      </w:r>
      <w:r w:rsidR="00EE3BC1">
        <w:rPr>
          <w:rFonts w:ascii="楷体" w:eastAsia="楷体" w:hAnsi="楷体" w:cs="楷体" w:hint="eastAsia"/>
          <w:b/>
          <w:bCs/>
          <w:color w:val="23558C"/>
          <w:sz w:val="28"/>
          <w:szCs w:val="28"/>
        </w:rPr>
        <w:t>.</w:t>
      </w:r>
      <w:bookmarkEnd w:id="28"/>
      <w:r w:rsidR="00BF7E70" w:rsidRPr="00BF7E70">
        <w:rPr>
          <w:rFonts w:ascii="Calibri" w:eastAsia="楷体" w:hAnsi="Calibri" w:cs="Calibri"/>
          <w:b/>
          <w:bCs/>
          <w:color w:val="23558C"/>
          <w:sz w:val="28"/>
          <w:szCs w:val="28"/>
        </w:rPr>
        <w:t>Valuation and investment rating</w:t>
      </w:r>
      <w:bookmarkEnd w:id="29"/>
    </w:p>
    <w:p w14:paraId="69DC50B5" w14:textId="37BCBE62" w:rsidR="00E71810" w:rsidRPr="00C97AE5" w:rsidRDefault="00FF3409">
      <w:pPr>
        <w:pStyle w:val="211"/>
        <w:jc w:val="both"/>
        <w:rPr>
          <w:rFonts w:ascii="Calibri" w:eastAsia="楷体" w:hAnsi="Calibri" w:cs="Calibri"/>
          <w:color w:val="23558C"/>
          <w:sz w:val="24"/>
        </w:rPr>
      </w:pPr>
      <w:bookmarkStart w:id="30" w:name="_Toc220275553"/>
      <w:bookmarkStart w:id="31" w:name="_Toc224295891"/>
      <w:r w:rsidRPr="00C97AE5">
        <w:rPr>
          <w:rFonts w:ascii="Calibri" w:eastAsia="楷体" w:hAnsi="Calibri" w:cs="Calibri"/>
          <w:color w:val="23558C"/>
          <w:sz w:val="24"/>
        </w:rPr>
        <w:t>5</w:t>
      </w:r>
      <w:r w:rsidR="00EE3BC1" w:rsidRPr="00C97AE5">
        <w:rPr>
          <w:rFonts w:ascii="Calibri" w:eastAsia="楷体" w:hAnsi="Calibri" w:cs="Calibri"/>
          <w:color w:val="23558C"/>
          <w:sz w:val="24"/>
        </w:rPr>
        <w:t xml:space="preserve">.1 </w:t>
      </w:r>
      <w:bookmarkEnd w:id="30"/>
      <w:r w:rsidR="00126DC7">
        <w:rPr>
          <w:rFonts w:ascii="Calibri" w:eastAsia="楷体" w:hAnsi="Calibri" w:cs="Calibri" w:hint="eastAsia"/>
          <w:color w:val="23558C"/>
          <w:sz w:val="26"/>
          <w:szCs w:val="26"/>
        </w:rPr>
        <w:t>Profit</w:t>
      </w:r>
      <w:r w:rsidR="00BF7E70" w:rsidRPr="00C97AE5">
        <w:rPr>
          <w:rFonts w:ascii="Calibri" w:eastAsia="楷体" w:hAnsi="Calibri" w:cs="Calibri"/>
          <w:color w:val="23558C"/>
          <w:sz w:val="26"/>
          <w:szCs w:val="26"/>
        </w:rPr>
        <w:t xml:space="preserve"> </w:t>
      </w:r>
      <w:r w:rsidR="00D8278B">
        <w:rPr>
          <w:rFonts w:ascii="Calibri" w:eastAsia="楷体" w:hAnsi="Calibri" w:cs="Calibri" w:hint="eastAsia"/>
          <w:color w:val="23558C"/>
          <w:sz w:val="26"/>
          <w:szCs w:val="26"/>
        </w:rPr>
        <w:t>F</w:t>
      </w:r>
      <w:r w:rsidR="00BF7E70" w:rsidRPr="00C97AE5">
        <w:rPr>
          <w:rFonts w:ascii="Calibri" w:eastAsia="楷体" w:hAnsi="Calibri" w:cs="Calibri"/>
          <w:color w:val="23558C"/>
          <w:sz w:val="26"/>
          <w:szCs w:val="26"/>
        </w:rPr>
        <w:t>orecast</w:t>
      </w:r>
      <w:bookmarkEnd w:id="31"/>
    </w:p>
    <w:p w14:paraId="67C5A9AE" w14:textId="46BCEAFD" w:rsidR="00CA1CB5" w:rsidRPr="00C97AE5" w:rsidRDefault="00E71810">
      <w:pPr>
        <w:pStyle w:val="af3"/>
        <w:numPr>
          <w:ilvl w:val="0"/>
          <w:numId w:val="5"/>
        </w:numPr>
        <w:jc w:val="both"/>
        <w:rPr>
          <w:rFonts w:eastAsia="楷体" w:cs="Calibri"/>
          <w:sz w:val="22"/>
          <w:szCs w:val="22"/>
        </w:rPr>
      </w:pPr>
      <w:r w:rsidRPr="00C97AE5">
        <w:rPr>
          <w:rFonts w:eastAsia="楷体" w:cs="Calibri"/>
          <w:b/>
          <w:bCs/>
          <w:sz w:val="22"/>
          <w:szCs w:val="22"/>
        </w:rPr>
        <w:t>Total Revenue</w:t>
      </w:r>
    </w:p>
    <w:p w14:paraId="33D30BED" w14:textId="24BD939F" w:rsidR="00E71810" w:rsidRDefault="00E71810" w:rsidP="00E71810">
      <w:pPr>
        <w:jc w:val="both"/>
        <w:rPr>
          <w:rFonts w:eastAsia="楷体" w:cs="Calibri"/>
          <w:kern w:val="2"/>
          <w:sz w:val="22"/>
          <w:szCs w:val="22"/>
        </w:rPr>
      </w:pPr>
      <w:r w:rsidRPr="00E71810">
        <w:rPr>
          <w:rFonts w:eastAsia="楷体" w:cs="Calibri"/>
          <w:kern w:val="2"/>
          <w:sz w:val="22"/>
          <w:szCs w:val="22"/>
        </w:rPr>
        <w:t xml:space="preserve">We expect the company to maintain steady revenue growth in the coming years. </w:t>
      </w:r>
      <w:r w:rsidRPr="00E71810">
        <w:rPr>
          <w:rFonts w:eastAsia="楷体" w:cs="Calibri"/>
          <w:b/>
          <w:bCs/>
          <w:kern w:val="2"/>
          <w:sz w:val="22"/>
          <w:szCs w:val="22"/>
        </w:rPr>
        <w:t>Total revenue is projected to reach €46.06bn / €48.40bn / €50.95bn</w:t>
      </w:r>
      <w:r w:rsidRPr="00E71810">
        <w:rPr>
          <w:rFonts w:eastAsia="楷体" w:cs="Calibri"/>
          <w:kern w:val="2"/>
          <w:sz w:val="22"/>
          <w:szCs w:val="22"/>
        </w:rPr>
        <w:t xml:space="preserve"> </w:t>
      </w:r>
      <w:r w:rsidRPr="00E71810">
        <w:rPr>
          <w:rFonts w:eastAsia="楷体" w:cs="Calibri"/>
          <w:b/>
          <w:bCs/>
          <w:kern w:val="2"/>
          <w:sz w:val="22"/>
          <w:szCs w:val="22"/>
        </w:rPr>
        <w:t xml:space="preserve">in 2026–2028, </w:t>
      </w:r>
      <w:r w:rsidRPr="00E71810">
        <w:rPr>
          <w:rFonts w:eastAsia="楷体" w:cs="Calibri"/>
          <w:kern w:val="2"/>
          <w:sz w:val="22"/>
          <w:szCs w:val="22"/>
        </w:rPr>
        <w:t xml:space="preserve">representing YoY growth of </w:t>
      </w:r>
      <w:r w:rsidRPr="00E71810">
        <w:rPr>
          <w:rFonts w:eastAsia="楷体" w:cs="Calibri"/>
          <w:b/>
          <w:bCs/>
          <w:kern w:val="2"/>
          <w:sz w:val="22"/>
          <w:szCs w:val="22"/>
        </w:rPr>
        <w:t>4.55% / 5.09% / 5.28%,</w:t>
      </w:r>
      <w:r w:rsidRPr="00E71810">
        <w:rPr>
          <w:rFonts w:eastAsia="楷体" w:cs="Calibri"/>
          <w:kern w:val="2"/>
          <w:sz w:val="22"/>
          <w:szCs w:val="22"/>
        </w:rPr>
        <w:t xml:space="preserve"> respectively. Overall growth will mainly be driven by </w:t>
      </w:r>
      <w:r w:rsidRPr="00E71810">
        <w:rPr>
          <w:rFonts w:eastAsia="楷体" w:cs="Calibri"/>
          <w:b/>
          <w:bCs/>
          <w:kern w:val="2"/>
          <w:sz w:val="22"/>
          <w:szCs w:val="22"/>
        </w:rPr>
        <w:t>premiumization trends, strong demand for dermatological beauty products, and the recovery of professional salon channels.</w:t>
      </w:r>
    </w:p>
    <w:p w14:paraId="4426F273" w14:textId="77777777" w:rsidR="00E71810" w:rsidRPr="00E71810" w:rsidRDefault="00E71810" w:rsidP="00E71810">
      <w:pPr>
        <w:jc w:val="both"/>
        <w:rPr>
          <w:rFonts w:eastAsia="楷体" w:cs="Calibri"/>
          <w:kern w:val="2"/>
          <w:sz w:val="22"/>
          <w:szCs w:val="22"/>
        </w:rPr>
      </w:pPr>
    </w:p>
    <w:p w14:paraId="3E66556C" w14:textId="30998DFA" w:rsidR="00E71810" w:rsidRPr="00E71810" w:rsidRDefault="00EE3BC1" w:rsidP="00E71810">
      <w:pPr>
        <w:jc w:val="both"/>
        <w:rPr>
          <w:rFonts w:eastAsia="楷体" w:cs="Calibri"/>
          <w:b/>
          <w:bCs/>
          <w:sz w:val="22"/>
          <w:szCs w:val="22"/>
        </w:rPr>
      </w:pPr>
      <w:r>
        <w:rPr>
          <w:rFonts w:ascii="楷体" w:eastAsia="楷体" w:hAnsi="楷体" w:cs="楷体" w:hint="eastAsia"/>
          <w:b/>
          <w:bCs/>
          <w:sz w:val="22"/>
          <w:szCs w:val="22"/>
        </w:rPr>
        <w:t>1）</w:t>
      </w:r>
      <w:r w:rsidR="00E71810" w:rsidRPr="00E71810">
        <w:rPr>
          <w:rFonts w:cs="Calibri"/>
          <w:b/>
          <w:bCs/>
          <w:sz w:val="22"/>
          <w:szCs w:val="22"/>
        </w:rPr>
        <w:t>Professional Products</w:t>
      </w:r>
      <w:r w:rsidRPr="00E71810">
        <w:rPr>
          <w:rFonts w:eastAsia="楷体" w:cs="Calibri"/>
          <w:b/>
          <w:bCs/>
          <w:sz w:val="22"/>
          <w:szCs w:val="22"/>
        </w:rPr>
        <w:t>：</w:t>
      </w:r>
      <w:r w:rsidR="00E71810" w:rsidRPr="00E71810">
        <w:rPr>
          <w:rFonts w:eastAsia="楷体" w:cs="Calibri"/>
          <w:sz w:val="22"/>
          <w:szCs w:val="22"/>
        </w:rPr>
        <w:t xml:space="preserve">Revenue from Professional Products is projected to reach </w:t>
      </w:r>
      <w:r w:rsidR="00E71810" w:rsidRPr="00E71810">
        <w:rPr>
          <w:rFonts w:eastAsia="楷体" w:cs="Calibri"/>
          <w:b/>
          <w:bCs/>
          <w:sz w:val="22"/>
          <w:szCs w:val="22"/>
        </w:rPr>
        <w:t>€5.63bn / €5.95bn / €6.30bn in 2026–2028,</w:t>
      </w:r>
      <w:r w:rsidR="00E71810" w:rsidRPr="00E71810">
        <w:rPr>
          <w:rFonts w:eastAsia="楷体" w:cs="Calibri"/>
          <w:sz w:val="22"/>
          <w:szCs w:val="22"/>
        </w:rPr>
        <w:t xml:space="preserve"> corresponding to YoY growth of </w:t>
      </w:r>
      <w:r w:rsidR="00E71810" w:rsidRPr="00E71810">
        <w:rPr>
          <w:rFonts w:eastAsia="楷体" w:cs="Calibri"/>
          <w:b/>
          <w:bCs/>
          <w:sz w:val="22"/>
          <w:szCs w:val="22"/>
        </w:rPr>
        <w:t>9.05% / 5.75% / 5.75%.</w:t>
      </w:r>
    </w:p>
    <w:p w14:paraId="76E7D7A3" w14:textId="77777777" w:rsidR="00E71810" w:rsidRPr="00E71810" w:rsidRDefault="00E71810" w:rsidP="00E71810">
      <w:pPr>
        <w:jc w:val="both"/>
        <w:rPr>
          <w:rFonts w:eastAsia="楷体" w:cs="Calibri"/>
          <w:sz w:val="22"/>
          <w:szCs w:val="22"/>
        </w:rPr>
      </w:pPr>
    </w:p>
    <w:p w14:paraId="3EBF09BD" w14:textId="37488C64" w:rsidR="00CA1CB5" w:rsidRPr="00E71810" w:rsidRDefault="00E71810" w:rsidP="00E71810">
      <w:pPr>
        <w:jc w:val="both"/>
        <w:rPr>
          <w:rFonts w:eastAsia="楷体" w:cs="Calibri"/>
          <w:sz w:val="22"/>
          <w:szCs w:val="22"/>
        </w:rPr>
      </w:pPr>
      <w:r w:rsidRPr="00E71810">
        <w:rPr>
          <w:rFonts w:eastAsia="楷体" w:cs="Calibri"/>
          <w:sz w:val="22"/>
          <w:szCs w:val="22"/>
        </w:rPr>
        <w:t>Growth is expected to be mainly supported by the recovery of professional salon demand and the increasing penetration of premium haircare products. Meanwhile, the company continues to strengthen its digital platforms and partnerships with salons, which should further improve channel efficiency and enhance brand influence.</w:t>
      </w:r>
    </w:p>
    <w:p w14:paraId="34F8D430" w14:textId="77777777" w:rsidR="00E71810" w:rsidRPr="00E71810" w:rsidRDefault="00EE3BC1" w:rsidP="00E71810">
      <w:pPr>
        <w:jc w:val="both"/>
        <w:rPr>
          <w:rFonts w:eastAsia="楷体" w:cs="Calibri"/>
          <w:b/>
          <w:bCs/>
          <w:sz w:val="22"/>
          <w:szCs w:val="22"/>
        </w:rPr>
      </w:pPr>
      <w:r>
        <w:rPr>
          <w:rFonts w:ascii="楷体" w:eastAsia="楷体" w:hAnsi="楷体" w:cs="楷体" w:hint="eastAsia"/>
          <w:b/>
          <w:bCs/>
          <w:sz w:val="22"/>
          <w:szCs w:val="22"/>
        </w:rPr>
        <w:t>2）</w:t>
      </w:r>
      <w:r w:rsidR="00E71810" w:rsidRPr="00E71810">
        <w:rPr>
          <w:rFonts w:cs="Calibri"/>
          <w:b/>
          <w:bCs/>
          <w:sz w:val="22"/>
          <w:szCs w:val="22"/>
        </w:rPr>
        <w:t>Consumer Products</w:t>
      </w:r>
      <w:r w:rsidRPr="00E71810">
        <w:rPr>
          <w:rFonts w:eastAsia="楷体" w:cs="Calibri"/>
          <w:b/>
          <w:bCs/>
          <w:sz w:val="22"/>
          <w:szCs w:val="22"/>
        </w:rPr>
        <w:t>：</w:t>
      </w:r>
      <w:r w:rsidR="00E71810" w:rsidRPr="00E71810">
        <w:rPr>
          <w:rFonts w:eastAsia="楷体" w:cs="Calibri"/>
          <w:sz w:val="22"/>
          <w:szCs w:val="22"/>
        </w:rPr>
        <w:t xml:space="preserve">Revenue from Consumer Products is expected to reach </w:t>
      </w:r>
      <w:r w:rsidR="00E71810" w:rsidRPr="00E71810">
        <w:rPr>
          <w:rFonts w:eastAsia="楷体" w:cs="Calibri"/>
          <w:b/>
          <w:bCs/>
          <w:sz w:val="22"/>
          <w:szCs w:val="22"/>
        </w:rPr>
        <w:t>€16.54bn / €17.14bn / €17.76bn in 2026–2028</w:t>
      </w:r>
      <w:r w:rsidR="00E71810" w:rsidRPr="00E71810">
        <w:rPr>
          <w:rFonts w:eastAsia="楷体" w:cs="Calibri"/>
          <w:sz w:val="22"/>
          <w:szCs w:val="22"/>
        </w:rPr>
        <w:t xml:space="preserve">, representing YoY growth of </w:t>
      </w:r>
      <w:r w:rsidR="00E71810" w:rsidRPr="00E71810">
        <w:rPr>
          <w:rFonts w:eastAsia="楷体" w:cs="Calibri"/>
          <w:b/>
          <w:bCs/>
          <w:sz w:val="22"/>
          <w:szCs w:val="22"/>
        </w:rPr>
        <w:t>2.78% / 3.62% / 3.62%.</w:t>
      </w:r>
    </w:p>
    <w:p w14:paraId="48F1175E" w14:textId="77777777" w:rsidR="00E71810" w:rsidRPr="00E71810" w:rsidRDefault="00E71810" w:rsidP="00E71810">
      <w:pPr>
        <w:jc w:val="both"/>
        <w:rPr>
          <w:rFonts w:eastAsia="楷体" w:cs="Calibri"/>
          <w:sz w:val="22"/>
          <w:szCs w:val="22"/>
        </w:rPr>
      </w:pPr>
    </w:p>
    <w:p w14:paraId="6688D5E2" w14:textId="77777777" w:rsidR="00E71810" w:rsidRPr="00E71810" w:rsidRDefault="00E71810" w:rsidP="00E71810">
      <w:pPr>
        <w:jc w:val="both"/>
        <w:rPr>
          <w:rFonts w:eastAsia="楷体" w:cs="Calibri"/>
          <w:sz w:val="22"/>
          <w:szCs w:val="22"/>
        </w:rPr>
      </w:pPr>
      <w:r w:rsidRPr="00E71810">
        <w:rPr>
          <w:rFonts w:eastAsia="楷体" w:cs="Calibri"/>
          <w:sz w:val="22"/>
          <w:szCs w:val="22"/>
        </w:rPr>
        <w:t xml:space="preserve">As the company’s largest business segment, the division is expected to maintain relatively stable growth. The expansion is primarily driven </w:t>
      </w:r>
      <w:r w:rsidRPr="00E71810">
        <w:rPr>
          <w:rFonts w:eastAsia="楷体" w:cs="Calibri"/>
          <w:b/>
          <w:bCs/>
          <w:sz w:val="22"/>
          <w:szCs w:val="22"/>
        </w:rPr>
        <w:t xml:space="preserve">by demand growth in emerging markets and product upgrades that support higher average selling prices. </w:t>
      </w:r>
      <w:r w:rsidRPr="00E71810">
        <w:rPr>
          <w:rFonts w:eastAsia="楷体" w:cs="Calibri"/>
          <w:sz w:val="22"/>
          <w:szCs w:val="22"/>
        </w:rPr>
        <w:t>At the same time, the company continues to increase investment in e-commerce channels and social media marketing, which should help maintain stable market share.</w:t>
      </w:r>
    </w:p>
    <w:p w14:paraId="276B0BDF" w14:textId="50B31EFC" w:rsidR="00E71810" w:rsidRPr="00E71810" w:rsidRDefault="00EE3BC1" w:rsidP="00E71810">
      <w:pPr>
        <w:jc w:val="both"/>
        <w:rPr>
          <w:rFonts w:eastAsia="楷体" w:cs="Calibri"/>
          <w:b/>
          <w:bCs/>
          <w:sz w:val="22"/>
          <w:szCs w:val="22"/>
        </w:rPr>
      </w:pPr>
      <w:r>
        <w:rPr>
          <w:rFonts w:ascii="楷体" w:eastAsia="楷体" w:hAnsi="楷体" w:cs="楷体" w:hint="eastAsia"/>
          <w:b/>
          <w:bCs/>
          <w:sz w:val="22"/>
          <w:szCs w:val="22"/>
        </w:rPr>
        <w:t>3）</w:t>
      </w:r>
      <w:r w:rsidR="00E71810" w:rsidRPr="00E71810">
        <w:rPr>
          <w:rFonts w:cs="Calibri"/>
          <w:b/>
          <w:bCs/>
          <w:sz w:val="22"/>
          <w:szCs w:val="22"/>
        </w:rPr>
        <w:t>Luxury Products</w:t>
      </w:r>
      <w:r w:rsidRPr="00E71810">
        <w:rPr>
          <w:rFonts w:eastAsia="楷体" w:cs="Calibri"/>
          <w:b/>
          <w:bCs/>
          <w:sz w:val="22"/>
          <w:szCs w:val="22"/>
        </w:rPr>
        <w:t>：</w:t>
      </w:r>
      <w:r w:rsidR="00E71810" w:rsidRPr="00E71810">
        <w:rPr>
          <w:rFonts w:eastAsia="楷体" w:cs="Calibri"/>
          <w:sz w:val="22"/>
          <w:szCs w:val="22"/>
        </w:rPr>
        <w:t>Revenue from Luxury Products is projected to reach</w:t>
      </w:r>
      <w:r w:rsidR="00E71810" w:rsidRPr="00E71810">
        <w:rPr>
          <w:rFonts w:eastAsia="楷体" w:cs="Calibri"/>
          <w:b/>
          <w:bCs/>
          <w:sz w:val="22"/>
          <w:szCs w:val="22"/>
        </w:rPr>
        <w:t xml:space="preserve"> €16.26bn / €17.25bn / €18.39bn in 2026–2028,</w:t>
      </w:r>
      <w:r w:rsidR="00E71810" w:rsidRPr="00E71810">
        <w:rPr>
          <w:rFonts w:eastAsia="楷体" w:cs="Calibri"/>
          <w:sz w:val="22"/>
          <w:szCs w:val="22"/>
        </w:rPr>
        <w:t xml:space="preserve"> corresponding to YoY growth of</w:t>
      </w:r>
      <w:r w:rsidR="00E71810" w:rsidRPr="00E71810">
        <w:rPr>
          <w:rFonts w:eastAsia="楷体" w:cs="Calibri"/>
          <w:b/>
          <w:bCs/>
          <w:sz w:val="22"/>
          <w:szCs w:val="22"/>
        </w:rPr>
        <w:t xml:space="preserve"> 4.27% / 6.09% / 6.59%.</w:t>
      </w:r>
    </w:p>
    <w:p w14:paraId="60E9100B" w14:textId="77777777" w:rsidR="00E71810" w:rsidRPr="00E71810" w:rsidRDefault="00E71810" w:rsidP="00E71810">
      <w:pPr>
        <w:jc w:val="both"/>
        <w:rPr>
          <w:rFonts w:eastAsia="楷体" w:cs="Calibri"/>
          <w:sz w:val="22"/>
          <w:szCs w:val="22"/>
        </w:rPr>
      </w:pPr>
    </w:p>
    <w:p w14:paraId="5B53CF98" w14:textId="68197346" w:rsidR="00CA1CB5" w:rsidRDefault="00E71810" w:rsidP="00E71810">
      <w:pPr>
        <w:jc w:val="both"/>
        <w:rPr>
          <w:rFonts w:eastAsia="楷体" w:cs="Calibri"/>
          <w:sz w:val="22"/>
          <w:szCs w:val="22"/>
        </w:rPr>
      </w:pPr>
      <w:r w:rsidRPr="00E71810">
        <w:rPr>
          <w:rFonts w:eastAsia="楷体" w:cs="Calibri"/>
          <w:sz w:val="22"/>
          <w:szCs w:val="22"/>
        </w:rPr>
        <w:t xml:space="preserve">Growth will mainly be driven by continued demand for </w:t>
      </w:r>
      <w:r w:rsidRPr="00E71810">
        <w:rPr>
          <w:rFonts w:eastAsia="楷体" w:cs="Calibri"/>
          <w:b/>
          <w:bCs/>
          <w:sz w:val="22"/>
          <w:szCs w:val="22"/>
        </w:rPr>
        <w:t>premium beauty products and strong performance in fragrance and makeup categories.</w:t>
      </w:r>
      <w:r w:rsidRPr="00E71810">
        <w:rPr>
          <w:rFonts w:eastAsia="楷体" w:cs="Calibri"/>
          <w:sz w:val="22"/>
          <w:szCs w:val="22"/>
        </w:rPr>
        <w:t xml:space="preserve"> Core brands such as Lancôme, YSL Beauty, and Armani Beauty maintain strong brand equity in the global premium market. In addition, the recovery of travel retail channels is expected to further support the growth of this segment.</w:t>
      </w:r>
    </w:p>
    <w:p w14:paraId="72E9A346" w14:textId="77777777" w:rsidR="00E71810" w:rsidRPr="00E71810" w:rsidRDefault="00E71810" w:rsidP="00E71810">
      <w:pPr>
        <w:spacing w:before="100" w:beforeAutospacing="1" w:after="100" w:afterAutospacing="1"/>
        <w:rPr>
          <w:rFonts w:eastAsia="楷体" w:cs="Calibri"/>
          <w:b/>
          <w:bCs/>
          <w:sz w:val="22"/>
          <w:szCs w:val="22"/>
        </w:rPr>
      </w:pPr>
      <w:r w:rsidRPr="000B6471">
        <w:rPr>
          <w:rFonts w:ascii="楷体" w:eastAsia="楷体" w:hAnsi="楷体" w:cs="楷体" w:hint="eastAsia"/>
          <w:b/>
          <w:bCs/>
          <w:sz w:val="22"/>
          <w:szCs w:val="22"/>
        </w:rPr>
        <w:t>4）</w:t>
      </w:r>
      <w:r w:rsidRPr="00E71810">
        <w:rPr>
          <w:rFonts w:eastAsia="楷体" w:cs="Calibri"/>
          <w:b/>
          <w:bCs/>
          <w:sz w:val="22"/>
          <w:szCs w:val="22"/>
        </w:rPr>
        <w:t>Dermatological Beauty</w:t>
      </w:r>
      <w:r w:rsidRPr="00E71810">
        <w:rPr>
          <w:rFonts w:eastAsia="楷体" w:cs="Calibri"/>
          <w:sz w:val="22"/>
          <w:szCs w:val="22"/>
        </w:rPr>
        <w:t>：</w:t>
      </w:r>
      <w:r w:rsidRPr="00E71810">
        <w:rPr>
          <w:rFonts w:eastAsia="楷体" w:cs="Calibri"/>
          <w:sz w:val="22"/>
          <w:szCs w:val="22"/>
        </w:rPr>
        <w:t xml:space="preserve">Revenue from Dermatological Beauty is expected to reach </w:t>
      </w:r>
      <w:r w:rsidRPr="00E71810">
        <w:rPr>
          <w:rFonts w:eastAsia="楷体" w:cs="Calibri"/>
          <w:b/>
          <w:bCs/>
          <w:sz w:val="22"/>
          <w:szCs w:val="22"/>
        </w:rPr>
        <w:t>€7.63bn / €8.06bn / €8.51bn in 2026–2028</w:t>
      </w:r>
      <w:r w:rsidRPr="00E71810">
        <w:rPr>
          <w:rFonts w:eastAsia="楷体" w:cs="Calibri"/>
          <w:sz w:val="22"/>
          <w:szCs w:val="22"/>
        </w:rPr>
        <w:t xml:space="preserve">, representing YoY growth of </w:t>
      </w:r>
      <w:r w:rsidRPr="00E71810">
        <w:rPr>
          <w:rFonts w:eastAsia="楷体" w:cs="Calibri"/>
          <w:b/>
          <w:bCs/>
          <w:sz w:val="22"/>
          <w:szCs w:val="22"/>
        </w:rPr>
        <w:t>5.87% / 5.63% / 5.63%.</w:t>
      </w:r>
    </w:p>
    <w:p w14:paraId="4844A113" w14:textId="2D716983" w:rsidR="00CA1CB5" w:rsidRPr="00E71810" w:rsidRDefault="00E71810" w:rsidP="00E71810">
      <w:pPr>
        <w:spacing w:before="100" w:beforeAutospacing="1" w:after="100" w:afterAutospacing="1"/>
        <w:rPr>
          <w:rFonts w:eastAsia="楷体" w:cs="Calibri"/>
          <w:sz w:val="22"/>
          <w:szCs w:val="22"/>
        </w:rPr>
      </w:pPr>
      <w:r w:rsidRPr="00E71810">
        <w:rPr>
          <w:rFonts w:eastAsia="楷体" w:cs="Calibri"/>
          <w:sz w:val="22"/>
          <w:szCs w:val="22"/>
        </w:rPr>
        <w:t>The growth of this segment is mainly supported by</w:t>
      </w:r>
      <w:r w:rsidRPr="00E71810">
        <w:rPr>
          <w:rFonts w:eastAsia="楷体" w:cs="Calibri"/>
          <w:b/>
          <w:bCs/>
          <w:sz w:val="22"/>
          <w:szCs w:val="22"/>
        </w:rPr>
        <w:t xml:space="preserve"> increasing global demand for efficacy-driven skincare products and the expansion of dermatology-related </w:t>
      </w:r>
      <w:r w:rsidRPr="00E71810">
        <w:rPr>
          <w:rFonts w:eastAsia="楷体" w:cs="Calibri"/>
          <w:b/>
          <w:bCs/>
          <w:sz w:val="22"/>
          <w:szCs w:val="22"/>
        </w:rPr>
        <w:lastRenderedPageBreak/>
        <w:t xml:space="preserve">channels. </w:t>
      </w:r>
      <w:r w:rsidRPr="00E71810">
        <w:rPr>
          <w:rFonts w:eastAsia="楷体" w:cs="Calibri"/>
          <w:sz w:val="22"/>
          <w:szCs w:val="22"/>
        </w:rPr>
        <w:t>Brands such as La Roche-Posay, Vichy, and CeraVe maintain strong competitive advantages in the dermatological skincare market.</w:t>
      </w:r>
    </w:p>
    <w:tbl>
      <w:tblPr>
        <w:tblW w:w="7466" w:type="dxa"/>
        <w:tblLayout w:type="fixed"/>
        <w:tblLook w:val="04A0" w:firstRow="1" w:lastRow="0" w:firstColumn="1" w:lastColumn="0" w:noHBand="0" w:noVBand="1"/>
      </w:tblPr>
      <w:tblGrid>
        <w:gridCol w:w="7466"/>
      </w:tblGrid>
      <w:tr w:rsidR="00CA1CB5" w:rsidRPr="00E71810" w14:paraId="4DF9A752" w14:textId="77777777">
        <w:trPr>
          <w:trHeight w:val="302"/>
        </w:trPr>
        <w:tc>
          <w:tcPr>
            <w:tcW w:w="7466" w:type="dxa"/>
            <w:tcBorders>
              <w:bottom w:val="single" w:sz="4" w:space="0" w:color="auto"/>
            </w:tcBorders>
            <w:tcMar>
              <w:left w:w="0" w:type="dxa"/>
              <w:right w:w="28" w:type="dxa"/>
            </w:tcMar>
          </w:tcPr>
          <w:p w14:paraId="0BE43CB5" w14:textId="26FD9205" w:rsidR="00CA1CB5" w:rsidRPr="00E71810" w:rsidRDefault="00E71810">
            <w:pPr>
              <w:spacing w:beforeLines="20" w:before="48" w:afterLines="20" w:after="48"/>
              <w:jc w:val="both"/>
              <w:textAlignment w:val="center"/>
              <w:rPr>
                <w:rFonts w:eastAsia="楷体" w:cs="Calibri"/>
                <w:b/>
                <w:bCs/>
                <w:sz w:val="20"/>
                <w:szCs w:val="20"/>
              </w:rPr>
            </w:pPr>
            <w:bookmarkStart w:id="32" w:name="_Hlk219374613"/>
            <w:r w:rsidRPr="00E71810">
              <w:rPr>
                <w:rFonts w:eastAsia="楷体" w:cs="Calibri"/>
                <w:b/>
                <w:bCs/>
                <w:sz w:val="20"/>
                <w:szCs w:val="20"/>
              </w:rPr>
              <w:t>Figure: Revenue breakdown by business segment, 2024–2028 (EUR million)</w:t>
            </w:r>
          </w:p>
        </w:tc>
      </w:tr>
      <w:tr w:rsidR="00CA1CB5" w14:paraId="531ACD64" w14:textId="77777777">
        <w:trPr>
          <w:trHeight w:val="856"/>
        </w:trPr>
        <w:tc>
          <w:tcPr>
            <w:tcW w:w="7466" w:type="dxa"/>
            <w:tcBorders>
              <w:top w:val="single" w:sz="4" w:space="0" w:color="auto"/>
              <w:bottom w:val="single" w:sz="4" w:space="0" w:color="auto"/>
            </w:tcBorders>
            <w:vAlign w:val="center"/>
          </w:tcPr>
          <w:p w14:paraId="7D94DE23" w14:textId="432AB4AB" w:rsidR="00CA1CB5" w:rsidRDefault="008870D3">
            <w:pPr>
              <w:spacing w:beforeLines="20" w:before="48" w:afterLines="20" w:after="48"/>
              <w:jc w:val="center"/>
              <w:textAlignment w:val="center"/>
              <w:rPr>
                <w:rFonts w:eastAsia="宋体" w:cs="Calibri"/>
                <w:b/>
                <w:bCs/>
                <w:sz w:val="20"/>
                <w:szCs w:val="20"/>
              </w:rPr>
            </w:pPr>
            <w:r>
              <w:rPr>
                <w:noProof/>
                <w:snapToGrid/>
              </w:rPr>
              <w:drawing>
                <wp:inline distT="0" distB="0" distL="0" distR="0" wp14:anchorId="5861EBF8" wp14:editId="3FA67FDB">
                  <wp:extent cx="4603750" cy="1261110"/>
                  <wp:effectExtent l="0" t="0" r="6350" b="0"/>
                  <wp:docPr id="1988789457" name="图片 1">
                    <a:extLst xmlns:a="http://schemas.openxmlformats.org/drawingml/2006/main">
                      <a:ext uri="{FF2B5EF4-FFF2-40B4-BE49-F238E27FC236}">
                        <a16:creationId xmlns:a16="http://schemas.microsoft.com/office/drawing/2014/main" id="{36DB099A-4D4D-2903-C920-07D11D4518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6DB099A-4D4D-2903-C920-07D11D451806}"/>
                              </a:ext>
                            </a:extLs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03750" cy="1261110"/>
                          </a:xfrm>
                          <a:prstGeom prst="rect">
                            <a:avLst/>
                          </a:prstGeom>
                          <a:noFill/>
                        </pic:spPr>
                      </pic:pic>
                    </a:graphicData>
                  </a:graphic>
                </wp:inline>
              </w:drawing>
            </w:r>
          </w:p>
        </w:tc>
      </w:tr>
      <w:tr w:rsidR="00CA1CB5" w14:paraId="10EDC697" w14:textId="77777777">
        <w:trPr>
          <w:trHeight w:val="64"/>
        </w:trPr>
        <w:tc>
          <w:tcPr>
            <w:tcW w:w="7466" w:type="dxa"/>
            <w:tcBorders>
              <w:top w:val="single" w:sz="4" w:space="0" w:color="auto"/>
            </w:tcBorders>
            <w:tcMar>
              <w:left w:w="0" w:type="dxa"/>
              <w:right w:w="28" w:type="dxa"/>
            </w:tcMar>
            <w:vAlign w:val="center"/>
          </w:tcPr>
          <w:p w14:paraId="0AB22510" w14:textId="77777777" w:rsidR="00CA1CB5" w:rsidRDefault="00E71810">
            <w:pPr>
              <w:spacing w:line="240" w:lineRule="atLeast"/>
              <w:jc w:val="both"/>
              <w:textAlignment w:val="center"/>
              <w:rPr>
                <w:rFonts w:eastAsia="楷体" w:cs="Calibri"/>
                <w:sz w:val="20"/>
                <w:szCs w:val="20"/>
              </w:rPr>
            </w:pPr>
            <w:r w:rsidRPr="00E71810">
              <w:rPr>
                <w:rFonts w:eastAsia="楷体" w:cs="Calibri"/>
                <w:b/>
                <w:bCs/>
                <w:sz w:val="20"/>
                <w:szCs w:val="20"/>
              </w:rPr>
              <w:t>Source</w:t>
            </w:r>
            <w:r w:rsidR="00EE3BC1" w:rsidRPr="00E71810">
              <w:rPr>
                <w:rFonts w:eastAsia="楷体" w:cs="Calibri"/>
                <w:b/>
                <w:bCs/>
                <w:sz w:val="20"/>
                <w:szCs w:val="20"/>
              </w:rPr>
              <w:t xml:space="preserve">: </w:t>
            </w:r>
            <w:r w:rsidR="00EE3BC1" w:rsidRPr="00E71810">
              <w:rPr>
                <w:rFonts w:eastAsia="楷体" w:cs="Calibri"/>
                <w:sz w:val="20"/>
                <w:szCs w:val="20"/>
              </w:rPr>
              <w:t>Wind, HFI</w:t>
            </w:r>
          </w:p>
          <w:p w14:paraId="464645BA" w14:textId="38588BF8" w:rsidR="00326B8A" w:rsidRPr="00E71810" w:rsidRDefault="00326B8A">
            <w:pPr>
              <w:spacing w:line="240" w:lineRule="atLeast"/>
              <w:jc w:val="both"/>
              <w:textAlignment w:val="center"/>
              <w:rPr>
                <w:rFonts w:eastAsia="楷体" w:cs="Calibri"/>
                <w:sz w:val="20"/>
                <w:szCs w:val="20"/>
              </w:rPr>
            </w:pPr>
          </w:p>
        </w:tc>
      </w:tr>
    </w:tbl>
    <w:bookmarkEnd w:id="32"/>
    <w:p w14:paraId="0CE8566A" w14:textId="4E6C6CDF" w:rsidR="00CA1CB5" w:rsidRPr="00E71810" w:rsidRDefault="00E71810">
      <w:pPr>
        <w:pStyle w:val="af3"/>
        <w:numPr>
          <w:ilvl w:val="0"/>
          <w:numId w:val="5"/>
        </w:numPr>
        <w:jc w:val="both"/>
        <w:rPr>
          <w:rFonts w:eastAsia="楷体" w:cs="Calibri"/>
          <w:sz w:val="22"/>
          <w:szCs w:val="22"/>
        </w:rPr>
      </w:pPr>
      <w:r w:rsidRPr="00E71810">
        <w:rPr>
          <w:rFonts w:eastAsia="楷体" w:cs="Calibri"/>
          <w:b/>
          <w:bCs/>
          <w:sz w:val="22"/>
          <w:szCs w:val="22"/>
        </w:rPr>
        <w:t>Gro</w:t>
      </w:r>
      <w:r w:rsidR="006D1F73">
        <w:rPr>
          <w:rFonts w:eastAsia="楷体" w:cs="Calibri" w:hint="eastAsia"/>
          <w:b/>
          <w:bCs/>
          <w:sz w:val="22"/>
          <w:szCs w:val="22"/>
        </w:rPr>
        <w:t>ss</w:t>
      </w:r>
      <w:r w:rsidRPr="00E71810">
        <w:rPr>
          <w:rFonts w:eastAsia="楷体" w:cs="Calibri"/>
          <w:b/>
          <w:bCs/>
          <w:sz w:val="22"/>
          <w:szCs w:val="22"/>
        </w:rPr>
        <w:t xml:space="preserve"> Margin</w:t>
      </w:r>
    </w:p>
    <w:p w14:paraId="251BBC70" w14:textId="77777777" w:rsidR="00E71810" w:rsidRDefault="00E71810" w:rsidP="00E71810">
      <w:pPr>
        <w:jc w:val="both"/>
        <w:rPr>
          <w:rFonts w:ascii="楷体" w:eastAsia="楷体" w:hAnsi="楷体" w:cs="楷体" w:hint="eastAsia"/>
          <w:b/>
          <w:bCs/>
          <w:sz w:val="22"/>
          <w:szCs w:val="22"/>
        </w:rPr>
      </w:pPr>
    </w:p>
    <w:p w14:paraId="044F25A3" w14:textId="742B6E32" w:rsidR="00E71810" w:rsidRPr="00E71810" w:rsidRDefault="00E71810" w:rsidP="00E71810">
      <w:pPr>
        <w:jc w:val="both"/>
        <w:rPr>
          <w:rFonts w:eastAsia="楷体" w:cs="Calibri"/>
          <w:b/>
          <w:bCs/>
          <w:sz w:val="22"/>
          <w:szCs w:val="22"/>
        </w:rPr>
      </w:pPr>
      <w:r w:rsidRPr="00E71810">
        <w:rPr>
          <w:rFonts w:eastAsia="楷体" w:cs="Calibri"/>
          <w:b/>
          <w:bCs/>
          <w:sz w:val="22"/>
          <w:szCs w:val="22"/>
        </w:rPr>
        <w:t>1) Drivers of gross margin improvement</w:t>
      </w:r>
    </w:p>
    <w:p w14:paraId="6B639D9A" w14:textId="77777777" w:rsidR="00E71810" w:rsidRPr="00E71810" w:rsidRDefault="00E71810" w:rsidP="00E71810">
      <w:pPr>
        <w:jc w:val="both"/>
        <w:rPr>
          <w:rFonts w:eastAsia="楷体" w:cs="Calibri"/>
          <w:sz w:val="22"/>
          <w:szCs w:val="22"/>
        </w:rPr>
      </w:pPr>
      <w:r w:rsidRPr="00E71810">
        <w:rPr>
          <w:rFonts w:eastAsia="楷体" w:cs="Calibri"/>
          <w:sz w:val="22"/>
          <w:szCs w:val="22"/>
        </w:rPr>
        <w:t>As the company continues to implement its premiumization strategy, the increasing revenue contribution from Luxury Products and Dermatological Beauty, which generally carry higher margins, is expected to provide structural support to overall gross margins. In addition, economies of scale and improvements in supply chain efficiency are likely to further enhance cost control.</w:t>
      </w:r>
    </w:p>
    <w:p w14:paraId="67A21068" w14:textId="77777777" w:rsidR="00E71810" w:rsidRPr="00E71810" w:rsidRDefault="00E71810" w:rsidP="00E71810">
      <w:pPr>
        <w:jc w:val="both"/>
        <w:rPr>
          <w:rFonts w:eastAsia="楷体" w:cs="Calibri"/>
          <w:sz w:val="22"/>
          <w:szCs w:val="22"/>
        </w:rPr>
      </w:pPr>
    </w:p>
    <w:p w14:paraId="263D0C2B" w14:textId="412F6455" w:rsidR="00E71810" w:rsidRPr="00E71810" w:rsidRDefault="00E71810" w:rsidP="00E71810">
      <w:pPr>
        <w:jc w:val="both"/>
        <w:rPr>
          <w:rFonts w:eastAsia="楷体" w:cs="Calibri"/>
          <w:b/>
          <w:bCs/>
          <w:sz w:val="22"/>
          <w:szCs w:val="22"/>
        </w:rPr>
      </w:pPr>
      <w:r w:rsidRPr="00E71810">
        <w:rPr>
          <w:rFonts w:eastAsia="楷体" w:cs="Calibri"/>
          <w:b/>
          <w:bCs/>
          <w:sz w:val="22"/>
          <w:szCs w:val="22"/>
        </w:rPr>
        <w:t>2) Cost-side considerations</w:t>
      </w:r>
    </w:p>
    <w:p w14:paraId="0F08A4C4" w14:textId="77777777" w:rsidR="00E71810" w:rsidRPr="00E71810" w:rsidRDefault="00E71810" w:rsidP="00E71810">
      <w:pPr>
        <w:jc w:val="both"/>
        <w:rPr>
          <w:rFonts w:eastAsia="楷体" w:cs="Calibri"/>
          <w:sz w:val="22"/>
          <w:szCs w:val="22"/>
        </w:rPr>
      </w:pPr>
      <w:r w:rsidRPr="00E71810">
        <w:rPr>
          <w:rFonts w:eastAsia="楷体" w:cs="Calibri"/>
          <w:sz w:val="22"/>
          <w:szCs w:val="22"/>
        </w:rPr>
        <w:t>Although raw material price volatility and channel mix changes may introduce some uncertainty in the short term, continued improvements in supply chain management and product mix optimization are expected to keep the cost ratio on a gradual downward trend.</w:t>
      </w:r>
    </w:p>
    <w:p w14:paraId="59A5B032" w14:textId="77777777" w:rsidR="00E71810" w:rsidRPr="00E71810" w:rsidRDefault="00E71810" w:rsidP="00E71810">
      <w:pPr>
        <w:jc w:val="both"/>
        <w:rPr>
          <w:rFonts w:eastAsia="楷体" w:cs="Calibri"/>
          <w:sz w:val="22"/>
          <w:szCs w:val="22"/>
        </w:rPr>
      </w:pPr>
    </w:p>
    <w:p w14:paraId="094B3D50" w14:textId="44654275" w:rsidR="00CA1CB5" w:rsidRDefault="00E71810" w:rsidP="00E71810">
      <w:pPr>
        <w:jc w:val="both"/>
        <w:rPr>
          <w:rFonts w:eastAsia="楷体" w:cs="Calibri"/>
          <w:sz w:val="22"/>
          <w:szCs w:val="22"/>
        </w:rPr>
      </w:pPr>
      <w:r w:rsidRPr="00E71810">
        <w:rPr>
          <w:rFonts w:eastAsia="楷体" w:cs="Calibri"/>
          <w:sz w:val="22"/>
          <w:szCs w:val="22"/>
        </w:rPr>
        <w:t>Overall, we expect the company's gross margin to reach</w:t>
      </w:r>
      <w:r w:rsidRPr="00E71810">
        <w:rPr>
          <w:rFonts w:eastAsia="楷体" w:cs="Calibri"/>
          <w:b/>
          <w:bCs/>
          <w:sz w:val="22"/>
          <w:szCs w:val="22"/>
        </w:rPr>
        <w:t xml:space="preserve"> 74.4% / 74.7% / 75.0%</w:t>
      </w:r>
      <w:r w:rsidRPr="00E71810">
        <w:rPr>
          <w:rFonts w:eastAsia="楷体" w:cs="Calibri"/>
          <w:sz w:val="22"/>
          <w:szCs w:val="22"/>
        </w:rPr>
        <w:t xml:space="preserve"> in 2026–2028, showing a modest upward trend.</w:t>
      </w:r>
    </w:p>
    <w:p w14:paraId="067F18F8" w14:textId="77777777" w:rsidR="00E71810" w:rsidRPr="00E71810" w:rsidRDefault="00E71810" w:rsidP="00E71810">
      <w:pPr>
        <w:jc w:val="both"/>
        <w:rPr>
          <w:rFonts w:eastAsia="楷体" w:cs="Calibri"/>
          <w:sz w:val="22"/>
          <w:szCs w:val="22"/>
        </w:rPr>
      </w:pPr>
    </w:p>
    <w:p w14:paraId="267BE59B" w14:textId="3E990FD4" w:rsidR="00CA1CB5" w:rsidRPr="00E71810" w:rsidRDefault="00E71810">
      <w:pPr>
        <w:pStyle w:val="af3"/>
        <w:numPr>
          <w:ilvl w:val="0"/>
          <w:numId w:val="5"/>
        </w:numPr>
        <w:jc w:val="both"/>
        <w:rPr>
          <w:rFonts w:eastAsia="楷体" w:cs="Calibri"/>
          <w:sz w:val="22"/>
          <w:szCs w:val="22"/>
        </w:rPr>
      </w:pPr>
      <w:r w:rsidRPr="00E71810">
        <w:rPr>
          <w:rFonts w:eastAsia="楷体" w:cs="Calibri"/>
          <w:b/>
          <w:bCs/>
          <w:sz w:val="22"/>
          <w:szCs w:val="22"/>
        </w:rPr>
        <w:t>Operating Expense Ratio</w:t>
      </w:r>
    </w:p>
    <w:p w14:paraId="3C4BA991" w14:textId="77777777" w:rsidR="00E71810" w:rsidRDefault="00E71810" w:rsidP="00E71810">
      <w:pPr>
        <w:jc w:val="both"/>
        <w:rPr>
          <w:rFonts w:ascii="楷体" w:eastAsia="楷体" w:hAnsi="楷体" w:cs="楷体" w:hint="eastAsia"/>
          <w:sz w:val="22"/>
          <w:szCs w:val="22"/>
        </w:rPr>
      </w:pPr>
    </w:p>
    <w:p w14:paraId="069FE850" w14:textId="2D318D94" w:rsidR="00E71810" w:rsidRPr="00E71810" w:rsidRDefault="00E71810" w:rsidP="00E71810">
      <w:pPr>
        <w:jc w:val="both"/>
        <w:rPr>
          <w:rFonts w:eastAsia="楷体" w:cs="Calibri"/>
          <w:b/>
          <w:bCs/>
          <w:sz w:val="22"/>
          <w:szCs w:val="22"/>
        </w:rPr>
      </w:pPr>
      <w:r w:rsidRPr="00E71810">
        <w:rPr>
          <w:rFonts w:eastAsia="楷体" w:cs="Calibri"/>
          <w:b/>
          <w:bCs/>
          <w:sz w:val="22"/>
          <w:szCs w:val="22"/>
        </w:rPr>
        <w:t>R&amp;D Expense Ratio</w:t>
      </w:r>
      <w:r>
        <w:rPr>
          <w:rFonts w:eastAsia="楷体" w:cs="Calibri"/>
          <w:b/>
          <w:bCs/>
          <w:sz w:val="22"/>
          <w:szCs w:val="22"/>
        </w:rPr>
        <w:t xml:space="preserve">: </w:t>
      </w:r>
      <w:r w:rsidRPr="00E71810">
        <w:rPr>
          <w:rFonts w:eastAsia="楷体" w:cs="Calibri"/>
          <w:sz w:val="22"/>
          <w:szCs w:val="22"/>
        </w:rPr>
        <w:t xml:space="preserve">The company continues to increase investment in </w:t>
      </w:r>
      <w:r w:rsidRPr="00E71810">
        <w:rPr>
          <w:rFonts w:eastAsia="楷体" w:cs="Calibri"/>
          <w:b/>
          <w:bCs/>
          <w:sz w:val="22"/>
          <w:szCs w:val="22"/>
        </w:rPr>
        <w:t>dermatological science, beauty technology, and product innovation</w:t>
      </w:r>
      <w:r w:rsidRPr="00E71810">
        <w:rPr>
          <w:rFonts w:eastAsia="楷体" w:cs="Calibri"/>
          <w:sz w:val="22"/>
          <w:szCs w:val="22"/>
        </w:rPr>
        <w:t xml:space="preserve"> to maintain its technological leadership in the global beauty industry. We expect R&amp;D spending to grow steadily going forward.</w:t>
      </w:r>
      <w:r w:rsidR="00B72640">
        <w:rPr>
          <w:rFonts w:eastAsia="楷体" w:cs="Calibri" w:hint="eastAsia"/>
          <w:sz w:val="22"/>
          <w:szCs w:val="22"/>
        </w:rPr>
        <w:t xml:space="preserve"> </w:t>
      </w:r>
      <w:r w:rsidRPr="00E71810">
        <w:rPr>
          <w:rFonts w:eastAsia="楷体" w:cs="Calibri"/>
          <w:sz w:val="22"/>
          <w:szCs w:val="22"/>
        </w:rPr>
        <w:t>The R&amp;D expense ratio is projected to</w:t>
      </w:r>
      <w:r w:rsidRPr="00E71810">
        <w:rPr>
          <w:rFonts w:eastAsia="楷体" w:cs="Calibri"/>
          <w:b/>
          <w:bCs/>
          <w:sz w:val="22"/>
          <w:szCs w:val="22"/>
        </w:rPr>
        <w:t xml:space="preserve"> remain stable at around 3.1% during 2026–2028.</w:t>
      </w:r>
    </w:p>
    <w:p w14:paraId="3F9FFB16" w14:textId="77777777" w:rsidR="00E71810" w:rsidRPr="00E71810" w:rsidRDefault="00E71810" w:rsidP="00E71810">
      <w:pPr>
        <w:jc w:val="both"/>
        <w:rPr>
          <w:rFonts w:eastAsia="楷体" w:cs="Calibri"/>
          <w:sz w:val="22"/>
          <w:szCs w:val="22"/>
        </w:rPr>
      </w:pPr>
    </w:p>
    <w:p w14:paraId="42A1B179" w14:textId="470B5D94" w:rsidR="00E71810" w:rsidRPr="00B72640" w:rsidRDefault="00E71810" w:rsidP="00E71810">
      <w:pPr>
        <w:jc w:val="both"/>
        <w:rPr>
          <w:rFonts w:eastAsia="楷体" w:cs="Calibri"/>
          <w:b/>
          <w:bCs/>
          <w:sz w:val="22"/>
          <w:szCs w:val="22"/>
        </w:rPr>
      </w:pPr>
      <w:r w:rsidRPr="00E71810">
        <w:rPr>
          <w:rFonts w:eastAsia="楷体" w:cs="Calibri"/>
          <w:b/>
          <w:bCs/>
          <w:sz w:val="22"/>
          <w:szCs w:val="22"/>
        </w:rPr>
        <w:t>Advertising and Promotion Expense Ratio</w:t>
      </w:r>
      <w:r>
        <w:rPr>
          <w:rFonts w:eastAsia="楷体" w:cs="Calibri"/>
          <w:b/>
          <w:bCs/>
          <w:sz w:val="22"/>
          <w:szCs w:val="22"/>
        </w:rPr>
        <w:t xml:space="preserve">: </w:t>
      </w:r>
      <w:r w:rsidRPr="00E71810">
        <w:rPr>
          <w:rFonts w:eastAsia="楷体" w:cs="Calibri"/>
          <w:sz w:val="22"/>
          <w:szCs w:val="22"/>
        </w:rPr>
        <w:t xml:space="preserve">Advertising and promotion expenses mainly relate to </w:t>
      </w:r>
      <w:r w:rsidRPr="00E71810">
        <w:rPr>
          <w:rFonts w:eastAsia="楷体" w:cs="Calibri"/>
          <w:b/>
          <w:bCs/>
          <w:sz w:val="22"/>
          <w:szCs w:val="22"/>
        </w:rPr>
        <w:t xml:space="preserve">brand marketing, digital campaigns, and channel promotion activities. </w:t>
      </w:r>
      <w:r w:rsidRPr="00E71810">
        <w:rPr>
          <w:rFonts w:eastAsia="楷体" w:cs="Calibri"/>
          <w:sz w:val="22"/>
          <w:szCs w:val="22"/>
        </w:rPr>
        <w:t>As the company continues to strengthen brand positioning and increase investments in social media, e-commerce platforms, and global marketing initiatives, advertising and promotion expenses are expected to maintain steady growth.</w:t>
      </w:r>
      <w:r w:rsidR="00B72640">
        <w:rPr>
          <w:rFonts w:eastAsia="楷体" w:cs="Calibri" w:hint="eastAsia"/>
          <w:b/>
          <w:bCs/>
          <w:sz w:val="22"/>
          <w:szCs w:val="22"/>
        </w:rPr>
        <w:t xml:space="preserve"> </w:t>
      </w:r>
      <w:r w:rsidRPr="00E71810">
        <w:rPr>
          <w:rFonts w:eastAsia="楷体" w:cs="Calibri"/>
          <w:sz w:val="22"/>
          <w:szCs w:val="22"/>
        </w:rPr>
        <w:t xml:space="preserve">The advertising and promotion expense ratio is projected to reach </w:t>
      </w:r>
      <w:r w:rsidRPr="00E71810">
        <w:rPr>
          <w:rFonts w:eastAsia="楷体" w:cs="Calibri"/>
          <w:b/>
          <w:bCs/>
          <w:sz w:val="22"/>
          <w:szCs w:val="22"/>
        </w:rPr>
        <w:t>31.8% / 31.7% / 31.7% in 2026–2028,</w:t>
      </w:r>
      <w:r w:rsidRPr="00E71810">
        <w:rPr>
          <w:rFonts w:eastAsia="楷体" w:cs="Calibri"/>
          <w:sz w:val="22"/>
          <w:szCs w:val="22"/>
        </w:rPr>
        <w:t xml:space="preserve"> showing a slight decline mainly due to economies of scale from revenue expansion.</w:t>
      </w:r>
    </w:p>
    <w:p w14:paraId="5022432D" w14:textId="77777777" w:rsidR="00E71810" w:rsidRPr="00E71810" w:rsidRDefault="00E71810" w:rsidP="00E71810">
      <w:pPr>
        <w:jc w:val="both"/>
        <w:rPr>
          <w:rFonts w:eastAsia="楷体" w:cs="Calibri"/>
          <w:sz w:val="22"/>
          <w:szCs w:val="22"/>
        </w:rPr>
      </w:pPr>
    </w:p>
    <w:p w14:paraId="3048BC18" w14:textId="7F5F0225" w:rsidR="00CA1CB5" w:rsidRDefault="00E71810" w:rsidP="00E71810">
      <w:pPr>
        <w:jc w:val="both"/>
        <w:rPr>
          <w:rFonts w:eastAsia="楷体" w:cs="Calibri"/>
          <w:sz w:val="22"/>
          <w:szCs w:val="22"/>
        </w:rPr>
      </w:pPr>
      <w:r w:rsidRPr="00E71810">
        <w:rPr>
          <w:rFonts w:eastAsia="楷体" w:cs="Calibri"/>
          <w:b/>
          <w:bCs/>
          <w:sz w:val="22"/>
          <w:szCs w:val="22"/>
        </w:rPr>
        <w:t xml:space="preserve">SG&amp;A Expense Ratio: </w:t>
      </w:r>
      <w:r w:rsidRPr="00E71810">
        <w:rPr>
          <w:rFonts w:eastAsia="楷体" w:cs="Calibri"/>
          <w:sz w:val="22"/>
          <w:szCs w:val="22"/>
        </w:rPr>
        <w:t xml:space="preserve">SG&amp;A expenses primarily include </w:t>
      </w:r>
      <w:r w:rsidRPr="00E71810">
        <w:rPr>
          <w:rFonts w:eastAsia="楷体" w:cs="Calibri"/>
          <w:b/>
          <w:bCs/>
          <w:sz w:val="22"/>
          <w:szCs w:val="22"/>
        </w:rPr>
        <w:t>administrative costs, operational management expenses, and global corporate overhead</w:t>
      </w:r>
      <w:r w:rsidRPr="00E71810">
        <w:rPr>
          <w:rFonts w:eastAsia="楷体" w:cs="Calibri"/>
          <w:sz w:val="22"/>
          <w:szCs w:val="22"/>
        </w:rPr>
        <w:t>. With the continued expansion of revenue scale, SG&amp;A expenses are expected to remain stable while gradually declining as a percentage of sales.</w:t>
      </w:r>
      <w:r>
        <w:rPr>
          <w:rFonts w:eastAsia="楷体" w:cs="Calibri"/>
          <w:sz w:val="22"/>
          <w:szCs w:val="22"/>
        </w:rPr>
        <w:t xml:space="preserve"> </w:t>
      </w:r>
      <w:r w:rsidRPr="00E71810">
        <w:rPr>
          <w:rFonts w:eastAsia="楷体" w:cs="Calibri"/>
          <w:sz w:val="22"/>
          <w:szCs w:val="22"/>
        </w:rPr>
        <w:t>The SG&amp;A expense ratio is expected to reach 18.9% / 18.8% / 18.7% in 2026–2028.</w:t>
      </w:r>
    </w:p>
    <w:p w14:paraId="24806471" w14:textId="35A7CD13" w:rsidR="00E71810" w:rsidRPr="00E71810" w:rsidRDefault="00E71810" w:rsidP="00E71810">
      <w:pPr>
        <w:spacing w:before="100" w:beforeAutospacing="1" w:after="100" w:afterAutospacing="1"/>
        <w:rPr>
          <w:rFonts w:eastAsia="宋体" w:cs="Calibri"/>
          <w:snapToGrid/>
          <w:sz w:val="22"/>
          <w:szCs w:val="22"/>
        </w:rPr>
      </w:pPr>
      <w:r w:rsidRPr="00E71810">
        <w:rPr>
          <w:rFonts w:eastAsia="宋体" w:cs="Calibri"/>
          <w:snapToGrid/>
          <w:sz w:val="22"/>
          <w:szCs w:val="22"/>
        </w:rPr>
        <w:lastRenderedPageBreak/>
        <w:t xml:space="preserve">Considering revenue growth, gross margin improvement, and the evolution of expense ratios, we expect the company’s profitability to improve steadily. As </w:t>
      </w:r>
      <w:r w:rsidRPr="00E71810">
        <w:rPr>
          <w:rFonts w:eastAsia="宋体" w:cs="Calibri"/>
          <w:b/>
          <w:bCs/>
          <w:snapToGrid/>
          <w:sz w:val="22"/>
          <w:szCs w:val="22"/>
        </w:rPr>
        <w:t>product mix continues to shift toward higher-margin categories and operating leverage gradually materializes</w:t>
      </w:r>
      <w:r w:rsidRPr="00E71810">
        <w:rPr>
          <w:rFonts w:eastAsia="宋体" w:cs="Calibri"/>
          <w:snapToGrid/>
          <w:sz w:val="22"/>
          <w:szCs w:val="22"/>
        </w:rPr>
        <w:t>, earnings growth is expected to remain solid.</w:t>
      </w:r>
    </w:p>
    <w:p w14:paraId="6C99F793" w14:textId="77777777" w:rsidR="00E71810" w:rsidRPr="00E71810" w:rsidRDefault="00E71810" w:rsidP="00E71810">
      <w:pPr>
        <w:spacing w:before="100" w:beforeAutospacing="1" w:after="100" w:afterAutospacing="1"/>
        <w:rPr>
          <w:rFonts w:eastAsia="宋体" w:cs="Calibri"/>
          <w:snapToGrid/>
          <w:sz w:val="22"/>
          <w:szCs w:val="22"/>
        </w:rPr>
      </w:pPr>
      <w:r w:rsidRPr="00E71810">
        <w:rPr>
          <w:rFonts w:eastAsia="宋体" w:cs="Calibri"/>
          <w:snapToGrid/>
          <w:sz w:val="22"/>
          <w:szCs w:val="22"/>
        </w:rPr>
        <w:t xml:space="preserve">At the same time, the company continues to invest in </w:t>
      </w:r>
      <w:r w:rsidRPr="00E71810">
        <w:rPr>
          <w:rFonts w:eastAsia="宋体" w:cs="Calibri"/>
          <w:b/>
          <w:bCs/>
          <w:snapToGrid/>
          <w:sz w:val="22"/>
          <w:szCs w:val="22"/>
        </w:rPr>
        <w:t>brand marketing, product innovation, and channel development</w:t>
      </w:r>
      <w:r w:rsidRPr="00E71810">
        <w:rPr>
          <w:rFonts w:eastAsia="宋体" w:cs="Calibri"/>
          <w:snapToGrid/>
          <w:sz w:val="22"/>
          <w:szCs w:val="22"/>
        </w:rPr>
        <w:t>, which keeps short-term operating expenses at relatively high levels. However, overall expense ratios are expected to remain stable, with limited impact on profit growth.</w:t>
      </w:r>
    </w:p>
    <w:p w14:paraId="69BBA8E7" w14:textId="77777777" w:rsidR="00E71810" w:rsidRPr="00E71810" w:rsidRDefault="00E71810" w:rsidP="00E71810">
      <w:pPr>
        <w:spacing w:before="100" w:beforeAutospacing="1" w:after="100" w:afterAutospacing="1"/>
        <w:rPr>
          <w:rFonts w:eastAsia="宋体" w:cs="Calibri"/>
          <w:snapToGrid/>
          <w:sz w:val="22"/>
          <w:szCs w:val="22"/>
          <w:u w:val="single"/>
        </w:rPr>
      </w:pPr>
      <w:r w:rsidRPr="00E71810">
        <w:rPr>
          <w:rFonts w:eastAsia="宋体" w:cs="Calibri"/>
          <w:snapToGrid/>
          <w:sz w:val="22"/>
          <w:szCs w:val="22"/>
          <w:u w:val="single"/>
        </w:rPr>
        <w:t xml:space="preserve">Based on the above assumptions, we forecast </w:t>
      </w:r>
      <w:r w:rsidRPr="00E71810">
        <w:rPr>
          <w:rFonts w:eastAsia="宋体" w:cs="Calibri"/>
          <w:b/>
          <w:bCs/>
          <w:snapToGrid/>
          <w:sz w:val="22"/>
          <w:szCs w:val="22"/>
          <w:u w:val="single"/>
        </w:rPr>
        <w:t>net profit attributable to shareholders to reach €6.79bn / €7.38bn / €7.93bn in 2026–2028</w:t>
      </w:r>
      <w:r w:rsidRPr="00E71810">
        <w:rPr>
          <w:rFonts w:eastAsia="宋体" w:cs="Calibri"/>
          <w:snapToGrid/>
          <w:sz w:val="22"/>
          <w:szCs w:val="22"/>
          <w:u w:val="single"/>
        </w:rPr>
        <w:t xml:space="preserve">, representing </w:t>
      </w:r>
      <w:r w:rsidRPr="00E71810">
        <w:rPr>
          <w:rFonts w:eastAsia="宋体" w:cs="Calibri"/>
          <w:b/>
          <w:bCs/>
          <w:snapToGrid/>
          <w:sz w:val="22"/>
          <w:szCs w:val="22"/>
          <w:u w:val="single"/>
        </w:rPr>
        <w:t>YoY growth of 10.75% / 8.79% / 7.45%</w:t>
      </w:r>
      <w:r w:rsidRPr="00E71810">
        <w:rPr>
          <w:rFonts w:eastAsia="宋体" w:cs="Calibri"/>
          <w:snapToGrid/>
          <w:sz w:val="22"/>
          <w:szCs w:val="22"/>
          <w:u w:val="single"/>
        </w:rPr>
        <w:t xml:space="preserve">, indicating </w:t>
      </w:r>
      <w:r w:rsidRPr="00E71810">
        <w:rPr>
          <w:rFonts w:eastAsia="宋体" w:cs="Calibri"/>
          <w:b/>
          <w:bCs/>
          <w:snapToGrid/>
          <w:sz w:val="22"/>
          <w:szCs w:val="22"/>
          <w:u w:val="single"/>
        </w:rPr>
        <w:t>steady and sustainable earnings growth</w:t>
      </w:r>
      <w:r w:rsidRPr="00E71810">
        <w:rPr>
          <w:rFonts w:eastAsia="宋体" w:cs="Calibri"/>
          <w:snapToGrid/>
          <w:sz w:val="22"/>
          <w:szCs w:val="22"/>
          <w:u w:val="single"/>
        </w:rPr>
        <w:t>.</w:t>
      </w:r>
    </w:p>
    <w:p w14:paraId="61903D3D" w14:textId="77777777" w:rsidR="00E71810" w:rsidRPr="00E71810" w:rsidRDefault="00E71810" w:rsidP="00E71810">
      <w:pPr>
        <w:jc w:val="both"/>
        <w:rPr>
          <w:rFonts w:eastAsia="楷体" w:cs="Calibri"/>
          <w:sz w:val="22"/>
          <w:szCs w:val="22"/>
        </w:rPr>
      </w:pPr>
    </w:p>
    <w:p w14:paraId="3C6E997B" w14:textId="1138E408" w:rsidR="00CA1CB5" w:rsidRPr="00FF3409" w:rsidRDefault="00EE3BC1">
      <w:pPr>
        <w:pStyle w:val="211"/>
        <w:jc w:val="both"/>
        <w:rPr>
          <w:rFonts w:ascii="Calibri" w:eastAsia="楷体" w:hAnsi="Calibri" w:cs="Calibri"/>
          <w:color w:val="23558C"/>
          <w:sz w:val="24"/>
        </w:rPr>
      </w:pPr>
      <w:bookmarkStart w:id="33" w:name="_Toc220275554"/>
      <w:bookmarkStart w:id="34" w:name="_Toc224295892"/>
      <w:r w:rsidRPr="00FF3409">
        <w:rPr>
          <w:rFonts w:ascii="Calibri" w:eastAsia="楷体" w:hAnsi="Calibri" w:cs="Calibri"/>
          <w:color w:val="23558C"/>
          <w:sz w:val="24"/>
        </w:rPr>
        <w:t xml:space="preserve">5.2 </w:t>
      </w:r>
      <w:bookmarkEnd w:id="33"/>
      <w:r w:rsidR="00126DC7">
        <w:rPr>
          <w:rFonts w:ascii="Calibri" w:eastAsia="楷体" w:hAnsi="Calibri" w:cs="Calibri" w:hint="eastAsia"/>
          <w:color w:val="23558C"/>
          <w:sz w:val="24"/>
        </w:rPr>
        <w:t>V</w:t>
      </w:r>
      <w:r w:rsidR="00FF3409" w:rsidRPr="00FF3409">
        <w:rPr>
          <w:rFonts w:ascii="Calibri" w:eastAsia="楷体" w:hAnsi="Calibri" w:cs="Calibri"/>
          <w:color w:val="23558C"/>
          <w:sz w:val="24"/>
        </w:rPr>
        <w:t>aluation Analysis</w:t>
      </w:r>
      <w:bookmarkEnd w:id="34"/>
    </w:p>
    <w:p w14:paraId="6CA56C2F" w14:textId="77777777" w:rsidR="00862733" w:rsidRPr="00862733" w:rsidRDefault="00862733" w:rsidP="00862733">
      <w:pPr>
        <w:jc w:val="both"/>
        <w:rPr>
          <w:rFonts w:eastAsia="楷体" w:cs="Calibri"/>
          <w:sz w:val="22"/>
          <w:szCs w:val="22"/>
        </w:rPr>
      </w:pPr>
      <w:r w:rsidRPr="00862733">
        <w:rPr>
          <w:rFonts w:eastAsia="楷体" w:cs="Calibri"/>
          <w:sz w:val="22"/>
          <w:szCs w:val="22"/>
        </w:rPr>
        <w:t>Based on the Discounted Cash Flow (DCF) valuation model, we have forecasted the company's future operating cash flows. Taking into account industry growth prospects and the company's position as a global leader, we assign a target price of €408.</w:t>
      </w:r>
    </w:p>
    <w:p w14:paraId="7A02E011" w14:textId="00A749E6" w:rsidR="00CA1CB5" w:rsidRPr="00862733" w:rsidRDefault="00862733" w:rsidP="00862733">
      <w:pPr>
        <w:jc w:val="both"/>
        <w:rPr>
          <w:rFonts w:eastAsia="楷体" w:cs="Calibri"/>
          <w:sz w:val="22"/>
          <w:szCs w:val="22"/>
        </w:rPr>
      </w:pPr>
      <w:r w:rsidRPr="00862733">
        <w:rPr>
          <w:rFonts w:eastAsia="楷体" w:cs="Calibri"/>
          <w:sz w:val="22"/>
          <w:szCs w:val="22"/>
        </w:rPr>
        <w:t>We initiate coverage on L'Oréal Groupe with an "Outperform" investment rating.</w:t>
      </w:r>
    </w:p>
    <w:p w14:paraId="5B5AEAF4" w14:textId="77777777" w:rsidR="00CA1CB5" w:rsidRDefault="00CA1CB5">
      <w:pPr>
        <w:jc w:val="both"/>
        <w:rPr>
          <w:rFonts w:ascii="楷体" w:eastAsia="楷体" w:hAnsi="楷体" w:cs="楷体" w:hint="eastAsia"/>
          <w:sz w:val="22"/>
          <w:szCs w:val="22"/>
        </w:rPr>
      </w:pPr>
    </w:p>
    <w:tbl>
      <w:tblPr>
        <w:tblW w:w="7466" w:type="dxa"/>
        <w:tblLayout w:type="fixed"/>
        <w:tblLook w:val="04A0" w:firstRow="1" w:lastRow="0" w:firstColumn="1" w:lastColumn="0" w:noHBand="0" w:noVBand="1"/>
      </w:tblPr>
      <w:tblGrid>
        <w:gridCol w:w="7466"/>
      </w:tblGrid>
      <w:tr w:rsidR="00CA1CB5" w14:paraId="42E0E61D" w14:textId="77777777">
        <w:trPr>
          <w:trHeight w:val="302"/>
        </w:trPr>
        <w:tc>
          <w:tcPr>
            <w:tcW w:w="7466" w:type="dxa"/>
            <w:tcBorders>
              <w:bottom w:val="single" w:sz="4" w:space="0" w:color="auto"/>
            </w:tcBorders>
            <w:tcMar>
              <w:left w:w="0" w:type="dxa"/>
              <w:right w:w="28" w:type="dxa"/>
            </w:tcMar>
          </w:tcPr>
          <w:p w14:paraId="49F4795E" w14:textId="2C53FDC6" w:rsidR="00CA1CB5" w:rsidRDefault="00862733">
            <w:pPr>
              <w:spacing w:beforeLines="20" w:before="48" w:afterLines="20" w:after="48"/>
              <w:jc w:val="both"/>
              <w:textAlignment w:val="center"/>
              <w:rPr>
                <w:rFonts w:ascii="楷体" w:eastAsia="楷体" w:hAnsi="楷体" w:cs="Calibri" w:hint="eastAsia"/>
                <w:b/>
                <w:sz w:val="20"/>
                <w:szCs w:val="20"/>
              </w:rPr>
            </w:pPr>
            <w:r w:rsidRPr="00E71810">
              <w:rPr>
                <w:rFonts w:eastAsia="楷体" w:cs="Calibri"/>
                <w:b/>
                <w:bCs/>
                <w:sz w:val="20"/>
                <w:szCs w:val="20"/>
              </w:rPr>
              <w:t>Figure:</w:t>
            </w:r>
            <w:r w:rsidRPr="00862733">
              <w:rPr>
                <w:rFonts w:eastAsia="楷体" w:cs="Calibri"/>
                <w:b/>
                <w:sz w:val="20"/>
                <w:szCs w:val="20"/>
              </w:rPr>
              <w:t xml:space="preserve"> </w:t>
            </w:r>
            <w:r w:rsidR="00EE3BC1" w:rsidRPr="00862733">
              <w:rPr>
                <w:rFonts w:eastAsia="楷体" w:cs="Calibri"/>
                <w:b/>
                <w:sz w:val="20"/>
                <w:szCs w:val="20"/>
              </w:rPr>
              <w:t>DCF</w:t>
            </w:r>
            <w:r w:rsidRPr="00862733">
              <w:rPr>
                <w:rFonts w:eastAsia="楷体" w:cs="Calibri"/>
                <w:b/>
                <w:sz w:val="20"/>
                <w:szCs w:val="20"/>
              </w:rPr>
              <w:t xml:space="preserve"> Model</w:t>
            </w:r>
          </w:p>
        </w:tc>
      </w:tr>
      <w:tr w:rsidR="00CA1CB5" w14:paraId="215A54E1" w14:textId="77777777">
        <w:trPr>
          <w:trHeight w:val="856"/>
        </w:trPr>
        <w:tc>
          <w:tcPr>
            <w:tcW w:w="7466" w:type="dxa"/>
            <w:tcBorders>
              <w:top w:val="single" w:sz="4" w:space="0" w:color="auto"/>
              <w:bottom w:val="single" w:sz="4" w:space="0" w:color="auto"/>
            </w:tcBorders>
            <w:vAlign w:val="center"/>
          </w:tcPr>
          <w:p w14:paraId="48E8ADA4" w14:textId="77777777" w:rsidR="00CA1CB5" w:rsidRDefault="00EE3BC1">
            <w:pPr>
              <w:spacing w:beforeLines="20" w:before="48" w:afterLines="20" w:after="48"/>
              <w:jc w:val="center"/>
              <w:textAlignment w:val="center"/>
              <w:rPr>
                <w:rFonts w:eastAsia="宋体" w:cs="Calibri"/>
                <w:b/>
                <w:bCs/>
                <w:sz w:val="20"/>
                <w:szCs w:val="20"/>
              </w:rPr>
            </w:pPr>
            <w:r>
              <w:rPr>
                <w:noProof/>
                <w:snapToGrid/>
              </w:rPr>
              <w:drawing>
                <wp:inline distT="0" distB="0" distL="0" distR="0" wp14:anchorId="08293F69" wp14:editId="317262F5">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57"/>
                          <a:stretch>
                            <a:fillRect/>
                          </a:stretch>
                        </pic:blipFill>
                        <pic:spPr>
                          <a:xfrm>
                            <a:off x="0" y="0"/>
                            <a:ext cx="4916805" cy="4362450"/>
                          </a:xfrm>
                          <a:prstGeom prst="rect">
                            <a:avLst/>
                          </a:prstGeom>
                          <a:noFill/>
                          <a:ln w="9525">
                            <a:noFill/>
                          </a:ln>
                        </pic:spPr>
                      </pic:pic>
                    </a:graphicData>
                  </a:graphic>
                </wp:inline>
              </w:drawing>
            </w:r>
          </w:p>
        </w:tc>
      </w:tr>
      <w:tr w:rsidR="00CA1CB5" w:rsidRPr="007954C8" w14:paraId="6F9DAAC8" w14:textId="77777777">
        <w:trPr>
          <w:trHeight w:val="64"/>
        </w:trPr>
        <w:tc>
          <w:tcPr>
            <w:tcW w:w="7466" w:type="dxa"/>
            <w:tcBorders>
              <w:top w:val="single" w:sz="4" w:space="0" w:color="auto"/>
            </w:tcBorders>
            <w:tcMar>
              <w:left w:w="0" w:type="dxa"/>
              <w:right w:w="28" w:type="dxa"/>
            </w:tcMar>
            <w:vAlign w:val="center"/>
          </w:tcPr>
          <w:p w14:paraId="21770F96" w14:textId="66AD3201" w:rsidR="00CA1CB5" w:rsidRPr="007954C8" w:rsidRDefault="00862733">
            <w:pPr>
              <w:spacing w:line="240" w:lineRule="atLeast"/>
              <w:jc w:val="both"/>
              <w:textAlignment w:val="center"/>
              <w:rPr>
                <w:rFonts w:eastAsia="楷体" w:cs="Calibri"/>
                <w:b/>
                <w:bCs/>
                <w:sz w:val="20"/>
                <w:szCs w:val="20"/>
              </w:rPr>
            </w:pPr>
            <w:r w:rsidRPr="007954C8">
              <w:rPr>
                <w:rFonts w:eastAsia="楷体" w:cs="Calibri"/>
                <w:b/>
                <w:bCs/>
                <w:sz w:val="20"/>
                <w:szCs w:val="20"/>
              </w:rPr>
              <w:t xml:space="preserve">Source: </w:t>
            </w:r>
            <w:r w:rsidR="00EE3BC1" w:rsidRPr="007954C8">
              <w:rPr>
                <w:rFonts w:eastAsia="楷体" w:cs="Calibri"/>
                <w:b/>
                <w:bCs/>
                <w:sz w:val="20"/>
                <w:szCs w:val="20"/>
              </w:rPr>
              <w:t>Wind, HFI</w:t>
            </w:r>
          </w:p>
        </w:tc>
      </w:tr>
    </w:tbl>
    <w:p w14:paraId="0EADAAD4" w14:textId="77777777" w:rsidR="00CA1CB5" w:rsidRDefault="00CA1CB5">
      <w:pPr>
        <w:jc w:val="both"/>
        <w:rPr>
          <w:rFonts w:ascii="楷体" w:eastAsia="楷体" w:hAnsi="楷体" w:cs="楷体" w:hint="eastAsia"/>
          <w:sz w:val="22"/>
          <w:szCs w:val="22"/>
        </w:rPr>
      </w:pPr>
    </w:p>
    <w:tbl>
      <w:tblPr>
        <w:tblW w:w="7466" w:type="dxa"/>
        <w:tblLayout w:type="fixed"/>
        <w:tblLook w:val="04A0" w:firstRow="1" w:lastRow="0" w:firstColumn="1" w:lastColumn="0" w:noHBand="0" w:noVBand="1"/>
      </w:tblPr>
      <w:tblGrid>
        <w:gridCol w:w="7466"/>
      </w:tblGrid>
      <w:tr w:rsidR="00CA1CB5" w14:paraId="267B0AE1" w14:textId="77777777">
        <w:trPr>
          <w:trHeight w:val="302"/>
        </w:trPr>
        <w:tc>
          <w:tcPr>
            <w:tcW w:w="7466" w:type="dxa"/>
            <w:tcBorders>
              <w:bottom w:val="single" w:sz="4" w:space="0" w:color="auto"/>
            </w:tcBorders>
            <w:tcMar>
              <w:left w:w="0" w:type="dxa"/>
              <w:right w:w="28" w:type="dxa"/>
            </w:tcMar>
          </w:tcPr>
          <w:p w14:paraId="377F3758" w14:textId="09D1AC03" w:rsidR="00CA1CB5" w:rsidRDefault="00862733">
            <w:pPr>
              <w:spacing w:beforeLines="20" w:before="48" w:afterLines="20" w:after="48"/>
              <w:jc w:val="both"/>
              <w:textAlignment w:val="center"/>
              <w:rPr>
                <w:rFonts w:ascii="楷体" w:eastAsia="楷体" w:hAnsi="楷体" w:cs="Calibri" w:hint="eastAsia"/>
                <w:b/>
                <w:sz w:val="20"/>
                <w:szCs w:val="20"/>
              </w:rPr>
            </w:pPr>
            <w:r w:rsidRPr="00E71810">
              <w:rPr>
                <w:rFonts w:eastAsia="楷体" w:cs="Calibri"/>
                <w:b/>
                <w:bCs/>
                <w:sz w:val="20"/>
                <w:szCs w:val="20"/>
              </w:rPr>
              <w:lastRenderedPageBreak/>
              <w:t>Figure:</w:t>
            </w:r>
            <w:r w:rsidRPr="00862733">
              <w:rPr>
                <w:rFonts w:eastAsia="楷体" w:cs="Calibri"/>
                <w:b/>
                <w:sz w:val="20"/>
                <w:szCs w:val="20"/>
              </w:rPr>
              <w:t xml:space="preserve"> </w:t>
            </w:r>
            <w:r w:rsidR="007954C8" w:rsidRPr="007954C8">
              <w:rPr>
                <w:rFonts w:eastAsia="楷体" w:cs="Calibri"/>
                <w:b/>
                <w:sz w:val="20"/>
                <w:szCs w:val="20"/>
              </w:rPr>
              <w:t>Summary of Financials</w:t>
            </w:r>
          </w:p>
        </w:tc>
      </w:tr>
      <w:tr w:rsidR="00CA1CB5" w14:paraId="64B0A78B" w14:textId="77777777">
        <w:trPr>
          <w:trHeight w:val="856"/>
        </w:trPr>
        <w:tc>
          <w:tcPr>
            <w:tcW w:w="7466" w:type="dxa"/>
            <w:tcBorders>
              <w:top w:val="single" w:sz="4" w:space="0" w:color="auto"/>
              <w:bottom w:val="single" w:sz="4" w:space="0" w:color="auto"/>
            </w:tcBorders>
            <w:vAlign w:val="center"/>
          </w:tcPr>
          <w:p w14:paraId="595D2065" w14:textId="77777777" w:rsidR="00CA1CB5" w:rsidRDefault="00EE3BC1">
            <w:pPr>
              <w:spacing w:beforeLines="20" w:before="48" w:afterLines="20" w:after="48"/>
              <w:jc w:val="center"/>
              <w:textAlignment w:val="center"/>
              <w:rPr>
                <w:rFonts w:eastAsia="宋体" w:cs="Calibri"/>
                <w:b/>
                <w:bCs/>
                <w:sz w:val="20"/>
                <w:szCs w:val="20"/>
              </w:rPr>
            </w:pPr>
            <w:r>
              <w:rPr>
                <w:noProof/>
              </w:rPr>
              <w:drawing>
                <wp:inline distT="0" distB="0" distL="0" distR="0" wp14:anchorId="0C4B133E" wp14:editId="372DFAE1">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58"/>
                          <a:stretch>
                            <a:fillRect/>
                          </a:stretch>
                        </pic:blipFill>
                        <pic:spPr>
                          <a:xfrm>
                            <a:off x="0" y="0"/>
                            <a:ext cx="4916805" cy="3792855"/>
                          </a:xfrm>
                          <a:prstGeom prst="rect">
                            <a:avLst/>
                          </a:prstGeom>
                          <a:noFill/>
                          <a:ln w="9525">
                            <a:noFill/>
                          </a:ln>
                        </pic:spPr>
                      </pic:pic>
                    </a:graphicData>
                  </a:graphic>
                </wp:inline>
              </w:drawing>
            </w:r>
          </w:p>
        </w:tc>
      </w:tr>
      <w:tr w:rsidR="00CA1CB5" w14:paraId="0BF6A996" w14:textId="77777777">
        <w:trPr>
          <w:trHeight w:val="64"/>
        </w:trPr>
        <w:tc>
          <w:tcPr>
            <w:tcW w:w="7466" w:type="dxa"/>
            <w:tcBorders>
              <w:top w:val="single" w:sz="4" w:space="0" w:color="auto"/>
            </w:tcBorders>
            <w:tcMar>
              <w:left w:w="0" w:type="dxa"/>
              <w:right w:w="28" w:type="dxa"/>
            </w:tcMar>
            <w:vAlign w:val="center"/>
          </w:tcPr>
          <w:p w14:paraId="68186C11" w14:textId="407EA598" w:rsidR="00CA1CB5" w:rsidRDefault="007954C8">
            <w:pPr>
              <w:spacing w:line="240" w:lineRule="atLeast"/>
              <w:jc w:val="both"/>
              <w:textAlignment w:val="center"/>
              <w:rPr>
                <w:rFonts w:ascii="楷体" w:eastAsia="楷体" w:hAnsi="楷体" w:cs="Calibri" w:hint="eastAsia"/>
                <w:sz w:val="20"/>
                <w:szCs w:val="20"/>
              </w:rPr>
            </w:pPr>
            <w:r w:rsidRPr="007954C8">
              <w:rPr>
                <w:rFonts w:eastAsia="楷体" w:cs="Calibri"/>
                <w:b/>
                <w:bCs/>
                <w:sz w:val="20"/>
                <w:szCs w:val="20"/>
              </w:rPr>
              <w:t>Source: Wind, HFI</w:t>
            </w:r>
          </w:p>
        </w:tc>
      </w:tr>
    </w:tbl>
    <w:p w14:paraId="766CA320" w14:textId="77777777" w:rsidR="00CA1CB5" w:rsidRDefault="00CA1CB5">
      <w:pPr>
        <w:jc w:val="both"/>
        <w:rPr>
          <w:rFonts w:eastAsia="楷体_GB2312" w:cs="Calibri"/>
          <w:b/>
          <w:sz w:val="17"/>
        </w:rPr>
      </w:pPr>
    </w:p>
    <w:p w14:paraId="40BAECE0" w14:textId="7172A643" w:rsidR="00CA1CB5" w:rsidRPr="005B4229" w:rsidRDefault="005B4229">
      <w:pPr>
        <w:pStyle w:val="1"/>
        <w:spacing w:beforeLines="100" w:before="240" w:afterLines="100" w:after="240"/>
        <w:jc w:val="both"/>
        <w:rPr>
          <w:rFonts w:ascii="Calibri" w:eastAsia="楷体" w:hAnsi="Calibri" w:cs="Calibri"/>
          <w:b/>
          <w:bCs/>
          <w:color w:val="23558C"/>
          <w:sz w:val="28"/>
          <w:szCs w:val="28"/>
        </w:rPr>
      </w:pPr>
      <w:bookmarkStart w:id="35" w:name="_Toc186105501"/>
      <w:bookmarkStart w:id="36" w:name="_Toc220275555"/>
      <w:bookmarkStart w:id="37" w:name="_Toc224295893"/>
      <w:r>
        <w:rPr>
          <w:rFonts w:ascii="Calibri" w:eastAsia="楷体" w:hAnsi="Calibri" w:cs="Calibri" w:hint="eastAsia"/>
          <w:b/>
          <w:bCs/>
          <w:color w:val="23558C"/>
          <w:sz w:val="28"/>
          <w:szCs w:val="28"/>
        </w:rPr>
        <w:t>6</w:t>
      </w:r>
      <w:r w:rsidR="00373860" w:rsidRPr="005B4229">
        <w:rPr>
          <w:rFonts w:ascii="Calibri" w:eastAsia="楷体" w:hAnsi="Calibri" w:cs="Calibri"/>
          <w:b/>
          <w:bCs/>
          <w:color w:val="23558C"/>
          <w:sz w:val="28"/>
          <w:szCs w:val="28"/>
        </w:rPr>
        <w:t xml:space="preserve">. </w:t>
      </w:r>
      <w:bookmarkEnd w:id="35"/>
      <w:bookmarkEnd w:id="36"/>
      <w:r w:rsidR="00373860" w:rsidRPr="005B4229">
        <w:rPr>
          <w:rFonts w:ascii="Calibri" w:eastAsia="楷体" w:hAnsi="Calibri" w:cs="Calibri"/>
          <w:b/>
          <w:bCs/>
          <w:color w:val="23558C"/>
          <w:sz w:val="28"/>
          <w:szCs w:val="28"/>
        </w:rPr>
        <w:t>RISK</w:t>
      </w:r>
      <w:bookmarkEnd w:id="37"/>
    </w:p>
    <w:p w14:paraId="5E1E16BA" w14:textId="682FFE8E" w:rsidR="00CA1CB5" w:rsidRPr="00373860" w:rsidRDefault="00373860">
      <w:pPr>
        <w:tabs>
          <w:tab w:val="left" w:pos="871"/>
        </w:tabs>
        <w:rPr>
          <w:rFonts w:eastAsia="楷体" w:cs="Calibri"/>
          <w:sz w:val="22"/>
          <w:szCs w:val="22"/>
        </w:rPr>
        <w:sectPr w:rsidR="00CA1CB5" w:rsidRPr="00373860">
          <w:headerReference w:type="default" r:id="rId59"/>
          <w:footerReference w:type="default" r:id="rId60"/>
          <w:headerReference w:type="first" r:id="rId61"/>
          <w:pgSz w:w="11910" w:h="16840"/>
          <w:pgMar w:top="567" w:right="567" w:bottom="1021" w:left="3600" w:header="567" w:footer="919" w:gutter="0"/>
          <w:cols w:space="425"/>
          <w:titlePg/>
          <w:docGrid w:linePitch="299"/>
        </w:sectPr>
      </w:pPr>
      <w:r w:rsidRPr="00373860">
        <w:rPr>
          <w:rFonts w:eastAsia="楷体" w:cs="Calibri"/>
          <w:sz w:val="22"/>
          <w:szCs w:val="22"/>
        </w:rPr>
        <w:t>Raw material price fluctuations; supply chain disruptions; intensified market competition; changes in customer demand and preferences</w:t>
      </w:r>
      <w:r w:rsidR="007954C8">
        <w:rPr>
          <w:rFonts w:eastAsia="楷体" w:cs="Calibri" w:hint="eastAsia"/>
          <w:sz w:val="22"/>
          <w:szCs w:val="22"/>
        </w:rPr>
        <w:t>.</w:t>
      </w:r>
    </w:p>
    <w:tbl>
      <w:tblPr>
        <w:tblStyle w:val="ae"/>
        <w:tblW w:w="10773"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Pr>
      <w:tblGrid>
        <w:gridCol w:w="10773"/>
      </w:tblGrid>
      <w:tr w:rsidR="00CA1CB5" w14:paraId="57EF4CCB" w14:textId="77777777">
        <w:tc>
          <w:tcPr>
            <w:tcW w:w="10773" w:type="dxa"/>
          </w:tcPr>
          <w:tbl>
            <w:tblPr>
              <w:tblStyle w:val="ae"/>
              <w:tblW w:w="10773"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0773"/>
            </w:tblGrid>
            <w:tr w:rsidR="00CA1CB5" w14:paraId="0EFAF21D" w14:textId="77777777">
              <w:trPr>
                <w:trHeight w:hRule="exact" w:val="23"/>
              </w:trPr>
              <w:tc>
                <w:tcPr>
                  <w:tcW w:w="10773" w:type="dxa"/>
                  <w:tcBorders>
                    <w:top w:val="nil"/>
                    <w:bottom w:val="single" w:sz="4" w:space="0" w:color="C0C0C0"/>
                  </w:tcBorders>
                </w:tcPr>
                <w:p w14:paraId="435AD71B" w14:textId="77777777" w:rsidR="00CA1CB5" w:rsidRDefault="00EE3BC1">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lastRenderedPageBreak/>
                    <w:t xml:space="preserve"> [</w:t>
                  </w:r>
                  <w:proofErr w:type="spellStart"/>
                  <w:r>
                    <w:rPr>
                      <w:rFonts w:eastAsia="楷体_GB2312" w:cs="Calibri"/>
                      <w:b/>
                      <w:bCs/>
                      <w:color w:val="FFFFFF" w:themeColor="background1"/>
                      <w:w w:val="70"/>
                      <w:sz w:val="22"/>
                      <w:szCs w:val="22"/>
                    </w:rPr>
                    <w:t>Table_disclaimer</w:t>
                  </w:r>
                  <w:proofErr w:type="spellEnd"/>
                  <w:r>
                    <w:rPr>
                      <w:rFonts w:eastAsia="楷体_GB2312" w:cs="Calibri"/>
                      <w:b/>
                      <w:bCs/>
                      <w:color w:val="FFFFFF" w:themeColor="background1"/>
                      <w:w w:val="70"/>
                      <w:sz w:val="22"/>
                      <w:szCs w:val="22"/>
                    </w:rPr>
                    <w:t>]</w:t>
                  </w:r>
                </w:p>
              </w:tc>
            </w:tr>
            <w:tr w:rsidR="00CA1CB5" w14:paraId="6B615A7D" w14:textId="77777777">
              <w:tc>
                <w:tcPr>
                  <w:tcW w:w="10773" w:type="dxa"/>
                  <w:tcBorders>
                    <w:top w:val="single" w:sz="4" w:space="0" w:color="C0C0C0"/>
                    <w:bottom w:val="single" w:sz="24" w:space="0" w:color="C0C0C0"/>
                  </w:tcBorders>
                </w:tcPr>
                <w:p w14:paraId="4C270B11" w14:textId="77777777" w:rsidR="00CA1CB5" w:rsidRDefault="00EE3BC1">
                  <w:pPr>
                    <w:pStyle w:val="EFADisclaimerText"/>
                    <w:spacing w:after="60"/>
                    <w:rPr>
                      <w:rFonts w:eastAsia="楷体_GB2312" w:cs="Calibri"/>
                      <w:b/>
                      <w:bCs/>
                      <w:w w:val="70"/>
                      <w:sz w:val="22"/>
                      <w:szCs w:val="22"/>
                      <w:lang w:eastAsia="zh-CN"/>
                    </w:rPr>
                  </w:pPr>
                  <w:r>
                    <w:rPr>
                      <w:rFonts w:eastAsia="楷体_GB2312" w:cs="Calibri"/>
                      <w:b/>
                      <w:bCs/>
                      <w:w w:val="70"/>
                      <w:sz w:val="22"/>
                      <w:szCs w:val="22"/>
                    </w:rPr>
                    <w:t>附录</w:t>
                  </w:r>
                  <w:r>
                    <w:rPr>
                      <w:rFonts w:eastAsia="楷体_GB2312" w:cs="Calibri"/>
                      <w:b/>
                      <w:bCs/>
                      <w:w w:val="70"/>
                      <w:sz w:val="22"/>
                      <w:szCs w:val="22"/>
                    </w:rPr>
                    <w:t>APPENDIX</w:t>
                  </w:r>
                </w:p>
                <w:p w14:paraId="10E05E6D" w14:textId="77777777" w:rsidR="00CA1CB5" w:rsidRDefault="00EE3BC1">
                  <w:pPr>
                    <w:pStyle w:val="EFADisclaimerText"/>
                    <w:rPr>
                      <w:rFonts w:eastAsia="楷体_GB2312" w:cs="Calibri"/>
                      <w:b/>
                      <w:w w:val="70"/>
                      <w:sz w:val="20"/>
                      <w:szCs w:val="20"/>
                    </w:rPr>
                  </w:pPr>
                  <w:r>
                    <w:rPr>
                      <w:rFonts w:eastAsia="楷体_GB2312" w:cs="Calibri"/>
                      <w:b/>
                      <w:w w:val="70"/>
                      <w:sz w:val="20"/>
                      <w:szCs w:val="20"/>
                    </w:rPr>
                    <w:t>重要信息披露</w:t>
                  </w:r>
                </w:p>
                <w:p w14:paraId="0A932782" w14:textId="77777777" w:rsidR="00CA1CB5" w:rsidRDefault="00EE3BC1">
                  <w:pPr>
                    <w:pStyle w:val="EFADisclaimerText"/>
                    <w:rPr>
                      <w:rFonts w:eastAsia="楷体_GB2312" w:cs="Calibri"/>
                      <w:w w:val="70"/>
                      <w:sz w:val="20"/>
                      <w:szCs w:val="20"/>
                      <w:lang w:eastAsia="zh-CN"/>
                    </w:rPr>
                  </w:pPr>
                  <w:r>
                    <w:rPr>
                      <w:rFonts w:eastAsia="楷体_GB2312" w:cs="Calibri"/>
                      <w:w w:val="70"/>
                      <w:sz w:val="20"/>
                      <w:szCs w:val="20"/>
                    </w:rPr>
                    <w:t>本研究报告由</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（香港）金融控股有限公司（下称华福国际）</w:t>
                  </w:r>
                  <w:r>
                    <w:rPr>
                      <w:rFonts w:eastAsia="楷体_GB2312" w:cs="Calibri"/>
                      <w:w w:val="70"/>
                      <w:sz w:val="20"/>
                      <w:szCs w:val="20"/>
                    </w:rPr>
                    <w:t>分销</w:t>
                  </w:r>
                  <w:r>
                    <w:rPr>
                      <w:rFonts w:eastAsia="楷体_GB2312" w:cs="Calibri" w:hint="eastAsia"/>
                      <w:w w:val="70"/>
                      <w:sz w:val="20"/>
                      <w:szCs w:val="20"/>
                      <w:lang w:eastAsia="zh-CN"/>
                    </w:rPr>
                    <w:t>，</w:t>
                  </w:r>
                  <w:r>
                    <w:rPr>
                      <w:rFonts w:eastAsia="楷体_GB2312" w:cs="Calibri"/>
                      <w:w w:val="70"/>
                      <w:sz w:val="20"/>
                      <w:szCs w:val="20"/>
                    </w:rPr>
                    <w:t>在其许可的司法管辖区内从事证券活动。</w:t>
                  </w:r>
                </w:p>
                <w:p w14:paraId="4A5F6AA3" w14:textId="77777777" w:rsidR="00CA1CB5" w:rsidRDefault="00EE3BC1">
                  <w:pPr>
                    <w:pStyle w:val="EFADisclaimerText"/>
                    <w:rPr>
                      <w:rFonts w:eastAsia="楷体_GB2312" w:cs="Calibri"/>
                      <w:b/>
                      <w:bCs/>
                      <w:w w:val="70"/>
                      <w:sz w:val="20"/>
                      <w:szCs w:val="20"/>
                    </w:rPr>
                  </w:pPr>
                  <w:r>
                    <w:rPr>
                      <w:rFonts w:eastAsia="楷体_GB2312" w:cs="Calibri"/>
                      <w:b/>
                      <w:bCs/>
                      <w:w w:val="70"/>
                      <w:sz w:val="20"/>
                      <w:szCs w:val="20"/>
                    </w:rPr>
                    <w:t>IMPORTANT DISCLOSURES</w:t>
                  </w:r>
                </w:p>
                <w:p w14:paraId="498AC2D6" w14:textId="77777777" w:rsidR="00CA1CB5" w:rsidRDefault="00EE3BC1">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w:t>
                  </w:r>
                  <w:r>
                    <w:rPr>
                      <w:rFonts w:eastAsia="楷体_GB2312" w:cs="Calibri" w:hint="eastAsia"/>
                      <w:w w:val="70"/>
                      <w:sz w:val="20"/>
                      <w:szCs w:val="20"/>
                      <w:lang w:eastAsia="zh-CN"/>
                    </w:rPr>
                    <w:t xml:space="preserve"> (HK) Financial Holdings Limited (referred as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below)</w:t>
                  </w:r>
                  <w:r>
                    <w:rPr>
                      <w:rFonts w:eastAsia="楷体_GB2312" w:cs="Calibri"/>
                      <w:w w:val="70"/>
                      <w:sz w:val="20"/>
                      <w:szCs w:val="20"/>
                    </w:rPr>
                    <w:t xml:space="preserve">, </w:t>
                  </w:r>
                  <w:r>
                    <w:rPr>
                      <w:rFonts w:eastAsia="楷体_GB2312" w:cs="Calibri" w:hint="eastAsia"/>
                      <w:w w:val="70"/>
                      <w:sz w:val="20"/>
                      <w:szCs w:val="20"/>
                      <w:lang w:eastAsia="zh-CN"/>
                    </w:rPr>
                    <w:t>which</w:t>
                  </w:r>
                  <w:r>
                    <w:rPr>
                      <w:rFonts w:eastAsia="楷体_GB2312" w:cs="Calibri"/>
                      <w:w w:val="70"/>
                      <w:sz w:val="20"/>
                      <w:szCs w:val="20"/>
                    </w:rPr>
                    <w:t xml:space="preserve"> </w:t>
                  </w:r>
                  <w:r>
                    <w:rPr>
                      <w:rFonts w:eastAsia="楷体_GB2312" w:cs="Calibri" w:hint="eastAsia"/>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CA1CB5" w14:paraId="7FC21831" w14:textId="77777777">
              <w:tc>
                <w:tcPr>
                  <w:tcW w:w="10773" w:type="dxa"/>
                  <w:tcBorders>
                    <w:top w:val="single" w:sz="24" w:space="0" w:color="C0C0C0"/>
                  </w:tcBorders>
                </w:tcPr>
                <w:p w14:paraId="10D969F2" w14:textId="77777777" w:rsidR="00CA1CB5" w:rsidRDefault="00EE3BC1">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CA1CB5" w14:paraId="776781A9" w14:textId="77777777">
              <w:tc>
                <w:tcPr>
                  <w:tcW w:w="10773" w:type="dxa"/>
                  <w:tcBorders>
                    <w:bottom w:val="single" w:sz="24" w:space="0" w:color="C0C0C0"/>
                  </w:tcBorders>
                </w:tcPr>
                <w:p w14:paraId="5427013E" w14:textId="77777777" w:rsidR="00CA1CB5" w:rsidRDefault="00EE3BC1">
                  <w:pPr>
                    <w:rPr>
                      <w:rFonts w:eastAsia="楷体_GB2312" w:cs="Calibri"/>
                      <w:w w:val="70"/>
                      <w:sz w:val="20"/>
                      <w:szCs w:val="20"/>
                    </w:rPr>
                  </w:pPr>
                  <w:r>
                    <w:rPr>
                      <w:rFonts w:eastAsia="楷体_GB2312" w:cs="Calibri" w:hint="eastAsia"/>
                      <w:w w:val="70"/>
                      <w:sz w:val="20"/>
                      <w:szCs w:val="20"/>
                    </w:rPr>
                    <w:t>我，</w:t>
                  </w:r>
                  <w:r>
                    <w:rPr>
                      <w:rFonts w:eastAsia="楷体_GB2312" w:cs="Calibri" w:hint="eastAsia"/>
                      <w:w w:val="70"/>
                      <w:sz w:val="20"/>
                      <w:szCs w:val="20"/>
                    </w:rPr>
                    <w:t xml:space="preserve"> </w:t>
                  </w:r>
                  <w:proofErr w:type="spellStart"/>
                  <w:r>
                    <w:rPr>
                      <w:rFonts w:eastAsia="楷体_GB2312" w:cs="Calibri" w:hint="eastAsia"/>
                      <w:w w:val="70"/>
                      <w:sz w:val="20"/>
                      <w:szCs w:val="20"/>
                    </w:rPr>
                    <w:t>xxxx</w:t>
                  </w:r>
                  <w:proofErr w:type="spellEnd"/>
                  <w:r>
                    <w:rPr>
                      <w:rFonts w:eastAsia="楷体_GB2312" w:cs="Calibri" w:hint="eastAsia"/>
                      <w:w w:val="70"/>
                      <w:sz w:val="20"/>
                      <w:szCs w:val="20"/>
                    </w:rPr>
                    <w:t>，在此保证（</w:t>
                  </w:r>
                  <w:proofErr w:type="spellStart"/>
                  <w:r>
                    <w:rPr>
                      <w:rFonts w:eastAsia="楷体_GB2312" w:cs="Calibri" w:hint="eastAsia"/>
                      <w:w w:val="70"/>
                      <w:sz w:val="20"/>
                      <w:szCs w:val="20"/>
                    </w:rPr>
                    <w:t>i</w:t>
                  </w:r>
                  <w:proofErr w:type="spellEnd"/>
                  <w:r>
                    <w:rPr>
                      <w:rFonts w:eastAsia="楷体_GB2312" w:cs="Calibri" w:hint="eastAsia"/>
                      <w:w w:val="70"/>
                      <w:sz w:val="20"/>
                      <w:szCs w:val="20"/>
                    </w:rPr>
                    <w:t>）本研究报告中的意见准确反映了我们对本研究中提及的</w:t>
                  </w:r>
                  <w:proofErr w:type="gramStart"/>
                  <w:r>
                    <w:rPr>
                      <w:rFonts w:eastAsia="楷体_GB2312" w:cs="Calibri" w:hint="eastAsia"/>
                      <w:w w:val="70"/>
                      <w:sz w:val="20"/>
                      <w:szCs w:val="20"/>
                    </w:rPr>
                    <w:t>任何或</w:t>
                  </w:r>
                  <w:proofErr w:type="gramEnd"/>
                  <w:r>
                    <w:rPr>
                      <w:rFonts w:eastAsia="楷体_GB2312" w:cs="Calibri" w:hint="eastAsia"/>
                      <w:w w:val="70"/>
                      <w:sz w:val="20"/>
                      <w:szCs w:val="20"/>
                    </w:rPr>
                    <w:t>所有目标公司或上市公司的个人观点，并且（</w:t>
                  </w:r>
                  <w:r>
                    <w:rPr>
                      <w:rFonts w:eastAsia="楷体_GB2312" w:cs="Calibri" w:hint="eastAsia"/>
                      <w:w w:val="70"/>
                      <w:sz w:val="20"/>
                      <w:szCs w:val="20"/>
                    </w:rPr>
                    <w:t>ii</w:t>
                  </w:r>
                  <w:r>
                    <w:rPr>
                      <w:rFonts w:eastAsia="楷体_GB2312" w:cs="Calibri" w:hint="eastAsia"/>
                      <w:w w:val="70"/>
                      <w:sz w:val="20"/>
                      <w:szCs w:val="20"/>
                    </w:rPr>
                    <w:t>）我的报酬中没有任何部分与本研究报告中表达的具体建议或观点直接或间接相关；及就此报告中所讨论目标公司的证券，我们（包括我们的家属）在其中均不持有任何财务利益。</w:t>
                  </w:r>
                  <w:r>
                    <w:rPr>
                      <w:rFonts w:eastAsia="楷体_GB2312" w:cs="Calibri" w:hint="eastAsia"/>
                      <w:w w:val="70"/>
                      <w:sz w:val="20"/>
                      <w:szCs w:val="20"/>
                    </w:rPr>
                    <w:t xml:space="preserve">I, </w:t>
                  </w:r>
                  <w:proofErr w:type="spellStart"/>
                  <w:r>
                    <w:rPr>
                      <w:rFonts w:eastAsia="楷体_GB2312" w:cs="Calibri" w:hint="eastAsia"/>
                      <w:w w:val="70"/>
                      <w:sz w:val="20"/>
                      <w:szCs w:val="20"/>
                    </w:rPr>
                    <w:t>xxxx</w:t>
                  </w:r>
                  <w:proofErr w:type="spellEnd"/>
                  <w:r>
                    <w:rPr>
                      <w:rFonts w:eastAsia="楷体_GB2312" w:cs="Calibri" w:hint="eastAsia"/>
                      <w:w w:val="70"/>
                      <w:sz w:val="20"/>
                      <w:szCs w:val="20"/>
                    </w:rPr>
                    <w:t>, certify that (</w:t>
                  </w:r>
                  <w:proofErr w:type="spellStart"/>
                  <w:r>
                    <w:rPr>
                      <w:rFonts w:eastAsia="楷体_GB2312" w:cs="Calibri" w:hint="eastAsia"/>
                      <w:w w:val="70"/>
                      <w:sz w:val="20"/>
                      <w:szCs w:val="20"/>
                    </w:rPr>
                    <w:t>i</w:t>
                  </w:r>
                  <w:proofErr w:type="spellEnd"/>
                  <w:r>
                    <w:rPr>
                      <w:rFonts w:eastAsia="楷体_GB2312" w:cs="Calibri" w:hint="eastAsia"/>
                      <w:w w:val="70"/>
                      <w:sz w:val="20"/>
                      <w:szCs w:val="20"/>
                    </w:rPr>
                    <w:t>)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CA1CB5" w14:paraId="0F176F9C" w14:textId="77777777">
              <w:tc>
                <w:tcPr>
                  <w:tcW w:w="10773" w:type="dxa"/>
                  <w:tcBorders>
                    <w:top w:val="single" w:sz="24" w:space="0" w:color="C0C0C0"/>
                    <w:bottom w:val="nil"/>
                  </w:tcBorders>
                </w:tcPr>
                <w:p w14:paraId="58E61DF0" w14:textId="77777777" w:rsidR="00CA1CB5" w:rsidRDefault="00EE3BC1">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CA1CB5" w14:paraId="1D96B023" w14:textId="77777777">
              <w:tc>
                <w:tcPr>
                  <w:tcW w:w="10773" w:type="dxa"/>
                  <w:tcBorders>
                    <w:top w:val="nil"/>
                    <w:bottom w:val="single" w:sz="4" w:space="0" w:color="C0C0C0"/>
                  </w:tcBorders>
                </w:tcPr>
                <w:p w14:paraId="11216AF9" w14:textId="77777777" w:rsidR="00CA1CB5" w:rsidRDefault="00EE3BC1">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国际及其某些关联公司可从事投资银行业务和</w:t>
                  </w:r>
                  <w:r>
                    <w:rPr>
                      <w:rFonts w:eastAsia="楷体_GB2312" w:cs="Calibri"/>
                      <w:w w:val="70"/>
                      <w:sz w:val="20"/>
                      <w:szCs w:val="20"/>
                    </w:rPr>
                    <w:t>/</w:t>
                  </w:r>
                  <w:r>
                    <w:rPr>
                      <w:rFonts w:eastAsia="楷体_GB2312" w:cs="Calibri"/>
                      <w:w w:val="70"/>
                      <w:sz w:val="20"/>
                      <w:szCs w:val="20"/>
                    </w:rPr>
                    <w:t>或对本研究中的特定股票或公司进行做市或持有自营头寸。就本研究报告而言，如需了解</w:t>
                  </w:r>
                  <w:r>
                    <w:rPr>
                      <w:rFonts w:eastAsia="楷体_GB2312" w:cs="Calibri" w:hint="eastAsia"/>
                      <w:w w:val="70"/>
                      <w:sz w:val="20"/>
                      <w:szCs w:val="20"/>
                    </w:rPr>
                    <w:t>其中提到的某一公司</w:t>
                  </w:r>
                  <w:r>
                    <w:rPr>
                      <w:rFonts w:eastAsia="楷体_GB2312" w:cs="Calibri"/>
                      <w:w w:val="70"/>
                      <w:sz w:val="20"/>
                      <w:szCs w:val="20"/>
                    </w:rPr>
                    <w:t>信息，</w:t>
                  </w:r>
                  <w:hyperlink r:id="rId62" w:history="1">
                    <w:r w:rsidR="00CA1CB5">
                      <w:rPr>
                        <w:rStyle w:val="af0"/>
                        <w:rFonts w:eastAsia="楷体_GB2312" w:cs="Calibri"/>
                        <w:color w:val="000000" w:themeColor="text1"/>
                        <w:w w:val="70"/>
                        <w:sz w:val="20"/>
                        <w:szCs w:val="20"/>
                      </w:rPr>
                      <w:t>请发邮件至</w:t>
                    </w:r>
                    <w:r w:rsidR="00CA1CB5">
                      <w:rPr>
                        <w:rStyle w:val="af0"/>
                        <w:rFonts w:eastAsia="楷体_GB2312" w:cs="Calibri" w:hint="eastAsia"/>
                        <w:color w:val="000000" w:themeColor="text1"/>
                        <w:w w:val="70"/>
                        <w:sz w:val="20"/>
                        <w:szCs w:val="20"/>
                      </w:rPr>
                      <w:t>lcd</w:t>
                    </w:r>
                    <w:r w:rsidR="00CA1CB5">
                      <w:rPr>
                        <w:rStyle w:val="af0"/>
                        <w:rFonts w:eastAsia="楷体_GB2312" w:cs="Calibri"/>
                        <w:color w:val="000000" w:themeColor="text1"/>
                        <w:w w:val="70"/>
                        <w:sz w:val="20"/>
                        <w:szCs w:val="20"/>
                      </w:rPr>
                      <w:t>@</w:t>
                    </w:r>
                    <w:r w:rsidR="00CA1CB5">
                      <w:rPr>
                        <w:rStyle w:val="af0"/>
                        <w:rFonts w:eastAsia="楷体_GB2312" w:cs="Calibri" w:hint="eastAsia"/>
                        <w:color w:val="000000" w:themeColor="text1"/>
                        <w:w w:val="70"/>
                        <w:sz w:val="20"/>
                        <w:szCs w:val="20"/>
                      </w:rPr>
                      <w:t>hfisec</w:t>
                    </w:r>
                    <w:r w:rsidR="00CA1CB5">
                      <w:rPr>
                        <w:rStyle w:val="af0"/>
                        <w:rFonts w:eastAsia="楷体_GB2312" w:cs="Calibri"/>
                        <w:color w:val="000000" w:themeColor="text1"/>
                        <w:w w:val="70"/>
                        <w:sz w:val="20"/>
                        <w:szCs w:val="20"/>
                      </w:rPr>
                      <w:t>.com</w:t>
                    </w:r>
                  </w:hyperlink>
                  <w:r>
                    <w:rPr>
                      <w:rFonts w:eastAsia="宋体" w:hint="eastAsia"/>
                      <w:u w:val="single"/>
                    </w:rPr>
                    <w:t>.hk</w:t>
                  </w:r>
                  <w:r>
                    <w:rPr>
                      <w:rFonts w:eastAsia="楷体_GB2312" w:cs="Calibri"/>
                      <w:w w:val="70"/>
                      <w:sz w:val="20"/>
                      <w:szCs w:val="20"/>
                    </w:rPr>
                    <w:t>）</w:t>
                  </w:r>
                </w:p>
                <w:p w14:paraId="4A1187E1" w14:textId="77777777" w:rsidR="00CA1CB5" w:rsidRDefault="00EE3BC1">
                  <w:pPr>
                    <w:pStyle w:val="EFADisclaimerText"/>
                    <w:rPr>
                      <w:rFonts w:eastAsia="楷体_GB2312" w:cs="Calibri"/>
                      <w:b/>
                      <w:bCs/>
                      <w:w w:val="70"/>
                      <w:sz w:val="20"/>
                      <w:szCs w:val="20"/>
                      <w:lang w:eastAsia="zh-CN"/>
                    </w:rPr>
                  </w:pP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hint="eastAsia"/>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hint="eastAsia"/>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hint="eastAsia"/>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hint="eastAsia"/>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hint="eastAsia"/>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CA1CB5" w14:paraId="66E4B68A" w14:textId="77777777">
              <w:tc>
                <w:tcPr>
                  <w:tcW w:w="10773" w:type="dxa"/>
                  <w:tcBorders>
                    <w:top w:val="single" w:sz="4" w:space="0" w:color="C0C0C0"/>
                    <w:bottom w:val="single" w:sz="4" w:space="0" w:color="C0C0C0"/>
                  </w:tcBorders>
                </w:tcPr>
                <w:p w14:paraId="38EFE9AF" w14:textId="77777777" w:rsidR="00CA1CB5" w:rsidRDefault="00CA1CB5">
                  <w:pPr>
                    <w:pStyle w:val="EFADisclaimerText"/>
                    <w:rPr>
                      <w:rFonts w:eastAsia="楷体_GB2312" w:cs="Calibri"/>
                      <w:w w:val="70"/>
                      <w:sz w:val="20"/>
                      <w:szCs w:val="20"/>
                    </w:rPr>
                  </w:pPr>
                </w:p>
              </w:tc>
            </w:tr>
            <w:tr w:rsidR="00CA1CB5" w14:paraId="5DCB2F71" w14:textId="77777777">
              <w:trPr>
                <w:trHeight w:val="5096"/>
              </w:trPr>
              <w:tc>
                <w:tcPr>
                  <w:tcW w:w="10773" w:type="dxa"/>
                  <w:tcBorders>
                    <w:top w:val="single" w:sz="4" w:space="0" w:color="C0C0C0"/>
                  </w:tcBorders>
                </w:tcPr>
                <w:p w14:paraId="6F3BAF69" w14:textId="77777777" w:rsidR="00CA1CB5" w:rsidRDefault="00EE3BC1">
                  <w:pPr>
                    <w:pStyle w:val="EFADisclaimerText"/>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r>
                    <w:rPr>
                      <w:rFonts w:eastAsia="楷体_GB2312" w:cs="Calibri"/>
                      <w:b/>
                      <w:w w:val="70"/>
                      <w:sz w:val="20"/>
                      <w:szCs w:val="20"/>
                    </w:rPr>
                    <w:t>：</w:t>
                  </w:r>
                </w:p>
                <w:p w14:paraId="5FC542D5" w14:textId="77777777" w:rsidR="00CA1CB5" w:rsidRDefault="00EE3BC1">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w:t>
                  </w:r>
                  <w:proofErr w:type="gramStart"/>
                  <w:r>
                    <w:rPr>
                      <w:rFonts w:eastAsia="楷体_GB2312" w:cs="Calibri"/>
                      <w:w w:val="70"/>
                      <w:sz w:val="20"/>
                      <w:szCs w:val="20"/>
                      <w:lang w:eastAsia="zh-CN"/>
                    </w:rPr>
                    <w:t>师观点</w:t>
                  </w:r>
                  <w:proofErr w:type="gramEnd"/>
                  <w:r>
                    <w:rPr>
                      <w:rFonts w:eastAsia="楷体_GB2312" w:cs="Calibri"/>
                      <w:w w:val="70"/>
                      <w:sz w:val="20"/>
                      <w:szCs w:val="20"/>
                      <w:lang w:eastAsia="zh-CN"/>
                    </w:rPr>
                    <w:t>的完整信息，投资者应仔细阅读全文而非仅看评级。在任何情况下，分析师的评级和研究都不能作为投资建议。投资者的买卖股票的决策应基于各自情况（比如投资者的现有持仓）以及其他因素。</w:t>
                  </w:r>
                </w:p>
                <w:p w14:paraId="2DA1D09A" w14:textId="77777777" w:rsidR="00CA1CB5" w:rsidRDefault="00EE3BC1">
                  <w:pPr>
                    <w:pStyle w:val="EFADisclaimerText"/>
                    <w:rPr>
                      <w:rFonts w:eastAsia="楷体_GB2312" w:cs="Calibri"/>
                      <w:b/>
                      <w:w w:val="70"/>
                      <w:sz w:val="20"/>
                      <w:szCs w:val="20"/>
                      <w:lang w:eastAsia="zh-CN"/>
                    </w:rPr>
                  </w:pPr>
                  <w:r>
                    <w:rPr>
                      <w:rFonts w:eastAsia="楷体_GB2312" w:cs="Calibri"/>
                      <w:b/>
                      <w:w w:val="70"/>
                      <w:sz w:val="20"/>
                      <w:szCs w:val="20"/>
                      <w:lang w:eastAsia="zh-CN"/>
                    </w:rPr>
                    <w:t>分析</w:t>
                  </w:r>
                  <w:proofErr w:type="gramStart"/>
                  <w:r>
                    <w:rPr>
                      <w:rFonts w:eastAsia="楷体_GB2312" w:cs="Calibri"/>
                      <w:b/>
                      <w:w w:val="70"/>
                      <w:sz w:val="20"/>
                      <w:szCs w:val="20"/>
                      <w:lang w:eastAsia="zh-CN"/>
                    </w:rPr>
                    <w:t>师股票</w:t>
                  </w:r>
                  <w:proofErr w:type="gramEnd"/>
                  <w:r>
                    <w:rPr>
                      <w:rFonts w:eastAsia="楷体_GB2312" w:cs="Calibri"/>
                      <w:b/>
                      <w:w w:val="70"/>
                      <w:sz w:val="20"/>
                      <w:szCs w:val="20"/>
                      <w:lang w:eastAsia="zh-CN"/>
                    </w:rPr>
                    <w:t>评级</w:t>
                  </w:r>
                </w:p>
                <w:p w14:paraId="33CC7B03" w14:textId="77777777" w:rsidR="00CA1CB5" w:rsidRDefault="00EE3BC1">
                  <w:pPr>
                    <w:pStyle w:val="EFADisclaimerText"/>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4697FE7A" w14:textId="77777777" w:rsidR="00CA1CB5" w:rsidRDefault="00EE3BC1">
                  <w:pPr>
                    <w:pStyle w:val="EFADisclaimerText"/>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500A66BC" w14:textId="77777777" w:rsidR="00CA1CB5" w:rsidRDefault="00EE3BC1">
                  <w:pPr>
                    <w:pStyle w:val="EFADisclaimerText"/>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3A142106" w14:textId="77777777" w:rsidR="00CA1CB5" w:rsidRDefault="00EE3BC1">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TOPIX, </w:t>
                  </w:r>
                  <w:r>
                    <w:rPr>
                      <w:rFonts w:eastAsia="楷体_GB2312" w:cs="Calibri"/>
                      <w:w w:val="70"/>
                      <w:sz w:val="20"/>
                      <w:szCs w:val="20"/>
                      <w:lang w:eastAsia="zh-CN"/>
                    </w:rPr>
                    <w:t>韩国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KOSPI, </w:t>
                  </w:r>
                  <w:r>
                    <w:rPr>
                      <w:rFonts w:eastAsia="楷体_GB2312" w:cs="Calibri"/>
                      <w:w w:val="70"/>
                      <w:sz w:val="20"/>
                      <w:szCs w:val="20"/>
                      <w:lang w:eastAsia="zh-CN"/>
                    </w:rPr>
                    <w:t>台湾</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TAIEX, </w:t>
                  </w:r>
                  <w:r>
                    <w:rPr>
                      <w:rFonts w:eastAsia="楷体_GB2312" w:cs="Calibri"/>
                      <w:w w:val="70"/>
                      <w:sz w:val="20"/>
                      <w:szCs w:val="20"/>
                      <w:lang w:eastAsia="zh-CN"/>
                    </w:rPr>
                    <w:t>印度</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Nifty100, </w:t>
                  </w:r>
                  <w:r>
                    <w:rPr>
                      <w:rFonts w:eastAsia="楷体_GB2312" w:cs="Calibri"/>
                      <w:w w:val="70"/>
                      <w:sz w:val="20"/>
                      <w:szCs w:val="20"/>
                      <w:lang w:eastAsia="zh-CN"/>
                    </w:rPr>
                    <w:t>美国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3143BE25" w14:textId="77777777" w:rsidR="00CA1CB5" w:rsidRDefault="00EE3BC1">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0EE2588D" w14:textId="77777777" w:rsidR="00CA1CB5" w:rsidRDefault="00EE3BC1">
                  <w:pPr>
                    <w:pStyle w:val="EFADisclaimerText"/>
                    <w:rPr>
                      <w:rFonts w:eastAsia="楷体_GB2312" w:cs="Calibri"/>
                      <w:w w:val="79"/>
                      <w:sz w:val="20"/>
                      <w:szCs w:val="20"/>
                    </w:rPr>
                  </w:pP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Research. In addition, since </w:t>
                  </w: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Research contains more complete information concerning the analyst's views, investors should carefully read </w:t>
                  </w:r>
                  <w:proofErr w:type="spellStart"/>
                  <w:r>
                    <w:rPr>
                      <w:rFonts w:eastAsia="楷体_GB2312" w:cs="Calibri" w:hint="eastAsia"/>
                      <w:w w:val="79"/>
                      <w:sz w:val="20"/>
                      <w:szCs w:val="20"/>
                      <w:lang w:eastAsia="zh-CN"/>
                    </w:rPr>
                    <w:t>HuaFu</w:t>
                  </w:r>
                  <w:proofErr w:type="spellEnd"/>
                  <w:r>
                    <w:rPr>
                      <w:rFonts w:eastAsia="楷体_GB2312" w:cs="Calibri" w:hint="eastAsia"/>
                      <w:w w:val="79"/>
                      <w:sz w:val="20"/>
                      <w:szCs w:val="20"/>
                      <w:lang w:eastAsia="zh-CN"/>
                    </w:rPr>
                    <w:t xml:space="preserve">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1C6BDB29" w14:textId="77777777" w:rsidR="00CA1CB5" w:rsidRDefault="00EE3BC1">
                  <w:pPr>
                    <w:pStyle w:val="EFADisclaimerText"/>
                    <w:rPr>
                      <w:rFonts w:eastAsia="楷体_GB2312" w:cs="Calibri"/>
                      <w:b/>
                      <w:w w:val="79"/>
                      <w:sz w:val="20"/>
                      <w:szCs w:val="20"/>
                    </w:rPr>
                  </w:pPr>
                  <w:r>
                    <w:rPr>
                      <w:rFonts w:eastAsia="楷体_GB2312" w:cs="Calibri"/>
                      <w:b/>
                      <w:w w:val="79"/>
                      <w:sz w:val="20"/>
                      <w:szCs w:val="20"/>
                    </w:rPr>
                    <w:t>Analyst Stock Ratings</w:t>
                  </w:r>
                </w:p>
                <w:p w14:paraId="70C387BD" w14:textId="77777777" w:rsidR="00CA1CB5" w:rsidRDefault="00EE3BC1">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xml:space="preserve">, as indicated below. </w:t>
                  </w:r>
                </w:p>
                <w:p w14:paraId="183B4151" w14:textId="77777777" w:rsidR="00CA1CB5" w:rsidRDefault="00EE3BC1">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as indicated below.</w:t>
                  </w:r>
                </w:p>
                <w:p w14:paraId="34458A62" w14:textId="77777777" w:rsidR="00CA1CB5" w:rsidRDefault="00EE3BC1">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6ADA8FCA" w14:textId="77777777" w:rsidR="00CA1CB5" w:rsidRDefault="00CA1CB5">
                  <w:pPr>
                    <w:pStyle w:val="EFADisclaimerText"/>
                    <w:rPr>
                      <w:rFonts w:eastAsia="楷体_GB2312" w:cs="Calibri"/>
                      <w:w w:val="70"/>
                      <w:sz w:val="20"/>
                      <w:szCs w:val="20"/>
                      <w:lang w:eastAsia="zh-CN"/>
                    </w:rPr>
                  </w:pPr>
                </w:p>
              </w:tc>
            </w:tr>
            <w:tr w:rsidR="00CA1CB5" w14:paraId="76E4B7AE" w14:textId="77777777">
              <w:tc>
                <w:tcPr>
                  <w:tcW w:w="10773" w:type="dxa"/>
                  <w:tcBorders>
                    <w:top w:val="single" w:sz="4" w:space="0" w:color="C0C0C0"/>
                    <w:bottom w:val="single" w:sz="4" w:space="0" w:color="C0C0C0"/>
                  </w:tcBorders>
                </w:tcPr>
                <w:p w14:paraId="56E7F404" w14:textId="77777777" w:rsidR="00CA1CB5" w:rsidRDefault="00EE3BC1">
                  <w:pPr>
                    <w:pStyle w:val="EFADisclaimerText"/>
                    <w:spacing w:after="60"/>
                    <w:rPr>
                      <w:rFonts w:eastAsia="楷体_GB2312" w:cs="Calibri"/>
                      <w:w w:val="70"/>
                      <w:sz w:val="20"/>
                      <w:szCs w:val="20"/>
                    </w:rPr>
                  </w:pPr>
                  <w:r>
                    <w:rPr>
                      <w:rFonts w:eastAsia="楷体_GB2312" w:cs="Calibri" w:hint="eastAsia"/>
                      <w:b/>
                      <w:w w:val="70"/>
                      <w:sz w:val="20"/>
                      <w:szCs w:val="20"/>
                      <w:lang w:eastAsia="zh-CN"/>
                    </w:rPr>
                    <w:t>华福</w:t>
                  </w:r>
                  <w:r>
                    <w:rPr>
                      <w:rFonts w:eastAsia="楷体_GB2312" w:cs="Calibri"/>
                      <w:b/>
                      <w:w w:val="70"/>
                      <w:sz w:val="20"/>
                      <w:szCs w:val="20"/>
                    </w:rPr>
                    <w:t>国际非评级研究：</w:t>
                  </w:r>
                  <w:r>
                    <w:rPr>
                      <w:rFonts w:eastAsia="楷体_GB2312" w:cs="Calibri" w:hint="eastAsia"/>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1B8921DC" w14:textId="77777777" w:rsidR="00CA1CB5" w:rsidRDefault="00EE3BC1">
                  <w:pPr>
                    <w:pStyle w:val="EFADisclaimerText"/>
                    <w:rPr>
                      <w:rFonts w:eastAsia="楷体_GB2312" w:cs="Calibri"/>
                      <w:w w:val="70"/>
                      <w:sz w:val="20"/>
                      <w:szCs w:val="20"/>
                      <w:lang w:eastAsia="zh-CN"/>
                    </w:rPr>
                  </w:pPr>
                  <w:proofErr w:type="spellStart"/>
                  <w:r>
                    <w:rPr>
                      <w:rFonts w:eastAsia="楷体_GB2312" w:cs="Calibri" w:hint="eastAsia"/>
                      <w:b/>
                      <w:w w:val="70"/>
                      <w:sz w:val="20"/>
                      <w:szCs w:val="20"/>
                      <w:lang w:eastAsia="zh-CN"/>
                    </w:rPr>
                    <w:t>HuaFu</w:t>
                  </w:r>
                  <w:proofErr w:type="spellEnd"/>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CA1CB5" w14:paraId="011BDEB4" w14:textId="77777777">
              <w:tc>
                <w:tcPr>
                  <w:tcW w:w="10773" w:type="dxa"/>
                  <w:tcBorders>
                    <w:top w:val="single" w:sz="4" w:space="0" w:color="C0C0C0"/>
                    <w:bottom w:val="single" w:sz="4" w:space="0" w:color="C0C0C0"/>
                  </w:tcBorders>
                </w:tcPr>
                <w:p w14:paraId="3F678858" w14:textId="77777777" w:rsidR="00CA1CB5" w:rsidRDefault="00EE3BC1">
                  <w:pPr>
                    <w:pStyle w:val="EFADisclaimerText"/>
                    <w:spacing w:after="60"/>
                    <w:rPr>
                      <w:rFonts w:eastAsia="楷体_GB2312" w:cs="Calibri"/>
                      <w:w w:val="70"/>
                      <w:sz w:val="20"/>
                      <w:szCs w:val="20"/>
                      <w:lang w:eastAsia="zh-CN"/>
                    </w:rPr>
                  </w:pPr>
                  <w:r>
                    <w:rPr>
                      <w:rFonts w:eastAsia="楷体_GB2312" w:cs="Calibri" w:hint="eastAsia"/>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
                      <w:w w:val="70"/>
                      <w:sz w:val="20"/>
                      <w:szCs w:val="20"/>
                    </w:rPr>
                    <w:t>：</w:t>
                  </w:r>
                  <w:r>
                    <w:rPr>
                      <w:rFonts w:eastAsia="楷体_GB2312" w:cs="Calibri" w:hint="eastAsia"/>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w:t>
                  </w:r>
                  <w:r>
                    <w:rPr>
                      <w:rFonts w:eastAsia="楷体_GB2312" w:cs="Calibri"/>
                      <w:w w:val="70"/>
                      <w:sz w:val="20"/>
                      <w:szCs w:val="20"/>
                      <w:lang w:eastAsia="zh-CN"/>
                    </w:rPr>
                    <w:t>A</w:t>
                  </w:r>
                  <w:r>
                    <w:rPr>
                      <w:rFonts w:eastAsia="楷体_GB2312" w:cs="Calibri"/>
                      <w:w w:val="70"/>
                      <w:sz w:val="20"/>
                      <w:szCs w:val="20"/>
                      <w:lang w:eastAsia="zh-CN"/>
                    </w:rPr>
                    <w:t>股进行覆盖及评级。</w:t>
                  </w:r>
                  <w:r>
                    <w:rPr>
                      <w:rFonts w:eastAsia="楷体_GB2312" w:cs="Calibri" w:hint="eastAsia"/>
                      <w:w w:val="70"/>
                      <w:sz w:val="20"/>
                      <w:szCs w:val="20"/>
                      <w:lang w:eastAsia="zh-CN"/>
                    </w:rPr>
                    <w:t>华福</w:t>
                  </w:r>
                  <w:r>
                    <w:rPr>
                      <w:rFonts w:eastAsia="楷体_GB2312" w:cs="Calibri"/>
                      <w:w w:val="70"/>
                      <w:sz w:val="20"/>
                      <w:szCs w:val="20"/>
                      <w:lang w:eastAsia="zh-CN"/>
                    </w:rPr>
                    <w:t>证券，</w:t>
                  </w:r>
                  <w:r>
                    <w:rPr>
                      <w:rFonts w:eastAsia="楷体_GB2312" w:cs="Calibri" w:hint="eastAsia"/>
                      <w:w w:val="70"/>
                      <w:sz w:val="20"/>
                      <w:szCs w:val="20"/>
                      <w:lang w:eastAsia="zh-CN"/>
                    </w:rPr>
                    <w:t>华福</w:t>
                  </w:r>
                  <w:r>
                    <w:rPr>
                      <w:rFonts w:eastAsia="楷体_GB2312" w:cs="Calibri"/>
                      <w:w w:val="70"/>
                      <w:sz w:val="20"/>
                      <w:szCs w:val="20"/>
                      <w:lang w:eastAsia="zh-CN"/>
                    </w:rPr>
                    <w:t>国际于</w:t>
                  </w:r>
                  <w:r>
                    <w:rPr>
                      <w:rFonts w:eastAsia="楷体_GB2312" w:cs="Calibri" w:hint="eastAsia"/>
                      <w:w w:val="70"/>
                      <w:sz w:val="20"/>
                      <w:szCs w:val="20"/>
                      <w:lang w:eastAsia="zh-CN"/>
                    </w:rPr>
                    <w:t>福州</w:t>
                  </w:r>
                  <w:r>
                    <w:rPr>
                      <w:rFonts w:eastAsia="楷体_GB2312" w:cs="Calibri"/>
                      <w:w w:val="70"/>
                      <w:sz w:val="20"/>
                      <w:szCs w:val="20"/>
                      <w:lang w:eastAsia="zh-CN"/>
                    </w:rPr>
                    <w:t>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eastAsia="楷体_GB2312" w:cs="Calibri" w:hint="eastAsia"/>
                      <w:w w:val="70"/>
                      <w:sz w:val="20"/>
                      <w:szCs w:val="20"/>
                      <w:lang w:eastAsia="zh-CN"/>
                    </w:rPr>
                    <w:t>华福</w:t>
                  </w:r>
                  <w:r>
                    <w:rPr>
                      <w:rFonts w:eastAsia="楷体_GB2312" w:cs="Calibri"/>
                      <w:w w:val="70"/>
                      <w:sz w:val="20"/>
                      <w:szCs w:val="20"/>
                      <w:lang w:eastAsia="zh-CN"/>
                    </w:rPr>
                    <w:t>证</w:t>
                  </w:r>
                  <w:r>
                    <w:rPr>
                      <w:rFonts w:eastAsia="楷体_GB2312" w:cs="Calibri"/>
                      <w:w w:val="70"/>
                      <w:sz w:val="20"/>
                      <w:szCs w:val="20"/>
                      <w:lang w:eastAsia="zh-CN"/>
                    </w:rPr>
                    <w:lastRenderedPageBreak/>
                    <w:t>券不同的评级系统，</w:t>
                  </w:r>
                  <w:r>
                    <w:rPr>
                      <w:rFonts w:eastAsia="楷体_GB2312" w:cs="Calibri" w:hint="eastAsia"/>
                      <w:w w:val="70"/>
                      <w:sz w:val="20"/>
                      <w:szCs w:val="20"/>
                      <w:lang w:eastAsia="zh-CN"/>
                    </w:rPr>
                    <w:t>且可能有完全独立的不同研究覆盖团队，</w:t>
                  </w:r>
                  <w:r>
                    <w:rPr>
                      <w:rFonts w:eastAsia="楷体_GB2312" w:cs="Calibri"/>
                      <w:w w:val="70"/>
                      <w:sz w:val="20"/>
                      <w:szCs w:val="20"/>
                      <w:lang w:eastAsia="zh-CN"/>
                    </w:rPr>
                    <w:t>所以</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eastAsia="楷体_GB2312" w:cs="Calibri" w:hint="eastAsia"/>
                      <w:w w:val="70"/>
                      <w:sz w:val="20"/>
                      <w:szCs w:val="20"/>
                      <w:lang w:eastAsia="zh-CN"/>
                    </w:rPr>
                    <w:t>华福</w:t>
                  </w:r>
                  <w:r>
                    <w:rPr>
                      <w:rFonts w:eastAsia="楷体_GB2312" w:cs="Calibri"/>
                      <w:w w:val="70"/>
                      <w:sz w:val="20"/>
                      <w:szCs w:val="20"/>
                      <w:lang w:eastAsia="zh-CN"/>
                    </w:rPr>
                    <w:t>证券的中国</w:t>
                  </w:r>
                  <w:r>
                    <w:rPr>
                      <w:rFonts w:eastAsia="楷体_GB2312" w:cs="Calibri"/>
                      <w:w w:val="70"/>
                      <w:sz w:val="20"/>
                      <w:szCs w:val="20"/>
                      <w:lang w:eastAsia="zh-CN"/>
                    </w:rPr>
                    <w:t>A</w:t>
                  </w:r>
                  <w:r>
                    <w:rPr>
                      <w:rFonts w:eastAsia="楷体_GB2312" w:cs="Calibri"/>
                      <w:w w:val="70"/>
                      <w:sz w:val="20"/>
                      <w:szCs w:val="20"/>
                      <w:lang w:eastAsia="zh-CN"/>
                    </w:rPr>
                    <w:t>股评级</w:t>
                  </w:r>
                  <w:r>
                    <w:rPr>
                      <w:rFonts w:eastAsia="楷体_GB2312" w:cs="Calibri" w:hint="eastAsia"/>
                      <w:w w:val="70"/>
                      <w:sz w:val="20"/>
                      <w:szCs w:val="20"/>
                      <w:lang w:eastAsia="zh-CN"/>
                    </w:rPr>
                    <w:t>、目标价乃至分析逻辑</w:t>
                  </w:r>
                  <w:r>
                    <w:rPr>
                      <w:rFonts w:eastAsia="楷体_GB2312" w:cs="Calibri"/>
                      <w:w w:val="70"/>
                      <w:sz w:val="20"/>
                      <w:szCs w:val="20"/>
                      <w:lang w:eastAsia="zh-CN"/>
                    </w:rPr>
                    <w:t>可能有所不同。</w:t>
                  </w:r>
                </w:p>
                <w:p w14:paraId="01E674CF" w14:textId="77777777" w:rsidR="00CA1CB5" w:rsidRDefault="00EE3BC1">
                  <w:pPr>
                    <w:pStyle w:val="EFADisclaimerText"/>
                    <w:rPr>
                      <w:rFonts w:eastAsia="楷体_GB2312" w:cs="Calibri"/>
                      <w:w w:val="70"/>
                      <w:sz w:val="20"/>
                      <w:szCs w:val="20"/>
                    </w:rPr>
                  </w:pPr>
                  <w:proofErr w:type="spellStart"/>
                  <w:r>
                    <w:rPr>
                      <w:rFonts w:eastAsia="楷体_GB2312" w:cs="Calibri" w:hint="eastAsia"/>
                      <w:b/>
                      <w:w w:val="70"/>
                      <w:sz w:val="20"/>
                      <w:szCs w:val="20"/>
                      <w:lang w:eastAsia="zh-CN"/>
                    </w:rPr>
                    <w:t>HuaFu</w:t>
                  </w:r>
                  <w:proofErr w:type="spellEnd"/>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may cover and rate A-</w:t>
                  </w:r>
                  <w:proofErr w:type="gramStart"/>
                  <w:r>
                    <w:rPr>
                      <w:rFonts w:eastAsia="楷体_GB2312" w:cs="Calibri"/>
                      <w:w w:val="70"/>
                      <w:sz w:val="20"/>
                      <w:szCs w:val="20"/>
                    </w:rPr>
                    <w:t>Shares .</w:t>
                  </w:r>
                  <w:proofErr w:type="gramEnd"/>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Securities, the ultimate parent company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based in </w:t>
                  </w:r>
                  <w:proofErr w:type="spellStart"/>
                  <w:r>
                    <w:rPr>
                      <w:rFonts w:eastAsia="楷体_GB2312" w:cs="Calibri" w:hint="eastAsia"/>
                      <w:w w:val="70"/>
                      <w:sz w:val="20"/>
                      <w:szCs w:val="20"/>
                      <w:lang w:eastAsia="zh-CN"/>
                    </w:rPr>
                    <w:t>FuZhou</w:t>
                  </w:r>
                  <w:proofErr w:type="spellEnd"/>
                  <w:r>
                    <w:rPr>
                      <w:rFonts w:eastAsia="楷体_GB2312" w:cs="Calibri"/>
                      <w:w w:val="70"/>
                      <w:sz w:val="20"/>
                      <w:szCs w:val="20"/>
                    </w:rPr>
                    <w:t xml:space="preserve">, covers and publishes research on these same A-Shares for distribution in mainland China. However, the rating system employed by </w:t>
                  </w:r>
                  <w:proofErr w:type="spellStart"/>
                  <w:r>
                    <w:rPr>
                      <w:rFonts w:eastAsia="楷体_GB2312" w:cs="Calibri"/>
                      <w:w w:val="70"/>
                      <w:sz w:val="20"/>
                      <w:szCs w:val="20"/>
                    </w:rPr>
                    <w:t>H</w:t>
                  </w:r>
                  <w:r>
                    <w:rPr>
                      <w:rFonts w:eastAsia="楷体_GB2312" w:cs="Calibri" w:hint="eastAsia"/>
                      <w:w w:val="70"/>
                      <w:sz w:val="20"/>
                      <w:szCs w:val="20"/>
                      <w:lang w:eastAsia="zh-CN"/>
                    </w:rPr>
                    <w:t>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differs from that used by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proofErr w:type="spellStart"/>
                  <w:r>
                    <w:rPr>
                      <w:rFonts w:eastAsia="楷体_GB2312" w:cs="Calibri" w:hint="eastAsia"/>
                      <w:w w:val="70"/>
                      <w:sz w:val="20"/>
                      <w:szCs w:val="20"/>
                      <w:lang w:eastAsia="zh-CN"/>
                    </w:rPr>
                    <w:t>Securites</w:t>
                  </w:r>
                  <w:proofErr w:type="spellEnd"/>
                  <w:r>
                    <w:rPr>
                      <w:rFonts w:eastAsia="楷体_GB2312" w:cs="Calibri"/>
                      <w:w w:val="70"/>
                      <w:sz w:val="20"/>
                      <w:szCs w:val="20"/>
                    </w:rPr>
                    <w:t xml:space="preserve"> and </w:t>
                  </w:r>
                  <w:r>
                    <w:rPr>
                      <w:rFonts w:eastAsia="楷体_GB2312" w:cs="Calibri" w:hint="eastAsia"/>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hint="eastAsia"/>
                      <w:w w:val="70"/>
                      <w:sz w:val="20"/>
                      <w:szCs w:val="20"/>
                      <w:lang w:eastAsia="zh-CN"/>
                    </w:rPr>
                    <w:t>their coverage</w:t>
                  </w:r>
                  <w:r>
                    <w:rPr>
                      <w:rFonts w:eastAsia="楷体_GB2312" w:cs="Calibri"/>
                      <w:w w:val="70"/>
                      <w:sz w:val="20"/>
                      <w:szCs w:val="20"/>
                    </w:rPr>
                    <w:t xml:space="preserve"> ratings</w:t>
                  </w:r>
                  <w:r>
                    <w:rPr>
                      <w:rFonts w:eastAsia="楷体_GB2312" w:cs="Calibri" w:hint="eastAsia"/>
                      <w:w w:val="70"/>
                      <w:sz w:val="20"/>
                      <w:szCs w:val="20"/>
                      <w:lang w:eastAsia="zh-CN"/>
                    </w:rPr>
                    <w:t>, target prices</w:t>
                  </w:r>
                  <w:r>
                    <w:rPr>
                      <w:rFonts w:eastAsia="楷体_GB2312" w:cs="Calibri"/>
                      <w:w w:val="70"/>
                      <w:sz w:val="20"/>
                      <w:szCs w:val="20"/>
                    </w:rPr>
                    <w:t xml:space="preserve"> </w:t>
                  </w:r>
                  <w:r>
                    <w:rPr>
                      <w:rFonts w:eastAsia="楷体_GB2312" w:cs="Calibri" w:hint="eastAsia"/>
                      <w:w w:val="70"/>
                      <w:sz w:val="20"/>
                      <w:szCs w:val="20"/>
                      <w:lang w:eastAsia="zh-CN"/>
                    </w:rPr>
                    <w:t xml:space="preserve">and research logics </w:t>
                  </w:r>
                  <w:r>
                    <w:rPr>
                      <w:rFonts w:eastAsia="楷体_GB2312" w:cs="Calibri"/>
                      <w:w w:val="70"/>
                      <w:sz w:val="20"/>
                      <w:szCs w:val="20"/>
                    </w:rPr>
                    <w:t>for the same A-share stocks.</w:t>
                  </w:r>
                </w:p>
              </w:tc>
            </w:tr>
            <w:tr w:rsidR="00CA1CB5" w14:paraId="6E20CBC0" w14:textId="77777777">
              <w:tc>
                <w:tcPr>
                  <w:tcW w:w="10773" w:type="dxa"/>
                  <w:tcBorders>
                    <w:top w:val="single" w:sz="4" w:space="0" w:color="C0C0C0"/>
                    <w:bottom w:val="single" w:sz="4" w:space="0" w:color="C0C0C0"/>
                  </w:tcBorders>
                </w:tcPr>
                <w:p w14:paraId="253B4708" w14:textId="77777777" w:rsidR="00CA1CB5" w:rsidRDefault="00CA1CB5">
                  <w:pPr>
                    <w:pStyle w:val="EFADisclaimerText"/>
                    <w:rPr>
                      <w:rFonts w:eastAsia="楷体_GB2312" w:cs="Calibri"/>
                      <w:w w:val="70"/>
                      <w:sz w:val="20"/>
                      <w:szCs w:val="20"/>
                    </w:rPr>
                  </w:pPr>
                </w:p>
              </w:tc>
            </w:tr>
            <w:tr w:rsidR="00CA1CB5" w14:paraId="688BFDD2" w14:textId="77777777">
              <w:tc>
                <w:tcPr>
                  <w:tcW w:w="10773" w:type="dxa"/>
                  <w:tcBorders>
                    <w:top w:val="single" w:sz="4" w:space="0" w:color="C0C0C0"/>
                    <w:bottom w:val="single" w:sz="4" w:space="0" w:color="C0C0C0"/>
                  </w:tcBorders>
                </w:tcPr>
                <w:p w14:paraId="7B35673D" w14:textId="77777777" w:rsidR="00CA1CB5" w:rsidRDefault="00EE3BC1">
                  <w:pPr>
                    <w:pStyle w:val="EFADisclaimerText"/>
                    <w:spacing w:after="60"/>
                    <w:rPr>
                      <w:rFonts w:eastAsia="楷体_GB2312" w:cs="Calibri"/>
                      <w:b/>
                      <w:w w:val="70"/>
                      <w:sz w:val="20"/>
                      <w:szCs w:val="20"/>
                    </w:rPr>
                  </w:pPr>
                  <w:r>
                    <w:rPr>
                      <w:rFonts w:eastAsia="楷体_GB2312" w:cs="Calibri"/>
                      <w:b/>
                      <w:w w:val="70"/>
                      <w:sz w:val="20"/>
                      <w:szCs w:val="20"/>
                    </w:rPr>
                    <w:t>重要免责声明：</w:t>
                  </w:r>
                </w:p>
                <w:p w14:paraId="4AC699B4" w14:textId="77777777" w:rsidR="00CA1CB5" w:rsidRDefault="00EE3BC1">
                  <w:pPr>
                    <w:pStyle w:val="EFADisclaimerText"/>
                    <w:spacing w:after="60"/>
                    <w:rPr>
                      <w:rFonts w:eastAsia="楷体_GB2312" w:cs="Calibri"/>
                      <w:w w:val="70"/>
                      <w:sz w:val="20"/>
                      <w:szCs w:val="20"/>
                    </w:rPr>
                  </w:pPr>
                  <w:r>
                    <w:rPr>
                      <w:rFonts w:eastAsia="楷体_GB2312" w:cs="Calibri"/>
                      <w:w w:val="70"/>
                      <w:sz w:val="20"/>
                      <w:szCs w:val="20"/>
                    </w:rPr>
                    <w:t>本报告由</w:t>
                  </w:r>
                  <w:r>
                    <w:rPr>
                      <w:rFonts w:eastAsia="楷体_GB2312" w:cs="Calibri" w:hint="eastAsia"/>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400362AF" w14:textId="77777777" w:rsidR="00CA1CB5" w:rsidRDefault="00EE3BC1">
                  <w:pPr>
                    <w:pStyle w:val="EFADisclaimerText"/>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hint="eastAsia"/>
                      <w:w w:val="70"/>
                      <w:sz w:val="20"/>
                      <w:szCs w:val="20"/>
                      <w:lang w:eastAsia="zh-CN"/>
                    </w:rPr>
                    <w:t>华福国际</w:t>
                  </w:r>
                  <w:r>
                    <w:rPr>
                      <w:rFonts w:eastAsia="楷体_GB2312" w:cs="Calibri"/>
                      <w:w w:val="70"/>
                      <w:sz w:val="20"/>
                      <w:szCs w:val="20"/>
                    </w:rPr>
                    <w:t>或任何其他属于</w:t>
                  </w:r>
                  <w:r>
                    <w:rPr>
                      <w:rFonts w:eastAsia="楷体_GB2312" w:cs="Calibri" w:hint="eastAsia"/>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hint="eastAsia"/>
                      <w:w w:val="70"/>
                      <w:sz w:val="20"/>
                      <w:szCs w:val="20"/>
                      <w:lang w:eastAsia="zh-CN"/>
                    </w:rPr>
                    <w:t>华福国际</w:t>
                  </w:r>
                  <w:r>
                    <w:rPr>
                      <w:rFonts w:eastAsia="楷体_GB2312" w:cs="Calibri"/>
                      <w:w w:val="70"/>
                      <w:sz w:val="20"/>
                      <w:szCs w:val="20"/>
                    </w:rPr>
                    <w:t>及其董事、雇员或代理人对此均不承担任何责任。</w:t>
                  </w:r>
                  <w:r>
                    <w:rPr>
                      <w:rFonts w:eastAsia="楷体_GB2312" w:cs="Calibri"/>
                      <w:w w:val="70"/>
                      <w:sz w:val="20"/>
                      <w:szCs w:val="20"/>
                    </w:rPr>
                    <w:t xml:space="preserve"> </w:t>
                  </w:r>
                </w:p>
                <w:p w14:paraId="5CEDBAAD" w14:textId="77777777" w:rsidR="00CA1CB5" w:rsidRDefault="00EE3BC1">
                  <w:pPr>
                    <w:pStyle w:val="EFADisclaimerText"/>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hint="eastAsia"/>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hint="eastAsia"/>
                      <w:w w:val="70"/>
                      <w:sz w:val="20"/>
                      <w:szCs w:val="20"/>
                      <w:lang w:eastAsia="zh-CN"/>
                    </w:rPr>
                    <w:t>华福国际</w:t>
                  </w:r>
                  <w:r>
                    <w:rPr>
                      <w:rFonts w:eastAsia="楷体_GB2312" w:cs="Calibri"/>
                      <w:w w:val="70"/>
                      <w:sz w:val="20"/>
                      <w:szCs w:val="20"/>
                    </w:rPr>
                    <w:t>的销售员、交易员和其他专业人士均可向</w:t>
                  </w:r>
                  <w:r>
                    <w:rPr>
                      <w:rFonts w:eastAsia="楷体_GB2312" w:cs="Calibri" w:hint="eastAsia"/>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hint="eastAsia"/>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hint="eastAsia"/>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271F564A" w14:textId="77777777" w:rsidR="00CA1CB5" w:rsidRDefault="00EE3BC1">
                  <w:pPr>
                    <w:pStyle w:val="EFADisclaimerText"/>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hyperlink r:id="rId63" w:history="1">
                    <w:r w:rsidR="00CA1CB5">
                      <w:rPr>
                        <w:rFonts w:eastAsia="楷体_GB2312" w:cs="Calibri"/>
                        <w:snapToGrid/>
                        <w:color w:val="0000FF"/>
                        <w:w w:val="70"/>
                        <w:sz w:val="20"/>
                        <w:szCs w:val="20"/>
                        <w:u w:val="single"/>
                        <w:lang w:eastAsia="zh-CN"/>
                      </w:rPr>
                      <w:t>www.</w:t>
                    </w:r>
                    <w:r w:rsidR="00CA1CB5">
                      <w:rPr>
                        <w:rFonts w:eastAsia="楷体_GB2312" w:cs="Calibri" w:hint="eastAsia"/>
                        <w:snapToGrid/>
                        <w:color w:val="0000FF"/>
                        <w:w w:val="70"/>
                        <w:sz w:val="20"/>
                        <w:szCs w:val="20"/>
                        <w:u w:val="single"/>
                        <w:lang w:eastAsia="zh-CN"/>
                      </w:rPr>
                      <w:t>hfisec.</w:t>
                    </w:r>
                    <w:r w:rsidR="00CA1CB5">
                      <w:rPr>
                        <w:rFonts w:eastAsia="楷体_GB2312" w:cs="Calibri"/>
                        <w:snapToGrid/>
                        <w:color w:val="0000FF"/>
                        <w:w w:val="70"/>
                        <w:sz w:val="20"/>
                        <w:szCs w:val="20"/>
                        <w:u w:val="single"/>
                        <w:lang w:eastAsia="zh-CN"/>
                      </w:rPr>
                      <w:t>com</w:t>
                    </w:r>
                  </w:hyperlink>
                  <w:r>
                    <w:rPr>
                      <w:rFonts w:eastAsia="楷体_GB2312" w:cs="Calibri" w:hint="eastAsia"/>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783E2DBF" w14:textId="77777777" w:rsidR="00CA1CB5" w:rsidRDefault="00EE3BC1">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046DE290" w14:textId="77777777" w:rsidR="00CA1CB5" w:rsidRDefault="00EE3BC1">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w:t>
                  </w:r>
                  <w:r>
                    <w:rPr>
                      <w:rFonts w:eastAsia="楷体_GB2312" w:cs="Calibri" w:hint="eastAsia"/>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069970A1" w14:textId="77777777" w:rsidR="00CA1CB5" w:rsidRDefault="00EE3BC1">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or any other </w:t>
                  </w:r>
                  <w:r>
                    <w:rPr>
                      <w:rFonts w:eastAsia="楷体_GB2312" w:cs="Calibri" w:hint="eastAsia"/>
                      <w:w w:val="70"/>
                      <w:sz w:val="20"/>
                      <w:szCs w:val="20"/>
                      <w:lang w:eastAsia="zh-CN"/>
                    </w:rPr>
                    <w:t xml:space="preserve">related </w:t>
                  </w:r>
                  <w:r>
                    <w:rPr>
                      <w:rFonts w:eastAsia="楷体_GB2312" w:cs="Calibri"/>
                      <w:w w:val="70"/>
                      <w:sz w:val="20"/>
                      <w:szCs w:val="20"/>
                    </w:rPr>
                    <w:t>members</w:t>
                  </w:r>
                  <w:r>
                    <w:rPr>
                      <w:rFonts w:eastAsia="楷体_GB2312" w:cs="Calibri" w:hint="eastAsia"/>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w:t>
                  </w:r>
                  <w:proofErr w:type="gramStart"/>
                  <w:r>
                    <w:rPr>
                      <w:rFonts w:eastAsia="楷体_GB2312" w:cs="Calibri"/>
                      <w:w w:val="70"/>
                      <w:sz w:val="20"/>
                      <w:szCs w:val="20"/>
                    </w:rPr>
                    <w:t>suits</w:t>
                  </w:r>
                  <w:proofErr w:type="gramEnd"/>
                  <w:r>
                    <w:rPr>
                      <w:rFonts w:eastAsia="楷体_GB2312" w:cs="Calibri"/>
                      <w:w w:val="70"/>
                      <w:sz w:val="20"/>
                      <w:szCs w:val="20"/>
                    </w:rPr>
                    <w:t xml:space="preserve"> you before investment. Neither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47827A73" w14:textId="77777777" w:rsidR="00CA1CB5" w:rsidRDefault="00EE3BC1">
                  <w:pPr>
                    <w:pStyle w:val="EFADisclaimerText"/>
                    <w:spacing w:after="40"/>
                    <w:rPr>
                      <w:rFonts w:eastAsia="楷体_GB2312" w:cs="Calibri"/>
                      <w:w w:val="70"/>
                      <w:sz w:val="20"/>
                      <w:szCs w:val="20"/>
                    </w:rPr>
                  </w:pP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and </w:t>
                  </w:r>
                  <w:r>
                    <w:rPr>
                      <w:rFonts w:eastAsia="楷体_GB2312" w:cs="Calibri" w:hint="eastAsia"/>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w:t>
                  </w:r>
                  <w:r>
                    <w:rPr>
                      <w:rFonts w:eastAsia="楷体_GB2312" w:cs="Calibri"/>
                      <w:w w:val="70"/>
                      <w:sz w:val="20"/>
                      <w:szCs w:val="20"/>
                    </w:rPr>
                    <w:t xml:space="preserve">may provide oral or written market commentary or trading strategies to the relevant clients and the companies within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that reflect opinions that are contrary to the opinions expressed in this research report.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proofErr w:type="spellStart"/>
                  <w:r>
                    <w:rPr>
                      <w:rFonts w:eastAsia="楷体_GB2312" w:cs="Calibri" w:hint="eastAsia"/>
                      <w:w w:val="70"/>
                      <w:sz w:val="20"/>
                      <w:szCs w:val="20"/>
                      <w:lang w:eastAsia="zh-CN"/>
                    </w:rPr>
                    <w:t>Internatioal</w:t>
                  </w:r>
                  <w:proofErr w:type="spellEnd"/>
                  <w:r>
                    <w:rPr>
                      <w:rFonts w:eastAsia="楷体_GB2312" w:cs="Calibri"/>
                      <w:w w:val="70"/>
                      <w:sz w:val="20"/>
                      <w:szCs w:val="20"/>
                    </w:rPr>
                    <w:t xml:space="preserve"> may make investment decisions that are inconsistent with the recommendations or views expressed in this research report.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73A05CD3" w14:textId="77777777" w:rsidR="00CA1CB5" w:rsidRDefault="00EE3BC1">
                  <w:pPr>
                    <w:pStyle w:val="EFADisclaimerText"/>
                    <w:spacing w:after="40"/>
                    <w:rPr>
                      <w:rFonts w:eastAsia="楷体_GB2312" w:cs="Calibri"/>
                      <w:bCs/>
                      <w:w w:val="70"/>
                      <w:sz w:val="20"/>
                      <w:szCs w:val="20"/>
                    </w:rPr>
                  </w:pPr>
                  <w:r>
                    <w:rPr>
                      <w:rFonts w:eastAsia="楷体_GB2312" w:cs="Calibri"/>
                      <w:bCs/>
                      <w:w w:val="70"/>
                      <w:sz w:val="20"/>
                      <w:szCs w:val="20"/>
                    </w:rPr>
                    <w:t xml:space="preserve">Please refer to XXX’s website </w:t>
                  </w:r>
                  <w:hyperlink r:id="rId64" w:history="1">
                    <w:r w:rsidR="00CA1CB5">
                      <w:rPr>
                        <w:rStyle w:val="af0"/>
                        <w:rFonts w:eastAsia="楷体_GB2312" w:cs="Calibri"/>
                        <w:w w:val="70"/>
                        <w:sz w:val="20"/>
                        <w:szCs w:val="20"/>
                      </w:rPr>
                      <w:t>www.</w:t>
                    </w:r>
                    <w:r w:rsidR="00CA1CB5">
                      <w:rPr>
                        <w:rStyle w:val="af0"/>
                        <w:rFonts w:eastAsia="楷体_GB2312" w:cs="Calibri" w:hint="eastAsia"/>
                        <w:w w:val="70"/>
                        <w:sz w:val="20"/>
                        <w:szCs w:val="20"/>
                        <w:lang w:eastAsia="zh-CN"/>
                      </w:rPr>
                      <w:t>hfisec</w:t>
                    </w:r>
                    <w:r w:rsidR="00CA1CB5">
                      <w:rPr>
                        <w:rStyle w:val="af0"/>
                        <w:rFonts w:eastAsia="楷体_GB2312" w:cs="Calibri"/>
                        <w:w w:val="70"/>
                        <w:sz w:val="20"/>
                        <w:szCs w:val="20"/>
                      </w:rPr>
                      <w:t>.com</w:t>
                    </w:r>
                  </w:hyperlink>
                  <w:r>
                    <w:rPr>
                      <w:rStyle w:val="af0"/>
                      <w:rFonts w:eastAsia="楷体_GB2312" w:cs="Calibri" w:hint="eastAsia"/>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proofErr w:type="spellStart"/>
                  <w:r>
                    <w:rPr>
                      <w:rFonts w:eastAsia="楷体_GB2312" w:cs="Calibri" w:hint="eastAsia"/>
                      <w:bCs/>
                      <w:w w:val="70"/>
                      <w:sz w:val="20"/>
                      <w:szCs w:val="20"/>
                      <w:lang w:eastAsia="zh-CN"/>
                    </w:rPr>
                    <w:t>HuaFu</w:t>
                  </w:r>
                  <w:proofErr w:type="spellEnd"/>
                  <w:r>
                    <w:rPr>
                      <w:rFonts w:eastAsia="楷体_GB2312" w:cs="Calibri" w:hint="eastAsia"/>
                      <w:bCs/>
                      <w:w w:val="70"/>
                      <w:sz w:val="20"/>
                      <w:szCs w:val="20"/>
                      <w:lang w:eastAsia="zh-CN"/>
                    </w:rPr>
                    <w:t xml:space="preserve">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6A15FCB1" w14:textId="77777777" w:rsidR="00CA1CB5" w:rsidRDefault="00CA1CB5">
                  <w:pPr>
                    <w:pStyle w:val="EFADisclaimerText"/>
                    <w:spacing w:after="60"/>
                    <w:rPr>
                      <w:rFonts w:eastAsia="楷体_GB2312" w:cs="Calibri"/>
                      <w:b/>
                      <w:w w:val="70"/>
                      <w:sz w:val="20"/>
                      <w:szCs w:val="20"/>
                    </w:rPr>
                  </w:pPr>
                </w:p>
              </w:tc>
            </w:tr>
            <w:tr w:rsidR="00CA1CB5" w14:paraId="27707F5B" w14:textId="77777777">
              <w:tc>
                <w:tcPr>
                  <w:tcW w:w="10773" w:type="dxa"/>
                  <w:tcBorders>
                    <w:top w:val="single" w:sz="4" w:space="0" w:color="C0C0C0"/>
                    <w:bottom w:val="single" w:sz="4" w:space="0" w:color="C0C0C0"/>
                  </w:tcBorders>
                </w:tcPr>
                <w:p w14:paraId="5D95543A" w14:textId="77777777" w:rsidR="00CA1CB5" w:rsidRDefault="00EE3BC1">
                  <w:pPr>
                    <w:pStyle w:val="EFADisclaimerText"/>
                    <w:spacing w:after="60"/>
                    <w:rPr>
                      <w:rFonts w:eastAsia="楷体_GB2312" w:cs="Calibri"/>
                      <w:b/>
                      <w:snapToGrid/>
                      <w:w w:val="70"/>
                      <w:sz w:val="20"/>
                      <w:szCs w:val="20"/>
                    </w:rPr>
                  </w:pPr>
                  <w:r>
                    <w:rPr>
                      <w:rFonts w:eastAsia="楷体_GB2312" w:cs="Calibri"/>
                      <w:b/>
                      <w:snapToGrid/>
                      <w:w w:val="70"/>
                      <w:sz w:val="20"/>
                      <w:szCs w:val="20"/>
                    </w:rPr>
                    <w:t>分发和地区通知：</w:t>
                  </w:r>
                </w:p>
                <w:p w14:paraId="44CD2756" w14:textId="77777777" w:rsidR="00CA1CB5" w:rsidRDefault="00EE3BC1">
                  <w:pPr>
                    <w:pStyle w:val="EFADisclaimerText"/>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hint="eastAsia"/>
                      <w:snapToGrid/>
                      <w:w w:val="70"/>
                      <w:sz w:val="20"/>
                      <w:szCs w:val="20"/>
                      <w:lang w:eastAsia="zh-CN"/>
                    </w:rPr>
                    <w:t>华福</w:t>
                  </w:r>
                  <w:r>
                    <w:rPr>
                      <w:rFonts w:eastAsia="楷体_GB2312" w:cs="Calibri"/>
                      <w:snapToGrid/>
                      <w:w w:val="70"/>
                      <w:sz w:val="20"/>
                      <w:szCs w:val="20"/>
                    </w:rPr>
                    <w:t>国际销售人员。</w:t>
                  </w:r>
                  <w:r>
                    <w:rPr>
                      <w:rFonts w:eastAsia="楷体_GB2312" w:cs="Calibri"/>
                      <w:snapToGrid/>
                      <w:w w:val="70"/>
                      <w:sz w:val="20"/>
                      <w:szCs w:val="20"/>
                    </w:rPr>
                    <w:t xml:space="preserve">  </w:t>
                  </w:r>
                </w:p>
                <w:p w14:paraId="0D6AE829" w14:textId="77777777" w:rsidR="00CA1CB5" w:rsidRDefault="00EE3BC1">
                  <w:pPr>
                    <w:pStyle w:val="EFADisclaimerText"/>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hint="eastAsia"/>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hint="eastAsia"/>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rPr>
                    <w:t>“</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w:t>
                  </w:r>
                  <w:r>
                    <w:rPr>
                      <w:rFonts w:eastAsia="楷体_GB2312" w:cs="Calibri"/>
                      <w:snapToGrid/>
                      <w:w w:val="70"/>
                      <w:sz w:val="20"/>
                      <w:szCs w:val="20"/>
                    </w:rPr>
                    <w:t>“</w:t>
                  </w:r>
                  <w:r>
                    <w:rPr>
                      <w:rFonts w:eastAsia="楷体_GB2312" w:cs="Calibri"/>
                      <w:snapToGrid/>
                      <w:w w:val="70"/>
                      <w:sz w:val="20"/>
                      <w:szCs w:val="20"/>
                    </w:rPr>
                    <w:t>专业投资者</w:t>
                  </w:r>
                  <w:r>
                    <w:rPr>
                      <w:rFonts w:eastAsia="楷体_GB2312" w:cs="Calibri"/>
                      <w:snapToGrid/>
                      <w:w w:val="70"/>
                      <w:sz w:val="20"/>
                      <w:szCs w:val="20"/>
                    </w:rPr>
                    <w:t>”</w:t>
                  </w:r>
                  <w:r>
                    <w:rPr>
                      <w:rFonts w:eastAsia="楷体_GB2312"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hint="eastAsia"/>
                      <w:snapToGrid/>
                      <w:w w:val="70"/>
                      <w:sz w:val="20"/>
                      <w:szCs w:val="20"/>
                      <w:lang w:eastAsia="zh-CN"/>
                    </w:rPr>
                    <w:t>华福国际</w:t>
                  </w:r>
                  <w:r>
                    <w:rPr>
                      <w:rFonts w:eastAsia="楷体_GB2312" w:cs="Calibri"/>
                      <w:snapToGrid/>
                      <w:w w:val="70"/>
                      <w:sz w:val="20"/>
                      <w:szCs w:val="20"/>
                    </w:rPr>
                    <w:t>销售人员。</w:t>
                  </w:r>
                </w:p>
                <w:p w14:paraId="59591F2C" w14:textId="77777777" w:rsidR="00CA1CB5" w:rsidRDefault="00EE3BC1">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4B0DB041" w14:textId="77777777" w:rsidR="00CA1CB5" w:rsidRDefault="00EE3BC1">
                  <w:pPr>
                    <w:pStyle w:val="EFADisclaimerText"/>
                    <w:spacing w:after="40"/>
                    <w:rPr>
                      <w:rFonts w:eastAsia="楷体_GB2312" w:cs="Calibri"/>
                      <w:w w:val="70"/>
                      <w:sz w:val="20"/>
                      <w:szCs w:val="20"/>
                    </w:rPr>
                  </w:pPr>
                  <w:r>
                    <w:rPr>
                      <w:rFonts w:eastAsia="楷体_GB2312" w:cs="Calibri"/>
                      <w:w w:val="70"/>
                      <w:sz w:val="20"/>
                      <w:szCs w:val="20"/>
                    </w:rPr>
                    <w:lastRenderedPageBreak/>
                    <w:t xml:space="preserve">Except as otherwise indicated below, any Recipient wishing to discuss this research report or effect any transaction in any security discussed in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’s research should contact the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r>
                    <w:rPr>
                      <w:rFonts w:eastAsia="楷体_GB2312" w:cs="Calibri"/>
                      <w:w w:val="70"/>
                      <w:sz w:val="20"/>
                      <w:szCs w:val="20"/>
                    </w:rPr>
                    <w:t xml:space="preserve">International salesperson in their own country or region.  </w:t>
                  </w:r>
                </w:p>
                <w:p w14:paraId="672F7C36" w14:textId="77777777" w:rsidR="00CA1CB5" w:rsidRDefault="00EE3BC1">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salespersons in respect of any matters arising from, or in connection with, the research report.</w:t>
                  </w:r>
                </w:p>
                <w:p w14:paraId="23BD1237" w14:textId="77777777" w:rsidR="00CA1CB5" w:rsidRDefault="00CA1CB5">
                  <w:pPr>
                    <w:pStyle w:val="EFADisclaimerText"/>
                    <w:spacing w:after="60"/>
                    <w:rPr>
                      <w:rFonts w:eastAsia="楷体_GB2312" w:cs="Calibri"/>
                      <w:b/>
                      <w:w w:val="70"/>
                      <w:sz w:val="20"/>
                      <w:szCs w:val="20"/>
                    </w:rPr>
                  </w:pPr>
                </w:p>
              </w:tc>
            </w:tr>
            <w:tr w:rsidR="00CA1CB5" w14:paraId="02F28902" w14:textId="77777777">
              <w:tc>
                <w:tcPr>
                  <w:tcW w:w="10773" w:type="dxa"/>
                  <w:tcBorders>
                    <w:top w:val="single" w:sz="4" w:space="0" w:color="C0C0C0"/>
                    <w:bottom w:val="single" w:sz="4" w:space="0" w:color="C0C0C0"/>
                  </w:tcBorders>
                </w:tcPr>
                <w:p w14:paraId="21D28274" w14:textId="77777777" w:rsidR="00CA1CB5" w:rsidRDefault="00EE3BC1">
                  <w:pPr>
                    <w:pStyle w:val="EFADisclaimerText"/>
                    <w:spacing w:after="60"/>
                    <w:rPr>
                      <w:rFonts w:eastAsia="楷体_GB2312" w:cs="Calibri"/>
                      <w:w w:val="70"/>
                      <w:sz w:val="20"/>
                      <w:szCs w:val="20"/>
                    </w:rPr>
                  </w:pPr>
                  <w:r>
                    <w:rPr>
                      <w:rFonts w:eastAsia="楷体_GB2312" w:cs="Calibri"/>
                      <w:b/>
                      <w:w w:val="70"/>
                      <w:sz w:val="20"/>
                      <w:szCs w:val="20"/>
                    </w:rPr>
                    <w:lastRenderedPageBreak/>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w:t>
                  </w:r>
                  <w:r>
                    <w:rPr>
                      <w:rFonts w:eastAsia="楷体_GB2312" w:cs="Calibri"/>
                      <w:w w:val="70"/>
                      <w:sz w:val="20"/>
                      <w:szCs w:val="20"/>
                    </w:rPr>
                    <w:t>“</w:t>
                  </w:r>
                  <w:r>
                    <w:rPr>
                      <w:rFonts w:eastAsia="楷体_GB2312" w:cs="Calibri"/>
                      <w:w w:val="70"/>
                      <w:sz w:val="20"/>
                      <w:szCs w:val="20"/>
                    </w:rPr>
                    <w:t>中国</w:t>
                  </w:r>
                  <w:r>
                    <w:rPr>
                      <w:rFonts w:eastAsia="楷体_GB2312" w:cs="Calibri"/>
                      <w:w w:val="70"/>
                      <w:sz w:val="20"/>
                      <w:szCs w:val="20"/>
                    </w:rPr>
                    <w:t>”</w:t>
                  </w:r>
                  <w:r>
                    <w:rPr>
                      <w:rFonts w:eastAsia="楷体_GB2312"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rPr>
                    <w:t>“</w:t>
                  </w:r>
                  <w:r>
                    <w:rPr>
                      <w:rFonts w:eastAsia="楷体_GB2312" w:cs="Calibri"/>
                      <w:w w:val="70"/>
                      <w:sz w:val="20"/>
                      <w:szCs w:val="20"/>
                    </w:rPr>
                    <w:t>在中国从事生产、经营活动</w:t>
                  </w:r>
                  <w:r>
                    <w:rPr>
                      <w:rFonts w:eastAsia="楷体_GB2312" w:cs="Calibri"/>
                      <w:w w:val="70"/>
                      <w:sz w:val="20"/>
                      <w:szCs w:val="20"/>
                    </w:rPr>
                    <w:t>”</w:t>
                  </w:r>
                  <w:r>
                    <w:rPr>
                      <w:rFonts w:eastAsia="楷体_GB2312"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23E35F0E" w14:textId="77777777" w:rsidR="00CA1CB5" w:rsidRDefault="00EE3BC1">
                  <w:pPr>
                    <w:pStyle w:val="EFADisclaimerText"/>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hint="eastAsia"/>
                      <w:w w:val="70"/>
                      <w:sz w:val="20"/>
                      <w:szCs w:val="20"/>
                      <w:lang w:eastAsia="zh-CN"/>
                    </w:rPr>
                    <w:t>华福</w:t>
                  </w:r>
                  <w:r>
                    <w:rPr>
                      <w:rFonts w:eastAsia="楷体_GB2312" w:cs="Calibri"/>
                      <w:w w:val="70"/>
                      <w:sz w:val="20"/>
                      <w:szCs w:val="20"/>
                    </w:rPr>
                    <w:t>国际的书面同意不得予以复制和再次分发。</w:t>
                  </w:r>
                </w:p>
                <w:p w14:paraId="64C2576D" w14:textId="77777777" w:rsidR="00CA1CB5" w:rsidRDefault="00EE3BC1">
                  <w:pPr>
                    <w:pStyle w:val="EFADisclaimerText"/>
                    <w:rPr>
                      <w:rFonts w:eastAsia="楷体_GB2312" w:cs="Calibri"/>
                      <w:w w:val="70"/>
                      <w:sz w:val="20"/>
                      <w:szCs w:val="20"/>
                    </w:rPr>
                  </w:pPr>
                  <w:r>
                    <w:rPr>
                      <w:rFonts w:eastAsia="楷体_GB2312" w:cs="Calibri"/>
                      <w:w w:val="70"/>
                      <w:sz w:val="20"/>
                      <w:szCs w:val="20"/>
                    </w:rPr>
                    <w:t>版权所有：</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2025</w:t>
                  </w:r>
                  <w:r>
                    <w:rPr>
                      <w:rFonts w:eastAsia="楷体_GB2312" w:cs="Calibri"/>
                      <w:w w:val="70"/>
                      <w:sz w:val="20"/>
                      <w:szCs w:val="20"/>
                    </w:rPr>
                    <w:t>年。保留所有权利。</w:t>
                  </w:r>
                </w:p>
                <w:p w14:paraId="0EA0EB69" w14:textId="77777777" w:rsidR="00CA1CB5" w:rsidRDefault="00EE3BC1">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4E73C375" w14:textId="77777777" w:rsidR="00CA1CB5" w:rsidRDefault="00EE3BC1">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w:t>
                  </w:r>
                </w:p>
                <w:p w14:paraId="4A1E2EB4" w14:textId="77777777" w:rsidR="00CA1CB5" w:rsidRDefault="00EE3BC1">
                  <w:pPr>
                    <w:pStyle w:val="EFADisclaimerText"/>
                    <w:spacing w:after="60"/>
                    <w:rPr>
                      <w:rFonts w:eastAsia="楷体_GB2312" w:cs="Calibri"/>
                      <w:b/>
                      <w:w w:val="70"/>
                      <w:sz w:val="20"/>
                      <w:szCs w:val="20"/>
                    </w:rPr>
                  </w:pPr>
                  <w:r>
                    <w:rPr>
                      <w:rFonts w:eastAsia="楷体_GB2312" w:cs="Calibri"/>
                      <w:w w:val="70"/>
                      <w:sz w:val="20"/>
                      <w:szCs w:val="20"/>
                    </w:rPr>
                    <w:t xml:space="preserve">Copyright: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w:t>
                  </w:r>
                  <w:r>
                    <w:rPr>
                      <w:rFonts w:eastAsia="楷体_GB2312" w:cs="Calibri" w:hint="eastAsia"/>
                      <w:w w:val="70"/>
                      <w:sz w:val="20"/>
                      <w:szCs w:val="20"/>
                      <w:lang w:eastAsia="zh-CN"/>
                    </w:rPr>
                    <w:t>2025</w:t>
                  </w:r>
                  <w:r>
                    <w:rPr>
                      <w:rFonts w:eastAsia="楷体_GB2312" w:cs="Calibri"/>
                      <w:w w:val="70"/>
                      <w:sz w:val="20"/>
                      <w:szCs w:val="20"/>
                    </w:rPr>
                    <w:t>. All rights reserved</w:t>
                  </w:r>
                </w:p>
              </w:tc>
            </w:tr>
            <w:tr w:rsidR="00CA1CB5" w14:paraId="74C49D87" w14:textId="77777777">
              <w:tc>
                <w:tcPr>
                  <w:tcW w:w="10773" w:type="dxa"/>
                  <w:tcBorders>
                    <w:top w:val="single" w:sz="4" w:space="0" w:color="C0C0C0"/>
                    <w:bottom w:val="single" w:sz="4" w:space="0" w:color="C0C0C0"/>
                  </w:tcBorders>
                </w:tcPr>
                <w:p w14:paraId="2D7ECE7F" w14:textId="77777777" w:rsidR="00CA1CB5" w:rsidRDefault="00CA1CB5">
                  <w:pPr>
                    <w:pStyle w:val="EFADisclaimerText"/>
                    <w:spacing w:after="60"/>
                    <w:rPr>
                      <w:rFonts w:eastAsia="楷体_GB2312" w:cs="Calibri"/>
                      <w:b/>
                      <w:w w:val="70"/>
                      <w:sz w:val="20"/>
                      <w:szCs w:val="20"/>
                    </w:rPr>
                  </w:pPr>
                </w:p>
              </w:tc>
            </w:tr>
            <w:tr w:rsidR="00CA1CB5" w14:paraId="59FD070E" w14:textId="77777777">
              <w:tc>
                <w:tcPr>
                  <w:tcW w:w="10773" w:type="dxa"/>
                  <w:tcBorders>
                    <w:top w:val="single" w:sz="4" w:space="0" w:color="C0C0C0"/>
                    <w:bottom w:val="nil"/>
                  </w:tcBorders>
                </w:tcPr>
                <w:p w14:paraId="35DC2826" w14:textId="77777777" w:rsidR="00CA1CB5" w:rsidRDefault="00CA1CB5">
                  <w:pPr>
                    <w:pStyle w:val="EFADisclaimerText"/>
                    <w:spacing w:after="60"/>
                    <w:rPr>
                      <w:rFonts w:eastAsia="楷体_GB2312" w:cs="Calibri"/>
                      <w:b/>
                      <w:w w:val="70"/>
                      <w:sz w:val="20"/>
                      <w:szCs w:val="20"/>
                      <w:lang w:eastAsia="zh-CN"/>
                    </w:rPr>
                  </w:pPr>
                </w:p>
              </w:tc>
            </w:tr>
          </w:tbl>
          <w:p w14:paraId="5B048857" w14:textId="77777777" w:rsidR="00CA1CB5" w:rsidRDefault="00CA1CB5">
            <w:pPr>
              <w:rPr>
                <w:rFonts w:eastAsia="楷体_GB2312" w:cs="Calibri"/>
                <w:sz w:val="20"/>
                <w:szCs w:val="20"/>
              </w:rPr>
            </w:pPr>
          </w:p>
        </w:tc>
      </w:tr>
      <w:tr w:rsidR="00CA1CB5" w14:paraId="164EA3BB" w14:textId="77777777">
        <w:trPr>
          <w:trHeight w:val="227"/>
        </w:trPr>
        <w:tc>
          <w:tcPr>
            <w:tcW w:w="10773" w:type="dxa"/>
          </w:tcPr>
          <w:p w14:paraId="1261E3C3" w14:textId="77777777" w:rsidR="00CA1CB5" w:rsidRDefault="00EE3BC1">
            <w:pPr>
              <w:pStyle w:val="EFADisclaimerText"/>
              <w:rPr>
                <w:rFonts w:eastAsia="楷体_GB2312"/>
                <w:b/>
                <w:w w:val="70"/>
                <w:sz w:val="20"/>
                <w:szCs w:val="20"/>
              </w:rPr>
            </w:pPr>
            <w:r>
              <w:rPr>
                <w:rFonts w:eastAsia="楷体_GB2312"/>
                <w:b/>
                <w:w w:val="70"/>
                <w:sz w:val="20"/>
                <w:szCs w:val="20"/>
              </w:rPr>
              <w:lastRenderedPageBreak/>
              <w:t>Recommendation Chart</w:t>
            </w:r>
          </w:p>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RecommendationChart]"/>
              <w:tblDescription w:val="表格隐藏唯一标识（请勿删除或修改）"/>
            </w:tblPr>
            <w:tblGrid>
              <w:gridCol w:w="10773"/>
            </w:tblGrid>
            <w:tr w:rsidR="00CA1CB5" w14:paraId="431E687A" w14:textId="77777777">
              <w:trPr>
                <w:trHeight w:hRule="exact" w:val="28"/>
              </w:trPr>
              <w:tc>
                <w:tcPr>
                  <w:tcW w:w="10773" w:type="dxa"/>
                </w:tcPr>
                <w:p w14:paraId="506B656A" w14:textId="77777777" w:rsidR="00CA1CB5" w:rsidRDefault="00EE3BC1">
                  <w:pPr>
                    <w:pStyle w:val="EFADisclaimerText"/>
                    <w:rPr>
                      <w:rFonts w:eastAsia="楷体_GB2312"/>
                      <w:b/>
                      <w:w w:val="70"/>
                      <w:sz w:val="20"/>
                      <w:szCs w:val="20"/>
                      <w:lang w:eastAsia="zh-CN"/>
                    </w:rPr>
                  </w:pPr>
                  <w:r>
                    <w:rPr>
                      <w:rFonts w:eastAsia="楷体_GB2312" w:hint="eastAsia"/>
                      <w:b/>
                      <w:w w:val="70"/>
                      <w:sz w:val="20"/>
                      <w:szCs w:val="20"/>
                      <w:lang w:eastAsia="zh-CN"/>
                    </w:rPr>
                    <w:t>[</w:t>
                  </w:r>
                  <w:proofErr w:type="spellStart"/>
                  <w:r>
                    <w:rPr>
                      <w:rFonts w:eastAsia="楷体_GB2312"/>
                      <w:b/>
                      <w:w w:val="70"/>
                      <w:sz w:val="20"/>
                      <w:szCs w:val="20"/>
                      <w:lang w:eastAsia="zh-CN"/>
                    </w:rPr>
                    <w:t>Table_RecommendationChart</w:t>
                  </w:r>
                  <w:proofErr w:type="spellEnd"/>
                  <w:r>
                    <w:rPr>
                      <w:rFonts w:eastAsia="楷体_GB2312"/>
                      <w:b/>
                      <w:w w:val="70"/>
                      <w:sz w:val="20"/>
                      <w:szCs w:val="20"/>
                      <w:lang w:eastAsia="zh-CN"/>
                    </w:rPr>
                    <w:t>]</w:t>
                  </w:r>
                </w:p>
              </w:tc>
            </w:tr>
            <w:tr w:rsidR="00CA1CB5" w14:paraId="51F939DC" w14:textId="77777777">
              <w:tc>
                <w:tcPr>
                  <w:tcW w:w="10773" w:type="dxa"/>
                </w:tcPr>
                <w:p w14:paraId="009AE96A" w14:textId="77777777" w:rsidR="00CA1CB5" w:rsidRDefault="00CA1CB5">
                  <w:pPr>
                    <w:pStyle w:val="EFADisclaimerText"/>
                    <w:rPr>
                      <w:rFonts w:eastAsia="楷体_GB2312"/>
                      <w:b/>
                      <w:w w:val="70"/>
                      <w:sz w:val="20"/>
                      <w:szCs w:val="20"/>
                    </w:rPr>
                  </w:pPr>
                </w:p>
              </w:tc>
            </w:tr>
            <w:tr w:rsidR="00CA1CB5" w14:paraId="2AF3BFD7" w14:textId="77777777">
              <w:tc>
                <w:tcPr>
                  <w:tcW w:w="10773" w:type="dxa"/>
                </w:tcPr>
                <w:p w14:paraId="612D8928" w14:textId="77777777" w:rsidR="00CA1CB5" w:rsidRDefault="00EE3BC1">
                  <w:pPr>
                    <w:pStyle w:val="EFADisclaimerText"/>
                    <w:rPr>
                      <w:rFonts w:eastAsia="楷体_GB2312"/>
                      <w:b/>
                      <w:w w:val="70"/>
                      <w:sz w:val="20"/>
                      <w:szCs w:val="20"/>
                    </w:rPr>
                  </w:pPr>
                  <w:r>
                    <w:rPr>
                      <w:rFonts w:eastAsia="楷体_GB2312"/>
                      <w:sz w:val="12"/>
                      <w:szCs w:val="12"/>
                    </w:rPr>
                    <w:t>Source: Company data Bloomberg, XXX estimates</w:t>
                  </w:r>
                </w:p>
              </w:tc>
            </w:tr>
          </w:tbl>
          <w:p w14:paraId="64135BB1" w14:textId="77777777" w:rsidR="00CA1CB5" w:rsidRDefault="00CA1CB5">
            <w:pPr>
              <w:pStyle w:val="EFADisclaimerText"/>
              <w:rPr>
                <w:rFonts w:eastAsia="楷体_GB2312" w:cs="Calibri"/>
                <w:b/>
                <w:w w:val="70"/>
                <w:sz w:val="20"/>
                <w:szCs w:val="20"/>
                <w:lang w:eastAsia="zh-CN"/>
              </w:rPr>
            </w:pPr>
          </w:p>
          <w:p w14:paraId="55B1852B" w14:textId="77777777" w:rsidR="00CA1CB5" w:rsidRDefault="00CA1CB5">
            <w:pPr>
              <w:pStyle w:val="EFAAnchor"/>
              <w:rPr>
                <w:rFonts w:eastAsia="楷体_GB2312" w:cs="Calibri"/>
              </w:rPr>
            </w:pPr>
          </w:p>
        </w:tc>
      </w:tr>
    </w:tbl>
    <w:p w14:paraId="61EBFFFE" w14:textId="77777777" w:rsidR="00CA1CB5" w:rsidRDefault="00CA1CB5">
      <w:pPr>
        <w:rPr>
          <w:rFonts w:eastAsiaTheme="minorEastAsia"/>
        </w:rPr>
      </w:pPr>
    </w:p>
    <w:sectPr w:rsidR="00CA1CB5">
      <w:footerReference w:type="default" r:id="rId65"/>
      <w:headerReference w:type="first" r:id="rId66"/>
      <w:footerReference w:type="first" r:id="rId67"/>
      <w:pgSz w:w="11910" w:h="16840"/>
      <w:pgMar w:top="1021" w:right="567" w:bottom="1021" w:left="567" w:header="567" w:footer="919" w:gutter="0"/>
      <w:cols w:space="42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1A37" w14:textId="77777777" w:rsidR="001E398C" w:rsidRDefault="001E398C">
      <w:r>
        <w:separator/>
      </w:r>
    </w:p>
  </w:endnote>
  <w:endnote w:type="continuationSeparator" w:id="0">
    <w:p w14:paraId="029F907D" w14:textId="77777777" w:rsidR="001E398C" w:rsidRDefault="001E3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汉仪大黑简">
    <w:altName w:val="微软雅黑"/>
    <w:charset w:val="86"/>
    <w:family w:val="modern"/>
    <w:pitch w:val="default"/>
    <w:sig w:usb0="00000000" w:usb1="00000000" w:usb2="00000012"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2AEF" w:usb1="C0007841" w:usb2="00000009" w:usb3="00000000" w:csb0="400001FF" w:csb1="FFFF0000"/>
  </w:font>
  <w:font w:name="Helvetica Neue">
    <w:altName w:val="Sylfaen"/>
    <w:charset w:val="00"/>
    <w:family w:val="auto"/>
    <w:pitch w:val="default"/>
    <w:sig w:usb0="E50002FF" w:usb1="500079DB" w:usb2="00000010" w:usb3="00000000" w:csb0="0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A1CB5" w14:paraId="2C3BFBEF" w14:textId="77777777">
      <w:trPr>
        <w:trHeight w:val="314"/>
      </w:trPr>
      <w:tc>
        <w:tcPr>
          <w:tcW w:w="10723" w:type="dxa"/>
          <w:tcBorders>
            <w:top w:val="nil"/>
            <w:left w:val="nil"/>
            <w:bottom w:val="nil"/>
            <w:right w:val="nil"/>
          </w:tcBorders>
          <w:vAlign w:val="center"/>
        </w:tcPr>
        <w:p w14:paraId="34CCB4AC" w14:textId="6CC56DD1" w:rsidR="00CA1CB5" w:rsidRDefault="00EE3BC1">
          <w:pPr>
            <w:pStyle w:val="EFAPageFooter"/>
            <w:framePr w:wrap="auto" w:vAnchor="margin" w:hAnchor="text" w:xAlign="left" w:yAlign="inline"/>
          </w:pPr>
          <w:r>
            <w:fldChar w:fldCharType="begin"/>
          </w:r>
          <w:r>
            <w:instrText xml:space="preserve"> DATE  \@ "d MMM yyyy"  \* MERGEFORMAT </w:instrText>
          </w:r>
          <w:r>
            <w:fldChar w:fldCharType="separate"/>
          </w:r>
          <w:r w:rsidR="008748F0">
            <w:rPr>
              <w:noProof/>
            </w:rPr>
            <w:t>16 Mar 2026</w:t>
          </w:r>
          <w:r>
            <w:fldChar w:fldCharType="end"/>
          </w:r>
          <w:r>
            <w:tab/>
          </w:r>
          <w:r>
            <w:fldChar w:fldCharType="begin"/>
          </w:r>
          <w:r>
            <w:instrText xml:space="preserve"> PAGE </w:instrText>
          </w:r>
          <w:r>
            <w:fldChar w:fldCharType="separate"/>
          </w:r>
          <w:r>
            <w:t>2</w:t>
          </w:r>
          <w:r>
            <w:fldChar w:fldCharType="end"/>
          </w:r>
        </w:p>
      </w:tc>
    </w:tr>
  </w:tbl>
  <w:p w14:paraId="143CC450" w14:textId="77777777" w:rsidR="00CA1CB5" w:rsidRDefault="00CA1CB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1284" w14:textId="77777777" w:rsidR="00CA1CB5" w:rsidRDefault="00EE3BC1">
    <w:pPr>
      <w:pStyle w:val="a5"/>
    </w:pPr>
    <w:r>
      <w:rPr>
        <w:noProof/>
      </w:rPr>
      <mc:AlternateContent>
        <mc:Choice Requires="wps">
          <w:drawing>
            <wp:anchor distT="0" distB="0" distL="114300" distR="114300" simplePos="0" relativeHeight="251659264" behindDoc="0" locked="0" layoutInCell="1" allowOverlap="1" wp14:anchorId="2D51945B" wp14:editId="2DB54099">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3B1A6314" w14:textId="77777777" w:rsidR="00CA1CB5" w:rsidRDefault="00CA1CB5">
                          <w:pPr>
                            <w:ind w:left="-180"/>
                          </w:pPr>
                        </w:p>
                      </w:txbxContent>
                    </wps:txbx>
                    <wps:bodyPr rot="0" vert="horz" wrap="square" lIns="91440" tIns="45720" rIns="91440" bIns="45720" anchor="t" anchorCtr="0" upright="1">
                      <a:noAutofit/>
                    </wps:bodyPr>
                  </wps:wsp>
                </a:graphicData>
              </a:graphic>
            </wp:anchor>
          </w:drawing>
        </mc:Choice>
        <mc:Fallback>
          <w:pict>
            <v:shapetype w14:anchorId="2D51945B" id="_x0000_t202" coordsize="21600,21600" o:spt="202" path="m,l,21600r21600,l21600,xe">
              <v:stroke joinstyle="miter"/>
              <v:path gradientshapeok="t" o:connecttype="rect"/>
            </v:shapetype>
            <v:shape id="Text Box 73" o:spid="_x0000_s1026" type="#_x0000_t202" style="position:absolute;margin-left:0;margin-top:776.5pt;width:554.75pt;height:3.95pt;z-index:25165926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" fillcolor="#23558c" stroked="f">
              <v:textbox>
                <w:txbxContent>
                  <w:p w14:paraId="3B1A6314" w14:textId="77777777" w:rsidR="00CA1CB5" w:rsidRDefault="00CA1CB5">
                    <w:pPr>
                      <w:ind w:left="-180"/>
                    </w:pPr>
                  </w:p>
                </w:txbxContent>
              </v:textbox>
              <w10:wrap type="topAndBottom" anchorx="page" anchory="page"/>
            </v:shape>
          </w:pict>
        </mc:Fallback>
      </mc:AlternateContent>
    </w:r>
    <w:r>
      <w:rPr>
        <w:noProof/>
      </w:rPr>
      <mc:AlternateContent>
        <mc:Choice Requires="wps">
          <w:drawing>
            <wp:anchor distT="0" distB="0" distL="114300" distR="114300" simplePos="0" relativeHeight="251660288" behindDoc="0" locked="1" layoutInCell="1" allowOverlap="1" wp14:anchorId="1D7C09BF" wp14:editId="3A8EA7E6">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CA1CB5" w14:paraId="266AC2CC" w14:textId="77777777">
                            <w:trPr>
                              <w:trHeight w:hRule="exact" w:val="23"/>
                            </w:trPr>
                            <w:tc>
                              <w:tcPr>
                                <w:tcW w:w="11583" w:type="dxa"/>
                              </w:tcPr>
                              <w:p w14:paraId="0AE5A154" w14:textId="77777777" w:rsidR="00CA1CB5" w:rsidRDefault="00EE3BC1">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A1CB5" w14:paraId="22AF266E" w14:textId="77777777">
                            <w:tc>
                              <w:tcPr>
                                <w:tcW w:w="11583" w:type="dxa"/>
                              </w:tcPr>
                              <w:p w14:paraId="68BFD72F" w14:textId="77777777" w:rsidR="00CA1CB5" w:rsidRDefault="00EE3BC1">
                                <w:pPr>
                                  <w:pStyle w:val="EFAFPFooter"/>
                                  <w:rPr>
                                    <w:rFonts w:eastAsia="MS Mincho" w:cs="Calibri"/>
                                    <w:b w:val="0"/>
                                    <w:sz w:val="21"/>
                                    <w:szCs w:val="21"/>
                                  </w:rPr>
                                </w:pPr>
                                <w:r>
                                  <w:rPr>
                                    <w:rFonts w:eastAsia="楷体_GB2312" w:cs="Calibri" w:hint="eastAsia"/>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4620335" w14:textId="77777777" w:rsidR="00CA1CB5" w:rsidRDefault="00CA1CB5">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w14:anchorId="1D7C09BF" id="Text Box 281" o:spid="_x0000_s1027" type="#_x0000_t202" style="position:absolute;margin-left:508.3pt;margin-top:781.8pt;width:559.5pt;height:56.4pt;z-index:25166028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" filled="f" stroked="f">
              <v:textbox inset="0,0,0,0">
                <w:txbxContent>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CA1CB5" w14:paraId="266AC2CC" w14:textId="77777777">
                      <w:trPr>
                        <w:trHeight w:hRule="exact" w:val="23"/>
                      </w:trPr>
                      <w:tc>
                        <w:tcPr>
                          <w:tcW w:w="11583" w:type="dxa"/>
                        </w:tcPr>
                        <w:p w14:paraId="0AE5A154" w14:textId="77777777" w:rsidR="00CA1CB5" w:rsidRDefault="00EE3BC1">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A1CB5" w14:paraId="22AF266E" w14:textId="77777777">
                      <w:tc>
                        <w:tcPr>
                          <w:tcW w:w="11583" w:type="dxa"/>
                        </w:tcPr>
                        <w:p w14:paraId="68BFD72F" w14:textId="77777777" w:rsidR="00CA1CB5" w:rsidRDefault="00EE3BC1">
                          <w:pPr>
                            <w:pStyle w:val="EFAFPFooter"/>
                            <w:rPr>
                              <w:rFonts w:eastAsia="MS Mincho" w:cs="Calibri"/>
                              <w:b w:val="0"/>
                              <w:sz w:val="21"/>
                              <w:szCs w:val="21"/>
                            </w:rPr>
                          </w:pPr>
                          <w:r>
                            <w:rPr>
                              <w:rFonts w:eastAsia="楷体_GB2312" w:cs="Calibri" w:hint="eastAsia"/>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4620335" w14:textId="77777777" w:rsidR="00CA1CB5" w:rsidRDefault="00CA1CB5">
                    <w:pPr>
                      <w:pStyle w:val="EFAFPFooter"/>
                      <w:rPr>
                        <w:rFonts w:eastAsia="楷体_GB2312" w:cs="Calibri"/>
                        <w:b w:val="0"/>
                        <w:sz w:val="21"/>
                        <w:szCs w:val="21"/>
                      </w:rPr>
                    </w:pPr>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A1CB5" w14:paraId="2E4E6E48" w14:textId="77777777">
      <w:trPr>
        <w:trHeight w:val="314"/>
      </w:trPr>
      <w:tc>
        <w:tcPr>
          <w:tcW w:w="10723" w:type="dxa"/>
          <w:tcBorders>
            <w:top w:val="nil"/>
            <w:left w:val="nil"/>
            <w:bottom w:val="nil"/>
            <w:right w:val="nil"/>
          </w:tcBorders>
          <w:vAlign w:val="center"/>
        </w:tcPr>
        <w:p w14:paraId="11B38051" w14:textId="53EDF4CE" w:rsidR="00CA1CB5" w:rsidRDefault="00EE3BC1">
          <w:pPr>
            <w:pStyle w:val="EFAPageFooter"/>
            <w:framePr w:wrap="auto" w:vAnchor="margin" w:hAnchor="text" w:xAlign="left" w:yAlign="inline"/>
          </w:pPr>
          <w:r>
            <w:fldChar w:fldCharType="begin"/>
          </w:r>
          <w:r>
            <w:instrText xml:space="preserve"> DATE  \@ "d MMM yyyy"  \* MERGEFORMAT </w:instrText>
          </w:r>
          <w:r>
            <w:fldChar w:fldCharType="separate"/>
          </w:r>
          <w:r w:rsidR="008748F0">
            <w:rPr>
              <w:noProof/>
            </w:rPr>
            <w:t>16 Mar 2026</w:t>
          </w:r>
          <w:r>
            <w:fldChar w:fldCharType="end"/>
          </w:r>
          <w:r>
            <w:tab/>
          </w:r>
          <w:r>
            <w:fldChar w:fldCharType="begin"/>
          </w:r>
          <w:r>
            <w:instrText xml:space="preserve"> PAGE </w:instrText>
          </w:r>
          <w:r>
            <w:fldChar w:fldCharType="separate"/>
          </w:r>
          <w:r>
            <w:t>2</w:t>
          </w:r>
          <w:r>
            <w:fldChar w:fldCharType="end"/>
          </w:r>
        </w:p>
      </w:tc>
    </w:tr>
  </w:tbl>
  <w:p w14:paraId="11E9853E" w14:textId="77777777" w:rsidR="00CA1CB5" w:rsidRDefault="00CA1CB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A1CB5" w14:paraId="24C257FD" w14:textId="77777777">
      <w:trPr>
        <w:trHeight w:val="314"/>
      </w:trPr>
      <w:tc>
        <w:tcPr>
          <w:tcW w:w="10723" w:type="dxa"/>
          <w:tcBorders>
            <w:top w:val="nil"/>
            <w:left w:val="nil"/>
            <w:bottom w:val="nil"/>
            <w:right w:val="nil"/>
          </w:tcBorders>
          <w:vAlign w:val="center"/>
        </w:tcPr>
        <w:p w14:paraId="53209A0A" w14:textId="5E181BF5" w:rsidR="00CA1CB5" w:rsidRDefault="00EE3BC1">
          <w:pPr>
            <w:pStyle w:val="EFAPageFooter"/>
            <w:framePr w:wrap="auto" w:vAnchor="margin" w:hAnchor="text" w:xAlign="left" w:yAlign="inline"/>
          </w:pPr>
          <w:r>
            <w:fldChar w:fldCharType="begin"/>
          </w:r>
          <w:r>
            <w:instrText xml:space="preserve"> DATE  \@ "d MMM yyyy"  \* MERGEFORMAT </w:instrText>
          </w:r>
          <w:r>
            <w:fldChar w:fldCharType="separate"/>
          </w:r>
          <w:r w:rsidR="008748F0">
            <w:rPr>
              <w:noProof/>
            </w:rPr>
            <w:t>16 Mar 2026</w:t>
          </w:r>
          <w:r>
            <w:fldChar w:fldCharType="end"/>
          </w:r>
          <w:r>
            <w:tab/>
          </w:r>
          <w:r>
            <w:fldChar w:fldCharType="begin"/>
          </w:r>
          <w:r>
            <w:instrText xml:space="preserve"> PAGE </w:instrText>
          </w:r>
          <w:r>
            <w:fldChar w:fldCharType="separate"/>
          </w:r>
          <w:r>
            <w:t>2</w:t>
          </w:r>
          <w:r>
            <w:fldChar w:fldCharType="end"/>
          </w:r>
        </w:p>
      </w:tc>
    </w:tr>
  </w:tbl>
  <w:p w14:paraId="4EB63D08" w14:textId="77777777" w:rsidR="00CA1CB5" w:rsidRDefault="00CA1CB5">
    <w:pPr>
      <w:pStyle w:val="EFANormal"/>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31" w:tblpY="15481"/>
      <w:tblOverlap w:val="neve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437"/>
    </w:tblGrid>
    <w:tr w:rsidR="00CA1CB5" w14:paraId="26F95455" w14:textId="77777777">
      <w:trPr>
        <w:trHeight w:val="329"/>
      </w:trPr>
      <w:tc>
        <w:tcPr>
          <w:tcW w:w="10437" w:type="dxa"/>
          <w:tcBorders>
            <w:top w:val="nil"/>
            <w:left w:val="nil"/>
            <w:bottom w:val="nil"/>
            <w:right w:val="nil"/>
          </w:tcBorders>
          <w:vAlign w:val="center"/>
        </w:tcPr>
        <w:p w14:paraId="5B1DF2D2" w14:textId="77777777" w:rsidR="00CA1CB5" w:rsidRDefault="00EE3BC1">
          <w:pPr>
            <w:pStyle w:val="EFAPageFooter"/>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462505E3" w14:textId="77777777" w:rsidR="00CA1CB5" w:rsidRDefault="00CA1CB5">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31" w:tblpY="15481"/>
      <w:tblOverlap w:val="neve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437"/>
    </w:tblGrid>
    <w:tr w:rsidR="00CA1CB5" w14:paraId="4F58295B" w14:textId="77777777">
      <w:trPr>
        <w:trHeight w:val="329"/>
      </w:trPr>
      <w:tc>
        <w:tcPr>
          <w:tcW w:w="10437" w:type="dxa"/>
          <w:tcBorders>
            <w:top w:val="nil"/>
            <w:left w:val="nil"/>
            <w:bottom w:val="nil"/>
            <w:right w:val="nil"/>
          </w:tcBorders>
          <w:vAlign w:val="center"/>
        </w:tcPr>
        <w:p w14:paraId="12B54657" w14:textId="77777777" w:rsidR="00CA1CB5" w:rsidRDefault="00EE3BC1">
          <w:pPr>
            <w:pStyle w:val="EFAPageFooter"/>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04377947" w14:textId="77777777" w:rsidR="00CA1CB5" w:rsidRDefault="00CA1CB5">
    <w:pPr>
      <w:pStyle w:val="a5"/>
      <w:rPr>
        <w:rFonts w:eastAsiaTheme="min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1AD6" w14:textId="77777777" w:rsidR="001E398C" w:rsidRDefault="001E398C">
      <w:r>
        <w:separator/>
      </w:r>
    </w:p>
  </w:footnote>
  <w:footnote w:type="continuationSeparator" w:id="0">
    <w:p w14:paraId="010AF63C" w14:textId="77777777" w:rsidR="001E398C" w:rsidRDefault="001E3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2]"/>
      <w:tblDescription w:val="表格隐藏标识（勿删除）"/>
    </w:tblPr>
    <w:tblGrid>
      <w:gridCol w:w="7815"/>
      <w:gridCol w:w="3047"/>
    </w:tblGrid>
    <w:tr w:rsidR="00CA1CB5" w14:paraId="51B182BA" w14:textId="77777777">
      <w:trPr>
        <w:trHeight w:hRule="exact" w:val="23"/>
      </w:trPr>
      <w:tc>
        <w:tcPr>
          <w:tcW w:w="7815" w:type="dxa"/>
          <w:tcBorders>
            <w:top w:val="nil"/>
            <w:bottom w:val="nil"/>
          </w:tcBorders>
          <w:vAlign w:val="center"/>
        </w:tcPr>
        <w:p w14:paraId="41E292CB" w14:textId="77777777" w:rsidR="00CA1CB5" w:rsidRDefault="00EE3BC1">
          <w:pPr>
            <w:pStyle w:val="EFANormal"/>
            <w:rPr>
              <w:rFonts w:eastAsia="楷体_GB2312"/>
              <w:color w:val="FF0000"/>
              <w:sz w:val="24"/>
              <w:lang w:eastAsia="zh-CN"/>
            </w:rPr>
          </w:pPr>
          <w:r>
            <w:rPr>
              <w:rFonts w:eastAsia="楷体_GB2312"/>
              <w:color w:val="FFFFFF" w:themeColor="background1"/>
              <w:sz w:val="24"/>
              <w:lang w:eastAsia="zh-CN"/>
            </w:rPr>
            <w:t>[Table_header2]</w:t>
          </w:r>
        </w:p>
      </w:tc>
      <w:tc>
        <w:tcPr>
          <w:tcW w:w="3047" w:type="dxa"/>
          <w:tcBorders>
            <w:top w:val="nil"/>
            <w:bottom w:val="nil"/>
          </w:tcBorders>
          <w:vAlign w:val="center"/>
        </w:tcPr>
        <w:p w14:paraId="2C263AFB" w14:textId="77777777" w:rsidR="00CA1CB5" w:rsidRDefault="00CA1CB5">
          <w:pPr>
            <w:pStyle w:val="EFANormal"/>
            <w:jc w:val="right"/>
            <w:rPr>
              <w:rStyle w:val="EFACharBoldandAllCap"/>
              <w:rFonts w:eastAsia="楷体_GB2312"/>
              <w:color w:val="FF0000"/>
              <w:sz w:val="24"/>
              <w:lang w:eastAsia="zh-CN"/>
            </w:rPr>
          </w:pPr>
        </w:p>
      </w:tc>
    </w:tr>
    <w:tr w:rsidR="00CA1CB5" w14:paraId="449947AF" w14:textId="77777777">
      <w:trPr>
        <w:trHeight w:val="416"/>
      </w:trPr>
      <w:tc>
        <w:tcPr>
          <w:tcW w:w="7815" w:type="dxa"/>
          <w:tcBorders>
            <w:top w:val="nil"/>
          </w:tcBorders>
          <w:vAlign w:val="center"/>
        </w:tcPr>
        <w:p w14:paraId="21F107B8" w14:textId="77777777" w:rsidR="00CA1CB5" w:rsidRDefault="00EE3BC1">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3047" w:type="dxa"/>
          <w:tcBorders>
            <w:top w:val="nil"/>
          </w:tcBorders>
          <w:vAlign w:val="center"/>
        </w:tcPr>
        <w:p w14:paraId="36C1D1C5" w14:textId="77777777" w:rsidR="00CA1CB5" w:rsidRDefault="00EE3BC1">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475FEB9A" w14:textId="77777777" w:rsidR="00CA1CB5" w:rsidRDefault="00CA1CB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0A7DF2113BC84988AC653F937B869E52"/>
      </w:placeholder>
      <w:temporary/>
      <w:showingPlcHdr/>
      <w15:appearance w15:val="hidden"/>
    </w:sdtPr>
    <w:sdtEndPr/>
    <w:sdtContent>
      <w:p w14:paraId="7ACD3CDB" w14:textId="77777777" w:rsidR="00CA1CB5" w:rsidRDefault="00EE3BC1">
        <w:pPr>
          <w:pStyle w:val="a7"/>
        </w:pPr>
        <w:r>
          <w:rPr>
            <w:lang w:val="zh-CN"/>
          </w:rPr>
          <w:t>[</w:t>
        </w:r>
        <w:r>
          <w:rPr>
            <w:lang w:val="zh-CN"/>
          </w:rPr>
          <w:t>在此处键入</w:t>
        </w:r>
        <w:r>
          <w:rPr>
            <w:lang w:val="zh-CN"/>
          </w:rPr>
          <w:t>]</w:t>
        </w:r>
      </w:p>
    </w:sdtContent>
  </w:sdt>
  <w:p w14:paraId="2EA4875C" w14:textId="77777777" w:rsidR="00CA1CB5" w:rsidRDefault="00CA1CB5">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CA1CB5" w14:paraId="1DDC3D92" w14:textId="77777777">
      <w:trPr>
        <w:trHeight w:hRule="exact" w:val="23"/>
      </w:trPr>
      <w:tc>
        <w:tcPr>
          <w:tcW w:w="6238" w:type="dxa"/>
          <w:tcBorders>
            <w:top w:val="nil"/>
            <w:bottom w:val="nil"/>
          </w:tcBorders>
          <w:vAlign w:val="center"/>
        </w:tcPr>
        <w:p w14:paraId="3AC5A453" w14:textId="77777777" w:rsidR="00CA1CB5" w:rsidRDefault="00EE3BC1">
          <w:pPr>
            <w:pStyle w:val="EFANormal"/>
            <w:rPr>
              <w:rFonts w:eastAsia="楷体_GB2312"/>
              <w:sz w:val="24"/>
              <w:lang w:eastAsia="zh-CN"/>
            </w:rPr>
          </w:pPr>
          <w:r>
            <w:rPr>
              <w:rFonts w:eastAsia="楷体_GB2312"/>
              <w:color w:val="FFFFFF" w:themeColor="background1"/>
              <w:sz w:val="24"/>
              <w:lang w:eastAsia="zh-CN"/>
            </w:rPr>
            <w:t>[Table_header1]</w:t>
          </w:r>
        </w:p>
      </w:tc>
      <w:tc>
        <w:tcPr>
          <w:tcW w:w="4678" w:type="dxa"/>
          <w:tcBorders>
            <w:top w:val="nil"/>
            <w:bottom w:val="nil"/>
          </w:tcBorders>
          <w:vAlign w:val="center"/>
        </w:tcPr>
        <w:p w14:paraId="4B3DD334" w14:textId="77777777" w:rsidR="00CA1CB5" w:rsidRDefault="00CA1CB5">
          <w:pPr>
            <w:pStyle w:val="EFANormal"/>
            <w:jc w:val="right"/>
            <w:rPr>
              <w:rStyle w:val="EFACharBoldandAllCap"/>
              <w:rFonts w:eastAsia="楷体_GB2312"/>
              <w:sz w:val="24"/>
              <w:lang w:eastAsia="zh-CN"/>
            </w:rPr>
          </w:pPr>
        </w:p>
      </w:tc>
    </w:tr>
    <w:tr w:rsidR="00CA1CB5" w14:paraId="466E97EE" w14:textId="77777777">
      <w:trPr>
        <w:trHeight w:val="416"/>
      </w:trPr>
      <w:tc>
        <w:tcPr>
          <w:tcW w:w="6238" w:type="dxa"/>
          <w:tcBorders>
            <w:top w:val="nil"/>
          </w:tcBorders>
          <w:vAlign w:val="center"/>
        </w:tcPr>
        <w:p w14:paraId="2532CF0D" w14:textId="77777777" w:rsidR="00CA1CB5" w:rsidRDefault="00EE3BC1">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4678" w:type="dxa"/>
          <w:tcBorders>
            <w:top w:val="nil"/>
          </w:tcBorders>
          <w:vAlign w:val="center"/>
        </w:tcPr>
        <w:p w14:paraId="293DE45D" w14:textId="77777777" w:rsidR="00CA1CB5" w:rsidRDefault="00EE3BC1">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1BC75EA1" w14:textId="77777777" w:rsidR="00CA1CB5" w:rsidRDefault="00CA1CB5">
    <w:pPr>
      <w:pStyle w:val="a7"/>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CA1CB5" w14:paraId="2C4B1AAA" w14:textId="77777777">
      <w:trPr>
        <w:trHeight w:hRule="exact" w:val="23"/>
      </w:trPr>
      <w:tc>
        <w:tcPr>
          <w:tcW w:w="6238" w:type="dxa"/>
          <w:tcBorders>
            <w:top w:val="nil"/>
            <w:bottom w:val="nil"/>
          </w:tcBorders>
          <w:vAlign w:val="center"/>
        </w:tcPr>
        <w:p w14:paraId="52D13B94" w14:textId="77777777" w:rsidR="00CA1CB5" w:rsidRDefault="00EE3BC1">
          <w:pPr>
            <w:pStyle w:val="EFANormal"/>
            <w:rPr>
              <w:rFonts w:eastAsia="楷体_GB2312"/>
              <w:color w:val="23558C"/>
              <w:sz w:val="24"/>
              <w:lang w:eastAsia="zh-CN"/>
            </w:rPr>
          </w:pPr>
          <w:r>
            <w:rPr>
              <w:rFonts w:eastAsia="楷体_GB2312"/>
              <w:color w:val="23558C"/>
              <w:sz w:val="24"/>
              <w:lang w:eastAsia="zh-CN"/>
            </w:rPr>
            <w:t>[Table_header1]</w:t>
          </w:r>
        </w:p>
      </w:tc>
      <w:tc>
        <w:tcPr>
          <w:tcW w:w="4678" w:type="dxa"/>
          <w:tcBorders>
            <w:top w:val="nil"/>
            <w:bottom w:val="nil"/>
          </w:tcBorders>
          <w:vAlign w:val="center"/>
        </w:tcPr>
        <w:p w14:paraId="3FE76CF0" w14:textId="77777777" w:rsidR="00CA1CB5" w:rsidRDefault="00CA1CB5">
          <w:pPr>
            <w:pStyle w:val="EFANormal"/>
            <w:jc w:val="right"/>
            <w:rPr>
              <w:rStyle w:val="EFACharBoldandAllCap"/>
              <w:rFonts w:eastAsia="楷体_GB2312"/>
              <w:color w:val="23558C"/>
              <w:sz w:val="24"/>
              <w:lang w:eastAsia="zh-CN"/>
            </w:rPr>
          </w:pPr>
        </w:p>
      </w:tc>
    </w:tr>
    <w:tr w:rsidR="00CA1CB5" w14:paraId="3ED7F9A4" w14:textId="77777777">
      <w:trPr>
        <w:trHeight w:val="416"/>
      </w:trPr>
      <w:tc>
        <w:tcPr>
          <w:tcW w:w="6238" w:type="dxa"/>
          <w:tcBorders>
            <w:top w:val="nil"/>
          </w:tcBorders>
          <w:vAlign w:val="center"/>
        </w:tcPr>
        <w:p w14:paraId="584ABFAD" w14:textId="77777777" w:rsidR="00CA1CB5" w:rsidRDefault="00EE3BC1">
          <w:pPr>
            <w:pStyle w:val="EFANormal"/>
            <w:rPr>
              <w:rFonts w:eastAsia="楷体_GB2312" w:cs="Calibri"/>
              <w:b/>
              <w:bCs/>
              <w:color w:val="23558C"/>
              <w:sz w:val="24"/>
              <w:szCs w:val="24"/>
              <w:lang w:eastAsia="zh-CN"/>
            </w:rPr>
          </w:pPr>
          <w:r>
            <w:rPr>
              <w:rFonts w:eastAsia="楷体_GB2312" w:cs="Calibri" w:hint="eastAsia"/>
              <w:b/>
              <w:bCs/>
              <w:color w:val="23558C"/>
              <w:sz w:val="24"/>
              <w:szCs w:val="24"/>
              <w:lang w:eastAsia="zh-CN"/>
            </w:rPr>
            <w:t>公司名称</w:t>
          </w:r>
          <w:r>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46A83A78" w14:textId="77777777" w:rsidR="00CA1CB5" w:rsidRDefault="00EE3BC1">
          <w:pPr>
            <w:pStyle w:val="EFANormal"/>
            <w:jc w:val="right"/>
            <w:rPr>
              <w:rStyle w:val="EFACharBoldandAllCap"/>
              <w:rFonts w:eastAsia="楷体_GB2312" w:cs="Calibri"/>
              <w:color w:val="23558C"/>
              <w:sz w:val="24"/>
              <w:lang w:eastAsia="zh-CN"/>
            </w:rPr>
          </w:pPr>
          <w:r>
            <w:rPr>
              <w:rStyle w:val="EFACharBoldandAllCap"/>
              <w:rFonts w:eastAsia="楷体_GB2312" w:cs="Calibri" w:hint="eastAsia"/>
              <w:color w:val="23558C"/>
              <w:sz w:val="24"/>
              <w:lang w:eastAsia="zh-CN"/>
            </w:rPr>
            <w:t>评级调整</w:t>
          </w:r>
        </w:p>
      </w:tc>
    </w:tr>
  </w:tbl>
  <w:p w14:paraId="7E90DF91" w14:textId="77777777" w:rsidR="00CA1CB5" w:rsidRDefault="00CA1CB5">
    <w:pPr>
      <w:pStyle w:val="EFANormal"/>
      <w:rPr>
        <w:rFonts w:eastAsiaTheme="minorEastAsia"/>
        <w:color w:val="23558C"/>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09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CA1CB5" w14:paraId="549C5566" w14:textId="77777777">
      <w:trPr>
        <w:trHeight w:hRule="exact" w:val="23"/>
      </w:trPr>
      <w:tc>
        <w:tcPr>
          <w:tcW w:w="6238" w:type="dxa"/>
          <w:tcBorders>
            <w:top w:val="nil"/>
            <w:bottom w:val="nil"/>
          </w:tcBorders>
          <w:vAlign w:val="center"/>
        </w:tcPr>
        <w:p w14:paraId="60728ED3" w14:textId="77777777" w:rsidR="00CA1CB5" w:rsidRDefault="00EE3BC1">
          <w:pPr>
            <w:pStyle w:val="EFANormal"/>
            <w:rPr>
              <w:rFonts w:eastAsia="楷体_GB2312"/>
              <w:color w:val="23558C"/>
              <w:sz w:val="24"/>
              <w:lang w:eastAsia="zh-CN"/>
            </w:rPr>
          </w:pPr>
          <w:r>
            <w:rPr>
              <w:rFonts w:eastAsia="楷体_GB2312"/>
              <w:color w:val="23558C"/>
              <w:sz w:val="24"/>
              <w:lang w:eastAsia="zh-CN"/>
            </w:rPr>
            <w:t>[Table_header1]</w:t>
          </w:r>
        </w:p>
      </w:tc>
      <w:tc>
        <w:tcPr>
          <w:tcW w:w="4678" w:type="dxa"/>
          <w:tcBorders>
            <w:top w:val="nil"/>
            <w:bottom w:val="nil"/>
          </w:tcBorders>
          <w:vAlign w:val="center"/>
        </w:tcPr>
        <w:p w14:paraId="25DE1A1B" w14:textId="77777777" w:rsidR="00CA1CB5" w:rsidRDefault="00CA1CB5">
          <w:pPr>
            <w:pStyle w:val="EFANormal"/>
            <w:jc w:val="right"/>
            <w:rPr>
              <w:rStyle w:val="EFACharBoldandAllCap"/>
              <w:rFonts w:eastAsia="楷体_GB2312"/>
              <w:color w:val="23558C"/>
              <w:sz w:val="24"/>
              <w:lang w:eastAsia="zh-CN"/>
            </w:rPr>
          </w:pPr>
        </w:p>
      </w:tc>
    </w:tr>
    <w:tr w:rsidR="00CA1CB5" w14:paraId="44953BC2" w14:textId="77777777">
      <w:trPr>
        <w:trHeight w:val="416"/>
      </w:trPr>
      <w:tc>
        <w:tcPr>
          <w:tcW w:w="6238" w:type="dxa"/>
          <w:tcBorders>
            <w:top w:val="nil"/>
          </w:tcBorders>
          <w:vAlign w:val="center"/>
        </w:tcPr>
        <w:p w14:paraId="0C8510DC" w14:textId="77777777" w:rsidR="00CA1CB5" w:rsidRDefault="00EE3BC1">
          <w:pPr>
            <w:pStyle w:val="EFANormal"/>
            <w:rPr>
              <w:rFonts w:eastAsia="楷体_GB2312" w:cs="Calibri"/>
              <w:b/>
              <w:bCs/>
              <w:color w:val="23558C"/>
              <w:sz w:val="24"/>
              <w:szCs w:val="24"/>
              <w:lang w:eastAsia="zh-CN"/>
            </w:rPr>
          </w:pPr>
          <w:r>
            <w:rPr>
              <w:rFonts w:eastAsia="楷体_GB2312" w:cs="Calibri" w:hint="eastAsia"/>
              <w:b/>
              <w:bCs/>
              <w:color w:val="23558C"/>
              <w:sz w:val="24"/>
              <w:szCs w:val="24"/>
              <w:lang w:eastAsia="zh-CN"/>
            </w:rPr>
            <w:t>公司名称</w:t>
          </w:r>
          <w:r>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67E4837D" w14:textId="77777777" w:rsidR="00CA1CB5" w:rsidRDefault="00EE3BC1">
          <w:pPr>
            <w:pStyle w:val="EFANormal"/>
            <w:jc w:val="right"/>
            <w:rPr>
              <w:rStyle w:val="EFACharBoldandAllCap"/>
              <w:rFonts w:eastAsia="楷体_GB2312" w:cs="Calibri"/>
              <w:color w:val="23558C"/>
              <w:sz w:val="24"/>
              <w:lang w:eastAsia="zh-CN"/>
            </w:rPr>
          </w:pPr>
          <w:r>
            <w:rPr>
              <w:rStyle w:val="EFACharBoldandAllCap"/>
              <w:rFonts w:eastAsia="楷体_GB2312" w:cs="Calibri" w:hint="eastAsia"/>
              <w:color w:val="23558C"/>
              <w:sz w:val="24"/>
              <w:lang w:eastAsia="zh-CN"/>
            </w:rPr>
            <w:t>评级调整</w:t>
          </w:r>
        </w:p>
      </w:tc>
    </w:tr>
  </w:tbl>
  <w:p w14:paraId="2C226A27" w14:textId="77777777" w:rsidR="00CA1CB5" w:rsidRDefault="00CA1CB5">
    <w:pPr>
      <w:pStyle w:val="a7"/>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61BE" w14:textId="77777777" w:rsidR="00CA1CB5" w:rsidRDefault="00CA1CB5">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F6F101"/>
    <w:multiLevelType w:val="singleLevel"/>
    <w:tmpl w:val="ABF6F101"/>
    <w:lvl w:ilvl="0">
      <w:start w:val="2"/>
      <w:numFmt w:val="decimal"/>
      <w:suff w:val="space"/>
      <w:lvlText w:val="%1)"/>
      <w:lvlJc w:val="left"/>
    </w:lvl>
  </w:abstractNum>
  <w:abstractNum w:abstractNumId="1" w15:restartNumberingAfterBreak="0">
    <w:nsid w:val="04957F20"/>
    <w:multiLevelType w:val="hybridMultilevel"/>
    <w:tmpl w:val="08BC8A8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4AA7E4D"/>
    <w:multiLevelType w:val="hybridMultilevel"/>
    <w:tmpl w:val="6B587076"/>
    <w:lvl w:ilvl="0" w:tplc="1B0019A0">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0D0AD2"/>
    <w:multiLevelType w:val="multilevel"/>
    <w:tmpl w:val="170D0AD2"/>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4CB04B6"/>
    <w:multiLevelType w:val="multilevel"/>
    <w:tmpl w:val="34CB04B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4EDF7737"/>
    <w:multiLevelType w:val="multilevel"/>
    <w:tmpl w:val="4EDF773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54CF43BB"/>
    <w:multiLevelType w:val="multilevel"/>
    <w:tmpl w:val="54CF43BB"/>
    <w:lvl w:ilvl="0">
      <w:start w:val="1"/>
      <w:numFmt w:val="decimal"/>
      <w:pStyle w:val="a"/>
      <w:suff w:val="nothing"/>
      <w:lvlText w:val="图表%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6F37A37"/>
    <w:multiLevelType w:val="hybridMultilevel"/>
    <w:tmpl w:val="0B46F634"/>
    <w:lvl w:ilvl="0" w:tplc="C840E9B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4573A64"/>
    <w:multiLevelType w:val="multilevel"/>
    <w:tmpl w:val="64573A64"/>
    <w:lvl w:ilvl="0">
      <w:start w:val="1"/>
      <w:numFmt w:val="decimalEnclosedCircle"/>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43881914">
    <w:abstractNumId w:val="6"/>
  </w:num>
  <w:num w:numId="2" w16cid:durableId="1764953060">
    <w:abstractNumId w:val="0"/>
  </w:num>
  <w:num w:numId="3" w16cid:durableId="1597248496">
    <w:abstractNumId w:val="3"/>
  </w:num>
  <w:num w:numId="4" w16cid:durableId="1319337780">
    <w:abstractNumId w:val="4"/>
  </w:num>
  <w:num w:numId="5" w16cid:durableId="1712148372">
    <w:abstractNumId w:val="5"/>
  </w:num>
  <w:num w:numId="6" w16cid:durableId="186068901">
    <w:abstractNumId w:val="8"/>
  </w:num>
  <w:num w:numId="7" w16cid:durableId="350187210">
    <w:abstractNumId w:val="1"/>
  </w:num>
  <w:num w:numId="8" w16cid:durableId="1863742738">
    <w:abstractNumId w:val="2"/>
  </w:num>
  <w:num w:numId="9" w16cid:durableId="569119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420"/>
  <w:drawingGridHorizontalSpacing w:val="110"/>
  <w:drawingGridVerticalSpacing w:val="299"/>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yNjljNjk5ODkxOGU5OTlmZjJhOWEwNTU4OGFmZjUifQ=="/>
  </w:docVars>
  <w:rsids>
    <w:rsidRoot w:val="00BD4463"/>
    <w:rsid w:val="000044CE"/>
    <w:rsid w:val="00005213"/>
    <w:rsid w:val="000076DA"/>
    <w:rsid w:val="00011DD2"/>
    <w:rsid w:val="000154C7"/>
    <w:rsid w:val="00017725"/>
    <w:rsid w:val="000202AF"/>
    <w:rsid w:val="000251D0"/>
    <w:rsid w:val="00033511"/>
    <w:rsid w:val="00041BFB"/>
    <w:rsid w:val="000449B1"/>
    <w:rsid w:val="0004630F"/>
    <w:rsid w:val="00046898"/>
    <w:rsid w:val="00053455"/>
    <w:rsid w:val="00055D29"/>
    <w:rsid w:val="00056A90"/>
    <w:rsid w:val="0005701B"/>
    <w:rsid w:val="00057C7D"/>
    <w:rsid w:val="000713E3"/>
    <w:rsid w:val="00075786"/>
    <w:rsid w:val="00076105"/>
    <w:rsid w:val="0007641A"/>
    <w:rsid w:val="00085CAF"/>
    <w:rsid w:val="0008721F"/>
    <w:rsid w:val="00087D89"/>
    <w:rsid w:val="00090408"/>
    <w:rsid w:val="0009406A"/>
    <w:rsid w:val="00094A33"/>
    <w:rsid w:val="00096427"/>
    <w:rsid w:val="000A2918"/>
    <w:rsid w:val="000B20F5"/>
    <w:rsid w:val="000B2D89"/>
    <w:rsid w:val="000B3AF7"/>
    <w:rsid w:val="000C010B"/>
    <w:rsid w:val="000C7824"/>
    <w:rsid w:val="000E09D6"/>
    <w:rsid w:val="000E270F"/>
    <w:rsid w:val="000E303E"/>
    <w:rsid w:val="000E575E"/>
    <w:rsid w:val="000E7974"/>
    <w:rsid w:val="000F11D3"/>
    <w:rsid w:val="000F2731"/>
    <w:rsid w:val="000F5E5F"/>
    <w:rsid w:val="000F6A83"/>
    <w:rsid w:val="001037E4"/>
    <w:rsid w:val="00103FAD"/>
    <w:rsid w:val="00105FC9"/>
    <w:rsid w:val="00111C4A"/>
    <w:rsid w:val="00116CD7"/>
    <w:rsid w:val="001171A2"/>
    <w:rsid w:val="00126DC7"/>
    <w:rsid w:val="00133BA6"/>
    <w:rsid w:val="00135CCD"/>
    <w:rsid w:val="00140EC4"/>
    <w:rsid w:val="001422E2"/>
    <w:rsid w:val="00143D1B"/>
    <w:rsid w:val="00145029"/>
    <w:rsid w:val="00146323"/>
    <w:rsid w:val="00152394"/>
    <w:rsid w:val="0015395E"/>
    <w:rsid w:val="00156E41"/>
    <w:rsid w:val="001616A4"/>
    <w:rsid w:val="00172890"/>
    <w:rsid w:val="00175D3C"/>
    <w:rsid w:val="00176D52"/>
    <w:rsid w:val="00182F72"/>
    <w:rsid w:val="00185483"/>
    <w:rsid w:val="0019384D"/>
    <w:rsid w:val="00193C1B"/>
    <w:rsid w:val="00196F29"/>
    <w:rsid w:val="001A238D"/>
    <w:rsid w:val="001A4840"/>
    <w:rsid w:val="001B011C"/>
    <w:rsid w:val="001B2407"/>
    <w:rsid w:val="001B2DAD"/>
    <w:rsid w:val="001B7270"/>
    <w:rsid w:val="001B781A"/>
    <w:rsid w:val="001C1AD7"/>
    <w:rsid w:val="001C46C0"/>
    <w:rsid w:val="001C5A54"/>
    <w:rsid w:val="001C6E83"/>
    <w:rsid w:val="001C7304"/>
    <w:rsid w:val="001D1C26"/>
    <w:rsid w:val="001D7381"/>
    <w:rsid w:val="001D74D0"/>
    <w:rsid w:val="001D7BC5"/>
    <w:rsid w:val="001E0203"/>
    <w:rsid w:val="001E398C"/>
    <w:rsid w:val="001E6692"/>
    <w:rsid w:val="001E7C6C"/>
    <w:rsid w:val="001F2F73"/>
    <w:rsid w:val="001F71F6"/>
    <w:rsid w:val="002062F5"/>
    <w:rsid w:val="002105C4"/>
    <w:rsid w:val="00211DAF"/>
    <w:rsid w:val="00225EBE"/>
    <w:rsid w:val="00226FA3"/>
    <w:rsid w:val="0023495B"/>
    <w:rsid w:val="00234E19"/>
    <w:rsid w:val="002375D3"/>
    <w:rsid w:val="00252D44"/>
    <w:rsid w:val="0025327C"/>
    <w:rsid w:val="00257895"/>
    <w:rsid w:val="002603A5"/>
    <w:rsid w:val="00263121"/>
    <w:rsid w:val="00265213"/>
    <w:rsid w:val="00266435"/>
    <w:rsid w:val="00273CC8"/>
    <w:rsid w:val="00275943"/>
    <w:rsid w:val="002763D5"/>
    <w:rsid w:val="00276E0E"/>
    <w:rsid w:val="00277044"/>
    <w:rsid w:val="00280F1F"/>
    <w:rsid w:val="002862BE"/>
    <w:rsid w:val="00292DC5"/>
    <w:rsid w:val="00296498"/>
    <w:rsid w:val="002966EF"/>
    <w:rsid w:val="002A0007"/>
    <w:rsid w:val="002A5C04"/>
    <w:rsid w:val="002A5D42"/>
    <w:rsid w:val="002B6266"/>
    <w:rsid w:val="002B7A93"/>
    <w:rsid w:val="002C02C7"/>
    <w:rsid w:val="002C6686"/>
    <w:rsid w:val="002D69D0"/>
    <w:rsid w:val="002D7860"/>
    <w:rsid w:val="002D7AA3"/>
    <w:rsid w:val="002E0F1F"/>
    <w:rsid w:val="002E1640"/>
    <w:rsid w:val="002E6121"/>
    <w:rsid w:val="002E6DA6"/>
    <w:rsid w:val="002E724D"/>
    <w:rsid w:val="00305F20"/>
    <w:rsid w:val="00306BC2"/>
    <w:rsid w:val="00307B37"/>
    <w:rsid w:val="00307E85"/>
    <w:rsid w:val="00313DBF"/>
    <w:rsid w:val="0032229A"/>
    <w:rsid w:val="00326B8A"/>
    <w:rsid w:val="00327F64"/>
    <w:rsid w:val="003377FA"/>
    <w:rsid w:val="00341C85"/>
    <w:rsid w:val="003465D7"/>
    <w:rsid w:val="00354093"/>
    <w:rsid w:val="00364E72"/>
    <w:rsid w:val="0036718A"/>
    <w:rsid w:val="00370FB4"/>
    <w:rsid w:val="00371AB5"/>
    <w:rsid w:val="00373860"/>
    <w:rsid w:val="00373DD0"/>
    <w:rsid w:val="00380826"/>
    <w:rsid w:val="00380947"/>
    <w:rsid w:val="003825B2"/>
    <w:rsid w:val="00392148"/>
    <w:rsid w:val="003A13B4"/>
    <w:rsid w:val="003A6133"/>
    <w:rsid w:val="003B16A5"/>
    <w:rsid w:val="003C2FB7"/>
    <w:rsid w:val="003C4674"/>
    <w:rsid w:val="003E19BA"/>
    <w:rsid w:val="003E37A6"/>
    <w:rsid w:val="003E3C68"/>
    <w:rsid w:val="003E4580"/>
    <w:rsid w:val="003E4D04"/>
    <w:rsid w:val="003E5698"/>
    <w:rsid w:val="003F10DE"/>
    <w:rsid w:val="003F2203"/>
    <w:rsid w:val="003F45FE"/>
    <w:rsid w:val="003F73CC"/>
    <w:rsid w:val="003F7B8B"/>
    <w:rsid w:val="00400E77"/>
    <w:rsid w:val="00402C1D"/>
    <w:rsid w:val="0040446F"/>
    <w:rsid w:val="004149AB"/>
    <w:rsid w:val="00420104"/>
    <w:rsid w:val="00421E56"/>
    <w:rsid w:val="0042509C"/>
    <w:rsid w:val="0043081C"/>
    <w:rsid w:val="004318FF"/>
    <w:rsid w:val="0043512D"/>
    <w:rsid w:val="004376F4"/>
    <w:rsid w:val="00440097"/>
    <w:rsid w:val="004418D5"/>
    <w:rsid w:val="004467C5"/>
    <w:rsid w:val="00446B3E"/>
    <w:rsid w:val="00447124"/>
    <w:rsid w:val="00450C7D"/>
    <w:rsid w:val="00466F61"/>
    <w:rsid w:val="00472FD2"/>
    <w:rsid w:val="00481CD7"/>
    <w:rsid w:val="00481DEF"/>
    <w:rsid w:val="00481F4B"/>
    <w:rsid w:val="00482E84"/>
    <w:rsid w:val="00487065"/>
    <w:rsid w:val="00490E74"/>
    <w:rsid w:val="004963D6"/>
    <w:rsid w:val="00496F6A"/>
    <w:rsid w:val="004A7B5E"/>
    <w:rsid w:val="004B0492"/>
    <w:rsid w:val="004B450C"/>
    <w:rsid w:val="004C3B38"/>
    <w:rsid w:val="004C4941"/>
    <w:rsid w:val="004D0159"/>
    <w:rsid w:val="004E0FD4"/>
    <w:rsid w:val="004F50C0"/>
    <w:rsid w:val="0050383B"/>
    <w:rsid w:val="00506F8F"/>
    <w:rsid w:val="00512D3B"/>
    <w:rsid w:val="00516726"/>
    <w:rsid w:val="005167E6"/>
    <w:rsid w:val="0051687F"/>
    <w:rsid w:val="005177C2"/>
    <w:rsid w:val="00520126"/>
    <w:rsid w:val="005217E2"/>
    <w:rsid w:val="00523DCA"/>
    <w:rsid w:val="00524BB9"/>
    <w:rsid w:val="0052565B"/>
    <w:rsid w:val="00527E68"/>
    <w:rsid w:val="00532076"/>
    <w:rsid w:val="00532560"/>
    <w:rsid w:val="00533169"/>
    <w:rsid w:val="00536760"/>
    <w:rsid w:val="00537D0C"/>
    <w:rsid w:val="005411FC"/>
    <w:rsid w:val="005412AC"/>
    <w:rsid w:val="00541960"/>
    <w:rsid w:val="00544DF8"/>
    <w:rsid w:val="005455A3"/>
    <w:rsid w:val="005530EC"/>
    <w:rsid w:val="0055526B"/>
    <w:rsid w:val="00557BBC"/>
    <w:rsid w:val="00565070"/>
    <w:rsid w:val="00575DC5"/>
    <w:rsid w:val="00583110"/>
    <w:rsid w:val="005844D5"/>
    <w:rsid w:val="00592C1B"/>
    <w:rsid w:val="005944BC"/>
    <w:rsid w:val="00595C62"/>
    <w:rsid w:val="00596F5C"/>
    <w:rsid w:val="005979D9"/>
    <w:rsid w:val="00597FEC"/>
    <w:rsid w:val="005A2579"/>
    <w:rsid w:val="005A31CB"/>
    <w:rsid w:val="005A5975"/>
    <w:rsid w:val="005A6C73"/>
    <w:rsid w:val="005A7DD7"/>
    <w:rsid w:val="005B03D1"/>
    <w:rsid w:val="005B1078"/>
    <w:rsid w:val="005B4229"/>
    <w:rsid w:val="005B43C4"/>
    <w:rsid w:val="005B7729"/>
    <w:rsid w:val="005C3356"/>
    <w:rsid w:val="005C7598"/>
    <w:rsid w:val="005C7909"/>
    <w:rsid w:val="005F114D"/>
    <w:rsid w:val="005F2154"/>
    <w:rsid w:val="005F75F3"/>
    <w:rsid w:val="0061061C"/>
    <w:rsid w:val="006112ED"/>
    <w:rsid w:val="00611676"/>
    <w:rsid w:val="006122AB"/>
    <w:rsid w:val="00614240"/>
    <w:rsid w:val="006206E5"/>
    <w:rsid w:val="0062713A"/>
    <w:rsid w:val="00633D49"/>
    <w:rsid w:val="0064026B"/>
    <w:rsid w:val="00647EF3"/>
    <w:rsid w:val="006514C0"/>
    <w:rsid w:val="006554E8"/>
    <w:rsid w:val="006615AD"/>
    <w:rsid w:val="00667C87"/>
    <w:rsid w:val="006705E4"/>
    <w:rsid w:val="00681246"/>
    <w:rsid w:val="00690B0E"/>
    <w:rsid w:val="00694EB4"/>
    <w:rsid w:val="006A2E9C"/>
    <w:rsid w:val="006A3583"/>
    <w:rsid w:val="006B3B5D"/>
    <w:rsid w:val="006C0FFE"/>
    <w:rsid w:val="006C1A7E"/>
    <w:rsid w:val="006C4A86"/>
    <w:rsid w:val="006C55B0"/>
    <w:rsid w:val="006C5E21"/>
    <w:rsid w:val="006D1F73"/>
    <w:rsid w:val="006D623B"/>
    <w:rsid w:val="006E0295"/>
    <w:rsid w:val="006E48C9"/>
    <w:rsid w:val="006E5D7D"/>
    <w:rsid w:val="006F15BC"/>
    <w:rsid w:val="006F5E9F"/>
    <w:rsid w:val="00713E1F"/>
    <w:rsid w:val="00726708"/>
    <w:rsid w:val="007319B0"/>
    <w:rsid w:val="00731DBD"/>
    <w:rsid w:val="00736437"/>
    <w:rsid w:val="00743C01"/>
    <w:rsid w:val="007443F2"/>
    <w:rsid w:val="00746D7E"/>
    <w:rsid w:val="00747957"/>
    <w:rsid w:val="00747B48"/>
    <w:rsid w:val="00750267"/>
    <w:rsid w:val="00757187"/>
    <w:rsid w:val="00757736"/>
    <w:rsid w:val="00761F83"/>
    <w:rsid w:val="007629C2"/>
    <w:rsid w:val="00764E26"/>
    <w:rsid w:val="00765C37"/>
    <w:rsid w:val="00766EB1"/>
    <w:rsid w:val="007678A7"/>
    <w:rsid w:val="00772E4B"/>
    <w:rsid w:val="007731E9"/>
    <w:rsid w:val="007803D0"/>
    <w:rsid w:val="0078115F"/>
    <w:rsid w:val="00785D57"/>
    <w:rsid w:val="0079471C"/>
    <w:rsid w:val="007951E2"/>
    <w:rsid w:val="007954C8"/>
    <w:rsid w:val="007A0911"/>
    <w:rsid w:val="007B6EB9"/>
    <w:rsid w:val="007B7727"/>
    <w:rsid w:val="007C1C7B"/>
    <w:rsid w:val="007C609E"/>
    <w:rsid w:val="007C6B17"/>
    <w:rsid w:val="007D1EDD"/>
    <w:rsid w:val="007D76ED"/>
    <w:rsid w:val="007E42B5"/>
    <w:rsid w:val="007E6603"/>
    <w:rsid w:val="007F1FF3"/>
    <w:rsid w:val="007F2F0B"/>
    <w:rsid w:val="007F6592"/>
    <w:rsid w:val="008130EE"/>
    <w:rsid w:val="008232F5"/>
    <w:rsid w:val="008266FE"/>
    <w:rsid w:val="008340A6"/>
    <w:rsid w:val="00836545"/>
    <w:rsid w:val="00836703"/>
    <w:rsid w:val="00850FFD"/>
    <w:rsid w:val="008552C6"/>
    <w:rsid w:val="00855437"/>
    <w:rsid w:val="00857FC6"/>
    <w:rsid w:val="00862733"/>
    <w:rsid w:val="00862866"/>
    <w:rsid w:val="00863B10"/>
    <w:rsid w:val="00866767"/>
    <w:rsid w:val="0087252F"/>
    <w:rsid w:val="00873A8B"/>
    <w:rsid w:val="008748F0"/>
    <w:rsid w:val="00874B76"/>
    <w:rsid w:val="00876BB5"/>
    <w:rsid w:val="00877216"/>
    <w:rsid w:val="008870D3"/>
    <w:rsid w:val="008900E8"/>
    <w:rsid w:val="008930F9"/>
    <w:rsid w:val="008966C3"/>
    <w:rsid w:val="008A4410"/>
    <w:rsid w:val="008A52B2"/>
    <w:rsid w:val="008A5484"/>
    <w:rsid w:val="008B3D75"/>
    <w:rsid w:val="008B432D"/>
    <w:rsid w:val="008B69BC"/>
    <w:rsid w:val="008C3A1E"/>
    <w:rsid w:val="008C5181"/>
    <w:rsid w:val="008C596A"/>
    <w:rsid w:val="008D09DB"/>
    <w:rsid w:val="008D4573"/>
    <w:rsid w:val="008D5FF2"/>
    <w:rsid w:val="008E356D"/>
    <w:rsid w:val="008E4390"/>
    <w:rsid w:val="008E5ED3"/>
    <w:rsid w:val="008F2184"/>
    <w:rsid w:val="008F41FB"/>
    <w:rsid w:val="008F4948"/>
    <w:rsid w:val="00902D71"/>
    <w:rsid w:val="009113CF"/>
    <w:rsid w:val="009218CD"/>
    <w:rsid w:val="0092222A"/>
    <w:rsid w:val="0092226A"/>
    <w:rsid w:val="00932679"/>
    <w:rsid w:val="0093282B"/>
    <w:rsid w:val="00933F9D"/>
    <w:rsid w:val="00935975"/>
    <w:rsid w:val="00942F89"/>
    <w:rsid w:val="00943AFF"/>
    <w:rsid w:val="00943DFB"/>
    <w:rsid w:val="00946E18"/>
    <w:rsid w:val="00962A49"/>
    <w:rsid w:val="00963044"/>
    <w:rsid w:val="00963CC9"/>
    <w:rsid w:val="009738D2"/>
    <w:rsid w:val="00976834"/>
    <w:rsid w:val="00980A31"/>
    <w:rsid w:val="00983470"/>
    <w:rsid w:val="00984680"/>
    <w:rsid w:val="00984D92"/>
    <w:rsid w:val="00990E76"/>
    <w:rsid w:val="00995AF7"/>
    <w:rsid w:val="00996501"/>
    <w:rsid w:val="009B0F1B"/>
    <w:rsid w:val="009B2EA6"/>
    <w:rsid w:val="009B36AD"/>
    <w:rsid w:val="009B3E1D"/>
    <w:rsid w:val="009B6ED8"/>
    <w:rsid w:val="009C1252"/>
    <w:rsid w:val="009C4303"/>
    <w:rsid w:val="009C61E1"/>
    <w:rsid w:val="009D232A"/>
    <w:rsid w:val="009D2965"/>
    <w:rsid w:val="009D4128"/>
    <w:rsid w:val="009D5877"/>
    <w:rsid w:val="009D5FF6"/>
    <w:rsid w:val="009D7B9C"/>
    <w:rsid w:val="00A00D3E"/>
    <w:rsid w:val="00A02AE7"/>
    <w:rsid w:val="00A0364C"/>
    <w:rsid w:val="00A13241"/>
    <w:rsid w:val="00A21ACB"/>
    <w:rsid w:val="00A2219A"/>
    <w:rsid w:val="00A2270B"/>
    <w:rsid w:val="00A354E2"/>
    <w:rsid w:val="00A40B50"/>
    <w:rsid w:val="00A421B4"/>
    <w:rsid w:val="00A42977"/>
    <w:rsid w:val="00A43022"/>
    <w:rsid w:val="00A430D1"/>
    <w:rsid w:val="00A434D2"/>
    <w:rsid w:val="00A473EF"/>
    <w:rsid w:val="00A520AB"/>
    <w:rsid w:val="00A52387"/>
    <w:rsid w:val="00A5278A"/>
    <w:rsid w:val="00A53D1A"/>
    <w:rsid w:val="00A542C0"/>
    <w:rsid w:val="00A558B0"/>
    <w:rsid w:val="00A5610E"/>
    <w:rsid w:val="00A562B6"/>
    <w:rsid w:val="00A5744D"/>
    <w:rsid w:val="00A574E3"/>
    <w:rsid w:val="00A60166"/>
    <w:rsid w:val="00A70AE1"/>
    <w:rsid w:val="00A76865"/>
    <w:rsid w:val="00A770FF"/>
    <w:rsid w:val="00A91507"/>
    <w:rsid w:val="00A920D7"/>
    <w:rsid w:val="00A9571C"/>
    <w:rsid w:val="00A96B1A"/>
    <w:rsid w:val="00AA1370"/>
    <w:rsid w:val="00AA6AF1"/>
    <w:rsid w:val="00AC739C"/>
    <w:rsid w:val="00AD4928"/>
    <w:rsid w:val="00AF1F91"/>
    <w:rsid w:val="00AF3D48"/>
    <w:rsid w:val="00AF3FEC"/>
    <w:rsid w:val="00AF469A"/>
    <w:rsid w:val="00AF4A2E"/>
    <w:rsid w:val="00AF57D5"/>
    <w:rsid w:val="00AF6570"/>
    <w:rsid w:val="00B0101E"/>
    <w:rsid w:val="00B11FC7"/>
    <w:rsid w:val="00B1236C"/>
    <w:rsid w:val="00B128F4"/>
    <w:rsid w:val="00B22AE0"/>
    <w:rsid w:val="00B268C3"/>
    <w:rsid w:val="00B314BE"/>
    <w:rsid w:val="00B31669"/>
    <w:rsid w:val="00B3195C"/>
    <w:rsid w:val="00B34B9D"/>
    <w:rsid w:val="00B35018"/>
    <w:rsid w:val="00B35E6A"/>
    <w:rsid w:val="00B419E6"/>
    <w:rsid w:val="00B425D1"/>
    <w:rsid w:val="00B44C5E"/>
    <w:rsid w:val="00B472E8"/>
    <w:rsid w:val="00B50C5F"/>
    <w:rsid w:val="00B531EE"/>
    <w:rsid w:val="00B65F90"/>
    <w:rsid w:val="00B70510"/>
    <w:rsid w:val="00B72101"/>
    <w:rsid w:val="00B72640"/>
    <w:rsid w:val="00B82E0B"/>
    <w:rsid w:val="00B85F15"/>
    <w:rsid w:val="00B9388A"/>
    <w:rsid w:val="00BA3635"/>
    <w:rsid w:val="00BA43EC"/>
    <w:rsid w:val="00BA4C6F"/>
    <w:rsid w:val="00BB15C2"/>
    <w:rsid w:val="00BB793C"/>
    <w:rsid w:val="00BC1E96"/>
    <w:rsid w:val="00BC67AD"/>
    <w:rsid w:val="00BD0305"/>
    <w:rsid w:val="00BD4463"/>
    <w:rsid w:val="00BD577C"/>
    <w:rsid w:val="00BD5EDB"/>
    <w:rsid w:val="00BE48C2"/>
    <w:rsid w:val="00BE4E09"/>
    <w:rsid w:val="00BF4820"/>
    <w:rsid w:val="00BF4D2E"/>
    <w:rsid w:val="00BF7E70"/>
    <w:rsid w:val="00C0080B"/>
    <w:rsid w:val="00C01EB4"/>
    <w:rsid w:val="00C04961"/>
    <w:rsid w:val="00C05926"/>
    <w:rsid w:val="00C17F91"/>
    <w:rsid w:val="00C2254A"/>
    <w:rsid w:val="00C2387C"/>
    <w:rsid w:val="00C25570"/>
    <w:rsid w:val="00C26D9F"/>
    <w:rsid w:val="00C34AB2"/>
    <w:rsid w:val="00C41D35"/>
    <w:rsid w:val="00C46453"/>
    <w:rsid w:val="00C46ABE"/>
    <w:rsid w:val="00C479E4"/>
    <w:rsid w:val="00C535FB"/>
    <w:rsid w:val="00C54927"/>
    <w:rsid w:val="00C55570"/>
    <w:rsid w:val="00C57ED2"/>
    <w:rsid w:val="00C63C91"/>
    <w:rsid w:val="00C74585"/>
    <w:rsid w:val="00C766BE"/>
    <w:rsid w:val="00C81716"/>
    <w:rsid w:val="00C8301F"/>
    <w:rsid w:val="00C83D78"/>
    <w:rsid w:val="00C84BDC"/>
    <w:rsid w:val="00C869E3"/>
    <w:rsid w:val="00C90E44"/>
    <w:rsid w:val="00C9251F"/>
    <w:rsid w:val="00C94F8A"/>
    <w:rsid w:val="00C96DC8"/>
    <w:rsid w:val="00C9747C"/>
    <w:rsid w:val="00C9769A"/>
    <w:rsid w:val="00C9794E"/>
    <w:rsid w:val="00C97AE5"/>
    <w:rsid w:val="00CA024A"/>
    <w:rsid w:val="00CA1CB5"/>
    <w:rsid w:val="00CB7BBA"/>
    <w:rsid w:val="00CC0955"/>
    <w:rsid w:val="00CC1EF1"/>
    <w:rsid w:val="00CC362C"/>
    <w:rsid w:val="00CD5316"/>
    <w:rsid w:val="00CD6F67"/>
    <w:rsid w:val="00CD775C"/>
    <w:rsid w:val="00CE2403"/>
    <w:rsid w:val="00CE76D0"/>
    <w:rsid w:val="00CF629D"/>
    <w:rsid w:val="00CF633E"/>
    <w:rsid w:val="00CF7F45"/>
    <w:rsid w:val="00D00C61"/>
    <w:rsid w:val="00D03998"/>
    <w:rsid w:val="00D10610"/>
    <w:rsid w:val="00D15E10"/>
    <w:rsid w:val="00D172D5"/>
    <w:rsid w:val="00D2081E"/>
    <w:rsid w:val="00D20AE7"/>
    <w:rsid w:val="00D218B4"/>
    <w:rsid w:val="00D41443"/>
    <w:rsid w:val="00D41FC7"/>
    <w:rsid w:val="00D44D5F"/>
    <w:rsid w:val="00D46485"/>
    <w:rsid w:val="00D65D41"/>
    <w:rsid w:val="00D6606F"/>
    <w:rsid w:val="00D71D83"/>
    <w:rsid w:val="00D7310D"/>
    <w:rsid w:val="00D8278B"/>
    <w:rsid w:val="00D90C20"/>
    <w:rsid w:val="00D9205A"/>
    <w:rsid w:val="00DA1BEB"/>
    <w:rsid w:val="00DA409C"/>
    <w:rsid w:val="00DB4746"/>
    <w:rsid w:val="00DC2CE3"/>
    <w:rsid w:val="00DC4310"/>
    <w:rsid w:val="00DC4499"/>
    <w:rsid w:val="00DC6D34"/>
    <w:rsid w:val="00DC7F41"/>
    <w:rsid w:val="00DD6441"/>
    <w:rsid w:val="00DE1243"/>
    <w:rsid w:val="00DE17BB"/>
    <w:rsid w:val="00DE3E68"/>
    <w:rsid w:val="00DE57B9"/>
    <w:rsid w:val="00DE5FDC"/>
    <w:rsid w:val="00DE7929"/>
    <w:rsid w:val="00DF60FB"/>
    <w:rsid w:val="00E00D40"/>
    <w:rsid w:val="00E02F2B"/>
    <w:rsid w:val="00E03CFB"/>
    <w:rsid w:val="00E074A6"/>
    <w:rsid w:val="00E07523"/>
    <w:rsid w:val="00E100FB"/>
    <w:rsid w:val="00E14403"/>
    <w:rsid w:val="00E15515"/>
    <w:rsid w:val="00E155EE"/>
    <w:rsid w:val="00E16574"/>
    <w:rsid w:val="00E26849"/>
    <w:rsid w:val="00E30ACA"/>
    <w:rsid w:val="00E31B78"/>
    <w:rsid w:val="00E4331C"/>
    <w:rsid w:val="00E44D9F"/>
    <w:rsid w:val="00E51DDF"/>
    <w:rsid w:val="00E55E17"/>
    <w:rsid w:val="00E6043E"/>
    <w:rsid w:val="00E62D2F"/>
    <w:rsid w:val="00E71399"/>
    <w:rsid w:val="00E71810"/>
    <w:rsid w:val="00E83AF0"/>
    <w:rsid w:val="00E95165"/>
    <w:rsid w:val="00E97E33"/>
    <w:rsid w:val="00EB0A31"/>
    <w:rsid w:val="00EB739C"/>
    <w:rsid w:val="00ED3898"/>
    <w:rsid w:val="00EE3BC1"/>
    <w:rsid w:val="00EE4A3E"/>
    <w:rsid w:val="00EE74A4"/>
    <w:rsid w:val="00EE7BE4"/>
    <w:rsid w:val="00EF1881"/>
    <w:rsid w:val="00EF1D22"/>
    <w:rsid w:val="00EF39F2"/>
    <w:rsid w:val="00F01945"/>
    <w:rsid w:val="00F06E7F"/>
    <w:rsid w:val="00F1146A"/>
    <w:rsid w:val="00F13761"/>
    <w:rsid w:val="00F16C6B"/>
    <w:rsid w:val="00F2389F"/>
    <w:rsid w:val="00F27DC9"/>
    <w:rsid w:val="00F35DC3"/>
    <w:rsid w:val="00F432B0"/>
    <w:rsid w:val="00F45E4D"/>
    <w:rsid w:val="00F47F0F"/>
    <w:rsid w:val="00F50DB3"/>
    <w:rsid w:val="00F511C7"/>
    <w:rsid w:val="00F528B0"/>
    <w:rsid w:val="00F55590"/>
    <w:rsid w:val="00F6057C"/>
    <w:rsid w:val="00F67BFB"/>
    <w:rsid w:val="00F71FA0"/>
    <w:rsid w:val="00F729C8"/>
    <w:rsid w:val="00F80860"/>
    <w:rsid w:val="00F80B9B"/>
    <w:rsid w:val="00F812B2"/>
    <w:rsid w:val="00F83054"/>
    <w:rsid w:val="00F9062F"/>
    <w:rsid w:val="00F9066D"/>
    <w:rsid w:val="00F91BE1"/>
    <w:rsid w:val="00F92099"/>
    <w:rsid w:val="00F9632B"/>
    <w:rsid w:val="00FA4A27"/>
    <w:rsid w:val="00FA5472"/>
    <w:rsid w:val="00FA60E0"/>
    <w:rsid w:val="00FA7F8C"/>
    <w:rsid w:val="00FB1434"/>
    <w:rsid w:val="00FB1E9A"/>
    <w:rsid w:val="00FB60AC"/>
    <w:rsid w:val="00FC07BE"/>
    <w:rsid w:val="00FC0826"/>
    <w:rsid w:val="00FC1B7B"/>
    <w:rsid w:val="00FC6E8E"/>
    <w:rsid w:val="00FD18FF"/>
    <w:rsid w:val="00FD3661"/>
    <w:rsid w:val="00FD3BF1"/>
    <w:rsid w:val="00FD4517"/>
    <w:rsid w:val="00FE6E42"/>
    <w:rsid w:val="00FF0BCD"/>
    <w:rsid w:val="00FF191C"/>
    <w:rsid w:val="00FF3409"/>
    <w:rsid w:val="00FF613B"/>
    <w:rsid w:val="01803809"/>
    <w:rsid w:val="033A0998"/>
    <w:rsid w:val="03502CFD"/>
    <w:rsid w:val="04656EB0"/>
    <w:rsid w:val="049802FF"/>
    <w:rsid w:val="04BF763E"/>
    <w:rsid w:val="061340E1"/>
    <w:rsid w:val="064A387B"/>
    <w:rsid w:val="074C2609"/>
    <w:rsid w:val="07E74E75"/>
    <w:rsid w:val="08182C56"/>
    <w:rsid w:val="083057A7"/>
    <w:rsid w:val="0990783C"/>
    <w:rsid w:val="0CED3B15"/>
    <w:rsid w:val="0D662AF9"/>
    <w:rsid w:val="0DB66863"/>
    <w:rsid w:val="167EAEEC"/>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B32A9"/>
    <w:rsid w:val="28F37D06"/>
    <w:rsid w:val="296A5517"/>
    <w:rsid w:val="29984D05"/>
    <w:rsid w:val="29E131C2"/>
    <w:rsid w:val="2B2139A1"/>
    <w:rsid w:val="2BD02324"/>
    <w:rsid w:val="2C4A3730"/>
    <w:rsid w:val="2C604F77"/>
    <w:rsid w:val="2CFA88AD"/>
    <w:rsid w:val="2E870FE2"/>
    <w:rsid w:val="2F3B040D"/>
    <w:rsid w:val="303B11BD"/>
    <w:rsid w:val="312E24DA"/>
    <w:rsid w:val="315F1A90"/>
    <w:rsid w:val="32136C77"/>
    <w:rsid w:val="32BA76E3"/>
    <w:rsid w:val="360F461D"/>
    <w:rsid w:val="36854A8D"/>
    <w:rsid w:val="36F01431"/>
    <w:rsid w:val="3899321B"/>
    <w:rsid w:val="3A7F4ED5"/>
    <w:rsid w:val="3D1E60DF"/>
    <w:rsid w:val="3DDA0A65"/>
    <w:rsid w:val="3ED783D9"/>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772FD5"/>
    <w:rsid w:val="56A67E9E"/>
    <w:rsid w:val="57CF589D"/>
    <w:rsid w:val="57FF3FD3"/>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A86769D"/>
    <w:rsid w:val="6BCFAE22"/>
    <w:rsid w:val="6C7C0072"/>
    <w:rsid w:val="6CBD693E"/>
    <w:rsid w:val="6EDB7B1D"/>
    <w:rsid w:val="708319D8"/>
    <w:rsid w:val="72EE509C"/>
    <w:rsid w:val="73057B87"/>
    <w:rsid w:val="73E82826"/>
    <w:rsid w:val="74764121"/>
    <w:rsid w:val="74856478"/>
    <w:rsid w:val="767FF4F2"/>
    <w:rsid w:val="76B71781"/>
    <w:rsid w:val="77F62D55"/>
    <w:rsid w:val="78891EEF"/>
    <w:rsid w:val="7920024A"/>
    <w:rsid w:val="7A150154"/>
    <w:rsid w:val="7B752599"/>
    <w:rsid w:val="7B9058AF"/>
    <w:rsid w:val="7C8F7B03"/>
    <w:rsid w:val="7D335CF6"/>
    <w:rsid w:val="7D782922"/>
    <w:rsid w:val="7DC27B63"/>
    <w:rsid w:val="7FDFB33B"/>
    <w:rsid w:val="977FD839"/>
    <w:rsid w:val="9D37E214"/>
    <w:rsid w:val="B7FE59D5"/>
    <w:rsid w:val="E257A493"/>
    <w:rsid w:val="F97F8B93"/>
    <w:rsid w:val="FBFF770C"/>
    <w:rsid w:val="FE7DC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3BC55B"/>
  <w14:defaultImageDpi w14:val="96"/>
  <w15:docId w15:val="{7D10F120-FD6B-4ABA-874C-2ADAB8FD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F7B8B"/>
    <w:rPr>
      <w:rFonts w:ascii="Calibri" w:eastAsia="MS Mincho" w:hAnsi="Calibri"/>
      <w:snapToGrid w:val="0"/>
      <w:sz w:val="16"/>
      <w:szCs w:val="16"/>
    </w:rPr>
  </w:style>
  <w:style w:type="paragraph" w:styleId="1">
    <w:name w:val="heading 1"/>
    <w:basedOn w:val="a0"/>
    <w:next w:val="a0"/>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lock Text"/>
    <w:basedOn w:val="a0"/>
    <w:qFormat/>
    <w:pPr>
      <w:widowControl w:val="0"/>
      <w:ind w:leftChars="1553" w:left="3261" w:rightChars="26" w:right="55" w:firstLine="1"/>
    </w:pPr>
    <w:rPr>
      <w:rFonts w:ascii="Times New Roman" w:eastAsia="汉仪大黑简" w:hAnsi="Times New Roman"/>
      <w:snapToGrid/>
      <w:color w:val="000000"/>
      <w:kern w:val="2"/>
      <w:sz w:val="18"/>
      <w:szCs w:val="24"/>
    </w:rPr>
  </w:style>
  <w:style w:type="paragraph" w:styleId="a5">
    <w:name w:val="footer"/>
    <w:basedOn w:val="a0"/>
    <w:link w:val="a6"/>
    <w:uiPriority w:val="99"/>
    <w:unhideWhenUsed/>
    <w:qFormat/>
    <w:pPr>
      <w:tabs>
        <w:tab w:val="center" w:pos="4153"/>
        <w:tab w:val="right" w:pos="8306"/>
      </w:tabs>
      <w:snapToGrid w:val="0"/>
    </w:pPr>
    <w:rPr>
      <w:sz w:val="18"/>
      <w:szCs w:val="18"/>
    </w:rPr>
  </w:style>
  <w:style w:type="paragraph" w:styleId="a7">
    <w:name w:val="header"/>
    <w:basedOn w:val="a0"/>
    <w:link w:val="a8"/>
    <w:uiPriority w:val="99"/>
    <w:unhideWhenUsed/>
    <w:qFormat/>
    <w:pPr>
      <w:tabs>
        <w:tab w:val="center" w:pos="4153"/>
        <w:tab w:val="right" w:pos="8306"/>
      </w:tabs>
      <w:snapToGrid w:val="0"/>
      <w:jc w:val="center"/>
    </w:pPr>
    <w:rPr>
      <w:sz w:val="18"/>
      <w:szCs w:val="18"/>
    </w:rPr>
  </w:style>
  <w:style w:type="paragraph" w:styleId="TOC1">
    <w:name w:val="toc 1"/>
    <w:basedOn w:val="a0"/>
    <w:next w:val="a0"/>
    <w:uiPriority w:val="39"/>
    <w:unhideWhenUsed/>
    <w:qFormat/>
    <w:pPr>
      <w:spacing w:after="100" w:line="259" w:lineRule="auto"/>
    </w:pPr>
    <w:rPr>
      <w:rFonts w:asciiTheme="minorHAnsi" w:eastAsiaTheme="minorEastAsia" w:hAnsiTheme="minorHAnsi"/>
      <w:snapToGrid/>
      <w:sz w:val="22"/>
      <w:szCs w:val="22"/>
    </w:rPr>
  </w:style>
  <w:style w:type="paragraph" w:styleId="a9">
    <w:name w:val="Subtitle"/>
    <w:basedOn w:val="a0"/>
    <w:next w:val="a0"/>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0"/>
    <w:next w:val="a0"/>
    <w:uiPriority w:val="39"/>
    <w:unhideWhenUsed/>
    <w:qFormat/>
    <w:pPr>
      <w:spacing w:after="100" w:line="259" w:lineRule="auto"/>
      <w:ind w:left="220"/>
    </w:pPr>
    <w:rPr>
      <w:rFonts w:asciiTheme="minorHAnsi" w:eastAsiaTheme="minorEastAsia" w:hAnsiTheme="minorHAnsi"/>
      <w:snapToGrid/>
      <w:sz w:val="22"/>
      <w:szCs w:val="22"/>
    </w:rPr>
  </w:style>
  <w:style w:type="paragraph" w:styleId="ab">
    <w:name w:val="Normal (Web)"/>
    <w:basedOn w:val="a0"/>
    <w:uiPriority w:val="99"/>
    <w:unhideWhenUsed/>
    <w:qFormat/>
    <w:rPr>
      <w:rFonts w:ascii="Times New Roman" w:hAnsi="Times New Roman"/>
      <w:sz w:val="24"/>
      <w:szCs w:val="24"/>
    </w:rPr>
  </w:style>
  <w:style w:type="paragraph" w:styleId="ac">
    <w:name w:val="Title"/>
    <w:basedOn w:val="a0"/>
    <w:next w:val="a0"/>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2"/>
    <w:uiPriority w:val="39"/>
    <w:qFormat/>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rPr>
  </w:style>
  <w:style w:type="character" w:styleId="af0">
    <w:name w:val="Hyperlink"/>
    <w:basedOn w:val="a1"/>
    <w:uiPriority w:val="99"/>
    <w:qFormat/>
    <w:rPr>
      <w:color w:val="0000FF"/>
      <w:u w:val="single"/>
    </w:rPr>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qFormat/>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szCs w:val="24"/>
    </w:rPr>
  </w:style>
  <w:style w:type="character" w:customStyle="1" w:styleId="60">
    <w:name w:val="标题 6 字符"/>
    <w:basedOn w:val="a1"/>
    <w:link w:val="6"/>
    <w:uiPriority w:val="9"/>
    <w:semiHidden/>
    <w:qFormat/>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d">
    <w:name w:val="标题 字符"/>
    <w:basedOn w:val="a1"/>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1"/>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0"/>
    <w:next w:val="a0"/>
    <w:link w:val="af2"/>
    <w:uiPriority w:val="29"/>
    <w:qFormat/>
    <w:pPr>
      <w:spacing w:before="160" w:after="160"/>
      <w:jc w:val="center"/>
    </w:pPr>
    <w:rPr>
      <w:i/>
      <w:iCs/>
      <w:color w:val="404040" w:themeColor="text1" w:themeTint="BF"/>
    </w:rPr>
  </w:style>
  <w:style w:type="character" w:customStyle="1" w:styleId="af2">
    <w:name w:val="引用 字符"/>
    <w:basedOn w:val="a1"/>
    <w:link w:val="af1"/>
    <w:uiPriority w:val="29"/>
    <w:qFormat/>
    <w:rPr>
      <w:i/>
      <w:iCs/>
      <w:color w:val="404040" w:themeColor="text1" w:themeTint="BF"/>
    </w:rPr>
  </w:style>
  <w:style w:type="paragraph" w:styleId="af3">
    <w:name w:val="List Paragraph"/>
    <w:basedOn w:val="a0"/>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4">
    <w:name w:val="Intense Quote"/>
    <w:basedOn w:val="a0"/>
    <w:next w:val="a0"/>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1"/>
    <w:link w:val="af4"/>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qFormat/>
    <w:rPr>
      <w:sz w:val="18"/>
      <w:szCs w:val="18"/>
    </w:r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eastAsia="ja-JP"/>
    </w:rPr>
  </w:style>
  <w:style w:type="paragraph" w:customStyle="1" w:styleId="EFAFPFrameText115ptRight">
    <w:name w:val="EFAFPFrameText_11.5pt_Right"/>
    <w:basedOn w:val="EFAFPFrameText115pt"/>
    <w:link w:val="EFAFPFrameText115ptRightChar"/>
    <w:qFormat/>
    <w:pPr>
      <w:framePr w:wrap="around" w:xAlign="right" w:y="1"/>
      <w:jc w:val="right"/>
    </w:pPr>
    <w:rPr>
      <w:bCs/>
      <w:snapToGrid/>
      <w:szCs w:val="32"/>
    </w:rPr>
  </w:style>
  <w:style w:type="paragraph" w:customStyle="1" w:styleId="EFAFPFrameText115pt">
    <w:name w:val="EFAFPFrameText_11.5pt"/>
    <w:link w:val="EFAFPFrameText115ptChar"/>
    <w:qFormat/>
    <w:pPr>
      <w:framePr w:wrap="around" w:hAnchor="text" w:x="366" w:y="1071"/>
    </w:pPr>
    <w:rPr>
      <w:rFonts w:ascii="Calibri" w:eastAsia="MS Mincho" w:hAnsi="Calibri"/>
      <w:b/>
      <w:snapToGrid w:val="0"/>
      <w:color w:val="23558C"/>
      <w:sz w:val="24"/>
      <w:szCs w:val="16"/>
      <w:lang w:eastAsia="ja-JP"/>
    </w:rPr>
  </w:style>
  <w:style w:type="character" w:customStyle="1" w:styleId="EFABodyTextChar">
    <w:name w:val="EFABodyText Char"/>
    <w:basedOn w:val="a1"/>
    <w:link w:val="EFABodyText"/>
    <w:qFormat/>
    <w:rPr>
      <w:rFonts w:ascii="Calibri" w:eastAsia="MS Mincho" w:hAnsi="Calibri" w:cs="Times New Roman"/>
      <w:snapToGrid w:val="0"/>
      <w:kern w:val="0"/>
      <w:sz w:val="20"/>
      <w:szCs w:val="16"/>
      <w:lang w:eastAsia="ja-JP"/>
    </w:rPr>
  </w:style>
  <w:style w:type="paragraph" w:customStyle="1" w:styleId="EFAFPColFrameTextRight">
    <w:name w:val="EFAFPColFrameText_Right"/>
    <w:basedOn w:val="a0"/>
    <w:qFormat/>
    <w:pPr>
      <w:framePr w:w="3045" w:h="12844" w:hRule="exact" w:hSpace="180" w:wrap="around" w:vAnchor="page" w:hAnchor="page" w:x="336" w:y="2721" w:anchorLock="1"/>
      <w:adjustRightInd w:val="0"/>
      <w:snapToGrid w:val="0"/>
      <w:jc w:val="right"/>
    </w:pPr>
    <w:rPr>
      <w:sz w:val="14"/>
      <w:szCs w:val="14"/>
    </w:rPr>
  </w:style>
  <w:style w:type="paragraph" w:customStyle="1" w:styleId="EFAFPColFrameHeading">
    <w:name w:val="EFAFPColFrameHeading"/>
    <w:basedOn w:val="a0"/>
    <w:qFormat/>
    <w:pPr>
      <w:framePr w:w="3045" w:h="12844" w:hRule="exact" w:hSpace="180" w:wrap="around" w:vAnchor="page" w:hAnchor="page" w:x="336" w:y="2721" w:anchorLock="1"/>
      <w:adjustRightInd w:val="0"/>
      <w:snapToGrid w:val="0"/>
    </w:pPr>
    <w:rPr>
      <w:b/>
      <w:color w:val="23558C"/>
      <w:szCs w:val="14"/>
    </w:rPr>
  </w:style>
  <w:style w:type="paragraph" w:customStyle="1" w:styleId="EFAFPColFrameTextLeft">
    <w:name w:val="EFAFPColFrameText_Left"/>
    <w:basedOn w:val="a0"/>
    <w:link w:val="EFAFPColFrameTextLeftChar"/>
    <w:qFormat/>
    <w:pPr>
      <w:framePr w:w="3045" w:h="12844" w:hRule="exact" w:hSpace="180" w:wrap="around" w:vAnchor="page" w:hAnchor="page" w:x="336" w:y="2721" w:anchorLock="1"/>
      <w:adjustRightInd w:val="0"/>
      <w:snapToGrid w:val="0"/>
    </w:pPr>
    <w:rPr>
      <w:sz w:val="14"/>
      <w:szCs w:val="14"/>
    </w:rPr>
  </w:style>
  <w:style w:type="paragraph" w:customStyle="1" w:styleId="EFAFPColFrameSource">
    <w:name w:val="EFAFPColFrame_Source"/>
    <w:basedOn w:val="EFAFPColFrameTextLeft"/>
    <w:qFormat/>
    <w:pPr>
      <w:framePr w:wrap="around"/>
    </w:pPr>
    <w:rPr>
      <w:sz w:val="12"/>
      <w:szCs w:val="12"/>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a1"/>
    <w:link w:val="EFAFPColFrameTextLeft"/>
    <w:qFormat/>
    <w:rPr>
      <w:rFonts w:ascii="Calibri" w:eastAsia="MS Mincho" w:hAnsi="Calibri" w:cs="Times New Roman"/>
      <w:snapToGrid w:val="0"/>
      <w:kern w:val="0"/>
      <w:sz w:val="14"/>
      <w:szCs w:val="14"/>
    </w:rPr>
  </w:style>
  <w:style w:type="paragraph" w:customStyle="1" w:styleId="EFAAnchor">
    <w:name w:val="EFAAnchor"/>
    <w:basedOn w:val="a0"/>
    <w:qFormat/>
    <w:pPr>
      <w:widowControl w:val="0"/>
      <w:adjustRightInd w:val="0"/>
      <w:snapToGrid w:val="0"/>
    </w:pPr>
    <w:rPr>
      <w:sz w:val="4"/>
    </w:rPr>
  </w:style>
  <w:style w:type="paragraph" w:customStyle="1" w:styleId="EFAFPBodyText2">
    <w:name w:val="EFAFP_BodyText2"/>
    <w:link w:val="EFAFPBodyText2Char"/>
    <w:qFormat/>
    <w:pPr>
      <w:adjustRightInd w:val="0"/>
      <w:snapToGrid w:val="0"/>
      <w:spacing w:after="120"/>
    </w:pPr>
    <w:rPr>
      <w:rFonts w:ascii="Calibri" w:eastAsia="Times New Roman" w:hAnsi="Calibri" w:cs="PMingLiU"/>
      <w:lang w:eastAsia="ja-JP"/>
    </w:rPr>
  </w:style>
  <w:style w:type="character" w:customStyle="1" w:styleId="EFAFPBodyText2Char">
    <w:name w:val="EFAFP_BodyText2 Char"/>
    <w:basedOn w:val="a1"/>
    <w:link w:val="EFAFPBodyText2"/>
    <w:qFormat/>
    <w:rPr>
      <w:rFonts w:ascii="Calibri" w:eastAsia="Times New Roman" w:hAnsi="Calibri" w:cs="PMingLiU"/>
      <w:kern w:val="0"/>
      <w:sz w:val="20"/>
      <w:szCs w:val="20"/>
      <w:lang w:eastAsia="ja-JP"/>
    </w:rPr>
  </w:style>
  <w:style w:type="character" w:customStyle="1" w:styleId="EFAFPFrameText115ptChar">
    <w:name w:val="EFAFPFrameText_11.5pt Char"/>
    <w:basedOn w:val="a1"/>
    <w:link w:val="EFAFPFrameText115pt"/>
    <w:qFormat/>
    <w:rPr>
      <w:rFonts w:ascii="Calibri" w:eastAsia="MS Mincho" w:hAnsi="Calibri" w:cs="Times New Roman"/>
      <w:b/>
      <w:snapToGrid w:val="0"/>
      <w:color w:val="23558C"/>
      <w:kern w:val="0"/>
      <w:sz w:val="24"/>
      <w:szCs w:val="16"/>
      <w:lang w:eastAsia="ja-JP"/>
    </w:rPr>
  </w:style>
  <w:style w:type="character" w:customStyle="1" w:styleId="EFAFPFrameText115ptRightChar">
    <w:name w:val="EFAFPFrameText_11.5pt_Right Char"/>
    <w:basedOn w:val="EFAFPFrameText115ptChar"/>
    <w:link w:val="EFAFPFrameText115ptRight"/>
    <w:qFormat/>
    <w:rPr>
      <w:rFonts w:ascii="Calibri" w:eastAsia="MS Mincho" w:hAnsi="Calibri" w:cs="Times New Roman"/>
      <w:b/>
      <w:bCs/>
      <w:snapToGrid/>
      <w:color w:val="23558C"/>
      <w:kern w:val="0"/>
      <w:sz w:val="24"/>
      <w:szCs w:val="32"/>
      <w:lang w:eastAsia="ja-JP"/>
    </w:rPr>
  </w:style>
  <w:style w:type="paragraph" w:customStyle="1" w:styleId="EFAFPHdrInfo3">
    <w:name w:val="EFAFPHdrInfo3"/>
    <w:link w:val="EFAFPHdrInfo3Char"/>
    <w:qFormat/>
    <w:rPr>
      <w:rFonts w:ascii="Calibri" w:eastAsia="MS Mincho" w:hAnsi="Calibri"/>
      <w:b/>
      <w:bCs/>
      <w:snapToGrid w:val="0"/>
      <w:color w:val="000000"/>
      <w:sz w:val="32"/>
      <w:lang w:eastAsia="ja-JP"/>
    </w:rPr>
  </w:style>
  <w:style w:type="character" w:customStyle="1" w:styleId="EFAFPHdrInfo3Char">
    <w:name w:val="EFAFPHdrInfo3 Char"/>
    <w:basedOn w:val="a1"/>
    <w:link w:val="EFAFPHdrInfo3"/>
    <w:qFormat/>
    <w:rPr>
      <w:rFonts w:ascii="Calibri" w:eastAsia="MS Mincho" w:hAnsi="Calibri" w:cs="Times New Roman"/>
      <w:b/>
      <w:bCs/>
      <w:snapToGrid w:val="0"/>
      <w:color w:val="000000"/>
      <w:kern w:val="0"/>
      <w:sz w:val="32"/>
      <w:szCs w:val="20"/>
      <w:lang w:eastAsia="ja-JP"/>
    </w:rPr>
  </w:style>
  <w:style w:type="paragraph" w:customStyle="1" w:styleId="EFAFPTitle6">
    <w:name w:val="EFAFPTitle6"/>
    <w:link w:val="EFAFPTitle6Char"/>
    <w:qFormat/>
    <w:rPr>
      <w:rFonts w:ascii="Calibri" w:eastAsia="MS Mincho" w:hAnsi="Calibri"/>
      <w:b/>
      <w:bCs/>
      <w:snapToGrid w:val="0"/>
      <w:color w:val="FFFFFF"/>
      <w:sz w:val="32"/>
      <w:lang w:eastAsia="ja-JP"/>
    </w:rPr>
  </w:style>
  <w:style w:type="character" w:customStyle="1" w:styleId="EFAFPTitle6Char">
    <w:name w:val="EFAFPTitle6 Char"/>
    <w:basedOn w:val="a1"/>
    <w:link w:val="EFAFPTitle6"/>
    <w:qFormat/>
    <w:rPr>
      <w:rFonts w:ascii="Calibri" w:eastAsia="MS Mincho" w:hAnsi="Calibri" w:cs="Times New Roman"/>
      <w:b/>
      <w:bCs/>
      <w:snapToGrid w:val="0"/>
      <w:color w:val="FFFFFF"/>
      <w:kern w:val="0"/>
      <w:sz w:val="32"/>
      <w:szCs w:val="20"/>
      <w:lang w:eastAsia="ja-JP"/>
    </w:rPr>
  </w:style>
  <w:style w:type="paragraph" w:customStyle="1" w:styleId="EFAFPFooter">
    <w:name w:val="EFAFPFooter"/>
    <w:basedOn w:val="a0"/>
    <w:qFormat/>
    <w:pPr>
      <w:widowControl w:val="0"/>
      <w:tabs>
        <w:tab w:val="right" w:pos="10679"/>
      </w:tabs>
      <w:autoSpaceDE w:val="0"/>
      <w:autoSpaceDN w:val="0"/>
      <w:adjustRightInd w:val="0"/>
      <w:snapToGrid w:val="0"/>
      <w:jc w:val="both"/>
    </w:pPr>
    <w:rPr>
      <w:rFonts w:eastAsia="宋体" w:cs="Arial"/>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eastAsia="ja-JP"/>
    </w:rPr>
  </w:style>
  <w:style w:type="character" w:customStyle="1" w:styleId="EFANormalChar">
    <w:name w:val="EFANormal Char"/>
    <w:basedOn w:val="a1"/>
    <w:link w:val="EFANormal"/>
    <w:qFormat/>
    <w:rPr>
      <w:rFonts w:ascii="Calibri" w:eastAsia="MS Mincho" w:hAnsi="Calibri" w:cs="Times New Roman"/>
      <w:snapToGrid w:val="0"/>
      <w:kern w:val="0"/>
      <w:sz w:val="16"/>
      <w:szCs w:val="16"/>
      <w:lang w:eastAsia="ja-JP"/>
    </w:rPr>
  </w:style>
  <w:style w:type="character" w:customStyle="1" w:styleId="EFACharBoldandAllCap">
    <w:name w:val="EFACharBold_and_AllCap"/>
    <w:uiPriority w:val="1"/>
    <w:qFormat/>
    <w:rPr>
      <w:b/>
      <w:caps/>
    </w:rPr>
  </w:style>
  <w:style w:type="paragraph" w:customStyle="1" w:styleId="EFAPageFooter">
    <w:name w:val="EFAPageFooter"/>
    <w:basedOn w:val="EFANormal"/>
    <w:qFormat/>
    <w:pPr>
      <w:framePr w:wrap="around" w:vAnchor="page" w:hAnchor="page" w:x="347" w:y="15481"/>
      <w:tabs>
        <w:tab w:val="center" w:pos="5165"/>
      </w:tabs>
    </w:pPr>
    <w:rPr>
      <w:b/>
      <w:sz w:val="20"/>
      <w:szCs w:val="20"/>
    </w:rPr>
  </w:style>
  <w:style w:type="paragraph" w:customStyle="1" w:styleId="EFASideComment">
    <w:name w:val="EFASideComment"/>
    <w:basedOn w:val="EFABodyText"/>
    <w:qFormat/>
    <w:pPr>
      <w:framePr w:w="2980" w:hSpace="180" w:wrap="around" w:vAnchor="text" w:hAnchor="text" w:x="-3250" w:y="160"/>
    </w:pPr>
  </w:style>
  <w:style w:type="table" w:customStyle="1" w:styleId="Common">
    <w:name w:val="Common"/>
    <w:basedOn w:val="ae"/>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EFADisclaimerText">
    <w:name w:val="EFADisclaimerText"/>
    <w:basedOn w:val="EFANormal"/>
    <w:link w:val="EFADisclaimerTextChar"/>
    <w:uiPriority w:val="99"/>
    <w:qFormat/>
    <w:pPr>
      <w:jc w:val="both"/>
    </w:pPr>
  </w:style>
  <w:style w:type="character" w:customStyle="1" w:styleId="EFADisclaimerTextChar">
    <w:name w:val="EFADisclaimerText Char"/>
    <w:basedOn w:val="a1"/>
    <w:link w:val="EFADisclaimerText"/>
    <w:uiPriority w:val="99"/>
    <w:qFormat/>
    <w:locked/>
    <w:rPr>
      <w:rFonts w:ascii="Calibri" w:eastAsia="MS Mincho" w:hAnsi="Calibri" w:cs="Times New Roman"/>
      <w:snapToGrid w:val="0"/>
      <w:kern w:val="0"/>
      <w:sz w:val="16"/>
      <w:szCs w:val="16"/>
      <w:lang w:eastAsia="ja-JP"/>
    </w:rPr>
  </w:style>
  <w:style w:type="paragraph" w:customStyle="1" w:styleId="TOC10">
    <w:name w:val="TOC 标题1"/>
    <w:basedOn w:val="1"/>
    <w:next w:val="a0"/>
    <w:uiPriority w:val="39"/>
    <w:unhideWhenUsed/>
    <w:qFormat/>
    <w:pPr>
      <w:spacing w:after="0" w:line="259" w:lineRule="auto"/>
      <w:outlineLvl w:val="9"/>
    </w:pPr>
    <w:rPr>
      <w:snapToGrid/>
      <w:sz w:val="32"/>
    </w:rPr>
  </w:style>
  <w:style w:type="paragraph" w:customStyle="1" w:styleId="a">
    <w:name w:val="【正文】图表标题"/>
    <w:basedOn w:val="af6"/>
    <w:uiPriority w:val="6"/>
    <w:qFormat/>
    <w:pPr>
      <w:numPr>
        <w:numId w:val="1"/>
      </w:numPr>
      <w:jc w:val="left"/>
    </w:pPr>
    <w:rPr>
      <w:b/>
      <w:bCs/>
    </w:rPr>
  </w:style>
  <w:style w:type="paragraph" w:customStyle="1" w:styleId="af6">
    <w:name w:val="【基础样式】"/>
    <w:uiPriority w:val="8"/>
    <w:qFormat/>
    <w:pPr>
      <w:widowControl w:val="0"/>
      <w:adjustRightInd w:val="0"/>
      <w:snapToGrid w:val="0"/>
      <w:jc w:val="both"/>
    </w:pPr>
    <w:rPr>
      <w:rFonts w:eastAsia="楷体_GB2312" w:cstheme="minorBidi"/>
      <w:kern w:val="2"/>
      <w:sz w:val="21"/>
      <w:szCs w:val="21"/>
      <w14:ligatures w14:val="standardContextual"/>
    </w:rPr>
  </w:style>
  <w:style w:type="paragraph" w:customStyle="1" w:styleId="af7">
    <w:name w:val="【资料来源】"/>
    <w:basedOn w:val="af6"/>
    <w:uiPriority w:val="7"/>
    <w:qFormat/>
    <w:rPr>
      <w:sz w:val="15"/>
      <w:szCs w:val="15"/>
    </w:rPr>
  </w:style>
  <w:style w:type="paragraph" w:customStyle="1" w:styleId="211">
    <w:name w:val="样式 标题 2 + 段前: 1 行 段后: 1 行"/>
    <w:basedOn w:val="2"/>
    <w:qFormat/>
    <w:pPr>
      <w:keepLines w:val="0"/>
      <w:spacing w:before="240" w:after="240"/>
    </w:pPr>
    <w:rPr>
      <w:rFonts w:ascii="宋体" w:eastAsia="宋体" w:hAnsi="宋体" w:cs="宋体"/>
      <w:b/>
      <w:bCs/>
      <w:snapToGrid/>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7.xml"/><Relationship Id="rId21" Type="http://schemas.openxmlformats.org/officeDocument/2006/relationships/chart" Target="charts/chart2.xml"/><Relationship Id="rId42" Type="http://schemas.openxmlformats.org/officeDocument/2006/relationships/chart" Target="charts/chart21.xml"/><Relationship Id="rId47" Type="http://schemas.openxmlformats.org/officeDocument/2006/relationships/chart" Target="charts/chart26.xml"/><Relationship Id="rId63" Type="http://schemas.openxmlformats.org/officeDocument/2006/relationships/hyperlink" Target="http://www.equities.htisec.com"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chart" Target="charts/chart10.xml"/><Relationship Id="rId11" Type="http://schemas.openxmlformats.org/officeDocument/2006/relationships/header" Target="header2.xml"/><Relationship Id="rId24" Type="http://schemas.openxmlformats.org/officeDocument/2006/relationships/chart" Target="charts/chart5.xml"/><Relationship Id="rId32" Type="http://schemas.openxmlformats.org/officeDocument/2006/relationships/chart" Target="charts/chart13.xml"/><Relationship Id="rId37" Type="http://schemas.openxmlformats.org/officeDocument/2006/relationships/chart" Target="charts/chart18.xml"/><Relationship Id="rId40" Type="http://schemas.openxmlformats.org/officeDocument/2006/relationships/image" Target="media/image8.png"/><Relationship Id="rId45" Type="http://schemas.openxmlformats.org/officeDocument/2006/relationships/chart" Target="charts/chart24.xml"/><Relationship Id="rId53" Type="http://schemas.microsoft.com/office/2007/relationships/diagramDrawing" Target="diagrams/drawing1.xml"/><Relationship Id="rId58" Type="http://schemas.openxmlformats.org/officeDocument/2006/relationships/image" Target="media/image14.emf"/><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header" Target="header5.xml"/><Relationship Id="rId19" Type="http://schemas.openxmlformats.org/officeDocument/2006/relationships/image" Target="media/image6.emf"/><Relationship Id="rId14" Type="http://schemas.openxmlformats.org/officeDocument/2006/relationships/header" Target="header3.xml"/><Relationship Id="rId22" Type="http://schemas.openxmlformats.org/officeDocument/2006/relationships/chart" Target="charts/chart3.xml"/><Relationship Id="rId27" Type="http://schemas.openxmlformats.org/officeDocument/2006/relationships/chart" Target="charts/chart8.xml"/><Relationship Id="rId30" Type="http://schemas.openxmlformats.org/officeDocument/2006/relationships/chart" Target="charts/chart11.xml"/><Relationship Id="rId35" Type="http://schemas.openxmlformats.org/officeDocument/2006/relationships/chart" Target="charts/chart16.xml"/><Relationship Id="rId43" Type="http://schemas.openxmlformats.org/officeDocument/2006/relationships/chart" Target="charts/chart22.xml"/><Relationship Id="rId48" Type="http://schemas.openxmlformats.org/officeDocument/2006/relationships/image" Target="media/image9.emf"/><Relationship Id="rId56" Type="http://schemas.openxmlformats.org/officeDocument/2006/relationships/image" Target="media/image12.emf"/><Relationship Id="rId64" Type="http://schemas.openxmlformats.org/officeDocument/2006/relationships/hyperlink" Target="http://www.equities.htisec.com" TargetMode="External"/><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diagramQuickStyle" Target="diagrams/quickStyl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chart" Target="charts/chart6.xml"/><Relationship Id="rId33" Type="http://schemas.openxmlformats.org/officeDocument/2006/relationships/chart" Target="charts/chart14.xml"/><Relationship Id="rId38" Type="http://schemas.openxmlformats.org/officeDocument/2006/relationships/chart" Target="charts/chart19.xml"/><Relationship Id="rId46" Type="http://schemas.openxmlformats.org/officeDocument/2006/relationships/chart" Target="charts/chart25.xml"/><Relationship Id="rId59" Type="http://schemas.openxmlformats.org/officeDocument/2006/relationships/header" Target="header4.xml"/><Relationship Id="rId67" Type="http://schemas.openxmlformats.org/officeDocument/2006/relationships/footer" Target="footer6.xml"/><Relationship Id="rId20" Type="http://schemas.openxmlformats.org/officeDocument/2006/relationships/chart" Target="charts/chart1.xml"/><Relationship Id="rId41" Type="http://schemas.openxmlformats.org/officeDocument/2006/relationships/chart" Target="charts/chart20.xml"/><Relationship Id="rId54" Type="http://schemas.openxmlformats.org/officeDocument/2006/relationships/image" Target="media/image10.emf"/><Relationship Id="rId62" Type="http://schemas.openxmlformats.org/officeDocument/2006/relationships/hyperlink" Target="mailto:&#35831;&#21457;&#37038;&#20214;&#33267;ERD-Disclosure@htisec.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chart" Target="charts/chart4.xml"/><Relationship Id="rId28" Type="http://schemas.openxmlformats.org/officeDocument/2006/relationships/chart" Target="charts/chart9.xml"/><Relationship Id="rId36" Type="http://schemas.openxmlformats.org/officeDocument/2006/relationships/chart" Target="charts/chart17.xml"/><Relationship Id="rId49" Type="http://schemas.openxmlformats.org/officeDocument/2006/relationships/diagramData" Target="diagrams/data1.xml"/><Relationship Id="rId57" Type="http://schemas.openxmlformats.org/officeDocument/2006/relationships/image" Target="media/image13.emf"/><Relationship Id="rId10" Type="http://schemas.openxmlformats.org/officeDocument/2006/relationships/header" Target="header1.xml"/><Relationship Id="rId31" Type="http://schemas.openxmlformats.org/officeDocument/2006/relationships/chart" Target="charts/chart12.xml"/><Relationship Id="rId44" Type="http://schemas.openxmlformats.org/officeDocument/2006/relationships/chart" Target="charts/chart23.xml"/><Relationship Id="rId52" Type="http://schemas.openxmlformats.org/officeDocument/2006/relationships/diagramColors" Target="diagrams/colors1.xml"/><Relationship Id="rId60" Type="http://schemas.openxmlformats.org/officeDocument/2006/relationships/footer" Target="footer4.xml"/><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emf"/><Relationship Id="rId39" Type="http://schemas.openxmlformats.org/officeDocument/2006/relationships/image" Target="media/image7.png"/><Relationship Id="rId34" Type="http://schemas.openxmlformats.org/officeDocument/2006/relationships/chart" Target="charts/chart15.xml"/><Relationship Id="rId50" Type="http://schemas.openxmlformats.org/officeDocument/2006/relationships/diagramLayout" Target="diagrams/layout1.xml"/><Relationship Id="rId55" Type="http://schemas.openxmlformats.org/officeDocument/2006/relationships/image" Target="media/image11.emf"/></Relationships>
</file>

<file path=word/charts/_rels/chart1.xml.rels><?xml version="1.0" encoding="UTF-8" standalone="yes"?>
<Relationships xmlns="http://schemas.openxmlformats.org/package/2006/relationships"><Relationship Id="rId3" Type="http://schemas.openxmlformats.org/officeDocument/2006/relationships/oleObject" Target="https://cuhko365-my.sharepoint.com/personal/225020130_link_cuhk_edu_cn/Documents/&#26700;&#38754;/&#21326;&#31119;/&#27431;&#33713;&#38597;P1&#335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uhko365-my.sharepoint.com/personal/225020130_link_cuhk_edu_cn/Documents/&#26700;&#38754;/&#21326;&#31119;/&#27431;&#33713;&#38597;P1&#335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cuhko365-my.sharepoint.com/personal/225020130_link_cuhk_edu_cn/Documents/&#26700;&#38754;/&#21326;&#31119;/&#27431;&#33713;&#38597;P1&#335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cuhko365-my.sharepoint.com/personal/225020130_link_cuhk_edu_cn/Documents/&#26700;&#38754;/&#21326;&#31119;/&#27431;&#33713;&#38597;P1&#335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https://cuhko365-my.sharepoint.com/personal/225020130_link_cuhk_edu_cn/Documents/&#26700;&#38754;/&#21326;&#31119;/&#27431;&#33713;&#38597;P1&#33521;.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https://cuhko365-my.sharepoint.com/personal/225020130_link_cuhk_edu_cn/Documents/&#26700;&#38754;/&#21326;&#31119;/&#27431;&#33713;&#38597;P1&#3352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https://cuhko365-my.sharepoint.com/personal/225020130_link_cuhk_edu_cn/Documents/&#26700;&#38754;/&#21326;&#31119;/&#27431;&#33713;&#38597;P1&#33521;.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https://cuhko365-my.sharepoint.com/personal/225020130_link_cuhk_edu_cn/Documents/&#26700;&#38754;/&#21326;&#31119;/&#27431;&#33713;&#38597;P1&#33521;.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https://cuhko365-my.sharepoint.com/personal/225020130_link_cuhk_edu_cn/Documents/&#26700;&#38754;/&#21326;&#31119;/&#27431;&#33713;&#38597;P1&#33521;.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https://cuhko365-my.sharepoint.com/personal/225020130_link_cuhk_edu_cn/Documents/&#26700;&#38754;/&#21326;&#31119;/&#27431;&#33713;&#38597;P1&#33521;.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Users\miaoyuyang\Downloads\111&#24037;&#20316;&#31807;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miaoyuyang\Downloads\111&#24037;&#20316;&#31807;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Users\miaoyuyang\Downloads\111&#24037;&#20316;&#31807;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Users\miaoyuyang\Downloads\111&#24037;&#20316;&#31807;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Users\miaoyuyang\Downloads\&#27431;&#33713;&#38597;&#24213;&#31295;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Users\miaoyuyang\Downloads\111&#24037;&#20316;&#31807;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Users\miaoyuyang\Downloads\&#27431;&#33713;&#38597;&#24213;&#31295;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https://cuhko365-my.sharepoint.com/personal/225020130_link_cuhk_edu_cn/Documents/&#26700;&#38754;/&#21326;&#31119;/&#27431;&#33713;&#38597;P3&#33521;.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https://cuhko365-my.sharepoint.com/personal/225020130_link_cuhk_edu_cn/Documents/&#26700;&#38754;/&#21326;&#31119;/&#27431;&#33713;&#38597;P3&#33521;.xlsx" TargetMode="External"/></Relationships>
</file>

<file path=word/charts/_rels/chart20.xml.rels><?xml version="1.0" encoding="UTF-8" standalone="yes"?>
<Relationships xmlns="http://schemas.openxmlformats.org/package/2006/relationships"><Relationship Id="rId3" Type="http://schemas.openxmlformats.org/officeDocument/2006/relationships/oleObject" Target="https://cuhko365-my.sharepoint.com/personal/225020130_link_cuhk_edu_cn/Documents/&#26700;&#38754;/&#21326;&#31119;/&#27431;&#33713;&#38597;P3&#3352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https://cuhko365-my.sharepoint.com/personal/225020130_link_cuhk_edu_cn/Documents/&#26700;&#38754;/&#21326;&#31119;/&#27431;&#33713;&#38597;P3.xlsx" TargetMode="External"/></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oleObject" Target="https://cuhko365-my.sharepoint.com/personal/225020130_link_cuhk_edu_cn/Documents/&#26700;&#38754;/&#21326;&#31119;/&#27431;&#33713;&#38597;P3.xlsx" TargetMode="External"/></Relationships>
</file>

<file path=word/charts/_rels/chart23.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oleObject" Target="https://cuhko365-my.sharepoint.com/personal/225020130_link_cuhk_edu_cn/Documents/&#26700;&#38754;/&#21326;&#31119;/&#27431;&#33713;&#38597;P3.xlsx" TargetMode="External"/></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oleObject" Target="https://cuhko365-my.sharepoint.com/personal/225020130_link_cuhk_edu_cn/Documents/&#26700;&#38754;/&#21326;&#31119;/&#27431;&#33713;&#38597;P3.xlsx" TargetMode="External"/></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oleObject" Target="file:///C:\Users\zheng\Desktop\&#27431;&#33713;&#38597;part4&#24213;&#31295;.xlsx" TargetMode="External"/></Relationships>
</file>

<file path=word/charts/_rels/chart26.xml.rels><?xml version="1.0" encoding="UTF-8" standalone="yes"?>
<Relationships xmlns="http://schemas.openxmlformats.org/package/2006/relationships"><Relationship Id="rId3" Type="http://schemas.openxmlformats.org/officeDocument/2006/relationships/oleObject" Target="file:///\\Users\shelly\Desktop\&#27431;&#33713;&#38597;part4&#24213;&#31295;.xlsx" TargetMode="External"/><Relationship Id="rId2" Type="http://schemas.microsoft.com/office/2011/relationships/chartColorStyle" Target="colors26.xml"/><Relationship Id="rId1" Type="http://schemas.microsoft.com/office/2011/relationships/chartStyle" Target="style2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营收!$D$5</c:f>
              <c:strCache>
                <c:ptCount val="1"/>
                <c:pt idx="0">
                  <c:v>Sales Revenue</c:v>
                </c:pt>
              </c:strCache>
            </c:strRef>
          </c:tx>
          <c:spPr>
            <a:solidFill>
              <a:srgbClr val="002060"/>
            </a:solidFill>
            <a:ln>
              <a:noFill/>
            </a:ln>
            <a:effectLst/>
          </c:spPr>
          <c:invertIfNegative val="0"/>
          <c:cat>
            <c:numRef>
              <c:f>营收!$C$6:$C$11</c:f>
              <c:numCache>
                <c:formatCode>General</c:formatCode>
                <c:ptCount val="6"/>
                <c:pt idx="0">
                  <c:v>2020</c:v>
                </c:pt>
                <c:pt idx="1">
                  <c:v>2021</c:v>
                </c:pt>
                <c:pt idx="2">
                  <c:v>2022</c:v>
                </c:pt>
                <c:pt idx="3">
                  <c:v>2023</c:v>
                </c:pt>
                <c:pt idx="4">
                  <c:v>2024</c:v>
                </c:pt>
                <c:pt idx="5">
                  <c:v>2025</c:v>
                </c:pt>
              </c:numCache>
            </c:numRef>
          </c:cat>
          <c:val>
            <c:numRef>
              <c:f>营收!$D$6:$D$11</c:f>
              <c:numCache>
                <c:formatCode>General</c:formatCode>
                <c:ptCount val="6"/>
                <c:pt idx="0">
                  <c:v>279.92</c:v>
                </c:pt>
                <c:pt idx="1">
                  <c:v>322.88</c:v>
                </c:pt>
                <c:pt idx="2">
                  <c:v>382.61</c:v>
                </c:pt>
                <c:pt idx="3">
                  <c:v>411.83</c:v>
                </c:pt>
                <c:pt idx="4">
                  <c:v>434.87</c:v>
                </c:pt>
                <c:pt idx="5">
                  <c:v>440.52</c:v>
                </c:pt>
              </c:numCache>
            </c:numRef>
          </c:val>
          <c:extLst>
            <c:ext xmlns:c16="http://schemas.microsoft.com/office/drawing/2014/chart" uri="{C3380CC4-5D6E-409C-BE32-E72D297353CC}">
              <c16:uniqueId val="{00000000-6B1F-4DD1-A727-DC990390E1D6}"/>
            </c:ext>
          </c:extLst>
        </c:ser>
        <c:dLbls>
          <c:showLegendKey val="0"/>
          <c:showVal val="0"/>
          <c:showCatName val="0"/>
          <c:showSerName val="0"/>
          <c:showPercent val="0"/>
          <c:showBubbleSize val="0"/>
        </c:dLbls>
        <c:gapWidth val="219"/>
        <c:overlap val="-27"/>
        <c:axId val="1783740784"/>
        <c:axId val="1783720624"/>
      </c:barChart>
      <c:lineChart>
        <c:grouping val="standard"/>
        <c:varyColors val="0"/>
        <c:ser>
          <c:idx val="1"/>
          <c:order val="1"/>
          <c:tx>
            <c:strRef>
              <c:f>营收!$E$5</c:f>
              <c:strCache>
                <c:ptCount val="1"/>
                <c:pt idx="0">
                  <c:v>YoY</c:v>
                </c:pt>
              </c:strCache>
            </c:strRef>
          </c:tx>
          <c:spPr>
            <a:ln w="28575" cap="rnd">
              <a:solidFill>
                <a:schemeClr val="bg1">
                  <a:lumMod val="85000"/>
                </a:schemeClr>
              </a:solidFill>
              <a:round/>
            </a:ln>
            <a:effectLst/>
          </c:spPr>
          <c:marker>
            <c:symbol val="none"/>
          </c:marker>
          <c:cat>
            <c:numRef>
              <c:f>营收!$C$6:$C$11</c:f>
              <c:numCache>
                <c:formatCode>General</c:formatCode>
                <c:ptCount val="6"/>
                <c:pt idx="0">
                  <c:v>2020</c:v>
                </c:pt>
                <c:pt idx="1">
                  <c:v>2021</c:v>
                </c:pt>
                <c:pt idx="2">
                  <c:v>2022</c:v>
                </c:pt>
                <c:pt idx="3">
                  <c:v>2023</c:v>
                </c:pt>
                <c:pt idx="4">
                  <c:v>2024</c:v>
                </c:pt>
                <c:pt idx="5">
                  <c:v>2025</c:v>
                </c:pt>
              </c:numCache>
            </c:numRef>
          </c:cat>
          <c:val>
            <c:numRef>
              <c:f>营收!$E$6:$E$11</c:f>
              <c:numCache>
                <c:formatCode>0.00%</c:formatCode>
                <c:ptCount val="6"/>
                <c:pt idx="0">
                  <c:v>-6.3E-2</c:v>
                </c:pt>
                <c:pt idx="1">
                  <c:v>0.153</c:v>
                </c:pt>
                <c:pt idx="2">
                  <c:v>0.185</c:v>
                </c:pt>
                <c:pt idx="3">
                  <c:v>7.5999999999999998E-2</c:v>
                </c:pt>
                <c:pt idx="4">
                  <c:v>5.6000000000000001E-2</c:v>
                </c:pt>
                <c:pt idx="5">
                  <c:v>1.2992388529905474E-2</c:v>
                </c:pt>
              </c:numCache>
            </c:numRef>
          </c:val>
          <c:smooth val="0"/>
          <c:extLst>
            <c:ext xmlns:c16="http://schemas.microsoft.com/office/drawing/2014/chart" uri="{C3380CC4-5D6E-409C-BE32-E72D297353CC}">
              <c16:uniqueId val="{00000001-6B1F-4DD1-A727-DC990390E1D6}"/>
            </c:ext>
          </c:extLst>
        </c:ser>
        <c:dLbls>
          <c:showLegendKey val="0"/>
          <c:showVal val="0"/>
          <c:showCatName val="0"/>
          <c:showSerName val="0"/>
          <c:showPercent val="0"/>
          <c:showBubbleSize val="0"/>
        </c:dLbls>
        <c:marker val="1"/>
        <c:smooth val="0"/>
        <c:axId val="1783718224"/>
        <c:axId val="1783716784"/>
      </c:lineChart>
      <c:catAx>
        <c:axId val="178374078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783720624"/>
        <c:crosses val="autoZero"/>
        <c:auto val="1"/>
        <c:lblAlgn val="ctr"/>
        <c:lblOffset val="100"/>
        <c:noMultiLvlLbl val="0"/>
      </c:catAx>
      <c:valAx>
        <c:axId val="178372062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783740784"/>
        <c:crosses val="autoZero"/>
        <c:crossBetween val="between"/>
      </c:valAx>
      <c:valAx>
        <c:axId val="1783716784"/>
        <c:scaling>
          <c:orientation val="minMax"/>
        </c:scaling>
        <c:delete val="0"/>
        <c:axPos val="r"/>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783718224"/>
        <c:crosses val="max"/>
        <c:crossBetween val="between"/>
      </c:valAx>
      <c:catAx>
        <c:axId val="1783718224"/>
        <c:scaling>
          <c:orientation val="minMax"/>
        </c:scaling>
        <c:delete val="1"/>
        <c:axPos val="t"/>
        <c:numFmt formatCode="General" sourceLinked="1"/>
        <c:majorTickMark val="out"/>
        <c:minorTickMark val="none"/>
        <c:tickLblPos val="nextTo"/>
        <c:crossAx val="1783716784"/>
        <c:crosses val="max"/>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营收!$C$34</c:f>
              <c:strCache>
                <c:ptCount val="1"/>
                <c:pt idx="0">
                  <c:v>Professional Products Division</c:v>
                </c:pt>
              </c:strCache>
            </c:strRef>
          </c:tx>
          <c:spPr>
            <a:solidFill>
              <a:schemeClr val="tx2">
                <a:lumMod val="25000"/>
                <a:lumOff val="75000"/>
              </a:schemeClr>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营收!$D$34:$I$34</c:f>
              <c:numCache>
                <c:formatCode>0.00_);[Red]\(0.00\)</c:formatCode>
                <c:ptCount val="6"/>
                <c:pt idx="0">
                  <c:v>3097</c:v>
                </c:pt>
                <c:pt idx="1">
                  <c:v>3778</c:v>
                </c:pt>
                <c:pt idx="2">
                  <c:v>4477</c:v>
                </c:pt>
                <c:pt idx="3">
                  <c:v>4654</c:v>
                </c:pt>
                <c:pt idx="4">
                  <c:v>4886</c:v>
                </c:pt>
                <c:pt idx="5">
                  <c:v>5163</c:v>
                </c:pt>
              </c:numCache>
            </c:numRef>
          </c:val>
          <c:extLst>
            <c:ext xmlns:c16="http://schemas.microsoft.com/office/drawing/2014/chart" uri="{C3380CC4-5D6E-409C-BE32-E72D297353CC}">
              <c16:uniqueId val="{00000000-7D39-4FC1-B0FF-C35918A496BF}"/>
            </c:ext>
          </c:extLst>
        </c:ser>
        <c:ser>
          <c:idx val="1"/>
          <c:order val="1"/>
          <c:tx>
            <c:strRef>
              <c:f>营收!$C$36</c:f>
              <c:strCache>
                <c:ptCount val="1"/>
                <c:pt idx="0">
                  <c:v>Consumer Products Division</c:v>
                </c:pt>
              </c:strCache>
            </c:strRef>
          </c:tx>
          <c:spPr>
            <a:solidFill>
              <a:srgbClr val="002060"/>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营收!$D$36:$I$36</c:f>
              <c:numCache>
                <c:formatCode>0.00_);[Red]\(0.00\)</c:formatCode>
                <c:ptCount val="6"/>
                <c:pt idx="0">
                  <c:v>11704</c:v>
                </c:pt>
                <c:pt idx="1">
                  <c:v>12237</c:v>
                </c:pt>
                <c:pt idx="2">
                  <c:v>14021</c:v>
                </c:pt>
                <c:pt idx="3">
                  <c:v>15173</c:v>
                </c:pt>
                <c:pt idx="4">
                  <c:v>15982</c:v>
                </c:pt>
                <c:pt idx="5">
                  <c:v>16089</c:v>
                </c:pt>
              </c:numCache>
            </c:numRef>
          </c:val>
          <c:extLst>
            <c:ext xmlns:c16="http://schemas.microsoft.com/office/drawing/2014/chart" uri="{C3380CC4-5D6E-409C-BE32-E72D297353CC}">
              <c16:uniqueId val="{00000001-7D39-4FC1-B0FF-C35918A496BF}"/>
            </c:ext>
          </c:extLst>
        </c:ser>
        <c:ser>
          <c:idx val="2"/>
          <c:order val="2"/>
          <c:tx>
            <c:strRef>
              <c:f>营收!$C$38</c:f>
              <c:strCache>
                <c:ptCount val="1"/>
                <c:pt idx="0">
                  <c:v>L'Oréal Luxe</c:v>
                </c:pt>
              </c:strCache>
            </c:strRef>
          </c:tx>
          <c:spPr>
            <a:solidFill>
              <a:schemeClr val="bg1">
                <a:lumMod val="85000"/>
              </a:schemeClr>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营收!$D$38:$I$38</c:f>
              <c:numCache>
                <c:formatCode>0.00_);[Red]\(0.00\)</c:formatCode>
                <c:ptCount val="6"/>
                <c:pt idx="0">
                  <c:v>10180</c:v>
                </c:pt>
                <c:pt idx="1">
                  <c:v>12334</c:v>
                </c:pt>
                <c:pt idx="2">
                  <c:v>14638</c:v>
                </c:pt>
                <c:pt idx="3">
                  <c:v>14924</c:v>
                </c:pt>
                <c:pt idx="4">
                  <c:v>15591</c:v>
                </c:pt>
                <c:pt idx="5">
                  <c:v>15595</c:v>
                </c:pt>
              </c:numCache>
            </c:numRef>
          </c:val>
          <c:extLst>
            <c:ext xmlns:c16="http://schemas.microsoft.com/office/drawing/2014/chart" uri="{C3380CC4-5D6E-409C-BE32-E72D297353CC}">
              <c16:uniqueId val="{00000002-7D39-4FC1-B0FF-C35918A496BF}"/>
            </c:ext>
          </c:extLst>
        </c:ser>
        <c:ser>
          <c:idx val="3"/>
          <c:order val="3"/>
          <c:tx>
            <c:strRef>
              <c:f>营收!$C$40</c:f>
              <c:strCache>
                <c:ptCount val="1"/>
                <c:pt idx="0">
                  <c:v>Dermatological Beauty Division</c:v>
                </c:pt>
              </c:strCache>
            </c:strRef>
          </c:tx>
          <c:spPr>
            <a:solidFill>
              <a:schemeClr val="bg1">
                <a:lumMod val="50000"/>
              </a:schemeClr>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营收!$D$40:$I$40</c:f>
              <c:numCache>
                <c:formatCode>0.00_);[Red]\(0.00\)</c:formatCode>
                <c:ptCount val="6"/>
                <c:pt idx="0">
                  <c:v>3011</c:v>
                </c:pt>
                <c:pt idx="1">
                  <c:v>3939</c:v>
                </c:pt>
                <c:pt idx="2">
                  <c:v>5125</c:v>
                </c:pt>
                <c:pt idx="3">
                  <c:v>6432</c:v>
                </c:pt>
                <c:pt idx="4">
                  <c:v>7027</c:v>
                </c:pt>
                <c:pt idx="5">
                  <c:v>7204</c:v>
                </c:pt>
              </c:numCache>
            </c:numRef>
          </c:val>
          <c:extLst>
            <c:ext xmlns:c16="http://schemas.microsoft.com/office/drawing/2014/chart" uri="{C3380CC4-5D6E-409C-BE32-E72D297353CC}">
              <c16:uniqueId val="{00000003-7D39-4FC1-B0FF-C35918A496BF}"/>
            </c:ext>
          </c:extLst>
        </c:ser>
        <c:dLbls>
          <c:showLegendKey val="0"/>
          <c:showVal val="0"/>
          <c:showCatName val="0"/>
          <c:showSerName val="0"/>
          <c:showPercent val="0"/>
          <c:showBubbleSize val="0"/>
        </c:dLbls>
        <c:gapWidth val="219"/>
        <c:overlap val="-27"/>
        <c:axId val="237386592"/>
        <c:axId val="237380352"/>
      </c:barChart>
      <c:catAx>
        <c:axId val="237386592"/>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237380352"/>
        <c:crosses val="autoZero"/>
        <c:auto val="1"/>
        <c:lblAlgn val="ctr"/>
        <c:lblOffset val="100"/>
        <c:noMultiLvlLbl val="0"/>
      </c:catAx>
      <c:valAx>
        <c:axId val="237380352"/>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23738659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营收!$C$40</c:f>
              <c:strCache>
                <c:ptCount val="1"/>
                <c:pt idx="0">
                  <c:v>Dermatological Beauty Division</c:v>
                </c:pt>
              </c:strCache>
            </c:strRef>
          </c:tx>
          <c:spPr>
            <a:solidFill>
              <a:srgbClr val="002060"/>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营收!$D$40:$I$40</c:f>
              <c:numCache>
                <c:formatCode>0.00_);[Red]\(0.00\)</c:formatCode>
                <c:ptCount val="6"/>
                <c:pt idx="0">
                  <c:v>3011</c:v>
                </c:pt>
                <c:pt idx="1">
                  <c:v>3939</c:v>
                </c:pt>
                <c:pt idx="2">
                  <c:v>5125</c:v>
                </c:pt>
                <c:pt idx="3">
                  <c:v>6432</c:v>
                </c:pt>
                <c:pt idx="4">
                  <c:v>7027</c:v>
                </c:pt>
                <c:pt idx="5">
                  <c:v>7204</c:v>
                </c:pt>
              </c:numCache>
            </c:numRef>
          </c:val>
          <c:extLst>
            <c:ext xmlns:c16="http://schemas.microsoft.com/office/drawing/2014/chart" uri="{C3380CC4-5D6E-409C-BE32-E72D297353CC}">
              <c16:uniqueId val="{00000000-BF5B-4B93-B2BF-9CA345D5C633}"/>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营收!$C$41</c:f>
              <c:strCache>
                <c:ptCount val="1"/>
                <c:pt idx="0">
                  <c:v>YoY</c:v>
                </c:pt>
              </c:strCache>
            </c:strRef>
          </c:tx>
          <c:spPr>
            <a:ln w="28575" cap="rnd">
              <a:solidFill>
                <a:schemeClr val="bg1">
                  <a:lumMod val="85000"/>
                </a:schemeClr>
              </a:solidFill>
              <a:round/>
            </a:ln>
            <a:effectLst/>
          </c:spPr>
          <c:marker>
            <c:symbol val="none"/>
          </c:marker>
          <c:cat>
            <c:numRef>
              <c:f>营收!$D$33:$I$33</c:f>
              <c:numCache>
                <c:formatCode>General</c:formatCode>
                <c:ptCount val="6"/>
                <c:pt idx="0">
                  <c:v>2020</c:v>
                </c:pt>
                <c:pt idx="1">
                  <c:v>2021</c:v>
                </c:pt>
                <c:pt idx="2">
                  <c:v>2022</c:v>
                </c:pt>
                <c:pt idx="3">
                  <c:v>2023</c:v>
                </c:pt>
                <c:pt idx="4">
                  <c:v>2024</c:v>
                </c:pt>
                <c:pt idx="5">
                  <c:v>2025</c:v>
                </c:pt>
              </c:numCache>
            </c:numRef>
          </c:cat>
          <c:val>
            <c:numRef>
              <c:f>营收!$D$41:$I$41</c:f>
              <c:numCache>
                <c:formatCode>0%</c:formatCode>
                <c:ptCount val="6"/>
                <c:pt idx="0">
                  <c:v>0.12999587195556719</c:v>
                </c:pt>
                <c:pt idx="1">
                  <c:v>0.30317824051011272</c:v>
                </c:pt>
                <c:pt idx="2">
                  <c:v>0.30593781855249752</c:v>
                </c:pt>
                <c:pt idx="3">
                  <c:v>0.25514684359449702</c:v>
                </c:pt>
                <c:pt idx="4">
                  <c:v>9.2521766169154196E-2</c:v>
                </c:pt>
                <c:pt idx="5">
                  <c:v>2.5188558417532425E-2</c:v>
                </c:pt>
              </c:numCache>
            </c:numRef>
          </c:val>
          <c:smooth val="0"/>
          <c:extLst>
            <c:ext xmlns:c16="http://schemas.microsoft.com/office/drawing/2014/chart" uri="{C3380CC4-5D6E-409C-BE32-E72D297353CC}">
              <c16:uniqueId val="{00000001-BF5B-4B93-B2BF-9CA345D5C633}"/>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营收!$C$38</c:f>
              <c:strCache>
                <c:ptCount val="1"/>
                <c:pt idx="0">
                  <c:v>L'Oréal Luxe</c:v>
                </c:pt>
              </c:strCache>
            </c:strRef>
          </c:tx>
          <c:spPr>
            <a:solidFill>
              <a:srgbClr val="002060"/>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营收!$D$38:$I$38</c:f>
              <c:numCache>
                <c:formatCode>0.00_);[Red]\(0.00\)</c:formatCode>
                <c:ptCount val="6"/>
                <c:pt idx="0">
                  <c:v>10180</c:v>
                </c:pt>
                <c:pt idx="1">
                  <c:v>12334</c:v>
                </c:pt>
                <c:pt idx="2">
                  <c:v>14638</c:v>
                </c:pt>
                <c:pt idx="3">
                  <c:v>14924</c:v>
                </c:pt>
                <c:pt idx="4">
                  <c:v>15591</c:v>
                </c:pt>
                <c:pt idx="5">
                  <c:v>15595</c:v>
                </c:pt>
              </c:numCache>
            </c:numRef>
          </c:val>
          <c:extLst>
            <c:ext xmlns:c16="http://schemas.microsoft.com/office/drawing/2014/chart" uri="{C3380CC4-5D6E-409C-BE32-E72D297353CC}">
              <c16:uniqueId val="{00000000-B766-4982-8CA4-79A7E387FC8D}"/>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营收!$C$39</c:f>
              <c:strCache>
                <c:ptCount val="1"/>
                <c:pt idx="0">
                  <c:v>YoY</c:v>
                </c:pt>
              </c:strCache>
            </c:strRef>
          </c:tx>
          <c:spPr>
            <a:ln w="28575" cap="rnd">
              <a:solidFill>
                <a:schemeClr val="bg1">
                  <a:lumMod val="85000"/>
                </a:schemeClr>
              </a:solidFill>
              <a:round/>
            </a:ln>
            <a:effectLst/>
          </c:spPr>
          <c:marker>
            <c:symbol val="none"/>
          </c:marker>
          <c:cat>
            <c:numRef>
              <c:f>营收!$D$33:$I$33</c:f>
              <c:numCache>
                <c:formatCode>General</c:formatCode>
                <c:ptCount val="6"/>
                <c:pt idx="0">
                  <c:v>2020</c:v>
                </c:pt>
                <c:pt idx="1">
                  <c:v>2021</c:v>
                </c:pt>
                <c:pt idx="2">
                  <c:v>2022</c:v>
                </c:pt>
                <c:pt idx="3">
                  <c:v>2023</c:v>
                </c:pt>
                <c:pt idx="4">
                  <c:v>2024</c:v>
                </c:pt>
                <c:pt idx="5">
                  <c:v>2025</c:v>
                </c:pt>
              </c:numCache>
            </c:numRef>
          </c:cat>
          <c:val>
            <c:numRef>
              <c:f>营收!$D$39:$I$39</c:f>
              <c:numCache>
                <c:formatCode>0%</c:formatCode>
                <c:ptCount val="6"/>
                <c:pt idx="0">
                  <c:v>-7.5999346476418816E-2</c:v>
                </c:pt>
                <c:pt idx="1">
                  <c:v>0.21280169746264699</c:v>
                </c:pt>
                <c:pt idx="2">
                  <c:v>0.1856360661580081</c:v>
                </c:pt>
                <c:pt idx="3">
                  <c:v>1.9531223314501078E-2</c:v>
                </c:pt>
                <c:pt idx="4">
                  <c:v>4.4699812382739353E-2</c:v>
                </c:pt>
                <c:pt idx="5">
                  <c:v>2.565582707971803E-4</c:v>
                </c:pt>
              </c:numCache>
            </c:numRef>
          </c:val>
          <c:smooth val="0"/>
          <c:extLst>
            <c:ext xmlns:c16="http://schemas.microsoft.com/office/drawing/2014/chart" uri="{C3380CC4-5D6E-409C-BE32-E72D297353CC}">
              <c16:uniqueId val="{00000001-B766-4982-8CA4-79A7E387FC8D}"/>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营收!$C$36</c:f>
              <c:strCache>
                <c:ptCount val="1"/>
                <c:pt idx="0">
                  <c:v>Consumer Products Division</c:v>
                </c:pt>
              </c:strCache>
            </c:strRef>
          </c:tx>
          <c:spPr>
            <a:solidFill>
              <a:srgbClr val="002060"/>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营收!$D$36:$I$36</c:f>
              <c:numCache>
                <c:formatCode>0.00_);[Red]\(0.00\)</c:formatCode>
                <c:ptCount val="6"/>
                <c:pt idx="0">
                  <c:v>11704</c:v>
                </c:pt>
                <c:pt idx="1">
                  <c:v>12237</c:v>
                </c:pt>
                <c:pt idx="2">
                  <c:v>14021</c:v>
                </c:pt>
                <c:pt idx="3">
                  <c:v>15173</c:v>
                </c:pt>
                <c:pt idx="4">
                  <c:v>15982</c:v>
                </c:pt>
                <c:pt idx="5">
                  <c:v>16089</c:v>
                </c:pt>
              </c:numCache>
            </c:numRef>
          </c:val>
          <c:extLst>
            <c:ext xmlns:c16="http://schemas.microsoft.com/office/drawing/2014/chart" uri="{C3380CC4-5D6E-409C-BE32-E72D297353CC}">
              <c16:uniqueId val="{00000000-1BF0-40AD-A1E3-5932FE45946B}"/>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营收!$C$37</c:f>
              <c:strCache>
                <c:ptCount val="1"/>
                <c:pt idx="0">
                  <c:v>YoY</c:v>
                </c:pt>
              </c:strCache>
            </c:strRef>
          </c:tx>
          <c:spPr>
            <a:ln w="28575" cap="rnd">
              <a:solidFill>
                <a:schemeClr val="bg1">
                  <a:lumMod val="85000"/>
                </a:schemeClr>
              </a:solidFill>
              <a:round/>
            </a:ln>
            <a:effectLst/>
          </c:spPr>
          <c:marker>
            <c:symbol val="none"/>
          </c:marker>
          <c:cat>
            <c:numRef>
              <c:f>营收!$D$33:$I$33</c:f>
              <c:numCache>
                <c:formatCode>General</c:formatCode>
                <c:ptCount val="6"/>
                <c:pt idx="0">
                  <c:v>2020</c:v>
                </c:pt>
                <c:pt idx="1">
                  <c:v>2021</c:v>
                </c:pt>
                <c:pt idx="2">
                  <c:v>2022</c:v>
                </c:pt>
                <c:pt idx="3">
                  <c:v>2023</c:v>
                </c:pt>
                <c:pt idx="4">
                  <c:v>2024</c:v>
                </c:pt>
                <c:pt idx="5">
                  <c:v>2025</c:v>
                </c:pt>
              </c:numCache>
            </c:numRef>
          </c:cat>
          <c:val>
            <c:numRef>
              <c:f>营收!$D$37:$I$37</c:f>
              <c:numCache>
                <c:formatCode>0%</c:formatCode>
                <c:ptCount val="6"/>
                <c:pt idx="0">
                  <c:v>-8.1997301791485011E-2</c:v>
                </c:pt>
                <c:pt idx="1">
                  <c:v>4.5258804832618571E-2</c:v>
                </c:pt>
                <c:pt idx="2">
                  <c:v>0.14613969836923199</c:v>
                </c:pt>
                <c:pt idx="3">
                  <c:v>8.2117920592241989E-2</c:v>
                </c:pt>
                <c:pt idx="4">
                  <c:v>5.3365584240115498E-2</c:v>
                </c:pt>
                <c:pt idx="5">
                  <c:v>6.695031910899818E-3</c:v>
                </c:pt>
              </c:numCache>
            </c:numRef>
          </c:val>
          <c:smooth val="0"/>
          <c:extLst>
            <c:ext xmlns:c16="http://schemas.microsoft.com/office/drawing/2014/chart" uri="{C3380CC4-5D6E-409C-BE32-E72D297353CC}">
              <c16:uniqueId val="{00000001-1BF0-40AD-A1E3-5932FE45946B}"/>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营收!$C$34</c:f>
              <c:strCache>
                <c:ptCount val="1"/>
                <c:pt idx="0">
                  <c:v>Professional Products Division</c:v>
                </c:pt>
              </c:strCache>
            </c:strRef>
          </c:tx>
          <c:spPr>
            <a:solidFill>
              <a:srgbClr val="002060"/>
            </a:solidFill>
            <a:ln>
              <a:noFill/>
            </a:ln>
            <a:effectLst/>
          </c:spPr>
          <c:invertIfNegative val="0"/>
          <c:cat>
            <c:numRef>
              <c:f>营收!$D$33:$I$33</c:f>
              <c:numCache>
                <c:formatCode>General</c:formatCode>
                <c:ptCount val="6"/>
                <c:pt idx="0">
                  <c:v>2020</c:v>
                </c:pt>
                <c:pt idx="1">
                  <c:v>2021</c:v>
                </c:pt>
                <c:pt idx="2">
                  <c:v>2022</c:v>
                </c:pt>
                <c:pt idx="3">
                  <c:v>2023</c:v>
                </c:pt>
                <c:pt idx="4">
                  <c:v>2024</c:v>
                </c:pt>
                <c:pt idx="5">
                  <c:v>2025</c:v>
                </c:pt>
              </c:numCache>
            </c:numRef>
          </c:cat>
          <c:val>
            <c:numRef>
              <c:f>营收!$D$34:$I$34</c:f>
              <c:numCache>
                <c:formatCode>0.00_);[Red]\(0.00\)</c:formatCode>
                <c:ptCount val="6"/>
                <c:pt idx="0">
                  <c:v>3097</c:v>
                </c:pt>
                <c:pt idx="1">
                  <c:v>3778</c:v>
                </c:pt>
                <c:pt idx="2">
                  <c:v>4477</c:v>
                </c:pt>
                <c:pt idx="3">
                  <c:v>4654</c:v>
                </c:pt>
                <c:pt idx="4">
                  <c:v>4886</c:v>
                </c:pt>
                <c:pt idx="5">
                  <c:v>5163</c:v>
                </c:pt>
              </c:numCache>
            </c:numRef>
          </c:val>
          <c:extLst>
            <c:ext xmlns:c16="http://schemas.microsoft.com/office/drawing/2014/chart" uri="{C3380CC4-5D6E-409C-BE32-E72D297353CC}">
              <c16:uniqueId val="{00000000-8F83-4DAE-9C91-0F28A74267B0}"/>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营收!$C$35</c:f>
              <c:strCache>
                <c:ptCount val="1"/>
                <c:pt idx="0">
                  <c:v>YoY</c:v>
                </c:pt>
              </c:strCache>
            </c:strRef>
          </c:tx>
          <c:spPr>
            <a:ln w="28575" cap="rnd">
              <a:solidFill>
                <a:schemeClr val="bg1">
                  <a:lumMod val="85000"/>
                </a:schemeClr>
              </a:solidFill>
              <a:round/>
            </a:ln>
            <a:effectLst/>
          </c:spPr>
          <c:marker>
            <c:symbol val="none"/>
          </c:marker>
          <c:cat>
            <c:numRef>
              <c:f>营收!$D$33:$I$33</c:f>
              <c:numCache>
                <c:formatCode>General</c:formatCode>
                <c:ptCount val="6"/>
                <c:pt idx="0">
                  <c:v>2020</c:v>
                </c:pt>
                <c:pt idx="1">
                  <c:v>2021</c:v>
                </c:pt>
                <c:pt idx="2">
                  <c:v>2022</c:v>
                </c:pt>
                <c:pt idx="3">
                  <c:v>2023</c:v>
                </c:pt>
                <c:pt idx="4">
                  <c:v>2024</c:v>
                </c:pt>
                <c:pt idx="5">
                  <c:v>2025</c:v>
                </c:pt>
              </c:numCache>
            </c:numRef>
          </c:cat>
          <c:val>
            <c:numRef>
              <c:f>营收!$D$35:$I$35</c:f>
              <c:numCache>
                <c:formatCode>0%</c:formatCode>
                <c:ptCount val="6"/>
                <c:pt idx="0">
                  <c:v>-9.9988376823385794E-2</c:v>
                </c:pt>
                <c:pt idx="1">
                  <c:v>0.221676944435476</c:v>
                </c:pt>
                <c:pt idx="2">
                  <c:v>0.1831179470916251</c:v>
                </c:pt>
                <c:pt idx="3">
                  <c:v>3.9559506790564518E-2</c:v>
                </c:pt>
                <c:pt idx="4">
                  <c:v>4.9915124948967549E-2</c:v>
                </c:pt>
                <c:pt idx="5">
                  <c:v>5.6692591076545229E-2</c:v>
                </c:pt>
              </c:numCache>
            </c:numRef>
          </c:val>
          <c:smooth val="0"/>
          <c:extLst>
            <c:ext xmlns:c16="http://schemas.microsoft.com/office/drawing/2014/chart" uri="{C3380CC4-5D6E-409C-BE32-E72D297353CC}">
              <c16:uniqueId val="{00000001-8F83-4DAE-9C91-0F28A74267B0}"/>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营收!$C$58</c:f>
              <c:strCache>
                <c:ptCount val="1"/>
                <c:pt idx="0">
                  <c:v>Gross Profit</c:v>
                </c:pt>
              </c:strCache>
            </c:strRef>
          </c:tx>
          <c:spPr>
            <a:solidFill>
              <a:srgbClr val="002060"/>
            </a:solidFill>
            <a:ln>
              <a:noFill/>
            </a:ln>
            <a:effectLst/>
          </c:spPr>
          <c:invertIfNegative val="0"/>
          <c:cat>
            <c:numRef>
              <c:f>营收!$D$57:$I$57</c:f>
              <c:numCache>
                <c:formatCode>General</c:formatCode>
                <c:ptCount val="6"/>
                <c:pt idx="0">
                  <c:v>2020</c:v>
                </c:pt>
                <c:pt idx="1">
                  <c:v>2021</c:v>
                </c:pt>
                <c:pt idx="2">
                  <c:v>2022</c:v>
                </c:pt>
                <c:pt idx="3">
                  <c:v>2023</c:v>
                </c:pt>
                <c:pt idx="4">
                  <c:v>2024</c:v>
                </c:pt>
                <c:pt idx="5">
                  <c:v>2025</c:v>
                </c:pt>
              </c:numCache>
            </c:numRef>
          </c:cat>
          <c:val>
            <c:numRef>
              <c:f>营收!$D$58:$I$58</c:f>
              <c:numCache>
                <c:formatCode>0.00_);[Red]\(0.00\)</c:formatCode>
                <c:ptCount val="6"/>
                <c:pt idx="0">
                  <c:v>20459</c:v>
                </c:pt>
                <c:pt idx="1">
                  <c:v>23854</c:v>
                </c:pt>
                <c:pt idx="2">
                  <c:v>27683.3</c:v>
                </c:pt>
                <c:pt idx="3">
                  <c:v>30415.5</c:v>
                </c:pt>
                <c:pt idx="4">
                  <c:v>32259.8</c:v>
                </c:pt>
                <c:pt idx="5">
                  <c:v>32738.6</c:v>
                </c:pt>
              </c:numCache>
            </c:numRef>
          </c:val>
          <c:extLst>
            <c:ext xmlns:c16="http://schemas.microsoft.com/office/drawing/2014/chart" uri="{C3380CC4-5D6E-409C-BE32-E72D297353CC}">
              <c16:uniqueId val="{00000000-F296-4AF2-923E-03DC5707D9A2}"/>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营收!$C$59</c:f>
              <c:strCache>
                <c:ptCount val="1"/>
                <c:pt idx="0">
                  <c:v>Gross margin</c:v>
                </c:pt>
              </c:strCache>
            </c:strRef>
          </c:tx>
          <c:spPr>
            <a:ln w="28575" cap="rnd">
              <a:solidFill>
                <a:schemeClr val="bg1">
                  <a:lumMod val="85000"/>
                </a:schemeClr>
              </a:solidFill>
              <a:round/>
            </a:ln>
            <a:effectLst/>
          </c:spPr>
          <c:marker>
            <c:symbol val="none"/>
          </c:marker>
          <c:cat>
            <c:numRef>
              <c:f>营收!$D$57:$I$57</c:f>
              <c:numCache>
                <c:formatCode>General</c:formatCode>
                <c:ptCount val="6"/>
                <c:pt idx="0">
                  <c:v>2020</c:v>
                </c:pt>
                <c:pt idx="1">
                  <c:v>2021</c:v>
                </c:pt>
                <c:pt idx="2">
                  <c:v>2022</c:v>
                </c:pt>
                <c:pt idx="3">
                  <c:v>2023</c:v>
                </c:pt>
                <c:pt idx="4">
                  <c:v>2024</c:v>
                </c:pt>
                <c:pt idx="5">
                  <c:v>2025</c:v>
                </c:pt>
              </c:numCache>
            </c:numRef>
          </c:cat>
          <c:val>
            <c:numRef>
              <c:f>营收!$D$59:$I$59</c:f>
              <c:numCache>
                <c:formatCode>0%</c:formatCode>
                <c:ptCount val="6"/>
                <c:pt idx="0">
                  <c:v>0.73099999999999998</c:v>
                </c:pt>
                <c:pt idx="1">
                  <c:v>0.7390000000000001</c:v>
                </c:pt>
                <c:pt idx="2">
                  <c:v>0.72400000000000009</c:v>
                </c:pt>
                <c:pt idx="3">
                  <c:v>0.7390000000000001</c:v>
                </c:pt>
                <c:pt idx="4">
                  <c:v>0.74199999999999999</c:v>
                </c:pt>
                <c:pt idx="5">
                  <c:v>0.74299999999999999</c:v>
                </c:pt>
              </c:numCache>
            </c:numRef>
          </c:val>
          <c:smooth val="0"/>
          <c:extLst>
            <c:ext xmlns:c16="http://schemas.microsoft.com/office/drawing/2014/chart" uri="{C3380CC4-5D6E-409C-BE32-E72D297353CC}">
              <c16:uniqueId val="{00000001-F296-4AF2-923E-03DC5707D9A2}"/>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费率!$C$5</c:f>
              <c:strCache>
                <c:ptCount val="1"/>
                <c:pt idx="0">
                  <c:v>A&amp;P</c:v>
                </c:pt>
              </c:strCache>
            </c:strRef>
          </c:tx>
          <c:spPr>
            <a:solidFill>
              <a:srgbClr val="002060"/>
            </a:solidFill>
            <a:ln>
              <a:noFill/>
            </a:ln>
            <a:effectLst/>
          </c:spPr>
          <c:invertIfNegative val="0"/>
          <c:cat>
            <c:numRef>
              <c:f>费率!$D$4:$I$4</c:f>
              <c:numCache>
                <c:formatCode>General</c:formatCode>
                <c:ptCount val="6"/>
                <c:pt idx="0">
                  <c:v>2020</c:v>
                </c:pt>
                <c:pt idx="1">
                  <c:v>2021</c:v>
                </c:pt>
                <c:pt idx="2">
                  <c:v>2022</c:v>
                </c:pt>
                <c:pt idx="3">
                  <c:v>2023</c:v>
                </c:pt>
                <c:pt idx="4">
                  <c:v>2024</c:v>
                </c:pt>
                <c:pt idx="5">
                  <c:v>2025</c:v>
                </c:pt>
              </c:numCache>
            </c:numRef>
          </c:cat>
          <c:val>
            <c:numRef>
              <c:f>费率!$D$5:$I$5</c:f>
              <c:numCache>
                <c:formatCode>0%</c:formatCode>
                <c:ptCount val="6"/>
                <c:pt idx="0">
                  <c:v>0.309</c:v>
                </c:pt>
                <c:pt idx="1">
                  <c:v>0.32800000000000001</c:v>
                </c:pt>
                <c:pt idx="2">
                  <c:v>0.315</c:v>
                </c:pt>
                <c:pt idx="3">
                  <c:v>0.32400000000000001</c:v>
                </c:pt>
                <c:pt idx="4">
                  <c:v>0.32200000000000001</c:v>
                </c:pt>
                <c:pt idx="5">
                  <c:v>0.32200000000000001</c:v>
                </c:pt>
              </c:numCache>
            </c:numRef>
          </c:val>
          <c:extLst>
            <c:ext xmlns:c16="http://schemas.microsoft.com/office/drawing/2014/chart" uri="{C3380CC4-5D6E-409C-BE32-E72D297353CC}">
              <c16:uniqueId val="{00000000-2D0A-4FB6-B6FA-B003B7EDCD2C}"/>
            </c:ext>
          </c:extLst>
        </c:ser>
        <c:ser>
          <c:idx val="1"/>
          <c:order val="1"/>
          <c:tx>
            <c:strRef>
              <c:f>费率!$C$6</c:f>
              <c:strCache>
                <c:ptCount val="1"/>
                <c:pt idx="0">
                  <c:v>R&amp;D Expenses</c:v>
                </c:pt>
              </c:strCache>
            </c:strRef>
          </c:tx>
          <c:spPr>
            <a:solidFill>
              <a:srgbClr val="E97132">
                <a:lumMod val="60000"/>
                <a:lumOff val="40000"/>
              </a:srgbClr>
            </a:solidFill>
            <a:ln>
              <a:noFill/>
            </a:ln>
            <a:effectLst/>
          </c:spPr>
          <c:invertIfNegative val="0"/>
          <c:cat>
            <c:numRef>
              <c:f>费率!$D$4:$I$4</c:f>
              <c:numCache>
                <c:formatCode>General</c:formatCode>
                <c:ptCount val="6"/>
                <c:pt idx="0">
                  <c:v>2020</c:v>
                </c:pt>
                <c:pt idx="1">
                  <c:v>2021</c:v>
                </c:pt>
                <c:pt idx="2">
                  <c:v>2022</c:v>
                </c:pt>
                <c:pt idx="3">
                  <c:v>2023</c:v>
                </c:pt>
                <c:pt idx="4">
                  <c:v>2024</c:v>
                </c:pt>
                <c:pt idx="5">
                  <c:v>2025</c:v>
                </c:pt>
              </c:numCache>
            </c:numRef>
          </c:cat>
          <c:val>
            <c:numRef>
              <c:f>费率!$D$6:$I$6</c:f>
              <c:numCache>
                <c:formatCode>0%</c:formatCode>
                <c:ptCount val="6"/>
                <c:pt idx="0">
                  <c:v>3.4000000000000002E-2</c:v>
                </c:pt>
                <c:pt idx="1">
                  <c:v>3.2000000000000001E-2</c:v>
                </c:pt>
                <c:pt idx="2">
                  <c:v>0.03</c:v>
                </c:pt>
                <c:pt idx="3">
                  <c:v>3.1E-2</c:v>
                </c:pt>
                <c:pt idx="4">
                  <c:v>3.1E-2</c:v>
                </c:pt>
                <c:pt idx="5">
                  <c:v>3.1E-2</c:v>
                </c:pt>
              </c:numCache>
            </c:numRef>
          </c:val>
          <c:extLst>
            <c:ext xmlns:c16="http://schemas.microsoft.com/office/drawing/2014/chart" uri="{C3380CC4-5D6E-409C-BE32-E72D297353CC}">
              <c16:uniqueId val="{00000001-2D0A-4FB6-B6FA-B003B7EDCD2C}"/>
            </c:ext>
          </c:extLst>
        </c:ser>
        <c:ser>
          <c:idx val="2"/>
          <c:order val="2"/>
          <c:tx>
            <c:strRef>
              <c:f>费率!$C$7</c:f>
              <c:strCache>
                <c:ptCount val="1"/>
                <c:pt idx="0">
                  <c:v>SG&amp;A</c:v>
                </c:pt>
              </c:strCache>
            </c:strRef>
          </c:tx>
          <c:spPr>
            <a:solidFill>
              <a:sysClr val="window" lastClr="FFFFFF">
                <a:lumMod val="85000"/>
              </a:sysClr>
            </a:solidFill>
            <a:ln>
              <a:noFill/>
            </a:ln>
            <a:effectLst/>
          </c:spPr>
          <c:invertIfNegative val="0"/>
          <c:cat>
            <c:numRef>
              <c:f>费率!$D$4:$I$4</c:f>
              <c:numCache>
                <c:formatCode>General</c:formatCode>
                <c:ptCount val="6"/>
                <c:pt idx="0">
                  <c:v>2020</c:v>
                </c:pt>
                <c:pt idx="1">
                  <c:v>2021</c:v>
                </c:pt>
                <c:pt idx="2">
                  <c:v>2022</c:v>
                </c:pt>
                <c:pt idx="3">
                  <c:v>2023</c:v>
                </c:pt>
                <c:pt idx="4">
                  <c:v>2024</c:v>
                </c:pt>
                <c:pt idx="5">
                  <c:v>2025</c:v>
                </c:pt>
              </c:numCache>
            </c:numRef>
          </c:cat>
          <c:val>
            <c:numRef>
              <c:f>费率!$D$7:$I$7</c:f>
              <c:numCache>
                <c:formatCode>0%</c:formatCode>
                <c:ptCount val="6"/>
                <c:pt idx="0">
                  <c:v>0.20100000000000001</c:v>
                </c:pt>
                <c:pt idx="1">
                  <c:v>0.188</c:v>
                </c:pt>
                <c:pt idx="2">
                  <c:v>0.184</c:v>
                </c:pt>
                <c:pt idx="3">
                  <c:v>0.185</c:v>
                </c:pt>
                <c:pt idx="4">
                  <c:v>0.189</c:v>
                </c:pt>
                <c:pt idx="5">
                  <c:v>0.188</c:v>
                </c:pt>
              </c:numCache>
            </c:numRef>
          </c:val>
          <c:extLst>
            <c:ext xmlns:c16="http://schemas.microsoft.com/office/drawing/2014/chart" uri="{C3380CC4-5D6E-409C-BE32-E72D297353CC}">
              <c16:uniqueId val="{00000002-2D0A-4FB6-B6FA-B003B7EDCD2C}"/>
            </c:ext>
          </c:extLst>
        </c:ser>
        <c:dLbls>
          <c:showLegendKey val="0"/>
          <c:showVal val="0"/>
          <c:showCatName val="0"/>
          <c:showSerName val="0"/>
          <c:showPercent val="0"/>
          <c:showBubbleSize val="0"/>
        </c:dLbls>
        <c:gapWidth val="150"/>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营收!$C$60</c:f>
              <c:strCache>
                <c:ptCount val="1"/>
                <c:pt idx="0">
                  <c:v>Net Profit Attributable to Parent Company</c:v>
                </c:pt>
              </c:strCache>
            </c:strRef>
          </c:tx>
          <c:spPr>
            <a:solidFill>
              <a:srgbClr val="002060"/>
            </a:solidFill>
            <a:ln>
              <a:noFill/>
            </a:ln>
            <a:effectLst/>
          </c:spPr>
          <c:invertIfNegative val="0"/>
          <c:cat>
            <c:numRef>
              <c:f>营收!$D$57:$I$57</c:f>
              <c:numCache>
                <c:formatCode>General</c:formatCode>
                <c:ptCount val="6"/>
                <c:pt idx="0">
                  <c:v>2020</c:v>
                </c:pt>
                <c:pt idx="1">
                  <c:v>2021</c:v>
                </c:pt>
                <c:pt idx="2">
                  <c:v>2022</c:v>
                </c:pt>
                <c:pt idx="3">
                  <c:v>2023</c:v>
                </c:pt>
                <c:pt idx="4">
                  <c:v>2024</c:v>
                </c:pt>
                <c:pt idx="5">
                  <c:v>2025</c:v>
                </c:pt>
              </c:numCache>
            </c:numRef>
          </c:cat>
          <c:val>
            <c:numRef>
              <c:f>营收!$D$60:$I$60</c:f>
              <c:numCache>
                <c:formatCode>0.00_);[Red]\(0.00\)</c:formatCode>
                <c:ptCount val="6"/>
                <c:pt idx="0">
                  <c:v>3563</c:v>
                </c:pt>
                <c:pt idx="1">
                  <c:v>4597</c:v>
                </c:pt>
                <c:pt idx="2">
                  <c:v>5707</c:v>
                </c:pt>
                <c:pt idx="3">
                  <c:v>6184</c:v>
                </c:pt>
                <c:pt idx="4">
                  <c:v>6408.7</c:v>
                </c:pt>
                <c:pt idx="5">
                  <c:v>6127.2</c:v>
                </c:pt>
              </c:numCache>
            </c:numRef>
          </c:val>
          <c:extLst>
            <c:ext xmlns:c16="http://schemas.microsoft.com/office/drawing/2014/chart" uri="{C3380CC4-5D6E-409C-BE32-E72D297353CC}">
              <c16:uniqueId val="{00000000-C5DC-4E1B-ABC8-9826DDECB5E1}"/>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营收!$C$61</c:f>
              <c:strCache>
                <c:ptCount val="1"/>
                <c:pt idx="0">
                  <c:v>Net Profit Margin</c:v>
                </c:pt>
              </c:strCache>
            </c:strRef>
          </c:tx>
          <c:spPr>
            <a:ln w="28575" cap="rnd">
              <a:solidFill>
                <a:schemeClr val="bg1">
                  <a:lumMod val="85000"/>
                </a:schemeClr>
              </a:solidFill>
              <a:round/>
            </a:ln>
            <a:effectLst/>
          </c:spPr>
          <c:marker>
            <c:symbol val="none"/>
          </c:marker>
          <c:cat>
            <c:numRef>
              <c:f>营收!$D$57:$I$57</c:f>
              <c:numCache>
                <c:formatCode>General</c:formatCode>
                <c:ptCount val="6"/>
                <c:pt idx="0">
                  <c:v>2020</c:v>
                </c:pt>
                <c:pt idx="1">
                  <c:v>2021</c:v>
                </c:pt>
                <c:pt idx="2">
                  <c:v>2022</c:v>
                </c:pt>
                <c:pt idx="3">
                  <c:v>2023</c:v>
                </c:pt>
                <c:pt idx="4">
                  <c:v>2024</c:v>
                </c:pt>
                <c:pt idx="5">
                  <c:v>2025</c:v>
                </c:pt>
              </c:numCache>
            </c:numRef>
          </c:cat>
          <c:val>
            <c:numRef>
              <c:f>营收!$D$61:$I$61</c:f>
              <c:numCache>
                <c:formatCode>0%</c:formatCode>
                <c:ptCount val="6"/>
                <c:pt idx="0">
                  <c:v>0.12728591281111459</c:v>
                </c:pt>
                <c:pt idx="1">
                  <c:v>0.1423766399484632</c:v>
                </c:pt>
                <c:pt idx="2">
                  <c:v>0.14916127818173261</c:v>
                </c:pt>
                <c:pt idx="3">
                  <c:v>0.15016086930128089</c:v>
                </c:pt>
                <c:pt idx="4">
                  <c:v>0.14737115630490169</c:v>
                </c:pt>
                <c:pt idx="5">
                  <c:v>0.13909016616725689</c:v>
                </c:pt>
              </c:numCache>
            </c:numRef>
          </c:val>
          <c:smooth val="0"/>
          <c:extLst>
            <c:ext xmlns:c16="http://schemas.microsoft.com/office/drawing/2014/chart" uri="{C3380CC4-5D6E-409C-BE32-E72D297353CC}">
              <c16:uniqueId val="{00000001-C5DC-4E1B-ABC8-9826DDECB5E1}"/>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layout>
        <c:manualLayout>
          <c:xMode val="edge"/>
          <c:yMode val="edge"/>
          <c:x val="0.14047830937594716"/>
          <c:y val="2.7777777777777776E-2"/>
          <c:w val="0.73221575190079125"/>
          <c:h val="0.203558625137728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营收!$C$62</c:f>
              <c:strCache>
                <c:ptCount val="1"/>
                <c:pt idx="0">
                  <c:v>Operating Profit</c:v>
                </c:pt>
              </c:strCache>
            </c:strRef>
          </c:tx>
          <c:spPr>
            <a:solidFill>
              <a:srgbClr val="002060"/>
            </a:solidFill>
            <a:ln>
              <a:noFill/>
            </a:ln>
            <a:effectLst/>
          </c:spPr>
          <c:invertIfNegative val="0"/>
          <c:cat>
            <c:numRef>
              <c:f>营收!$D$57:$I$57</c:f>
              <c:numCache>
                <c:formatCode>General</c:formatCode>
                <c:ptCount val="6"/>
                <c:pt idx="0">
                  <c:v>2020</c:v>
                </c:pt>
                <c:pt idx="1">
                  <c:v>2021</c:v>
                </c:pt>
                <c:pt idx="2">
                  <c:v>2022</c:v>
                </c:pt>
                <c:pt idx="3">
                  <c:v>2023</c:v>
                </c:pt>
                <c:pt idx="4">
                  <c:v>2024</c:v>
                </c:pt>
                <c:pt idx="5">
                  <c:v>2025</c:v>
                </c:pt>
              </c:numCache>
            </c:numRef>
          </c:cat>
          <c:val>
            <c:numRef>
              <c:f>营收!$D$62:$I$62</c:f>
              <c:numCache>
                <c:formatCode>0.00_);[Red]\(0.00\)</c:formatCode>
                <c:ptCount val="6"/>
                <c:pt idx="0">
                  <c:v>5209</c:v>
                </c:pt>
                <c:pt idx="1">
                  <c:v>6160</c:v>
                </c:pt>
                <c:pt idx="2">
                  <c:v>7457</c:v>
                </c:pt>
                <c:pt idx="3">
                  <c:v>8143</c:v>
                </c:pt>
                <c:pt idx="4">
                  <c:v>8687.5</c:v>
                </c:pt>
                <c:pt idx="5">
                  <c:v>8891.9</c:v>
                </c:pt>
              </c:numCache>
            </c:numRef>
          </c:val>
          <c:extLst>
            <c:ext xmlns:c16="http://schemas.microsoft.com/office/drawing/2014/chart" uri="{C3380CC4-5D6E-409C-BE32-E72D297353CC}">
              <c16:uniqueId val="{00000000-CE2F-4C66-BD6D-D80C4B24D639}"/>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营收!$C$63</c:f>
              <c:strCache>
                <c:ptCount val="1"/>
                <c:pt idx="0">
                  <c:v>Operating Profit Margin</c:v>
                </c:pt>
              </c:strCache>
            </c:strRef>
          </c:tx>
          <c:spPr>
            <a:ln w="28575" cap="rnd">
              <a:solidFill>
                <a:schemeClr val="bg1">
                  <a:lumMod val="85000"/>
                </a:schemeClr>
              </a:solidFill>
              <a:round/>
            </a:ln>
            <a:effectLst/>
          </c:spPr>
          <c:marker>
            <c:symbol val="none"/>
          </c:marker>
          <c:cat>
            <c:numRef>
              <c:f>营收!$D$57:$I$57</c:f>
              <c:numCache>
                <c:formatCode>General</c:formatCode>
                <c:ptCount val="6"/>
                <c:pt idx="0">
                  <c:v>2020</c:v>
                </c:pt>
                <c:pt idx="1">
                  <c:v>2021</c:v>
                </c:pt>
                <c:pt idx="2">
                  <c:v>2022</c:v>
                </c:pt>
                <c:pt idx="3">
                  <c:v>2023</c:v>
                </c:pt>
                <c:pt idx="4">
                  <c:v>2024</c:v>
                </c:pt>
                <c:pt idx="5">
                  <c:v>2025</c:v>
                </c:pt>
              </c:numCache>
            </c:numRef>
          </c:cat>
          <c:val>
            <c:numRef>
              <c:f>营收!$D$63:$I$63</c:f>
              <c:numCache>
                <c:formatCode>0%</c:formatCode>
                <c:ptCount val="6"/>
                <c:pt idx="0">
                  <c:v>-6.1103100216294157E-2</c:v>
                </c:pt>
                <c:pt idx="1">
                  <c:v>0.182568631215204</c:v>
                </c:pt>
                <c:pt idx="2">
                  <c:v>0.21055194805194799</c:v>
                </c:pt>
                <c:pt idx="3">
                  <c:v>9.1994099503821911E-2</c:v>
                </c:pt>
                <c:pt idx="4">
                  <c:v>6.6867247943018543E-2</c:v>
                </c:pt>
                <c:pt idx="5">
                  <c:v>2.3528057553956792E-2</c:v>
                </c:pt>
              </c:numCache>
            </c:numRef>
          </c:val>
          <c:smooth val="0"/>
          <c:extLst>
            <c:ext xmlns:c16="http://schemas.microsoft.com/office/drawing/2014/chart" uri="{C3380CC4-5D6E-409C-BE32-E72D297353CC}">
              <c16:uniqueId val="{00000001-CE2F-4C66-BD6D-D80C4B24D639}"/>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899591789356"/>
          <c:y val="0.16594516594516601"/>
          <c:w val="0.779136115356588"/>
          <c:h val="0.72955710081694303"/>
        </c:manualLayout>
      </c:layout>
      <c:barChart>
        <c:barDir val="col"/>
        <c:grouping val="clustered"/>
        <c:varyColors val="0"/>
        <c:ser>
          <c:idx val="0"/>
          <c:order val="0"/>
          <c:tx>
            <c:strRef>
              <c:f>Sheet1!$A$11</c:f>
              <c:strCache>
                <c:ptCount val="1"/>
                <c:pt idx="0">
                  <c:v>Total Market Revenue</c:v>
                </c:pt>
              </c:strCache>
            </c:strRef>
          </c:tx>
          <c:spPr>
            <a:solidFill>
              <a:srgbClr val="00488C"/>
            </a:solidFill>
            <a:ln>
              <a:noFill/>
            </a:ln>
            <a:effectLst/>
          </c:spPr>
          <c:invertIfNegative val="0"/>
          <c:dLbls>
            <c:delete val="1"/>
          </c:dLbls>
          <c:cat>
            <c:numRef>
              <c:f>Sheet1!$B$10:$K$10</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Sheet1!$B$11:$K$11</c:f>
              <c:numCache>
                <c:formatCode>General</c:formatCode>
                <c:ptCount val="10"/>
                <c:pt idx="0">
                  <c:v>473.2</c:v>
                </c:pt>
                <c:pt idx="1">
                  <c:v>503.4</c:v>
                </c:pt>
                <c:pt idx="2">
                  <c:v>550.46</c:v>
                </c:pt>
                <c:pt idx="3">
                  <c:v>559.34</c:v>
                </c:pt>
                <c:pt idx="4">
                  <c:v>530.79</c:v>
                </c:pt>
                <c:pt idx="5">
                  <c:v>559.71</c:v>
                </c:pt>
                <c:pt idx="6">
                  <c:v>581.89</c:v>
                </c:pt>
                <c:pt idx="7">
                  <c:v>626.91999999999996</c:v>
                </c:pt>
                <c:pt idx="8">
                  <c:v>651.54</c:v>
                </c:pt>
                <c:pt idx="9">
                  <c:v>677.19</c:v>
                </c:pt>
              </c:numCache>
            </c:numRef>
          </c:val>
          <c:extLst>
            <c:ext xmlns:c16="http://schemas.microsoft.com/office/drawing/2014/chart" uri="{C3380CC4-5D6E-409C-BE32-E72D297353CC}">
              <c16:uniqueId val="{00000000-AD7A-434C-B570-6C2A7B9C76E1}"/>
            </c:ext>
          </c:extLst>
        </c:ser>
        <c:dLbls>
          <c:showLegendKey val="0"/>
          <c:showVal val="1"/>
          <c:showCatName val="0"/>
          <c:showSerName val="0"/>
          <c:showPercent val="0"/>
          <c:showBubbleSize val="0"/>
        </c:dLbls>
        <c:gapWidth val="219"/>
        <c:overlap val="-27"/>
        <c:axId val="451138785"/>
        <c:axId val="252592081"/>
      </c:barChart>
      <c:lineChart>
        <c:grouping val="standard"/>
        <c:varyColors val="0"/>
        <c:ser>
          <c:idx val="1"/>
          <c:order val="1"/>
          <c:tx>
            <c:strRef>
              <c:f>Sheet1!$A$12</c:f>
              <c:strCache>
                <c:ptCount val="1"/>
                <c:pt idx="0">
                  <c:v>YoY</c:v>
                </c:pt>
              </c:strCache>
            </c:strRef>
          </c:tx>
          <c:spPr>
            <a:ln w="22225" cap="rnd">
              <a:solidFill>
                <a:schemeClr val="accent2"/>
              </a:solidFill>
              <a:round/>
            </a:ln>
            <a:effectLst/>
          </c:spPr>
          <c:marker>
            <c:symbol val="none"/>
          </c:marker>
          <c:dLbls>
            <c:delete val="1"/>
          </c:dLbls>
          <c:val>
            <c:numRef>
              <c:f>Sheet1!$B$12:$K$12</c:f>
              <c:numCache>
                <c:formatCode>0%</c:formatCode>
                <c:ptCount val="10"/>
                <c:pt idx="1">
                  <c:v>6.3820794590025307E-2</c:v>
                </c:pt>
                <c:pt idx="2">
                  <c:v>9.3484306714342602E-2</c:v>
                </c:pt>
                <c:pt idx="3">
                  <c:v>1.6131962358754501E-2</c:v>
                </c:pt>
                <c:pt idx="4">
                  <c:v>-5.1042299853398802E-2</c:v>
                </c:pt>
                <c:pt idx="5">
                  <c:v>5.4484824506867299E-2</c:v>
                </c:pt>
                <c:pt idx="6">
                  <c:v>3.96276643261688E-2</c:v>
                </c:pt>
                <c:pt idx="7">
                  <c:v>7.7385760195225903E-2</c:v>
                </c:pt>
                <c:pt idx="8">
                  <c:v>3.9271358387035001E-2</c:v>
                </c:pt>
                <c:pt idx="9">
                  <c:v>3.9368265954507903E-2</c:v>
                </c:pt>
              </c:numCache>
            </c:numRef>
          </c:val>
          <c:smooth val="0"/>
          <c:extLst>
            <c:ext xmlns:c16="http://schemas.microsoft.com/office/drawing/2014/chart" uri="{C3380CC4-5D6E-409C-BE32-E72D297353CC}">
              <c16:uniqueId val="{00000001-AD7A-434C-B570-6C2A7B9C76E1}"/>
            </c:ext>
          </c:extLst>
        </c:ser>
        <c:dLbls>
          <c:showLegendKey val="0"/>
          <c:showVal val="1"/>
          <c:showCatName val="0"/>
          <c:showSerName val="0"/>
          <c:showPercent val="0"/>
          <c:showBubbleSize val="0"/>
        </c:dLbls>
        <c:marker val="1"/>
        <c:smooth val="0"/>
        <c:axId val="889299359"/>
        <c:axId val="504183190"/>
      </c:lineChart>
      <c:catAx>
        <c:axId val="451138785"/>
        <c:scaling>
          <c:orientation val="minMax"/>
        </c:scaling>
        <c:delete val="0"/>
        <c:axPos val="b"/>
        <c:numFmt formatCode="General" sourceLinked="0"/>
        <c:majorTickMark val="in"/>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252592081"/>
        <c:crosses val="autoZero"/>
        <c:auto val="1"/>
        <c:lblAlgn val="ctr"/>
        <c:lblOffset val="100"/>
        <c:noMultiLvlLbl val="0"/>
      </c:catAx>
      <c:valAx>
        <c:axId val="252592081"/>
        <c:scaling>
          <c:orientation val="minMax"/>
        </c:scaling>
        <c:delete val="0"/>
        <c:axPos val="l"/>
        <c:numFmt formatCode="General" sourceLinked="1"/>
        <c:majorTickMark val="in"/>
        <c:minorTickMark val="none"/>
        <c:tickLblPos val="nextTo"/>
        <c:spPr>
          <a:noFill/>
          <a:ln>
            <a:solidFill>
              <a:schemeClr val="tx1">
                <a:lumMod val="15000"/>
                <a:lumOff val="85000"/>
              </a:schemeClr>
            </a:solidFill>
          </a:ln>
          <a:effectLst/>
        </c:spPr>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451138785"/>
        <c:crosses val="autoZero"/>
        <c:crossBetween val="between"/>
      </c:valAx>
      <c:catAx>
        <c:axId val="889299359"/>
        <c:scaling>
          <c:orientation val="minMax"/>
        </c:scaling>
        <c:delete val="1"/>
        <c:axPos val="b"/>
        <c:majorTickMark val="out"/>
        <c:minorTickMark val="none"/>
        <c:tickLblPos val="nextTo"/>
        <c:crossAx val="504183190"/>
        <c:crosses val="autoZero"/>
        <c:auto val="1"/>
        <c:lblAlgn val="ctr"/>
        <c:lblOffset val="100"/>
        <c:noMultiLvlLbl val="0"/>
      </c:catAx>
      <c:valAx>
        <c:axId val="504183190"/>
        <c:scaling>
          <c:orientation val="minMax"/>
        </c:scaling>
        <c:delete val="0"/>
        <c:axPos val="r"/>
        <c:numFmt formatCode="0%" sourceLinked="1"/>
        <c:majorTickMark val="in"/>
        <c:minorTickMark val="none"/>
        <c:tickLblPos val="nextTo"/>
        <c:spPr>
          <a:noFill/>
          <a:ln>
            <a:solidFill>
              <a:schemeClr val="tx1">
                <a:lumMod val="15000"/>
                <a:lumOff val="85000"/>
              </a:schemeClr>
            </a:solidFill>
          </a:ln>
          <a:effectLst/>
        </c:spPr>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889299359"/>
        <c:crosses val="max"/>
        <c:crossBetween val="between"/>
      </c:valAx>
      <c:spPr>
        <a:noFill/>
        <a:ln>
          <a:noFill/>
        </a:ln>
        <a:effectLst/>
      </c:spPr>
    </c:plotArea>
    <c:legend>
      <c:legendPos val="b"/>
      <c:layout>
        <c:manualLayout>
          <c:xMode val="edge"/>
          <c:yMode val="edge"/>
          <c:x val="9.0555676996370696E-2"/>
          <c:y val="2.6910236220472401E-2"/>
          <c:w val="0.73981858292521496"/>
          <c:h val="0.1217188760495850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legend>
    <c:plotVisOnly val="1"/>
    <c:dispBlanksAs val="gap"/>
    <c:showDLblsOverMax val="0"/>
  </c:chart>
  <c:spPr>
    <a:noFill/>
    <a:ln w="9525" cap="flat" cmpd="sng" algn="ctr">
      <a:noFill/>
      <a:round/>
    </a:ln>
    <a:effectLst/>
  </c:spPr>
  <c:txPr>
    <a:bodyPr/>
    <a:lstStyle/>
    <a:p>
      <a:pPr>
        <a:defRPr lang="zh-CN"/>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79377836233905E-2"/>
          <c:y val="7.4324324324324301E-2"/>
          <c:w val="0.92442062216376597"/>
          <c:h val="0.79013353905086203"/>
        </c:manualLayout>
      </c:layout>
      <c:barChart>
        <c:barDir val="col"/>
        <c:grouping val="clustered"/>
        <c:varyColors val="0"/>
        <c:ser>
          <c:idx val="1"/>
          <c:order val="0"/>
          <c:tx>
            <c:strRef>
              <c:f>Sheet1!$A$17</c:f>
              <c:strCache>
                <c:ptCount val="1"/>
                <c:pt idx="0">
                  <c:v>Total Market Revenue</c:v>
                </c:pt>
              </c:strCache>
            </c:strRef>
          </c:tx>
          <c:spPr>
            <a:solidFill>
              <a:srgbClr val="00488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Calibri" panose="020F0502020204030204" pitchFamily="2" charset="0"/>
                    <a:ea typeface="+mn-ea"/>
                    <a:cs typeface="Calibri" panose="020F0502020204030204" pitchFamily="2" charset="0"/>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Sheet1!$B$16:$F$16</c:f>
              <c:numCache>
                <c:formatCode>General</c:formatCode>
                <c:ptCount val="5"/>
                <c:pt idx="0">
                  <c:v>2026</c:v>
                </c:pt>
                <c:pt idx="1">
                  <c:v>2027</c:v>
                </c:pt>
                <c:pt idx="2">
                  <c:v>2028</c:v>
                </c:pt>
                <c:pt idx="3">
                  <c:v>2029</c:v>
                </c:pt>
                <c:pt idx="4">
                  <c:v>2030</c:v>
                </c:pt>
              </c:numCache>
            </c:numRef>
          </c:cat>
          <c:val>
            <c:numRef>
              <c:f>Sheet1!$B$17:$F$17</c:f>
              <c:numCache>
                <c:formatCode>General</c:formatCode>
                <c:ptCount val="5"/>
                <c:pt idx="0">
                  <c:v>703.31</c:v>
                </c:pt>
                <c:pt idx="1">
                  <c:v>728.47</c:v>
                </c:pt>
                <c:pt idx="2">
                  <c:v>752.81</c:v>
                </c:pt>
                <c:pt idx="3">
                  <c:v>776.33</c:v>
                </c:pt>
                <c:pt idx="4">
                  <c:v>799.07</c:v>
                </c:pt>
              </c:numCache>
            </c:numRef>
          </c:val>
          <c:extLst>
            <c:ext xmlns:c16="http://schemas.microsoft.com/office/drawing/2014/chart" uri="{C3380CC4-5D6E-409C-BE32-E72D297353CC}">
              <c16:uniqueId val="{00000000-159E-4613-B03C-28D2E082F600}"/>
            </c:ext>
          </c:extLst>
        </c:ser>
        <c:dLbls>
          <c:showLegendKey val="0"/>
          <c:showVal val="1"/>
          <c:showCatName val="0"/>
          <c:showSerName val="0"/>
          <c:showPercent val="0"/>
          <c:showBubbleSize val="0"/>
        </c:dLbls>
        <c:gapWidth val="219"/>
        <c:overlap val="-27"/>
        <c:axId val="219881055"/>
        <c:axId val="219686927"/>
      </c:barChart>
      <c:catAx>
        <c:axId val="219881055"/>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219686927"/>
        <c:crosses val="autoZero"/>
        <c:auto val="1"/>
        <c:lblAlgn val="ctr"/>
        <c:lblOffset val="100"/>
        <c:noMultiLvlLbl val="0"/>
      </c:catAx>
      <c:valAx>
        <c:axId val="219686927"/>
        <c:scaling>
          <c:orientation val="minMax"/>
        </c:scaling>
        <c:delete val="0"/>
        <c:axPos val="l"/>
        <c:numFmt formatCode="General" sourceLinked="1"/>
        <c:majorTickMark val="in"/>
        <c:minorTickMark val="none"/>
        <c:tickLblPos val="nextTo"/>
        <c:spPr>
          <a:noFill/>
          <a:ln>
            <a:solidFill>
              <a:schemeClr val="bg2">
                <a:lumMod val="90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219881055"/>
        <c:crosses val="autoZero"/>
        <c:crossBetween val="between"/>
      </c:valAx>
      <c:spPr>
        <a:noFill/>
        <a:ln w="25400">
          <a:noFill/>
        </a:ln>
        <a:effectLst/>
      </c:spPr>
    </c:plotArea>
    <c:legend>
      <c:legendPos val="b"/>
      <c:layout>
        <c:manualLayout>
          <c:xMode val="edge"/>
          <c:yMode val="edge"/>
          <c:x val="0.27039749972465699"/>
          <c:y val="2.11470525643754E-2"/>
          <c:w val="0.44298768857014698"/>
          <c:h val="0.1139880825707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legend>
    <c:plotVisOnly val="1"/>
    <c:dispBlanksAs val="gap"/>
    <c:showDLblsOverMax val="0"/>
  </c:chart>
  <c:spPr>
    <a:noFill/>
    <a:ln w="9525" cap="flat" cmpd="sng" algn="ctr">
      <a:noFill/>
      <a:round/>
    </a:ln>
    <a:effectLst/>
  </c:spPr>
  <c:txPr>
    <a:bodyPr/>
    <a:lstStyle/>
    <a:p>
      <a:pPr>
        <a:defRPr lang="zh-CN"/>
      </a:pPr>
      <a:endParaRPr lang="zh-C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Sheet1!$A$31</c:f>
              <c:strCache>
                <c:ptCount val="1"/>
                <c:pt idx="0">
                  <c:v>Personal Care</c:v>
                </c:pt>
              </c:strCache>
            </c:strRef>
          </c:tx>
          <c:spPr>
            <a:solidFill>
              <a:srgbClr val="00488C"/>
            </a:solidFill>
            <a:ln>
              <a:noFill/>
            </a:ln>
            <a:effectLst/>
          </c:spPr>
          <c:invertIfNegative val="0"/>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Sheet1!$B$31:$I$31</c:f>
              <c:numCache>
                <c:formatCode>General</c:formatCode>
                <c:ptCount val="8"/>
                <c:pt idx="0">
                  <c:v>242.84</c:v>
                </c:pt>
                <c:pt idx="1">
                  <c:v>245.16</c:v>
                </c:pt>
                <c:pt idx="2">
                  <c:v>243.92</c:v>
                </c:pt>
                <c:pt idx="3">
                  <c:v>255.57</c:v>
                </c:pt>
                <c:pt idx="4">
                  <c:v>258.89</c:v>
                </c:pt>
                <c:pt idx="5">
                  <c:v>274.24</c:v>
                </c:pt>
                <c:pt idx="6">
                  <c:v>283.85000000000002</c:v>
                </c:pt>
                <c:pt idx="7">
                  <c:v>293.08</c:v>
                </c:pt>
              </c:numCache>
            </c:numRef>
          </c:val>
          <c:extLst>
            <c:ext xmlns:c16="http://schemas.microsoft.com/office/drawing/2014/chart" uri="{C3380CC4-5D6E-409C-BE32-E72D297353CC}">
              <c16:uniqueId val="{00000000-FFB9-4B06-B1F8-782D0DAC80A8}"/>
            </c:ext>
          </c:extLst>
        </c:ser>
        <c:ser>
          <c:idx val="1"/>
          <c:order val="1"/>
          <c:tx>
            <c:strRef>
              <c:f>Sheet1!$A$32</c:f>
              <c:strCache>
                <c:ptCount val="1"/>
                <c:pt idx="0">
                  <c:v>Skin Care</c:v>
                </c:pt>
              </c:strCache>
            </c:strRef>
          </c:tx>
          <c:spPr>
            <a:solidFill>
              <a:schemeClr val="tx2">
                <a:lumMod val="50000"/>
                <a:lumOff val="50000"/>
              </a:schemeClr>
            </a:solidFill>
            <a:ln>
              <a:noFill/>
            </a:ln>
            <a:effectLst/>
          </c:spPr>
          <c:invertIfNegative val="0"/>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Sheet1!$B$32:$I$32</c:f>
              <c:numCache>
                <c:formatCode>General</c:formatCode>
                <c:ptCount val="8"/>
                <c:pt idx="0">
                  <c:v>160.04</c:v>
                </c:pt>
                <c:pt idx="1">
                  <c:v>163.79</c:v>
                </c:pt>
                <c:pt idx="2">
                  <c:v>158.44999999999999</c:v>
                </c:pt>
                <c:pt idx="3">
                  <c:v>164.36</c:v>
                </c:pt>
                <c:pt idx="4">
                  <c:v>168.62</c:v>
                </c:pt>
                <c:pt idx="5">
                  <c:v>182.81</c:v>
                </c:pt>
                <c:pt idx="6">
                  <c:v>190.27</c:v>
                </c:pt>
                <c:pt idx="7">
                  <c:v>198.35</c:v>
                </c:pt>
              </c:numCache>
            </c:numRef>
          </c:val>
          <c:extLst>
            <c:ext xmlns:c16="http://schemas.microsoft.com/office/drawing/2014/chart" uri="{C3380CC4-5D6E-409C-BE32-E72D297353CC}">
              <c16:uniqueId val="{00000001-FFB9-4B06-B1F8-782D0DAC80A8}"/>
            </c:ext>
          </c:extLst>
        </c:ser>
        <c:ser>
          <c:idx val="2"/>
          <c:order val="2"/>
          <c:tx>
            <c:strRef>
              <c:f>Sheet1!$A$33</c:f>
              <c:strCache>
                <c:ptCount val="1"/>
                <c:pt idx="0">
                  <c:v>Cosmetics</c:v>
                </c:pt>
              </c:strCache>
            </c:strRef>
          </c:tx>
          <c:spPr>
            <a:solidFill>
              <a:schemeClr val="bg1">
                <a:lumMod val="85000"/>
              </a:schemeClr>
            </a:solidFill>
            <a:ln>
              <a:noFill/>
            </a:ln>
            <a:effectLst/>
          </c:spPr>
          <c:invertIfNegative val="0"/>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Sheet1!$B$33:$I$33</c:f>
              <c:numCache>
                <c:formatCode>General</c:formatCode>
                <c:ptCount val="8"/>
                <c:pt idx="0">
                  <c:v>87.59</c:v>
                </c:pt>
                <c:pt idx="1">
                  <c:v>89.89</c:v>
                </c:pt>
                <c:pt idx="2">
                  <c:v>72.37</c:v>
                </c:pt>
                <c:pt idx="3">
                  <c:v>80.739999999999995</c:v>
                </c:pt>
                <c:pt idx="4">
                  <c:v>93.06</c:v>
                </c:pt>
                <c:pt idx="5">
                  <c:v>103.74</c:v>
                </c:pt>
                <c:pt idx="6">
                  <c:v>108.97</c:v>
                </c:pt>
                <c:pt idx="7">
                  <c:v>114.69</c:v>
                </c:pt>
              </c:numCache>
            </c:numRef>
          </c:val>
          <c:extLst>
            <c:ext xmlns:c16="http://schemas.microsoft.com/office/drawing/2014/chart" uri="{C3380CC4-5D6E-409C-BE32-E72D297353CC}">
              <c16:uniqueId val="{00000002-FFB9-4B06-B1F8-782D0DAC80A8}"/>
            </c:ext>
          </c:extLst>
        </c:ser>
        <c:ser>
          <c:idx val="3"/>
          <c:order val="3"/>
          <c:tx>
            <c:strRef>
              <c:f>Sheet1!$A$34</c:f>
              <c:strCache>
                <c:ptCount val="1"/>
                <c:pt idx="0">
                  <c:v>Fragrances</c:v>
                </c:pt>
              </c:strCache>
            </c:strRef>
          </c:tx>
          <c:spPr>
            <a:solidFill>
              <a:schemeClr val="accent1">
                <a:lumMod val="20000"/>
                <a:lumOff val="80000"/>
              </a:schemeClr>
            </a:solidFill>
            <a:ln>
              <a:noFill/>
            </a:ln>
            <a:effectLst/>
          </c:spPr>
          <c:invertIfNegative val="0"/>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Sheet1!$B$34:$I$34</c:f>
              <c:numCache>
                <c:formatCode>General</c:formatCode>
                <c:ptCount val="8"/>
                <c:pt idx="0">
                  <c:v>53.08</c:v>
                </c:pt>
                <c:pt idx="1">
                  <c:v>53.28</c:v>
                </c:pt>
                <c:pt idx="2">
                  <c:v>46.54</c:v>
                </c:pt>
                <c:pt idx="3">
                  <c:v>50.58</c:v>
                </c:pt>
                <c:pt idx="4">
                  <c:v>53.44</c:v>
                </c:pt>
                <c:pt idx="5">
                  <c:v>57.91</c:v>
                </c:pt>
                <c:pt idx="6">
                  <c:v>59.88</c:v>
                </c:pt>
                <c:pt idx="7">
                  <c:v>62.11</c:v>
                </c:pt>
              </c:numCache>
            </c:numRef>
          </c:val>
          <c:extLst>
            <c:ext xmlns:c16="http://schemas.microsoft.com/office/drawing/2014/chart" uri="{C3380CC4-5D6E-409C-BE32-E72D297353CC}">
              <c16:uniqueId val="{00000003-FFB9-4B06-B1F8-782D0DAC80A8}"/>
            </c:ext>
          </c:extLst>
        </c:ser>
        <c:ser>
          <c:idx val="4"/>
          <c:order val="4"/>
          <c:tx>
            <c:strRef>
              <c:f>Sheet1!$A$35</c:f>
              <c:strCache>
                <c:ptCount val="1"/>
                <c:pt idx="0">
                  <c:v>Beauty Tech</c:v>
                </c:pt>
              </c:strCache>
            </c:strRef>
          </c:tx>
          <c:spPr>
            <a:solidFill>
              <a:schemeClr val="accent2"/>
            </a:solidFill>
            <a:ln>
              <a:noFill/>
            </a:ln>
            <a:effectLst>
              <a:outerShdw blurRad="50800" dist="50800" dir="5400000" algn="ctr" rotWithShape="0">
                <a:schemeClr val="accent2">
                  <a:lumMod val="20000"/>
                  <a:lumOff val="80000"/>
                </a:schemeClr>
              </a:outerShdw>
            </a:effectLst>
          </c:spPr>
          <c:invertIfNegative val="0"/>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Sheet1!$B$35:$I$35</c:f>
              <c:numCache>
                <c:formatCode>General</c:formatCode>
                <c:ptCount val="8"/>
                <c:pt idx="0">
                  <c:v>6.92</c:v>
                </c:pt>
                <c:pt idx="1">
                  <c:v>7.23</c:v>
                </c:pt>
                <c:pt idx="2">
                  <c:v>9.51</c:v>
                </c:pt>
                <c:pt idx="3">
                  <c:v>8.4600000000000009</c:v>
                </c:pt>
                <c:pt idx="4">
                  <c:v>7.89</c:v>
                </c:pt>
                <c:pt idx="5">
                  <c:v>8.23</c:v>
                </c:pt>
                <c:pt idx="6">
                  <c:v>8.56</c:v>
                </c:pt>
                <c:pt idx="7">
                  <c:v>8.9600000000000009</c:v>
                </c:pt>
              </c:numCache>
            </c:numRef>
          </c:val>
          <c:extLst>
            <c:ext xmlns:c16="http://schemas.microsoft.com/office/drawing/2014/chart" uri="{C3380CC4-5D6E-409C-BE32-E72D297353CC}">
              <c16:uniqueId val="{00000004-FFB9-4B06-B1F8-782D0DAC80A8}"/>
            </c:ext>
          </c:extLst>
        </c:ser>
        <c:dLbls>
          <c:showLegendKey val="0"/>
          <c:showVal val="0"/>
          <c:showCatName val="0"/>
          <c:showSerName val="0"/>
          <c:showPercent val="0"/>
          <c:showBubbleSize val="0"/>
        </c:dLbls>
        <c:gapWidth val="150"/>
        <c:overlap val="100"/>
        <c:axId val="712547071"/>
        <c:axId val="712548783"/>
      </c:barChart>
      <c:catAx>
        <c:axId val="712547071"/>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712548783"/>
        <c:crosses val="autoZero"/>
        <c:auto val="1"/>
        <c:lblAlgn val="ctr"/>
        <c:lblOffset val="100"/>
        <c:noMultiLvlLbl val="0"/>
      </c:catAx>
      <c:valAx>
        <c:axId val="712548783"/>
        <c:scaling>
          <c:orientation val="minMax"/>
        </c:scaling>
        <c:delete val="0"/>
        <c:axPos val="l"/>
        <c:numFmt formatCode="General" sourceLinked="1"/>
        <c:majorTickMark val="in"/>
        <c:minorTickMark val="none"/>
        <c:tickLblPos val="nextTo"/>
        <c:spPr>
          <a:noFill/>
          <a:ln>
            <a:solidFill>
              <a:schemeClr val="tx1">
                <a:lumMod val="15000"/>
                <a:lumOff val="8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712547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w="19050">
              <a:noFill/>
            </a:ln>
          </c:spPr>
          <c:dPt>
            <c:idx val="0"/>
            <c:bubble3D val="0"/>
            <c:spPr>
              <a:solidFill>
                <a:srgbClr val="00488C"/>
              </a:solidFill>
              <a:ln w="19050">
                <a:noFill/>
              </a:ln>
              <a:effectLst/>
            </c:spPr>
            <c:extLst>
              <c:ext xmlns:c16="http://schemas.microsoft.com/office/drawing/2014/chart" uri="{C3380CC4-5D6E-409C-BE32-E72D297353CC}">
                <c16:uniqueId val="{00000001-47A0-49FA-B078-5B444186C61C}"/>
              </c:ext>
            </c:extLst>
          </c:dPt>
          <c:dPt>
            <c:idx val="1"/>
            <c:bubble3D val="0"/>
            <c:spPr>
              <a:solidFill>
                <a:schemeClr val="tx2">
                  <a:lumMod val="50000"/>
                  <a:lumOff val="50000"/>
                </a:schemeClr>
              </a:solidFill>
              <a:ln w="19050">
                <a:noFill/>
              </a:ln>
              <a:effectLst/>
            </c:spPr>
            <c:extLst>
              <c:ext xmlns:c16="http://schemas.microsoft.com/office/drawing/2014/chart" uri="{C3380CC4-5D6E-409C-BE32-E72D297353CC}">
                <c16:uniqueId val="{00000003-47A0-49FA-B078-5B444186C61C}"/>
              </c:ext>
            </c:extLst>
          </c:dPt>
          <c:dPt>
            <c:idx val="2"/>
            <c:bubble3D val="0"/>
            <c:spPr>
              <a:solidFill>
                <a:schemeClr val="bg1">
                  <a:lumMod val="85000"/>
                </a:schemeClr>
              </a:solidFill>
              <a:ln w="19050">
                <a:noFill/>
              </a:ln>
              <a:effectLst/>
            </c:spPr>
            <c:extLst>
              <c:ext xmlns:c16="http://schemas.microsoft.com/office/drawing/2014/chart" uri="{C3380CC4-5D6E-409C-BE32-E72D297353CC}">
                <c16:uniqueId val="{00000005-47A0-49FA-B078-5B444186C61C}"/>
              </c:ext>
            </c:extLst>
          </c:dPt>
          <c:dPt>
            <c:idx val="3"/>
            <c:bubble3D val="0"/>
            <c:spPr>
              <a:solidFill>
                <a:schemeClr val="tx2">
                  <a:lumMod val="25000"/>
                  <a:lumOff val="75000"/>
                </a:schemeClr>
              </a:solidFill>
              <a:ln w="19050">
                <a:noFill/>
              </a:ln>
              <a:effectLst/>
            </c:spPr>
            <c:extLst>
              <c:ext xmlns:c16="http://schemas.microsoft.com/office/drawing/2014/chart" uri="{C3380CC4-5D6E-409C-BE32-E72D297353CC}">
                <c16:uniqueId val="{00000007-47A0-49FA-B078-5B444186C61C}"/>
              </c:ext>
            </c:extLst>
          </c:dPt>
          <c:dPt>
            <c:idx val="4"/>
            <c:bubble3D val="0"/>
            <c:spPr>
              <a:solidFill>
                <a:schemeClr val="accent2"/>
              </a:solidFill>
              <a:ln w="19050">
                <a:noFill/>
              </a:ln>
              <a:effectLst/>
            </c:spPr>
            <c:extLst>
              <c:ext xmlns:c16="http://schemas.microsoft.com/office/drawing/2014/chart" uri="{C3380CC4-5D6E-409C-BE32-E72D297353CC}">
                <c16:uniqueId val="{00000009-47A0-49FA-B078-5B444186C61C}"/>
              </c:ext>
            </c:extLst>
          </c:dPt>
          <c:cat>
            <c:strRef>
              <c:f>Sheet1!$A$48:$A$52</c:f>
              <c:strCache>
                <c:ptCount val="5"/>
                <c:pt idx="0">
                  <c:v>Personal Care</c:v>
                </c:pt>
                <c:pt idx="1">
                  <c:v>Skin Care</c:v>
                </c:pt>
                <c:pt idx="2">
                  <c:v>Cosmetics</c:v>
                </c:pt>
                <c:pt idx="3">
                  <c:v>Fragrances</c:v>
                </c:pt>
                <c:pt idx="4">
                  <c:v>Beauty Tech</c:v>
                </c:pt>
              </c:strCache>
            </c:strRef>
          </c:cat>
          <c:val>
            <c:numRef>
              <c:f>Sheet1!$E$48:$E$52</c:f>
              <c:numCache>
                <c:formatCode>0.00%</c:formatCode>
                <c:ptCount val="5"/>
                <c:pt idx="0">
                  <c:v>0.40660000000000002</c:v>
                </c:pt>
                <c:pt idx="1">
                  <c:v>0.29320000000000002</c:v>
                </c:pt>
                <c:pt idx="2">
                  <c:v>0.2104</c:v>
                </c:pt>
                <c:pt idx="3">
                  <c:v>7.4899999999999994E-2</c:v>
                </c:pt>
                <c:pt idx="4">
                  <c:v>1.47E-2</c:v>
                </c:pt>
              </c:numCache>
            </c:numRef>
          </c:val>
          <c:extLst>
            <c:ext xmlns:c16="http://schemas.microsoft.com/office/drawing/2014/chart" uri="{C3380CC4-5D6E-409C-BE32-E72D297353CC}">
              <c16:uniqueId val="{0000000A-47A0-49FA-B078-5B444186C61C}"/>
            </c:ext>
          </c:extLst>
        </c:ser>
        <c:dLbls>
          <c:showLegendKey val="0"/>
          <c:showVal val="0"/>
          <c:showCatName val="0"/>
          <c:showSerName val="0"/>
          <c:showPercent val="0"/>
          <c:showBubbleSize val="0"/>
          <c:showLeaderLines val="1"/>
        </c:dLbls>
        <c:firstSliceAng val="0"/>
      </c:pieChart>
      <c:spPr>
        <a:noFill/>
        <a:ln>
          <a:noFill/>
        </a:ln>
        <a:effectLst/>
      </c:spPr>
    </c:plotArea>
    <c:legend>
      <c:legendPos val="l"/>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9817793485072601E-2"/>
          <c:y val="2.3948401570386999E-2"/>
          <c:w val="0.91311128068926395"/>
          <c:h val="0.77580561824051297"/>
        </c:manualLayout>
      </c:layout>
      <c:barChart>
        <c:barDir val="col"/>
        <c:grouping val="clustered"/>
        <c:varyColors val="0"/>
        <c:ser>
          <c:idx val="0"/>
          <c:order val="0"/>
          <c:tx>
            <c:strRef>
              <c:f>Sheet1!$B$208</c:f>
              <c:strCache>
                <c:ptCount val="1"/>
                <c:pt idx="0">
                  <c:v>% of Respondents</c:v>
                </c:pt>
              </c:strCache>
            </c:strRef>
          </c:tx>
          <c:spPr>
            <a:solidFill>
              <a:srgbClr val="00488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Calibri" panose="020F0502020204030204" pitchFamily="34" charset="0"/>
                    <a:ea typeface="+mn-ea"/>
                    <a:cs typeface="Calibri" panose="020F0502020204030204" pitchFamily="34" charset="0"/>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Sheet1!$A$209:$A$217</c:f>
              <c:strCache>
                <c:ptCount val="9"/>
                <c:pt idx="0">
                  <c:v>Low price</c:v>
                </c:pt>
                <c:pt idx="1">
                  <c:v>Products for specific skin or hair needs</c:v>
                </c:pt>
                <c:pt idx="2">
                  <c:v>Beneficial ingredients</c:v>
                </c:pt>
                <c:pt idx="3">
                  <c:v>Efficacy</c:v>
                </c:pt>
                <c:pt idx="4">
                  <c:v>Natural / organic offerings</c:v>
                </c:pt>
                <c:pt idx="5">
                  <c:v>Range of fun and exciting scents</c:v>
                </c:pt>
                <c:pt idx="6">
                  <c:v>Ability to buy in bulk / large sizes</c:v>
                </c:pt>
                <c:pt idx="7">
                  <c:v>Sensory experience</c:v>
                </c:pt>
                <c:pt idx="8">
                  <c:v>Newness and variety</c:v>
                </c:pt>
              </c:strCache>
            </c:strRef>
          </c:cat>
          <c:val>
            <c:numRef>
              <c:f>Sheet1!$B$209:$B$217</c:f>
              <c:numCache>
                <c:formatCode>0%</c:formatCode>
                <c:ptCount val="9"/>
                <c:pt idx="0">
                  <c:v>0.56000000000000005</c:v>
                </c:pt>
                <c:pt idx="1">
                  <c:v>0.5</c:v>
                </c:pt>
                <c:pt idx="2">
                  <c:v>0.35</c:v>
                </c:pt>
                <c:pt idx="3">
                  <c:v>0.22</c:v>
                </c:pt>
                <c:pt idx="4">
                  <c:v>0.22</c:v>
                </c:pt>
                <c:pt idx="5">
                  <c:v>0.17</c:v>
                </c:pt>
                <c:pt idx="6">
                  <c:v>0.16</c:v>
                </c:pt>
                <c:pt idx="7">
                  <c:v>0.13</c:v>
                </c:pt>
                <c:pt idx="8">
                  <c:v>0.1</c:v>
                </c:pt>
              </c:numCache>
            </c:numRef>
          </c:val>
          <c:extLst>
            <c:ext xmlns:c16="http://schemas.microsoft.com/office/drawing/2014/chart" uri="{C3380CC4-5D6E-409C-BE32-E72D297353CC}">
              <c16:uniqueId val="{00000000-68D1-4E1A-A1F5-1690E801E499}"/>
            </c:ext>
          </c:extLst>
        </c:ser>
        <c:dLbls>
          <c:showLegendKey val="0"/>
          <c:showVal val="1"/>
          <c:showCatName val="0"/>
          <c:showSerName val="0"/>
          <c:showPercent val="0"/>
          <c:showBubbleSize val="0"/>
        </c:dLbls>
        <c:gapWidth val="219"/>
        <c:overlap val="-27"/>
        <c:axId val="587430991"/>
        <c:axId val="587432703"/>
      </c:barChart>
      <c:catAx>
        <c:axId val="5874309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0"/>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crossAx val="587432703"/>
        <c:crosses val="autoZero"/>
        <c:auto val="1"/>
        <c:lblAlgn val="ctr"/>
        <c:lblOffset val="100"/>
        <c:noMultiLvlLbl val="0"/>
      </c:catAx>
      <c:valAx>
        <c:axId val="587432703"/>
        <c:scaling>
          <c:orientation val="minMax"/>
        </c:scaling>
        <c:delete val="0"/>
        <c:axPos val="l"/>
        <c:numFmt formatCode="0%" sourceLinked="1"/>
        <c:majorTickMark val="in"/>
        <c:minorTickMark val="none"/>
        <c:tickLblPos val="nextTo"/>
        <c:spPr>
          <a:noFill/>
          <a:ln>
            <a:solidFill>
              <a:schemeClr val="bg2">
                <a:lumMod val="90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zh-CN"/>
          </a:p>
        </c:txPr>
        <c:crossAx val="587430991"/>
        <c:crosses val="autoZero"/>
        <c:crossBetween val="between"/>
      </c:valAx>
      <c:spPr>
        <a:noFill/>
        <a:ln>
          <a:noFill/>
        </a:ln>
        <a:effectLst/>
      </c:spPr>
    </c:plotArea>
    <c:legend>
      <c:legendPos val="b"/>
      <c:layout>
        <c:manualLayout>
          <c:xMode val="edge"/>
          <c:yMode val="edge"/>
          <c:x val="0.729384317620828"/>
          <c:y val="3.0452965673177599E-2"/>
          <c:w val="0.24507522306869201"/>
          <c:h val="9.4617140888796594E-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00488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Calibri" panose="020F0502020204030204" pitchFamily="2" charset="0"/>
                    <a:ea typeface="+mn-ea"/>
                    <a:cs typeface="Calibri" panose="020F0502020204030204" pitchFamily="2" charset="0"/>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Sheet1!$A$64:$A$68</c:f>
              <c:strCache>
                <c:ptCount val="5"/>
                <c:pt idx="0">
                  <c:v>Mass market</c:v>
                </c:pt>
                <c:pt idx="1">
                  <c:v>Masstige</c:v>
                </c:pt>
                <c:pt idx="2">
                  <c:v>Entry prestige</c:v>
                </c:pt>
                <c:pt idx="3">
                  <c:v>Prestige </c:v>
                </c:pt>
                <c:pt idx="4">
                  <c:v>Luxury</c:v>
                </c:pt>
              </c:strCache>
            </c:strRef>
          </c:cat>
          <c:val>
            <c:numRef>
              <c:f>Sheet1!$B$64:$B$68</c:f>
              <c:numCache>
                <c:formatCode>0%</c:formatCode>
                <c:ptCount val="5"/>
                <c:pt idx="0">
                  <c:v>0.05</c:v>
                </c:pt>
                <c:pt idx="1">
                  <c:v>0.06</c:v>
                </c:pt>
                <c:pt idx="2">
                  <c:v>0.06</c:v>
                </c:pt>
                <c:pt idx="3">
                  <c:v>7.0000000000000007E-2</c:v>
                </c:pt>
                <c:pt idx="4">
                  <c:v>0.09</c:v>
                </c:pt>
              </c:numCache>
            </c:numRef>
          </c:val>
          <c:extLst>
            <c:ext xmlns:c16="http://schemas.microsoft.com/office/drawing/2014/chart" uri="{C3380CC4-5D6E-409C-BE32-E72D297353CC}">
              <c16:uniqueId val="{00000000-5F7D-4331-8D57-50D074E5541B}"/>
            </c:ext>
          </c:extLst>
        </c:ser>
        <c:dLbls>
          <c:showLegendKey val="0"/>
          <c:showVal val="0"/>
          <c:showCatName val="0"/>
          <c:showSerName val="0"/>
          <c:showPercent val="0"/>
          <c:showBubbleSize val="0"/>
        </c:dLbls>
        <c:gapWidth val="219"/>
        <c:overlap val="-27"/>
        <c:axId val="429507919"/>
        <c:axId val="611577823"/>
      </c:barChart>
      <c:catAx>
        <c:axId val="429507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crossAx val="611577823"/>
        <c:crosses val="autoZero"/>
        <c:auto val="1"/>
        <c:lblAlgn val="ctr"/>
        <c:lblOffset val="100"/>
        <c:noMultiLvlLbl val="0"/>
      </c:catAx>
      <c:valAx>
        <c:axId val="611577823"/>
        <c:scaling>
          <c:orientation val="minMax"/>
        </c:scaling>
        <c:delete val="0"/>
        <c:axPos val="l"/>
        <c:numFmt formatCode="0%" sourceLinked="1"/>
        <c:majorTickMark val="in"/>
        <c:minorTickMark val="none"/>
        <c:tickLblPos val="nextTo"/>
        <c:spPr>
          <a:noFill/>
          <a:ln>
            <a:solidFill>
              <a:schemeClr val="bg2">
                <a:lumMod val="90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zh-CN"/>
          </a:p>
        </c:txPr>
        <c:crossAx val="42950791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Sheet1!$C$233</c:f>
              <c:strCache>
                <c:ptCount val="1"/>
                <c:pt idx="0">
                  <c:v>Global Market Share (2024)</c:v>
                </c:pt>
              </c:strCache>
            </c:strRef>
          </c:tx>
          <c:spPr>
            <a:ln w="19050">
              <a:noFill/>
            </a:ln>
          </c:spPr>
          <c:dPt>
            <c:idx val="0"/>
            <c:bubble3D val="0"/>
            <c:spPr>
              <a:solidFill>
                <a:schemeClr val="accent1">
                  <a:lumMod val="90000"/>
                </a:schemeClr>
              </a:solidFill>
              <a:ln w="19050">
                <a:noFill/>
              </a:ln>
              <a:effectLst/>
            </c:spPr>
            <c:extLst>
              <c:ext xmlns:c16="http://schemas.microsoft.com/office/drawing/2014/chart" uri="{C3380CC4-5D6E-409C-BE32-E72D297353CC}">
                <c16:uniqueId val="{00000001-177A-4AF2-B5E2-1BD262A1A6E0}"/>
              </c:ext>
            </c:extLst>
          </c:dPt>
          <c:dPt>
            <c:idx val="1"/>
            <c:bubble3D val="0"/>
            <c:spPr>
              <a:solidFill>
                <a:schemeClr val="bg1">
                  <a:lumMod val="75000"/>
                </a:schemeClr>
              </a:solidFill>
              <a:ln w="19050">
                <a:noFill/>
              </a:ln>
              <a:effectLst/>
            </c:spPr>
            <c:extLst>
              <c:ext xmlns:c16="http://schemas.microsoft.com/office/drawing/2014/chart" uri="{C3380CC4-5D6E-409C-BE32-E72D297353CC}">
                <c16:uniqueId val="{00000003-177A-4AF2-B5E2-1BD262A1A6E0}"/>
              </c:ext>
            </c:extLst>
          </c:dPt>
          <c:dPt>
            <c:idx val="2"/>
            <c:bubble3D val="0"/>
            <c:spPr>
              <a:solidFill>
                <a:schemeClr val="bg1">
                  <a:lumMod val="85000"/>
                </a:schemeClr>
              </a:solidFill>
              <a:ln w="19050">
                <a:noFill/>
              </a:ln>
              <a:effectLst/>
            </c:spPr>
            <c:extLst>
              <c:ext xmlns:c16="http://schemas.microsoft.com/office/drawing/2014/chart" uri="{C3380CC4-5D6E-409C-BE32-E72D297353CC}">
                <c16:uniqueId val="{00000005-177A-4AF2-B5E2-1BD262A1A6E0}"/>
              </c:ext>
            </c:extLst>
          </c:dPt>
          <c:dPt>
            <c:idx val="3"/>
            <c:bubble3D val="0"/>
            <c:spPr>
              <a:solidFill>
                <a:schemeClr val="accent1"/>
              </a:solidFill>
              <a:ln w="19050">
                <a:noFill/>
              </a:ln>
              <a:effectLst/>
            </c:spPr>
            <c:extLst>
              <c:ext xmlns:c16="http://schemas.microsoft.com/office/drawing/2014/chart" uri="{C3380CC4-5D6E-409C-BE32-E72D297353CC}">
                <c16:uniqueId val="{00000007-177A-4AF2-B5E2-1BD262A1A6E0}"/>
              </c:ext>
            </c:extLst>
          </c:dPt>
          <c:dPt>
            <c:idx val="4"/>
            <c:bubble3D val="0"/>
            <c:spPr>
              <a:solidFill>
                <a:schemeClr val="accent4">
                  <a:lumMod val="40000"/>
                  <a:lumOff val="60000"/>
                </a:schemeClr>
              </a:solidFill>
              <a:ln w="19050">
                <a:noFill/>
              </a:ln>
              <a:effectLst/>
            </c:spPr>
            <c:extLst>
              <c:ext xmlns:c16="http://schemas.microsoft.com/office/drawing/2014/chart" uri="{C3380CC4-5D6E-409C-BE32-E72D297353CC}">
                <c16:uniqueId val="{00000009-177A-4AF2-B5E2-1BD262A1A6E0}"/>
              </c:ext>
            </c:extLst>
          </c:dPt>
          <c:dPt>
            <c:idx val="5"/>
            <c:bubble3D val="0"/>
            <c:spPr>
              <a:solidFill>
                <a:schemeClr val="accent5">
                  <a:lumMod val="20000"/>
                  <a:lumOff val="80000"/>
                </a:schemeClr>
              </a:solidFill>
              <a:ln w="19050">
                <a:noFill/>
              </a:ln>
              <a:effectLst/>
            </c:spPr>
            <c:extLst>
              <c:ext xmlns:c16="http://schemas.microsoft.com/office/drawing/2014/chart" uri="{C3380CC4-5D6E-409C-BE32-E72D297353CC}">
                <c16:uniqueId val="{0000000B-177A-4AF2-B5E2-1BD262A1A6E0}"/>
              </c:ext>
            </c:extLst>
          </c:dPt>
          <c:dPt>
            <c:idx val="6"/>
            <c:bubble3D val="0"/>
            <c:spPr>
              <a:solidFill>
                <a:schemeClr val="accent1">
                  <a:lumMod val="60000"/>
                </a:schemeClr>
              </a:solidFill>
              <a:ln w="19050">
                <a:noFill/>
              </a:ln>
              <a:effectLst/>
            </c:spPr>
            <c:extLst>
              <c:ext xmlns:c16="http://schemas.microsoft.com/office/drawing/2014/chart" uri="{C3380CC4-5D6E-409C-BE32-E72D297353CC}">
                <c16:uniqueId val="{0000000D-177A-4AF2-B5E2-1BD262A1A6E0}"/>
              </c:ext>
            </c:extLst>
          </c:dPt>
          <c:dPt>
            <c:idx val="7"/>
            <c:bubble3D val="0"/>
            <c:spPr>
              <a:solidFill>
                <a:schemeClr val="accent2">
                  <a:lumMod val="40000"/>
                  <a:lumOff val="60000"/>
                </a:schemeClr>
              </a:solidFill>
              <a:ln w="19050">
                <a:noFill/>
              </a:ln>
              <a:effectLst/>
            </c:spPr>
            <c:extLst>
              <c:ext xmlns:c16="http://schemas.microsoft.com/office/drawing/2014/chart" uri="{C3380CC4-5D6E-409C-BE32-E72D297353CC}">
                <c16:uniqueId val="{0000000F-177A-4AF2-B5E2-1BD262A1A6E0}"/>
              </c:ext>
            </c:extLst>
          </c:dPt>
          <c:dPt>
            <c:idx val="8"/>
            <c:bubble3D val="0"/>
            <c:spPr>
              <a:solidFill>
                <a:schemeClr val="accent3">
                  <a:lumMod val="40000"/>
                  <a:lumOff val="60000"/>
                </a:schemeClr>
              </a:solidFill>
              <a:ln w="19050">
                <a:noFill/>
              </a:ln>
              <a:effectLst/>
            </c:spPr>
            <c:extLst>
              <c:ext xmlns:c16="http://schemas.microsoft.com/office/drawing/2014/chart" uri="{C3380CC4-5D6E-409C-BE32-E72D297353CC}">
                <c16:uniqueId val="{00000011-177A-4AF2-B5E2-1BD262A1A6E0}"/>
              </c:ext>
            </c:extLst>
          </c:dPt>
          <c:dPt>
            <c:idx val="9"/>
            <c:bubble3D val="0"/>
            <c:spPr>
              <a:solidFill>
                <a:schemeClr val="accent1"/>
              </a:solidFill>
              <a:ln w="19050">
                <a:noFill/>
              </a:ln>
              <a:effectLst/>
            </c:spPr>
            <c:extLst>
              <c:ext xmlns:c16="http://schemas.microsoft.com/office/drawing/2014/chart" uri="{C3380CC4-5D6E-409C-BE32-E72D297353CC}">
                <c16:uniqueId val="{00000013-177A-4AF2-B5E2-1BD262A1A6E0}"/>
              </c:ext>
            </c:extLst>
          </c:dPt>
          <c:dPt>
            <c:idx val="10"/>
            <c:bubble3D val="0"/>
            <c:spPr>
              <a:solidFill>
                <a:srgbClr val="00488C"/>
              </a:solidFill>
              <a:ln w="19050">
                <a:noFill/>
              </a:ln>
              <a:effectLst/>
            </c:spPr>
            <c:extLst>
              <c:ext xmlns:c16="http://schemas.microsoft.com/office/drawing/2014/chart" uri="{C3380CC4-5D6E-409C-BE32-E72D297353CC}">
                <c16:uniqueId val="{00000015-177A-4AF2-B5E2-1BD262A1A6E0}"/>
              </c:ext>
            </c:extLst>
          </c:dPt>
          <c:cat>
            <c:strRef>
              <c:f>Sheet1!$B$234:$B$244</c:f>
              <c:strCache>
                <c:ptCount val="11"/>
                <c:pt idx="0">
                  <c:v>L'Oréal Group</c:v>
                </c:pt>
                <c:pt idx="1">
                  <c:v>Unilever</c:v>
                </c:pt>
                <c:pt idx="2">
                  <c:v>The Estée Lauder Companies</c:v>
                </c:pt>
                <c:pt idx="3">
                  <c:v>Procter &amp; Gamble (P&amp;G)</c:v>
                </c:pt>
                <c:pt idx="4">
                  <c:v>LVMH Group</c:v>
                </c:pt>
                <c:pt idx="5">
                  <c:v>Chanel</c:v>
                </c:pt>
                <c:pt idx="6">
                  <c:v>Beiersdorf</c:v>
                </c:pt>
                <c:pt idx="7">
                  <c:v>Shiseido Group</c:v>
                </c:pt>
                <c:pt idx="8">
                  <c:v>Coty Inc.</c:v>
                </c:pt>
                <c:pt idx="9">
                  <c:v>Puig Group</c:v>
                </c:pt>
                <c:pt idx="10">
                  <c:v>Others</c:v>
                </c:pt>
              </c:strCache>
            </c:strRef>
          </c:cat>
          <c:val>
            <c:numRef>
              <c:f>Sheet1!$C$234:$C$244</c:f>
              <c:numCache>
                <c:formatCode>0.00%</c:formatCode>
                <c:ptCount val="11"/>
                <c:pt idx="0">
                  <c:v>0.18</c:v>
                </c:pt>
                <c:pt idx="1">
                  <c:v>0.1</c:v>
                </c:pt>
                <c:pt idx="2">
                  <c:v>6.2E-2</c:v>
                </c:pt>
                <c:pt idx="3">
                  <c:v>6.0999999999999999E-2</c:v>
                </c:pt>
                <c:pt idx="4">
                  <c:v>3.5999999999999997E-2</c:v>
                </c:pt>
                <c:pt idx="5">
                  <c:v>0.03</c:v>
                </c:pt>
                <c:pt idx="6">
                  <c:v>2.9000000000000001E-2</c:v>
                </c:pt>
                <c:pt idx="7">
                  <c:v>2.5999999999999999E-2</c:v>
                </c:pt>
                <c:pt idx="8">
                  <c:v>2.3E-2</c:v>
                </c:pt>
                <c:pt idx="9">
                  <c:v>2.1000000000000001E-2</c:v>
                </c:pt>
                <c:pt idx="10" formatCode="0.000%">
                  <c:v>0.432</c:v>
                </c:pt>
              </c:numCache>
            </c:numRef>
          </c:val>
          <c:extLst>
            <c:ext xmlns:c16="http://schemas.microsoft.com/office/drawing/2014/chart" uri="{C3380CC4-5D6E-409C-BE32-E72D297353CC}">
              <c16:uniqueId val="{00000016-177A-4AF2-B5E2-1BD262A1A6E0}"/>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8"/>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9"/>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egendEntry>
        <c:idx val="1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Entry>
      <c:layout>
        <c:manualLayout>
          <c:xMode val="edge"/>
          <c:yMode val="edge"/>
          <c:x val="1.6007168069508498E-2"/>
          <c:y val="0.73538109219246428"/>
          <c:w val="0.92660613630192801"/>
          <c:h val="0.2359176401682150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研发费率!$D$5</c:f>
              <c:strCache>
                <c:ptCount val="1"/>
                <c:pt idx="0">
                  <c:v>R&amp;D (EUR Bn)</c:v>
                </c:pt>
              </c:strCache>
            </c:strRef>
          </c:tx>
          <c:spPr>
            <a:solidFill>
              <a:srgbClr val="002060"/>
            </a:solidFill>
            <a:ln>
              <a:noFill/>
            </a:ln>
            <a:effectLst/>
          </c:spPr>
          <c:invertIfNegative val="0"/>
          <c:cat>
            <c:strRef>
              <c:f>研发费率!$C$6:$C$11</c:f>
              <c:strCache>
                <c:ptCount val="6"/>
                <c:pt idx="0">
                  <c:v>2020</c:v>
                </c:pt>
                <c:pt idx="1">
                  <c:v>2021</c:v>
                </c:pt>
                <c:pt idx="2">
                  <c:v>2022</c:v>
                </c:pt>
                <c:pt idx="3">
                  <c:v>2023</c:v>
                </c:pt>
                <c:pt idx="4">
                  <c:v>2024</c:v>
                </c:pt>
                <c:pt idx="5">
                  <c:v>2025</c:v>
                </c:pt>
              </c:strCache>
            </c:strRef>
          </c:cat>
          <c:val>
            <c:numRef>
              <c:f>研发费率!$D$6:$D$11</c:f>
              <c:numCache>
                <c:formatCode>#,##0.00</c:formatCode>
                <c:ptCount val="6"/>
                <c:pt idx="0">
                  <c:v>0.96</c:v>
                </c:pt>
                <c:pt idx="1">
                  <c:v>1.07</c:v>
                </c:pt>
                <c:pt idx="2">
                  <c:v>1.1399999999999999</c:v>
                </c:pt>
                <c:pt idx="3">
                  <c:v>1.23</c:v>
                </c:pt>
                <c:pt idx="4">
                  <c:v>1.3</c:v>
                </c:pt>
                <c:pt idx="5">
                  <c:v>1.38</c:v>
                </c:pt>
              </c:numCache>
            </c:numRef>
          </c:val>
          <c:extLst>
            <c:ext xmlns:c16="http://schemas.microsoft.com/office/drawing/2014/chart" uri="{C3380CC4-5D6E-409C-BE32-E72D297353CC}">
              <c16:uniqueId val="{00000000-718B-4680-93A8-722461EDE41E}"/>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研发费率!$E$5</c:f>
              <c:strCache>
                <c:ptCount val="1"/>
                <c:pt idx="0">
                  <c:v>R&amp;D as % of Sales</c:v>
                </c:pt>
              </c:strCache>
            </c:strRef>
          </c:tx>
          <c:spPr>
            <a:ln w="28575" cap="rnd">
              <a:solidFill>
                <a:schemeClr val="bg1">
                  <a:lumMod val="85000"/>
                </a:schemeClr>
              </a:solidFill>
              <a:round/>
            </a:ln>
            <a:effectLst/>
          </c:spPr>
          <c:marker>
            <c:symbol val="none"/>
          </c:marker>
          <c:cat>
            <c:strRef>
              <c:f>研发费率!$C$6:$C$11</c:f>
              <c:strCache>
                <c:ptCount val="6"/>
                <c:pt idx="0">
                  <c:v>2020</c:v>
                </c:pt>
                <c:pt idx="1">
                  <c:v>2021</c:v>
                </c:pt>
                <c:pt idx="2">
                  <c:v>2022</c:v>
                </c:pt>
                <c:pt idx="3">
                  <c:v>2023</c:v>
                </c:pt>
                <c:pt idx="4">
                  <c:v>2024</c:v>
                </c:pt>
                <c:pt idx="5">
                  <c:v>2025</c:v>
                </c:pt>
              </c:strCache>
            </c:strRef>
          </c:cat>
          <c:val>
            <c:numRef>
              <c:f>研发费率!$E$6:$E$11</c:f>
              <c:numCache>
                <c:formatCode>0.0%</c:formatCode>
                <c:ptCount val="6"/>
                <c:pt idx="0">
                  <c:v>3.4297963558413719E-2</c:v>
                </c:pt>
                <c:pt idx="1">
                  <c:v>3.3137194177764014E-2</c:v>
                </c:pt>
                <c:pt idx="2">
                  <c:v>2.9796131730266597E-2</c:v>
                </c:pt>
                <c:pt idx="3">
                  <c:v>2.9868868382710054E-2</c:v>
                </c:pt>
                <c:pt idx="4">
                  <c:v>2.9898804047838089E-2</c:v>
                </c:pt>
                <c:pt idx="5">
                  <c:v>3.1E-2</c:v>
                </c:pt>
              </c:numCache>
            </c:numRef>
          </c:val>
          <c:smooth val="0"/>
          <c:extLst>
            <c:ext xmlns:c16="http://schemas.microsoft.com/office/drawing/2014/chart" uri="{C3380CC4-5D6E-409C-BE32-E72D297353CC}">
              <c16:uniqueId val="{00000001-718B-4680-93A8-722461EDE41E}"/>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1"/>
          <c:order val="0"/>
          <c:tx>
            <c:strRef>
              <c:f>研发费率!$F$5</c:f>
              <c:strCache>
                <c:ptCount val="1"/>
                <c:pt idx="0">
                  <c:v>New Patent Filings</c:v>
                </c:pt>
              </c:strCache>
            </c:strRef>
          </c:tx>
          <c:spPr>
            <a:solidFill>
              <a:srgbClr val="002060"/>
            </a:solidFill>
            <a:ln>
              <a:noFill/>
            </a:ln>
            <a:effectLst/>
          </c:spPr>
          <c:invertIfNegative val="0"/>
          <c:cat>
            <c:strRef>
              <c:f>研发费率!$C$6:$C$11</c:f>
              <c:strCache>
                <c:ptCount val="6"/>
                <c:pt idx="0">
                  <c:v>2020</c:v>
                </c:pt>
                <c:pt idx="1">
                  <c:v>2021</c:v>
                </c:pt>
                <c:pt idx="2">
                  <c:v>2022</c:v>
                </c:pt>
                <c:pt idx="3">
                  <c:v>2023</c:v>
                </c:pt>
                <c:pt idx="4">
                  <c:v>2024</c:v>
                </c:pt>
                <c:pt idx="5">
                  <c:v>2025</c:v>
                </c:pt>
              </c:strCache>
            </c:strRef>
          </c:cat>
          <c:val>
            <c:numRef>
              <c:f>研发费率!$F$6:$F$11</c:f>
              <c:numCache>
                <c:formatCode>#,##0</c:formatCode>
                <c:ptCount val="6"/>
                <c:pt idx="0">
                  <c:v>498</c:v>
                </c:pt>
                <c:pt idx="1">
                  <c:v>510</c:v>
                </c:pt>
                <c:pt idx="2">
                  <c:v>635</c:v>
                </c:pt>
                <c:pt idx="3">
                  <c:v>671</c:v>
                </c:pt>
                <c:pt idx="4">
                  <c:v>694</c:v>
                </c:pt>
                <c:pt idx="5" formatCode="General">
                  <c:v>725</c:v>
                </c:pt>
              </c:numCache>
            </c:numRef>
          </c:val>
          <c:extLst>
            <c:ext xmlns:c16="http://schemas.microsoft.com/office/drawing/2014/chart" uri="{C3380CC4-5D6E-409C-BE32-E72D297353CC}">
              <c16:uniqueId val="{00000000-85C0-4DA9-86F9-81893EA622C6}"/>
            </c:ext>
          </c:extLst>
        </c:ser>
        <c:dLbls>
          <c:showLegendKey val="0"/>
          <c:showVal val="0"/>
          <c:showCatName val="0"/>
          <c:showSerName val="0"/>
          <c:showPercent val="0"/>
          <c:showBubbleSize val="0"/>
        </c:dLbls>
        <c:gapWidth val="150"/>
        <c:overlap val="100"/>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渠道收入!$E$3</c:f>
              <c:strCache>
                <c:ptCount val="1"/>
                <c:pt idx="0">
                  <c:v>Group Revenue (€Bn)</c:v>
                </c:pt>
              </c:strCache>
            </c:strRef>
          </c:tx>
          <c:spPr>
            <a:solidFill>
              <a:srgbClr val="002060"/>
            </a:solidFill>
            <a:ln>
              <a:noFill/>
            </a:ln>
            <a:effectLst/>
          </c:spPr>
          <c:invertIfNegative val="0"/>
          <c:cat>
            <c:numRef>
              <c:f>渠道收入!$C$4:$C$10</c:f>
              <c:numCache>
                <c:formatCode>General</c:formatCode>
                <c:ptCount val="7"/>
                <c:pt idx="0">
                  <c:v>2019</c:v>
                </c:pt>
                <c:pt idx="1">
                  <c:v>2020</c:v>
                </c:pt>
                <c:pt idx="2">
                  <c:v>2021</c:v>
                </c:pt>
                <c:pt idx="3">
                  <c:v>2022</c:v>
                </c:pt>
                <c:pt idx="4">
                  <c:v>2023</c:v>
                </c:pt>
                <c:pt idx="5">
                  <c:v>2024</c:v>
                </c:pt>
                <c:pt idx="6">
                  <c:v>2025</c:v>
                </c:pt>
              </c:numCache>
            </c:numRef>
          </c:cat>
          <c:val>
            <c:numRef>
              <c:f>渠道收入!$E$4:$E$10</c:f>
              <c:numCache>
                <c:formatCode>General</c:formatCode>
                <c:ptCount val="7"/>
                <c:pt idx="0">
                  <c:v>29.87</c:v>
                </c:pt>
                <c:pt idx="1">
                  <c:v>27.99</c:v>
                </c:pt>
                <c:pt idx="2">
                  <c:v>32.28</c:v>
                </c:pt>
                <c:pt idx="3">
                  <c:v>38.26</c:v>
                </c:pt>
                <c:pt idx="4">
                  <c:v>41.18</c:v>
                </c:pt>
                <c:pt idx="5">
                  <c:v>43.48</c:v>
                </c:pt>
                <c:pt idx="6">
                  <c:v>44.05</c:v>
                </c:pt>
              </c:numCache>
            </c:numRef>
          </c:val>
          <c:extLst>
            <c:ext xmlns:c16="http://schemas.microsoft.com/office/drawing/2014/chart" uri="{C3380CC4-5D6E-409C-BE32-E72D297353CC}">
              <c16:uniqueId val="{00000000-53E6-4ABE-88AE-D8F7C20A6F07}"/>
            </c:ext>
          </c:extLst>
        </c:ser>
        <c:dLbls>
          <c:showLegendKey val="0"/>
          <c:showVal val="0"/>
          <c:showCatName val="0"/>
          <c:showSerName val="0"/>
          <c:showPercent val="0"/>
          <c:showBubbleSize val="0"/>
        </c:dLbls>
        <c:gapWidth val="150"/>
        <c:axId val="881071903"/>
        <c:axId val="881076223"/>
      </c:barChart>
      <c:lineChart>
        <c:grouping val="standard"/>
        <c:varyColors val="0"/>
        <c:ser>
          <c:idx val="0"/>
          <c:order val="0"/>
          <c:tx>
            <c:strRef>
              <c:f>渠道收入!$D$3</c:f>
              <c:strCache>
                <c:ptCount val="1"/>
                <c:pt idx="0">
                  <c:v>E-Commerce as % of Sales</c:v>
                </c:pt>
              </c:strCache>
            </c:strRef>
          </c:tx>
          <c:spPr>
            <a:ln w="28575" cap="rnd">
              <a:solidFill>
                <a:schemeClr val="bg1">
                  <a:lumMod val="85000"/>
                </a:schemeClr>
              </a:solidFill>
              <a:round/>
            </a:ln>
            <a:effectLst/>
          </c:spPr>
          <c:marker>
            <c:symbol val="none"/>
          </c:marker>
          <c:cat>
            <c:numRef>
              <c:f>渠道收入!$C$4:$C$10</c:f>
              <c:numCache>
                <c:formatCode>General</c:formatCode>
                <c:ptCount val="7"/>
                <c:pt idx="0">
                  <c:v>2019</c:v>
                </c:pt>
                <c:pt idx="1">
                  <c:v>2020</c:v>
                </c:pt>
                <c:pt idx="2">
                  <c:v>2021</c:v>
                </c:pt>
                <c:pt idx="3">
                  <c:v>2022</c:v>
                </c:pt>
                <c:pt idx="4">
                  <c:v>2023</c:v>
                </c:pt>
                <c:pt idx="5">
                  <c:v>2024</c:v>
                </c:pt>
                <c:pt idx="6">
                  <c:v>2025</c:v>
                </c:pt>
              </c:numCache>
            </c:numRef>
          </c:cat>
          <c:val>
            <c:numRef>
              <c:f>渠道收入!$D$4:$D$10</c:f>
              <c:numCache>
                <c:formatCode>0%</c:formatCode>
                <c:ptCount val="7"/>
                <c:pt idx="0">
                  <c:v>0.156</c:v>
                </c:pt>
                <c:pt idx="1">
                  <c:v>0.26600000000000001</c:v>
                </c:pt>
                <c:pt idx="2">
                  <c:v>0.28899999999999998</c:v>
                </c:pt>
                <c:pt idx="3">
                  <c:v>0.28000000000000003</c:v>
                </c:pt>
                <c:pt idx="4">
                  <c:v>0.28100000000000003</c:v>
                </c:pt>
                <c:pt idx="5">
                  <c:v>0.28199999999999997</c:v>
                </c:pt>
              </c:numCache>
            </c:numRef>
          </c:val>
          <c:smooth val="0"/>
          <c:extLst>
            <c:ext xmlns:c16="http://schemas.microsoft.com/office/drawing/2014/chart" uri="{C3380CC4-5D6E-409C-BE32-E72D297353CC}">
              <c16:uniqueId val="{00000001-53E6-4ABE-88AE-D8F7C20A6F07}"/>
            </c:ext>
          </c:extLst>
        </c:ser>
        <c:dLbls>
          <c:showLegendKey val="0"/>
          <c:showVal val="0"/>
          <c:showCatName val="0"/>
          <c:showSerName val="0"/>
          <c:showPercent val="0"/>
          <c:showBubbleSize val="0"/>
        </c:dLbls>
        <c:marker val="1"/>
        <c:smooth val="0"/>
        <c:axId val="827166767"/>
        <c:axId val="827166287"/>
      </c:lineChart>
      <c:catAx>
        <c:axId val="88107190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881076223"/>
        <c:crosses val="autoZero"/>
        <c:auto val="1"/>
        <c:lblAlgn val="ctr"/>
        <c:lblOffset val="100"/>
        <c:noMultiLvlLbl val="0"/>
      </c:catAx>
      <c:valAx>
        <c:axId val="881076223"/>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881071903"/>
        <c:crosses val="autoZero"/>
        <c:crossBetween val="between"/>
      </c:valAx>
      <c:valAx>
        <c:axId val="827166287"/>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827166767"/>
        <c:crosses val="max"/>
        <c:crossBetween val="between"/>
      </c:valAx>
      <c:catAx>
        <c:axId val="827166767"/>
        <c:scaling>
          <c:orientation val="minMax"/>
        </c:scaling>
        <c:delete val="1"/>
        <c:axPos val="b"/>
        <c:numFmt formatCode="General" sourceLinked="1"/>
        <c:majorTickMark val="out"/>
        <c:minorTickMark val="none"/>
        <c:tickLblPos val="nextTo"/>
        <c:crossAx val="82716628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四大部门市场规模!$B$4</c:f>
              <c:strCache>
                <c:ptCount val="1"/>
                <c:pt idx="0">
                  <c:v>Mass Beauty and Personal Care</c:v>
                </c:pt>
              </c:strCache>
            </c:strRef>
          </c:tx>
          <c:spPr>
            <a:solidFill>
              <a:srgbClr val="002060"/>
            </a:solidFill>
            <a:ln>
              <a:noFill/>
            </a:ln>
            <a:effectLst/>
          </c:spPr>
          <c:invertIfNegative val="0"/>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四大部门市场规模!$C$4:$I$4</c:f>
              <c:numCache>
                <c:formatCode>#,##0</c:formatCode>
                <c:ptCount val="7"/>
                <c:pt idx="0">
                  <c:v>302201.5</c:v>
                </c:pt>
                <c:pt idx="1">
                  <c:v>294525.90000000002</c:v>
                </c:pt>
                <c:pt idx="2">
                  <c:v>311425.3</c:v>
                </c:pt>
                <c:pt idx="3">
                  <c:v>313693.8</c:v>
                </c:pt>
                <c:pt idx="4">
                  <c:v>331781.2</c:v>
                </c:pt>
                <c:pt idx="5">
                  <c:v>343145.8</c:v>
                </c:pt>
                <c:pt idx="6">
                  <c:v>359885.4</c:v>
                </c:pt>
              </c:numCache>
            </c:numRef>
          </c:val>
          <c:extLst>
            <c:ext xmlns:c16="http://schemas.microsoft.com/office/drawing/2014/chart" uri="{C3380CC4-5D6E-409C-BE32-E72D297353CC}">
              <c16:uniqueId val="{00000000-B9CF-4AB1-8921-1558BC469098}"/>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四大部门市场规模!$B$5</c:f>
              <c:strCache>
                <c:ptCount val="1"/>
                <c:pt idx="0">
                  <c:v>YoY</c:v>
                </c:pt>
              </c:strCache>
            </c:strRef>
          </c:tx>
          <c:spPr>
            <a:ln w="28575" cap="rnd">
              <a:solidFill>
                <a:schemeClr val="bg1">
                  <a:lumMod val="85000"/>
                </a:schemeClr>
              </a:solidFill>
              <a:round/>
            </a:ln>
            <a:effectLst/>
          </c:spPr>
          <c:marker>
            <c:symbol val="none"/>
          </c:marker>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四大部门市场规模!$C$5:$I$5</c:f>
              <c:numCache>
                <c:formatCode>0.0%</c:formatCode>
                <c:ptCount val="7"/>
                <c:pt idx="1">
                  <c:v>-2.5398947391061855E-2</c:v>
                </c:pt>
                <c:pt idx="2">
                  <c:v>5.7378315455448803E-2</c:v>
                </c:pt>
                <c:pt idx="3">
                  <c:v>7.2842508299744146E-3</c:v>
                </c:pt>
                <c:pt idx="4">
                  <c:v>5.7659411821336715E-2</c:v>
                </c:pt>
                <c:pt idx="5">
                  <c:v>3.4253297052394771E-2</c:v>
                </c:pt>
                <c:pt idx="6">
                  <c:v>4.8782762312696404E-2</c:v>
                </c:pt>
              </c:numCache>
            </c:numRef>
          </c:val>
          <c:smooth val="0"/>
          <c:extLst>
            <c:ext xmlns:c16="http://schemas.microsoft.com/office/drawing/2014/chart" uri="{C3380CC4-5D6E-409C-BE32-E72D297353CC}">
              <c16:uniqueId val="{00000001-B9CF-4AB1-8921-1558BC469098}"/>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四大部门市场规模!$B$6</c:f>
              <c:strCache>
                <c:ptCount val="1"/>
                <c:pt idx="0">
                  <c:v>Prestige Beauty and Personal Care</c:v>
                </c:pt>
              </c:strCache>
            </c:strRef>
          </c:tx>
          <c:spPr>
            <a:solidFill>
              <a:srgbClr val="002060"/>
            </a:solidFill>
            <a:ln>
              <a:noFill/>
            </a:ln>
            <a:effectLst/>
          </c:spPr>
          <c:invertIfNegative val="0"/>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四大部门市场规模!$C$6:$H$6</c:f>
              <c:numCache>
                <c:formatCode>#,##0</c:formatCode>
                <c:ptCount val="6"/>
                <c:pt idx="0">
                  <c:v>134575.4</c:v>
                </c:pt>
                <c:pt idx="1">
                  <c:v>123365.9</c:v>
                </c:pt>
                <c:pt idx="2">
                  <c:v>143017</c:v>
                </c:pt>
                <c:pt idx="3">
                  <c:v>144657.20000000001</c:v>
                </c:pt>
                <c:pt idx="4">
                  <c:v>154957.9</c:v>
                </c:pt>
                <c:pt idx="5">
                  <c:v>160618.70000000001</c:v>
                </c:pt>
              </c:numCache>
            </c:numRef>
          </c:val>
          <c:extLst>
            <c:ext xmlns:c16="http://schemas.microsoft.com/office/drawing/2014/chart" uri="{C3380CC4-5D6E-409C-BE32-E72D297353CC}">
              <c16:uniqueId val="{00000000-9A29-4BB5-8802-32CEC4A2C0FA}"/>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四大部门市场规模!$B$7</c:f>
              <c:strCache>
                <c:ptCount val="1"/>
                <c:pt idx="0">
                  <c:v>YoY</c:v>
                </c:pt>
              </c:strCache>
            </c:strRef>
          </c:tx>
          <c:spPr>
            <a:ln w="28575" cap="rnd">
              <a:solidFill>
                <a:schemeClr val="bg1">
                  <a:lumMod val="85000"/>
                </a:schemeClr>
              </a:solidFill>
              <a:round/>
            </a:ln>
            <a:effectLst/>
          </c:spPr>
          <c:marker>
            <c:symbol val="none"/>
          </c:marker>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四大部门市场规模!$C$7:$H$7</c:f>
              <c:numCache>
                <c:formatCode>0.0%</c:formatCode>
                <c:ptCount val="6"/>
                <c:pt idx="1">
                  <c:v>-8.3295312516254882E-2</c:v>
                </c:pt>
                <c:pt idx="2">
                  <c:v>0.15929118176092416</c:v>
                </c:pt>
                <c:pt idx="3">
                  <c:v>1.1468566673892067E-2</c:v>
                </c:pt>
                <c:pt idx="4">
                  <c:v>7.1207655063142195E-2</c:v>
                </c:pt>
                <c:pt idx="5">
                  <c:v>3.6531212671312874E-2</c:v>
                </c:pt>
              </c:numCache>
            </c:numRef>
          </c:val>
          <c:smooth val="0"/>
          <c:extLst>
            <c:ext xmlns:c16="http://schemas.microsoft.com/office/drawing/2014/chart" uri="{C3380CC4-5D6E-409C-BE32-E72D297353CC}">
              <c16:uniqueId val="{00000001-9A29-4BB5-8802-32CEC4A2C0FA}"/>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四大部门市场规模!$B$8</c:f>
              <c:strCache>
                <c:ptCount val="1"/>
                <c:pt idx="0">
                  <c:v>Salon Professional Hair Care</c:v>
                </c:pt>
              </c:strCache>
            </c:strRef>
          </c:tx>
          <c:spPr>
            <a:solidFill>
              <a:srgbClr val="002060"/>
            </a:solidFill>
            <a:ln>
              <a:noFill/>
            </a:ln>
            <a:effectLst/>
          </c:spPr>
          <c:invertIfNegative val="0"/>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四大部门市场规模!$C$8:$I$8</c:f>
              <c:numCache>
                <c:formatCode>#,##0</c:formatCode>
                <c:ptCount val="7"/>
                <c:pt idx="0">
                  <c:v>7995.3</c:v>
                </c:pt>
                <c:pt idx="1">
                  <c:v>7395.5</c:v>
                </c:pt>
                <c:pt idx="2">
                  <c:v>8744.1</c:v>
                </c:pt>
                <c:pt idx="3">
                  <c:v>9584.9</c:v>
                </c:pt>
                <c:pt idx="4">
                  <c:v>10356.299999999999</c:v>
                </c:pt>
                <c:pt idx="5">
                  <c:v>11045.2</c:v>
                </c:pt>
                <c:pt idx="6">
                  <c:v>11779.2</c:v>
                </c:pt>
              </c:numCache>
            </c:numRef>
          </c:val>
          <c:extLst>
            <c:ext xmlns:c16="http://schemas.microsoft.com/office/drawing/2014/chart" uri="{C3380CC4-5D6E-409C-BE32-E72D297353CC}">
              <c16:uniqueId val="{00000000-9CCA-4308-992E-7BBB5FB81EBD}"/>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四大部门市场规模!$B$9</c:f>
              <c:strCache>
                <c:ptCount val="1"/>
                <c:pt idx="0">
                  <c:v>YoY</c:v>
                </c:pt>
              </c:strCache>
            </c:strRef>
          </c:tx>
          <c:spPr>
            <a:ln w="28575" cap="rnd">
              <a:solidFill>
                <a:schemeClr val="bg1">
                  <a:lumMod val="85000"/>
                </a:schemeClr>
              </a:solidFill>
              <a:round/>
            </a:ln>
            <a:effectLst/>
          </c:spPr>
          <c:marker>
            <c:symbol val="none"/>
          </c:marker>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四大部门市场规模!$C$9:$I$9</c:f>
              <c:numCache>
                <c:formatCode>0.0%</c:formatCode>
                <c:ptCount val="7"/>
                <c:pt idx="1">
                  <c:v>-7.5019073705802186E-2</c:v>
                </c:pt>
                <c:pt idx="2">
                  <c:v>0.18235413427084035</c:v>
                </c:pt>
                <c:pt idx="3">
                  <c:v>9.6156265367504767E-2</c:v>
                </c:pt>
                <c:pt idx="4">
                  <c:v>8.0480756189422964E-2</c:v>
                </c:pt>
                <c:pt idx="5">
                  <c:v>6.6519896101889797E-2</c:v>
                </c:pt>
                <c:pt idx="6">
                  <c:v>6.6454206352080547E-2</c:v>
                </c:pt>
              </c:numCache>
            </c:numRef>
          </c:val>
          <c:smooth val="0"/>
          <c:extLst>
            <c:ext xmlns:c16="http://schemas.microsoft.com/office/drawing/2014/chart" uri="{C3380CC4-5D6E-409C-BE32-E72D297353CC}">
              <c16:uniqueId val="{00000001-9CCA-4308-992E-7BBB5FB81EBD}"/>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四大部门市场规模!$B$10</c:f>
              <c:strCache>
                <c:ptCount val="1"/>
                <c:pt idx="0">
                  <c:v>Dermocosmetics Skin Care</c:v>
                </c:pt>
              </c:strCache>
            </c:strRef>
          </c:tx>
          <c:spPr>
            <a:solidFill>
              <a:srgbClr val="002060"/>
            </a:solidFill>
            <a:ln>
              <a:noFill/>
            </a:ln>
            <a:effectLst/>
          </c:spPr>
          <c:invertIfNegative val="0"/>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四大部门市场规模!$C$10:$H$10</c:f>
              <c:numCache>
                <c:formatCode>#,##0</c:formatCode>
                <c:ptCount val="6"/>
                <c:pt idx="0">
                  <c:v>14386.7</c:v>
                </c:pt>
                <c:pt idx="1">
                  <c:v>15700.3</c:v>
                </c:pt>
                <c:pt idx="2">
                  <c:v>18840.599999999999</c:v>
                </c:pt>
                <c:pt idx="3">
                  <c:v>19821.7</c:v>
                </c:pt>
                <c:pt idx="4">
                  <c:v>22308.400000000001</c:v>
                </c:pt>
                <c:pt idx="5">
                  <c:v>23781.4</c:v>
                </c:pt>
              </c:numCache>
            </c:numRef>
          </c:val>
          <c:extLst>
            <c:ext xmlns:c16="http://schemas.microsoft.com/office/drawing/2014/chart" uri="{C3380CC4-5D6E-409C-BE32-E72D297353CC}">
              <c16:uniqueId val="{00000000-FDB5-4C79-A677-805EBB3BA4CA}"/>
            </c:ext>
          </c:extLst>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四大部门市场规模!$B$11</c:f>
              <c:strCache>
                <c:ptCount val="1"/>
                <c:pt idx="0">
                  <c:v>YoY</c:v>
                </c:pt>
              </c:strCache>
            </c:strRef>
          </c:tx>
          <c:spPr>
            <a:ln w="28575" cap="rnd">
              <a:solidFill>
                <a:schemeClr val="bg1">
                  <a:lumMod val="85000"/>
                </a:schemeClr>
              </a:solidFill>
              <a:round/>
            </a:ln>
            <a:effectLst/>
          </c:spPr>
          <c:marker>
            <c:symbol val="none"/>
          </c:marker>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四大部门市场规模!$C$11:$H$11</c:f>
              <c:numCache>
                <c:formatCode>0.0%</c:formatCode>
                <c:ptCount val="6"/>
                <c:pt idx="1">
                  <c:v>9.1306553969985993E-2</c:v>
                </c:pt>
                <c:pt idx="2">
                  <c:v>0.2000152863321083</c:v>
                </c:pt>
                <c:pt idx="3">
                  <c:v>5.2073713151385981E-2</c:v>
                </c:pt>
                <c:pt idx="4">
                  <c:v>0.12545341721446701</c:v>
                </c:pt>
                <c:pt idx="5">
                  <c:v>6.6028939771565875E-2</c:v>
                </c:pt>
              </c:numCache>
            </c:numRef>
          </c:val>
          <c:smooth val="0"/>
          <c:extLst>
            <c:ext xmlns:c16="http://schemas.microsoft.com/office/drawing/2014/chart" uri="{C3380CC4-5D6E-409C-BE32-E72D297353CC}">
              <c16:uniqueId val="{00000001-FDB5-4C79-A677-805EBB3BA4CA}"/>
            </c:ext>
          </c:extLst>
        </c:ser>
        <c:dLbls>
          <c:showLegendKey val="0"/>
          <c:showVal val="0"/>
          <c:showCatName val="0"/>
          <c:showSerName val="0"/>
          <c:showPercent val="0"/>
          <c:showBubbleSize val="0"/>
        </c:dLbls>
        <c:marker val="1"/>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valAx>
        <c:axId val="378385824"/>
        <c:scaling>
          <c:orientation val="minMax"/>
        </c:scaling>
        <c:delete val="0"/>
        <c:axPos val="r"/>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1376932912"/>
        <c:crosses val="max"/>
        <c:crossBetween val="between"/>
      </c:valAx>
      <c:catAx>
        <c:axId val="1376932912"/>
        <c:scaling>
          <c:orientation val="minMax"/>
        </c:scaling>
        <c:delete val="1"/>
        <c:axPos val="b"/>
        <c:numFmt formatCode="General" sourceLinked="1"/>
        <c:majorTickMark val="none"/>
        <c:minorTickMark val="none"/>
        <c:tickLblPos val="nextTo"/>
        <c:crossAx val="37838582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Sheet1!$B$1</c:f>
              <c:strCache>
                <c:ptCount val="1"/>
                <c:pt idx="0">
                  <c:v>Retail Value(USD million)</c:v>
                </c:pt>
              </c:strCache>
            </c:strRef>
          </c:tx>
          <c:spPr>
            <a:solidFill>
              <a:srgbClr val="0E2841">
                <a:lumMod val="90000"/>
                <a:lumOff val="10000"/>
              </a:srgbClr>
            </a:solidFill>
            <a:ln>
              <a:noFill/>
            </a:ln>
            <a:effectLst/>
          </c:spPr>
          <c:invertIfNegative val="0"/>
          <c:cat>
            <c:numRef>
              <c:f>Sheet1!$A$2:$A$7</c:f>
              <c:numCache>
                <c:formatCode>General</c:formatCode>
                <c:ptCount val="6"/>
                <c:pt idx="0">
                  <c:v>2020</c:v>
                </c:pt>
                <c:pt idx="1">
                  <c:v>2021</c:v>
                </c:pt>
                <c:pt idx="2">
                  <c:v>2022</c:v>
                </c:pt>
                <c:pt idx="3">
                  <c:v>2023</c:v>
                </c:pt>
                <c:pt idx="4">
                  <c:v>2024</c:v>
                </c:pt>
                <c:pt idx="5">
                  <c:v>2025</c:v>
                </c:pt>
              </c:numCache>
            </c:numRef>
          </c:cat>
          <c:val>
            <c:numRef>
              <c:f>Sheet1!$B$2:$B$7</c:f>
              <c:numCache>
                <c:formatCode>\$#,##0.00_);[Red]\(\$#,##0.00\)</c:formatCode>
                <c:ptCount val="6"/>
                <c:pt idx="0">
                  <c:v>46725</c:v>
                </c:pt>
                <c:pt idx="1">
                  <c:v>54724.7</c:v>
                </c:pt>
                <c:pt idx="2">
                  <c:v>59691.4</c:v>
                </c:pt>
                <c:pt idx="3">
                  <c:v>67224.3</c:v>
                </c:pt>
                <c:pt idx="4" formatCode="\$#,##0_);[Red]\(\$#,##0\)">
                  <c:v>72615</c:v>
                </c:pt>
                <c:pt idx="5" formatCode="\$#,##0_);[Red]\(\$#,##0\)">
                  <c:v>77714</c:v>
                </c:pt>
              </c:numCache>
            </c:numRef>
          </c:val>
          <c:extLst>
            <c:ext xmlns:c16="http://schemas.microsoft.com/office/drawing/2014/chart" uri="{C3380CC4-5D6E-409C-BE32-E72D297353CC}">
              <c16:uniqueId val="{00000000-A33A-4118-BAD9-28B8A845D40B}"/>
            </c:ext>
          </c:extLst>
        </c:ser>
        <c:dLbls>
          <c:showLegendKey val="0"/>
          <c:showVal val="0"/>
          <c:showCatName val="0"/>
          <c:showSerName val="0"/>
          <c:showPercent val="0"/>
          <c:showBubbleSize val="0"/>
        </c:dLbls>
        <c:gapWidth val="150"/>
        <c:axId val="1021593488"/>
        <c:axId val="1"/>
      </c:barChart>
      <c:lineChart>
        <c:grouping val="standard"/>
        <c:varyColors val="0"/>
        <c:ser>
          <c:idx val="1"/>
          <c:order val="1"/>
          <c:tx>
            <c:strRef>
              <c:f>Sheet1!$C$1</c:f>
              <c:strCache>
                <c:ptCount val="1"/>
                <c:pt idx="0">
                  <c:v>YOY</c:v>
                </c:pt>
              </c:strCache>
            </c:strRef>
          </c:tx>
          <c:spPr>
            <a:ln w="19050" cap="rnd" cmpd="sng" algn="ctr">
              <a:solidFill>
                <a:srgbClr val="44546A">
                  <a:lumMod val="60000"/>
                  <a:lumOff val="40000"/>
                </a:srgbClr>
              </a:solidFill>
              <a:prstDash val="solid"/>
              <a:round/>
            </a:ln>
            <a:effectLst/>
          </c:spPr>
          <c:marker>
            <c:symbol val="none"/>
          </c:marker>
          <c:cat>
            <c:numRef>
              <c:f>Sheet1!$A$2:$A$7</c:f>
              <c:numCache>
                <c:formatCode>General</c:formatCode>
                <c:ptCount val="6"/>
                <c:pt idx="0">
                  <c:v>2020</c:v>
                </c:pt>
                <c:pt idx="1">
                  <c:v>2021</c:v>
                </c:pt>
                <c:pt idx="2">
                  <c:v>2022</c:v>
                </c:pt>
                <c:pt idx="3">
                  <c:v>2023</c:v>
                </c:pt>
                <c:pt idx="4">
                  <c:v>2024</c:v>
                </c:pt>
                <c:pt idx="5">
                  <c:v>2025</c:v>
                </c:pt>
              </c:numCache>
            </c:numRef>
          </c:cat>
          <c:val>
            <c:numRef>
              <c:f>Sheet1!$C$2:$C$7</c:f>
              <c:numCache>
                <c:formatCode>0.00%</c:formatCode>
                <c:ptCount val="6"/>
                <c:pt idx="0" formatCode="General">
                  <c:v>#N/A</c:v>
                </c:pt>
                <c:pt idx="1">
                  <c:v>0.17120813269127866</c:v>
                </c:pt>
                <c:pt idx="2">
                  <c:v>9.0757921011901388E-2</c:v>
                </c:pt>
                <c:pt idx="3">
                  <c:v>0.12619740867193596</c:v>
                </c:pt>
                <c:pt idx="4">
                  <c:v>8.0189752812598991E-2</c:v>
                </c:pt>
                <c:pt idx="5">
                  <c:v>7.021965158713761E-2</c:v>
                </c:pt>
              </c:numCache>
            </c:numRef>
          </c:val>
          <c:smooth val="0"/>
          <c:extLst>
            <c:ext xmlns:c16="http://schemas.microsoft.com/office/drawing/2014/chart" uri="{C3380CC4-5D6E-409C-BE32-E72D297353CC}">
              <c16:uniqueId val="{00000001-A33A-4118-BAD9-28B8A845D40B}"/>
            </c:ext>
          </c:extLst>
        </c:ser>
        <c:dLbls>
          <c:showLegendKey val="0"/>
          <c:showVal val="0"/>
          <c:showCatName val="0"/>
          <c:showSerName val="0"/>
          <c:showPercent val="0"/>
          <c:showBubbleSize val="0"/>
        </c:dLbls>
        <c:marker val="1"/>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700" b="0" i="0" u="none" strike="noStrike" kern="1200" baseline="0">
                <a:solidFill>
                  <a:srgbClr val="000000"/>
                </a:solidFill>
                <a:latin typeface="楷体" panose="02010609060101010101" pitchFamily="49" charset="-122"/>
                <a:ea typeface="楷体" panose="02010609060101010101" pitchFamily="49"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700" b="0" i="0" u="none" strike="noStrike" kern="1200" baseline="0">
                <a:solidFill>
                  <a:srgbClr val="000000"/>
                </a:solidFill>
                <a:latin typeface="微软雅黑" panose="020B0503020204020204" pitchFamily="34" charset="-122"/>
                <a:ea typeface="楷体" panose="02010609060101010101" pitchFamily="49" charset="-122"/>
                <a:cs typeface="Times New Roman" panose="02020603050405020304" charset="0"/>
              </a:defRPr>
            </a:pPr>
            <a:endParaRPr lang="zh-CN"/>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楷体" panose="02010609060101010101" pitchFamily="49" charset="-122"/>
                <a:ea typeface="微软雅黑" panose="020B0503020204020204" pitchFamily="34" charset="-122"/>
                <a:cs typeface="Times New Roman" panose="02020603050405020304" charset="0"/>
              </a:defRPr>
            </a:pPr>
            <a:endParaRPr lang="zh-CN"/>
          </a:p>
        </c:txPr>
        <c:crossAx val="259816367"/>
        <c:crosses val="max"/>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楷体" panose="02010609060101010101" pitchFamily="49" charset="-122"/>
              <a:ea typeface="楷体" panose="02010609060101010101" pitchFamily="49" charset="-122"/>
              <a:cs typeface="Times New Roman" panose="02020603050405020304" charset="0"/>
            </a:defRPr>
          </a:pPr>
          <a:endParaRPr lang="zh-CN"/>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34" charset="-122"/>
          <a:ea typeface="微软雅黑" panose="020B0503020204020204" pitchFamily="34" charset="-122"/>
          <a:cs typeface="Times New Roman" panose="02020603050405020304" charset="0"/>
        </a:defRPr>
      </a:pPr>
      <a:endParaRPr lang="zh-CN"/>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58883957131883E-2"/>
          <c:y val="6.9974554707379136E-2"/>
          <c:w val="0.89139354962828599"/>
          <c:h val="0.81426038348259899"/>
        </c:manualLayout>
      </c:layout>
      <c:barChart>
        <c:barDir val="col"/>
        <c:grouping val="clustered"/>
        <c:varyColors val="0"/>
        <c:ser>
          <c:idx val="0"/>
          <c:order val="0"/>
          <c:tx>
            <c:strRef>
              <c:f>Sheet1!$H$118</c:f>
              <c:strCache>
                <c:ptCount val="1"/>
                <c:pt idx="0">
                  <c:v>YSL</c:v>
                </c:pt>
              </c:strCache>
            </c:strRef>
          </c:tx>
          <c:spPr>
            <a:solidFill>
              <a:schemeClr val="tx2">
                <a:lumMod val="75000"/>
              </a:schemeClr>
            </a:solidFill>
            <a:ln>
              <a:noFill/>
            </a:ln>
            <a:effectLst/>
          </c:spPr>
          <c:invertIfNegative val="0"/>
          <c:cat>
            <c:numRef>
              <c:f>Sheet1!$I$117:$K$117</c:f>
              <c:numCache>
                <c:formatCode>General</c:formatCode>
                <c:ptCount val="3"/>
                <c:pt idx="0">
                  <c:v>2022</c:v>
                </c:pt>
                <c:pt idx="1">
                  <c:v>2023</c:v>
                </c:pt>
                <c:pt idx="2">
                  <c:v>2024</c:v>
                </c:pt>
              </c:numCache>
            </c:numRef>
          </c:cat>
          <c:val>
            <c:numRef>
              <c:f>Sheet1!$I$118:$K$118</c:f>
              <c:numCache>
                <c:formatCode>\$#,##0.00_);[Red]\(\$#,##0.00\)</c:formatCode>
                <c:ptCount val="3"/>
                <c:pt idx="0">
                  <c:v>26.75</c:v>
                </c:pt>
                <c:pt idx="1">
                  <c:v>28.45</c:v>
                </c:pt>
                <c:pt idx="2">
                  <c:v>30.25</c:v>
                </c:pt>
              </c:numCache>
            </c:numRef>
          </c:val>
          <c:extLst>
            <c:ext xmlns:c16="http://schemas.microsoft.com/office/drawing/2014/chart" uri="{C3380CC4-5D6E-409C-BE32-E72D297353CC}">
              <c16:uniqueId val="{00000000-86DD-4909-9577-ED5D8B1D7C5E}"/>
            </c:ext>
          </c:extLst>
        </c:ser>
        <c:ser>
          <c:idx val="1"/>
          <c:order val="1"/>
          <c:tx>
            <c:strRef>
              <c:f>Sheet1!$H$119</c:f>
              <c:strCache>
                <c:ptCount val="1"/>
                <c:pt idx="0">
                  <c:v>Prada</c:v>
                </c:pt>
              </c:strCache>
            </c:strRef>
          </c:tx>
          <c:spPr>
            <a:solidFill>
              <a:schemeClr val="tx2">
                <a:lumMod val="75000"/>
                <a:lumOff val="25000"/>
              </a:schemeClr>
            </a:solidFill>
            <a:ln>
              <a:noFill/>
            </a:ln>
            <a:effectLst/>
          </c:spPr>
          <c:invertIfNegative val="0"/>
          <c:cat>
            <c:numRef>
              <c:f>Sheet1!$I$117:$K$117</c:f>
              <c:numCache>
                <c:formatCode>General</c:formatCode>
                <c:ptCount val="3"/>
                <c:pt idx="0">
                  <c:v>2022</c:v>
                </c:pt>
                <c:pt idx="1">
                  <c:v>2023</c:v>
                </c:pt>
                <c:pt idx="2">
                  <c:v>2024</c:v>
                </c:pt>
              </c:numCache>
            </c:numRef>
          </c:cat>
          <c:val>
            <c:numRef>
              <c:f>Sheet1!$I$119:$K$119</c:f>
              <c:numCache>
                <c:formatCode>\$#,##0.00_);[Red]\(\$#,##0.00\)</c:formatCode>
                <c:ptCount val="3"/>
                <c:pt idx="0">
                  <c:v>10.700000000000001</c:v>
                </c:pt>
                <c:pt idx="1">
                  <c:v>11.38</c:v>
                </c:pt>
                <c:pt idx="2">
                  <c:v>12.1</c:v>
                </c:pt>
              </c:numCache>
            </c:numRef>
          </c:val>
          <c:extLst>
            <c:ext xmlns:c16="http://schemas.microsoft.com/office/drawing/2014/chart" uri="{C3380CC4-5D6E-409C-BE32-E72D297353CC}">
              <c16:uniqueId val="{00000001-86DD-4909-9577-ED5D8B1D7C5E}"/>
            </c:ext>
          </c:extLst>
        </c:ser>
        <c:ser>
          <c:idx val="2"/>
          <c:order val="2"/>
          <c:tx>
            <c:strRef>
              <c:f>Sheet1!$H$120</c:f>
              <c:strCache>
                <c:ptCount val="1"/>
                <c:pt idx="0">
                  <c:v>Valentino</c:v>
                </c:pt>
              </c:strCache>
            </c:strRef>
          </c:tx>
          <c:spPr>
            <a:solidFill>
              <a:schemeClr val="accent1">
                <a:lumMod val="60000"/>
                <a:lumOff val="40000"/>
              </a:schemeClr>
            </a:solidFill>
            <a:ln>
              <a:noFill/>
            </a:ln>
            <a:effectLst/>
          </c:spPr>
          <c:invertIfNegative val="0"/>
          <c:cat>
            <c:numRef>
              <c:f>Sheet1!$I$117:$K$117</c:f>
              <c:numCache>
                <c:formatCode>General</c:formatCode>
                <c:ptCount val="3"/>
                <c:pt idx="0">
                  <c:v>2022</c:v>
                </c:pt>
                <c:pt idx="1">
                  <c:v>2023</c:v>
                </c:pt>
                <c:pt idx="2">
                  <c:v>2024</c:v>
                </c:pt>
              </c:numCache>
            </c:numRef>
          </c:cat>
          <c:val>
            <c:numRef>
              <c:f>Sheet1!$I$120:$K$120</c:f>
              <c:numCache>
                <c:formatCode>\$#,##0.00_);[Red]\(\$#,##0.00\)</c:formatCode>
                <c:ptCount val="3"/>
                <c:pt idx="0">
                  <c:v>5.3500000000000005</c:v>
                </c:pt>
                <c:pt idx="1">
                  <c:v>5.69</c:v>
                </c:pt>
                <c:pt idx="2">
                  <c:v>6.05</c:v>
                </c:pt>
              </c:numCache>
            </c:numRef>
          </c:val>
          <c:extLst>
            <c:ext xmlns:c16="http://schemas.microsoft.com/office/drawing/2014/chart" uri="{C3380CC4-5D6E-409C-BE32-E72D297353CC}">
              <c16:uniqueId val="{00000002-86DD-4909-9577-ED5D8B1D7C5E}"/>
            </c:ext>
          </c:extLst>
        </c:ser>
        <c:dLbls>
          <c:showLegendKey val="0"/>
          <c:showVal val="0"/>
          <c:showCatName val="0"/>
          <c:showSerName val="0"/>
          <c:showPercent val="0"/>
          <c:showBubbleSize val="0"/>
        </c:dLbls>
        <c:gapWidth val="219"/>
        <c:overlap val="-27"/>
        <c:axId val="503407200"/>
        <c:axId val="503391360"/>
      </c:barChart>
      <c:catAx>
        <c:axId val="503407200"/>
        <c:scaling>
          <c:orientation val="minMax"/>
        </c:scaling>
        <c:delete val="0"/>
        <c:axPos val="b"/>
        <c:numFmt formatCode="General" sourceLinked="1"/>
        <c:majorTickMark val="in"/>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03391360"/>
        <c:crosses val="autoZero"/>
        <c:auto val="1"/>
        <c:lblAlgn val="ctr"/>
        <c:lblOffset val="100"/>
        <c:noMultiLvlLbl val="0"/>
      </c:catAx>
      <c:valAx>
        <c:axId val="503391360"/>
        <c:scaling>
          <c:orientation val="minMax"/>
        </c:scaling>
        <c:delete val="0"/>
        <c:axPos val="l"/>
        <c:majorGridlines>
          <c:spPr>
            <a:ln w="9525" cap="flat" cmpd="sng" algn="ctr">
              <a:noFill/>
              <a:round/>
            </a:ln>
            <a:effectLst/>
          </c:spPr>
        </c:majorGridlines>
        <c:numFmt formatCode="#,##0_);[Red]\(#,##0\)" sourceLinked="0"/>
        <c:majorTickMark val="in"/>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03407200"/>
        <c:crosses val="autoZero"/>
        <c:crossBetween val="between"/>
        <c:minorUnit val="10"/>
      </c:valAx>
      <c:spPr>
        <a:solidFill>
          <a:schemeClr val="bg1"/>
        </a:solidFill>
        <a:ln>
          <a:noFill/>
        </a:ln>
        <a:effectLst/>
      </c:spPr>
    </c:plotArea>
    <c:legend>
      <c:legendPos val="b"/>
      <c:layout>
        <c:manualLayout>
          <c:xMode val="edge"/>
          <c:yMode val="edge"/>
          <c:x val="0.27114616781104806"/>
          <c:y val="4.0234617619362513E-2"/>
          <c:w val="0.45770735900595322"/>
          <c:h val="0.107348079581655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withinLinear" id="18">
  <a:schemeClr val="accent5"/>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AEE91B-FF90-C643-9298-9A60A55F621E}" type="doc">
      <dgm:prSet loTypeId="urn:microsoft.com/office/officeart/2005/8/layout/pyramid1" loCatId="" qsTypeId="urn:microsoft.com/office/officeart/2005/8/quickstyle/simple1" qsCatId="simple" csTypeId="urn:microsoft.com/office/officeart/2005/8/colors/accent1_2" csCatId="accent1" phldr="1"/>
      <dgm:spPr/>
    </dgm:pt>
    <dgm:pt modelId="{ED66079E-5B3E-D041-8255-AAB086E781F1}">
      <dgm:prSet phldrT="[文本]" custT="1"/>
      <dgm:spPr>
        <a:solidFill>
          <a:schemeClr val="accent2">
            <a:lumMod val="60000"/>
            <a:lumOff val="40000"/>
          </a:schemeClr>
        </a:solidFill>
      </dgm:spPr>
      <dgm:t>
        <a:bodyPr/>
        <a:lstStyle/>
        <a:p>
          <a:pPr>
            <a:buNone/>
          </a:pPr>
          <a:endParaRPr lang="en-US" sz="1200" b="1" i="0"/>
        </a:p>
        <a:p>
          <a:pPr>
            <a:buNone/>
          </a:pPr>
          <a:r>
            <a:rPr lang="en-US" sz="800" b="1" i="0"/>
            <a:t>Precise </a:t>
          </a:r>
        </a:p>
        <a:p>
          <a:pPr>
            <a:buNone/>
          </a:pPr>
          <a:r>
            <a:rPr lang="en-US" sz="800" b="1" i="0"/>
            <a:t>Innovation, </a:t>
          </a:r>
        </a:p>
        <a:p>
          <a:pPr>
            <a:buNone/>
          </a:pPr>
          <a:r>
            <a:rPr lang="en-US" sz="800" b="1" i="0"/>
            <a:t>Targeted Solutions</a:t>
          </a:r>
          <a:endParaRPr lang="zh-CN" altLang="en-US" sz="800" b="1">
            <a:latin typeface="KaiTi" panose="02010609060101010101" pitchFamily="49" charset="-122"/>
            <a:ea typeface="KaiTi" panose="02010609060101010101" pitchFamily="49" charset="-122"/>
          </a:endParaRPr>
        </a:p>
      </dgm:t>
    </dgm:pt>
    <dgm:pt modelId="{1EFD15B3-E805-754D-93AC-071F1397144B}" type="parTrans" cxnId="{D476BE0B-CAEA-4D41-A0DA-6100283E517E}">
      <dgm:prSet/>
      <dgm:spPr/>
      <dgm:t>
        <a:bodyPr/>
        <a:lstStyle/>
        <a:p>
          <a:endParaRPr lang="zh-CN" altLang="en-US"/>
        </a:p>
      </dgm:t>
    </dgm:pt>
    <dgm:pt modelId="{863D2D5C-42C6-3E40-9620-110D0C63B1A4}" type="sibTrans" cxnId="{D476BE0B-CAEA-4D41-A0DA-6100283E517E}">
      <dgm:prSet/>
      <dgm:spPr/>
      <dgm:t>
        <a:bodyPr/>
        <a:lstStyle/>
        <a:p>
          <a:endParaRPr lang="zh-CN" altLang="en-US"/>
        </a:p>
      </dgm:t>
    </dgm:pt>
    <dgm:pt modelId="{11EA650E-96AD-0A4C-91E7-565BCE644552}">
      <dgm:prSet phldrT="[文本]" custT="1"/>
      <dgm:spPr>
        <a:solidFill>
          <a:schemeClr val="accent6">
            <a:lumMod val="60000"/>
            <a:lumOff val="40000"/>
          </a:schemeClr>
        </a:solidFill>
      </dgm:spPr>
      <dgm:t>
        <a:bodyPr/>
        <a:lstStyle/>
        <a:p>
          <a:pPr>
            <a:buNone/>
          </a:pPr>
          <a:r>
            <a:rPr lang="en-US" sz="1050" b="1" i="0"/>
            <a:t>Channel Penetration + Science Communication for Professional Mindshare</a:t>
          </a:r>
          <a:endParaRPr lang="zh-CN" altLang="en-US" sz="1050">
            <a:latin typeface="KaiTi" panose="02010609060101010101" pitchFamily="49" charset="-122"/>
            <a:ea typeface="KaiTi" panose="02010609060101010101" pitchFamily="49" charset="-122"/>
          </a:endParaRPr>
        </a:p>
      </dgm:t>
    </dgm:pt>
    <dgm:pt modelId="{88F1FB17-8466-2548-B2B6-E1187EF2DA5C}" type="parTrans" cxnId="{515195DE-2493-B745-9C0B-EAC45654C857}">
      <dgm:prSet/>
      <dgm:spPr/>
      <dgm:t>
        <a:bodyPr/>
        <a:lstStyle/>
        <a:p>
          <a:endParaRPr lang="zh-CN" altLang="en-US"/>
        </a:p>
      </dgm:t>
    </dgm:pt>
    <dgm:pt modelId="{5EF5180C-7ECD-6A4F-9DDC-9CD898CAA55B}" type="sibTrans" cxnId="{515195DE-2493-B745-9C0B-EAC45654C857}">
      <dgm:prSet/>
      <dgm:spPr/>
      <dgm:t>
        <a:bodyPr/>
        <a:lstStyle/>
        <a:p>
          <a:endParaRPr lang="zh-CN" altLang="en-US"/>
        </a:p>
      </dgm:t>
    </dgm:pt>
    <dgm:pt modelId="{988F11F1-B60B-444A-91D9-4A46B0917552}">
      <dgm:prSet phldrT="[文本]" custT="1"/>
      <dgm:spPr>
        <a:solidFill>
          <a:schemeClr val="tx2">
            <a:lumMod val="50000"/>
            <a:lumOff val="50000"/>
          </a:schemeClr>
        </a:solidFill>
      </dgm:spPr>
      <dgm:t>
        <a:bodyPr/>
        <a:lstStyle/>
        <a:p>
          <a:pPr>
            <a:buNone/>
          </a:pPr>
          <a:r>
            <a:rPr lang="en-US" sz="1100" b="1" i="0"/>
            <a:t>Medical Endorsement: The Ultimate Trust Anchor</a:t>
          </a:r>
          <a:endParaRPr lang="zh-CN" altLang="en-US" sz="1100">
            <a:latin typeface="KaiTi" panose="02010609060101010101" pitchFamily="49" charset="-122"/>
            <a:ea typeface="KaiTi" panose="02010609060101010101" pitchFamily="49" charset="-122"/>
          </a:endParaRPr>
        </a:p>
      </dgm:t>
    </dgm:pt>
    <dgm:pt modelId="{B365AD82-93A1-8940-889A-79B6839C4EE9}" type="parTrans" cxnId="{D315B10E-13D1-D84F-848B-D9FF40B4B87C}">
      <dgm:prSet/>
      <dgm:spPr/>
      <dgm:t>
        <a:bodyPr/>
        <a:lstStyle/>
        <a:p>
          <a:endParaRPr lang="zh-CN" altLang="en-US"/>
        </a:p>
      </dgm:t>
    </dgm:pt>
    <dgm:pt modelId="{7BC93663-2279-6F40-BDD6-3651AE755089}" type="sibTrans" cxnId="{D315B10E-13D1-D84F-848B-D9FF40B4B87C}">
      <dgm:prSet/>
      <dgm:spPr/>
      <dgm:t>
        <a:bodyPr/>
        <a:lstStyle/>
        <a:p>
          <a:endParaRPr lang="zh-CN" altLang="en-US"/>
        </a:p>
      </dgm:t>
    </dgm:pt>
    <dgm:pt modelId="{55315391-AED5-4E4B-96B4-60895A7E1299}" type="pres">
      <dgm:prSet presAssocID="{B5AEE91B-FF90-C643-9298-9A60A55F621E}" presName="Name0" presStyleCnt="0">
        <dgm:presLayoutVars>
          <dgm:dir/>
          <dgm:animLvl val="lvl"/>
          <dgm:resizeHandles val="exact"/>
        </dgm:presLayoutVars>
      </dgm:prSet>
      <dgm:spPr/>
    </dgm:pt>
    <dgm:pt modelId="{135809C7-CAD8-C04B-BFA9-07D5BCC7DDA9}" type="pres">
      <dgm:prSet presAssocID="{ED66079E-5B3E-D041-8255-AAB086E781F1}" presName="Name8" presStyleCnt="0"/>
      <dgm:spPr/>
    </dgm:pt>
    <dgm:pt modelId="{77955E0E-1B4B-9B41-922E-F90249184843}" type="pres">
      <dgm:prSet presAssocID="{ED66079E-5B3E-D041-8255-AAB086E781F1}" presName="level" presStyleLbl="node1" presStyleIdx="0" presStyleCnt="3">
        <dgm:presLayoutVars>
          <dgm:chMax val="1"/>
          <dgm:bulletEnabled val="1"/>
        </dgm:presLayoutVars>
      </dgm:prSet>
      <dgm:spPr/>
    </dgm:pt>
    <dgm:pt modelId="{C5BD0727-803F-F049-B93D-BC99D85EC106}" type="pres">
      <dgm:prSet presAssocID="{ED66079E-5B3E-D041-8255-AAB086E781F1}" presName="levelTx" presStyleLbl="revTx" presStyleIdx="0" presStyleCnt="0">
        <dgm:presLayoutVars>
          <dgm:chMax val="1"/>
          <dgm:bulletEnabled val="1"/>
        </dgm:presLayoutVars>
      </dgm:prSet>
      <dgm:spPr/>
    </dgm:pt>
    <dgm:pt modelId="{36F3F9F5-E802-754A-96F9-45EB3900AC9D}" type="pres">
      <dgm:prSet presAssocID="{11EA650E-96AD-0A4C-91E7-565BCE644552}" presName="Name8" presStyleCnt="0"/>
      <dgm:spPr/>
    </dgm:pt>
    <dgm:pt modelId="{EB074D18-DA83-7F4A-8DE6-296021AFBB62}" type="pres">
      <dgm:prSet presAssocID="{11EA650E-96AD-0A4C-91E7-565BCE644552}" presName="level" presStyleLbl="node1" presStyleIdx="1" presStyleCnt="3">
        <dgm:presLayoutVars>
          <dgm:chMax val="1"/>
          <dgm:bulletEnabled val="1"/>
        </dgm:presLayoutVars>
      </dgm:prSet>
      <dgm:spPr/>
    </dgm:pt>
    <dgm:pt modelId="{607972F1-8130-3D40-A461-700AA9A5EE31}" type="pres">
      <dgm:prSet presAssocID="{11EA650E-96AD-0A4C-91E7-565BCE644552}" presName="levelTx" presStyleLbl="revTx" presStyleIdx="0" presStyleCnt="0">
        <dgm:presLayoutVars>
          <dgm:chMax val="1"/>
          <dgm:bulletEnabled val="1"/>
        </dgm:presLayoutVars>
      </dgm:prSet>
      <dgm:spPr/>
    </dgm:pt>
    <dgm:pt modelId="{1D9102F6-D7EB-BA44-9B5A-89CE40598473}" type="pres">
      <dgm:prSet presAssocID="{988F11F1-B60B-444A-91D9-4A46B0917552}" presName="Name8" presStyleCnt="0"/>
      <dgm:spPr/>
    </dgm:pt>
    <dgm:pt modelId="{6F480717-402C-EB45-9A1A-FA76BBBFF178}" type="pres">
      <dgm:prSet presAssocID="{988F11F1-B60B-444A-91D9-4A46B0917552}" presName="level" presStyleLbl="node1" presStyleIdx="2" presStyleCnt="3" custLinFactNeighborX="-3545" custLinFactNeighborY="0">
        <dgm:presLayoutVars>
          <dgm:chMax val="1"/>
          <dgm:bulletEnabled val="1"/>
        </dgm:presLayoutVars>
      </dgm:prSet>
      <dgm:spPr/>
    </dgm:pt>
    <dgm:pt modelId="{3B404696-E15B-5A43-B4EE-6CAF9B71D789}" type="pres">
      <dgm:prSet presAssocID="{988F11F1-B60B-444A-91D9-4A46B0917552}" presName="levelTx" presStyleLbl="revTx" presStyleIdx="0" presStyleCnt="0">
        <dgm:presLayoutVars>
          <dgm:chMax val="1"/>
          <dgm:bulletEnabled val="1"/>
        </dgm:presLayoutVars>
      </dgm:prSet>
      <dgm:spPr/>
    </dgm:pt>
  </dgm:ptLst>
  <dgm:cxnLst>
    <dgm:cxn modelId="{20775003-04F9-2C41-9A23-212C96CAA4C9}" type="presOf" srcId="{988F11F1-B60B-444A-91D9-4A46B0917552}" destId="{6F480717-402C-EB45-9A1A-FA76BBBFF178}" srcOrd="0" destOrd="0" presId="urn:microsoft.com/office/officeart/2005/8/layout/pyramid1"/>
    <dgm:cxn modelId="{A1A2B804-A146-BD4A-B263-A7CBA4D7A47A}" type="presOf" srcId="{988F11F1-B60B-444A-91D9-4A46B0917552}" destId="{3B404696-E15B-5A43-B4EE-6CAF9B71D789}" srcOrd="1" destOrd="0" presId="urn:microsoft.com/office/officeart/2005/8/layout/pyramid1"/>
    <dgm:cxn modelId="{D476BE0B-CAEA-4D41-A0DA-6100283E517E}" srcId="{B5AEE91B-FF90-C643-9298-9A60A55F621E}" destId="{ED66079E-5B3E-D041-8255-AAB086E781F1}" srcOrd="0" destOrd="0" parTransId="{1EFD15B3-E805-754D-93AC-071F1397144B}" sibTransId="{863D2D5C-42C6-3E40-9620-110D0C63B1A4}"/>
    <dgm:cxn modelId="{D315B10E-13D1-D84F-848B-D9FF40B4B87C}" srcId="{B5AEE91B-FF90-C643-9298-9A60A55F621E}" destId="{988F11F1-B60B-444A-91D9-4A46B0917552}" srcOrd="2" destOrd="0" parTransId="{B365AD82-93A1-8940-889A-79B6839C4EE9}" sibTransId="{7BC93663-2279-6F40-BDD6-3651AE755089}"/>
    <dgm:cxn modelId="{5EDAF966-9C08-BB4A-A5DC-00FB739C0E99}" type="presOf" srcId="{ED66079E-5B3E-D041-8255-AAB086E781F1}" destId="{C5BD0727-803F-F049-B93D-BC99D85EC106}" srcOrd="1" destOrd="0" presId="urn:microsoft.com/office/officeart/2005/8/layout/pyramid1"/>
    <dgm:cxn modelId="{EFE2494B-F42B-7F49-B738-9B757FEE742F}" type="presOf" srcId="{B5AEE91B-FF90-C643-9298-9A60A55F621E}" destId="{55315391-AED5-4E4B-96B4-60895A7E1299}" srcOrd="0" destOrd="0" presId="urn:microsoft.com/office/officeart/2005/8/layout/pyramid1"/>
    <dgm:cxn modelId="{27A34872-E501-0845-848F-8DE9DE3C3672}" type="presOf" srcId="{ED66079E-5B3E-D041-8255-AAB086E781F1}" destId="{77955E0E-1B4B-9B41-922E-F90249184843}" srcOrd="0" destOrd="0" presId="urn:microsoft.com/office/officeart/2005/8/layout/pyramid1"/>
    <dgm:cxn modelId="{F4695B7D-3EEE-D244-80C1-17F33FD3F8FD}" type="presOf" srcId="{11EA650E-96AD-0A4C-91E7-565BCE644552}" destId="{607972F1-8130-3D40-A461-700AA9A5EE31}" srcOrd="1" destOrd="0" presId="urn:microsoft.com/office/officeart/2005/8/layout/pyramid1"/>
    <dgm:cxn modelId="{515195DE-2493-B745-9C0B-EAC45654C857}" srcId="{B5AEE91B-FF90-C643-9298-9A60A55F621E}" destId="{11EA650E-96AD-0A4C-91E7-565BCE644552}" srcOrd="1" destOrd="0" parTransId="{88F1FB17-8466-2548-B2B6-E1187EF2DA5C}" sibTransId="{5EF5180C-7ECD-6A4F-9DDC-9CD898CAA55B}"/>
    <dgm:cxn modelId="{07A229E2-5800-9C40-97F3-DECAB060F552}" type="presOf" srcId="{11EA650E-96AD-0A4C-91E7-565BCE644552}" destId="{EB074D18-DA83-7F4A-8DE6-296021AFBB62}" srcOrd="0" destOrd="0" presId="urn:microsoft.com/office/officeart/2005/8/layout/pyramid1"/>
    <dgm:cxn modelId="{76B4C6FA-1393-A643-8AA9-B84DF631654A}" type="presParOf" srcId="{55315391-AED5-4E4B-96B4-60895A7E1299}" destId="{135809C7-CAD8-C04B-BFA9-07D5BCC7DDA9}" srcOrd="0" destOrd="0" presId="urn:microsoft.com/office/officeart/2005/8/layout/pyramid1"/>
    <dgm:cxn modelId="{F4838B8B-54E1-4F4A-8E1E-654762A37EF3}" type="presParOf" srcId="{135809C7-CAD8-C04B-BFA9-07D5BCC7DDA9}" destId="{77955E0E-1B4B-9B41-922E-F90249184843}" srcOrd="0" destOrd="0" presId="urn:microsoft.com/office/officeart/2005/8/layout/pyramid1"/>
    <dgm:cxn modelId="{26FA1E6C-5E5F-034E-B1B6-243B9BAE2F4E}" type="presParOf" srcId="{135809C7-CAD8-C04B-BFA9-07D5BCC7DDA9}" destId="{C5BD0727-803F-F049-B93D-BC99D85EC106}" srcOrd="1" destOrd="0" presId="urn:microsoft.com/office/officeart/2005/8/layout/pyramid1"/>
    <dgm:cxn modelId="{9EF3DB4F-6C7C-0544-BB51-229E2FAE5F44}" type="presParOf" srcId="{55315391-AED5-4E4B-96B4-60895A7E1299}" destId="{36F3F9F5-E802-754A-96F9-45EB3900AC9D}" srcOrd="1" destOrd="0" presId="urn:microsoft.com/office/officeart/2005/8/layout/pyramid1"/>
    <dgm:cxn modelId="{CF3844FC-B6EE-C64A-9E02-F55BC13AB88A}" type="presParOf" srcId="{36F3F9F5-E802-754A-96F9-45EB3900AC9D}" destId="{EB074D18-DA83-7F4A-8DE6-296021AFBB62}" srcOrd="0" destOrd="0" presId="urn:microsoft.com/office/officeart/2005/8/layout/pyramid1"/>
    <dgm:cxn modelId="{331D97E4-41B7-3E47-A5F3-0E347D9D156A}" type="presParOf" srcId="{36F3F9F5-E802-754A-96F9-45EB3900AC9D}" destId="{607972F1-8130-3D40-A461-700AA9A5EE31}" srcOrd="1" destOrd="0" presId="urn:microsoft.com/office/officeart/2005/8/layout/pyramid1"/>
    <dgm:cxn modelId="{71E86F55-1603-4548-89A4-06C37476D22A}" type="presParOf" srcId="{55315391-AED5-4E4B-96B4-60895A7E1299}" destId="{1D9102F6-D7EB-BA44-9B5A-89CE40598473}" srcOrd="2" destOrd="0" presId="urn:microsoft.com/office/officeart/2005/8/layout/pyramid1"/>
    <dgm:cxn modelId="{7B3476D5-4983-204E-99E9-44C3A2B2A8C8}" type="presParOf" srcId="{1D9102F6-D7EB-BA44-9B5A-89CE40598473}" destId="{6F480717-402C-EB45-9A1A-FA76BBBFF178}" srcOrd="0" destOrd="0" presId="urn:microsoft.com/office/officeart/2005/8/layout/pyramid1"/>
    <dgm:cxn modelId="{3BC9FF73-97E7-1843-A923-F7A66CADDAA2}" type="presParOf" srcId="{1D9102F6-D7EB-BA44-9B5A-89CE40598473}" destId="{3B404696-E15B-5A43-B4EE-6CAF9B71D789}" srcOrd="1" destOrd="0" presId="urn:microsoft.com/office/officeart/2005/8/layout/pyramid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955E0E-1B4B-9B41-922E-F90249184843}">
      <dsp:nvSpPr>
        <dsp:cNvPr id="0" name=""/>
        <dsp:cNvSpPr/>
      </dsp:nvSpPr>
      <dsp:spPr>
        <a:xfrm>
          <a:off x="1417336" y="0"/>
          <a:ext cx="1417336" cy="752354"/>
        </a:xfrm>
        <a:prstGeom prst="trapezoid">
          <a:avLst>
            <a:gd name="adj" fmla="val 94193"/>
          </a:avLst>
        </a:prstGeom>
        <a:solidFill>
          <a:schemeClr val="accent2">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endParaRPr lang="en-US" sz="1200" b="1" i="0" kern="1200"/>
        </a:p>
        <a:p>
          <a:pPr marL="0" lvl="0" indent="0" algn="ctr" defTabSz="533400">
            <a:lnSpc>
              <a:spcPct val="90000"/>
            </a:lnSpc>
            <a:spcBef>
              <a:spcPct val="0"/>
            </a:spcBef>
            <a:spcAft>
              <a:spcPct val="35000"/>
            </a:spcAft>
            <a:buNone/>
          </a:pPr>
          <a:r>
            <a:rPr lang="en-US" sz="800" b="1" i="0" kern="1200"/>
            <a:t>Precise </a:t>
          </a:r>
        </a:p>
        <a:p>
          <a:pPr marL="0" lvl="0" indent="0" algn="ctr" defTabSz="533400">
            <a:lnSpc>
              <a:spcPct val="90000"/>
            </a:lnSpc>
            <a:spcBef>
              <a:spcPct val="0"/>
            </a:spcBef>
            <a:spcAft>
              <a:spcPct val="35000"/>
            </a:spcAft>
            <a:buNone/>
          </a:pPr>
          <a:r>
            <a:rPr lang="en-US" sz="800" b="1" i="0" kern="1200"/>
            <a:t>Innovation, </a:t>
          </a:r>
        </a:p>
        <a:p>
          <a:pPr marL="0" lvl="0" indent="0" algn="ctr" defTabSz="533400">
            <a:lnSpc>
              <a:spcPct val="90000"/>
            </a:lnSpc>
            <a:spcBef>
              <a:spcPct val="0"/>
            </a:spcBef>
            <a:spcAft>
              <a:spcPct val="35000"/>
            </a:spcAft>
            <a:buNone/>
          </a:pPr>
          <a:r>
            <a:rPr lang="en-US" sz="800" b="1" i="0" kern="1200"/>
            <a:t>Targeted Solutions</a:t>
          </a:r>
          <a:endParaRPr lang="zh-CN" altLang="en-US" sz="800" b="1" kern="1200">
            <a:latin typeface="KaiTi" panose="02010609060101010101" pitchFamily="49" charset="-122"/>
            <a:ea typeface="KaiTi" panose="02010609060101010101" pitchFamily="49" charset="-122"/>
          </a:endParaRPr>
        </a:p>
      </dsp:txBody>
      <dsp:txXfrm>
        <a:off x="1417336" y="0"/>
        <a:ext cx="1417336" cy="752354"/>
      </dsp:txXfrm>
    </dsp:sp>
    <dsp:sp modelId="{EB074D18-DA83-7F4A-8DE6-296021AFBB62}">
      <dsp:nvSpPr>
        <dsp:cNvPr id="0" name=""/>
        <dsp:cNvSpPr/>
      </dsp:nvSpPr>
      <dsp:spPr>
        <a:xfrm>
          <a:off x="708668" y="752354"/>
          <a:ext cx="2834672" cy="752354"/>
        </a:xfrm>
        <a:prstGeom prst="trapezoid">
          <a:avLst>
            <a:gd name="adj" fmla="val 94193"/>
          </a:avLst>
        </a:prstGeom>
        <a:solidFill>
          <a:schemeClr val="accent6">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i="0" kern="1200"/>
            <a:t>Channel Penetration + Science Communication for Professional Mindshare</a:t>
          </a:r>
          <a:endParaRPr lang="zh-CN" altLang="en-US" sz="1050" kern="1200">
            <a:latin typeface="KaiTi" panose="02010609060101010101" pitchFamily="49" charset="-122"/>
            <a:ea typeface="KaiTi" panose="02010609060101010101" pitchFamily="49" charset="-122"/>
          </a:endParaRPr>
        </a:p>
      </dsp:txBody>
      <dsp:txXfrm>
        <a:off x="1204735" y="752354"/>
        <a:ext cx="1842536" cy="752354"/>
      </dsp:txXfrm>
    </dsp:sp>
    <dsp:sp modelId="{6F480717-402C-EB45-9A1A-FA76BBBFF178}">
      <dsp:nvSpPr>
        <dsp:cNvPr id="0" name=""/>
        <dsp:cNvSpPr/>
      </dsp:nvSpPr>
      <dsp:spPr>
        <a:xfrm>
          <a:off x="0" y="1504708"/>
          <a:ext cx="4252008" cy="752354"/>
        </a:xfrm>
        <a:prstGeom prst="trapezoid">
          <a:avLst>
            <a:gd name="adj" fmla="val 94193"/>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i="0" kern="1200"/>
            <a:t>Medical Endorsement: The Ultimate Trust Anchor</a:t>
          </a:r>
          <a:endParaRPr lang="zh-CN" altLang="en-US" sz="1100" kern="1200">
            <a:latin typeface="KaiTi" panose="02010609060101010101" pitchFamily="49" charset="-122"/>
            <a:ea typeface="KaiTi" panose="02010609060101010101" pitchFamily="49" charset="-122"/>
          </a:endParaRPr>
        </a:p>
      </dsp:txBody>
      <dsp:txXfrm>
        <a:off x="744101" y="1504708"/>
        <a:ext cx="2763805" cy="752354"/>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7DF2113BC84988AC653F937B869E52"/>
        <w:category>
          <w:name w:val="常规"/>
          <w:gallery w:val="placeholder"/>
        </w:category>
        <w:types>
          <w:type w:val="bbPlcHdr"/>
        </w:types>
        <w:behaviors>
          <w:behavior w:val="content"/>
        </w:behaviors>
        <w:guid w:val="{CCC19E6C-F05C-44C1-B9B0-AB5549CC6D93}"/>
      </w:docPartPr>
      <w:docPartBody>
        <w:p w:rsidR="00431F34" w:rsidRDefault="00DE3AC3">
          <w:pPr>
            <w:pStyle w:val="0A7DF2113BC84988AC653F937B869E52"/>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1AAA" w:rsidRDefault="00D51AAA">
      <w:pPr>
        <w:spacing w:line="240" w:lineRule="auto"/>
        <w:rPr>
          <w:rFonts w:hint="eastAsia"/>
        </w:rPr>
      </w:pPr>
      <w:r>
        <w:separator/>
      </w:r>
    </w:p>
  </w:endnote>
  <w:endnote w:type="continuationSeparator" w:id="0">
    <w:p w:rsidR="00D51AAA" w:rsidRDefault="00D51AAA">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汉仪大黑简">
    <w:altName w:val="微软雅黑"/>
    <w:charset w:val="86"/>
    <w:family w:val="modern"/>
    <w:pitch w:val="default"/>
    <w:sig w:usb0="00000000" w:usb1="00000000" w:usb2="00000012"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2AEF" w:usb1="C0007841" w:usb2="00000009" w:usb3="00000000" w:csb0="400001FF" w:csb1="FFFF0000"/>
  </w:font>
  <w:font w:name="Helvetica Neue">
    <w:altName w:val="Sylfaen"/>
    <w:charset w:val="00"/>
    <w:family w:val="auto"/>
    <w:pitch w:val="default"/>
    <w:sig w:usb0="E50002FF" w:usb1="500079DB" w:usb2="00000010" w:usb3="00000000" w:csb0="00000000" w:csb1="00000000"/>
  </w:font>
  <w:font w:name="微软雅黑">
    <w:panose1 w:val="020B0503020204020204"/>
    <w:charset w:val="86"/>
    <w:family w:val="swiss"/>
    <w:pitch w:val="variable"/>
    <w:sig w:usb0="80000287" w:usb1="2ACF3C50" w:usb2="00000016" w:usb3="00000000" w:csb0="0004001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1AAA" w:rsidRDefault="00D51AAA">
      <w:pPr>
        <w:spacing w:after="0"/>
        <w:rPr>
          <w:rFonts w:hint="eastAsia"/>
        </w:rPr>
      </w:pPr>
      <w:r>
        <w:separator/>
      </w:r>
    </w:p>
  </w:footnote>
  <w:footnote w:type="continuationSeparator" w:id="0">
    <w:p w:rsidR="00D51AAA" w:rsidRDefault="00D51AAA">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462"/>
    <w:rsid w:val="000202AF"/>
    <w:rsid w:val="00033511"/>
    <w:rsid w:val="0004504F"/>
    <w:rsid w:val="00061815"/>
    <w:rsid w:val="00096427"/>
    <w:rsid w:val="000B5F4B"/>
    <w:rsid w:val="000C513D"/>
    <w:rsid w:val="000F5330"/>
    <w:rsid w:val="001022AE"/>
    <w:rsid w:val="00176706"/>
    <w:rsid w:val="00176D52"/>
    <w:rsid w:val="00196F29"/>
    <w:rsid w:val="001A6A8F"/>
    <w:rsid w:val="001A7AE2"/>
    <w:rsid w:val="001C46C0"/>
    <w:rsid w:val="001D5A22"/>
    <w:rsid w:val="001D7381"/>
    <w:rsid w:val="001D74D0"/>
    <w:rsid w:val="001E0203"/>
    <w:rsid w:val="001F66B2"/>
    <w:rsid w:val="00262310"/>
    <w:rsid w:val="00286FB5"/>
    <w:rsid w:val="002A0007"/>
    <w:rsid w:val="002B6266"/>
    <w:rsid w:val="002D795F"/>
    <w:rsid w:val="003108EF"/>
    <w:rsid w:val="00341C85"/>
    <w:rsid w:val="00364E72"/>
    <w:rsid w:val="003B16A5"/>
    <w:rsid w:val="003C12B9"/>
    <w:rsid w:val="003E3C68"/>
    <w:rsid w:val="003E4F87"/>
    <w:rsid w:val="00414D3F"/>
    <w:rsid w:val="00424972"/>
    <w:rsid w:val="00431F34"/>
    <w:rsid w:val="00433488"/>
    <w:rsid w:val="004653EA"/>
    <w:rsid w:val="004A77A0"/>
    <w:rsid w:val="00532462"/>
    <w:rsid w:val="00541960"/>
    <w:rsid w:val="00585FEA"/>
    <w:rsid w:val="00595417"/>
    <w:rsid w:val="00596F5C"/>
    <w:rsid w:val="005B3912"/>
    <w:rsid w:val="005C7598"/>
    <w:rsid w:val="005E5C14"/>
    <w:rsid w:val="00614240"/>
    <w:rsid w:val="006206E5"/>
    <w:rsid w:val="0062713A"/>
    <w:rsid w:val="00687F85"/>
    <w:rsid w:val="006A0886"/>
    <w:rsid w:val="006A2C06"/>
    <w:rsid w:val="006B39BB"/>
    <w:rsid w:val="007064AC"/>
    <w:rsid w:val="00726708"/>
    <w:rsid w:val="00731DBD"/>
    <w:rsid w:val="00732BE6"/>
    <w:rsid w:val="00744DA6"/>
    <w:rsid w:val="00757187"/>
    <w:rsid w:val="00757BB2"/>
    <w:rsid w:val="007B330D"/>
    <w:rsid w:val="007C609E"/>
    <w:rsid w:val="007F0961"/>
    <w:rsid w:val="00810603"/>
    <w:rsid w:val="008C5181"/>
    <w:rsid w:val="008D5780"/>
    <w:rsid w:val="008F1387"/>
    <w:rsid w:val="008F3F7E"/>
    <w:rsid w:val="00912C77"/>
    <w:rsid w:val="009255EC"/>
    <w:rsid w:val="00925BF6"/>
    <w:rsid w:val="00936C11"/>
    <w:rsid w:val="00943AFF"/>
    <w:rsid w:val="00955955"/>
    <w:rsid w:val="00976834"/>
    <w:rsid w:val="00996501"/>
    <w:rsid w:val="009D5877"/>
    <w:rsid w:val="009D778E"/>
    <w:rsid w:val="00A354E2"/>
    <w:rsid w:val="00A4142A"/>
    <w:rsid w:val="00AA6AF1"/>
    <w:rsid w:val="00AC1224"/>
    <w:rsid w:val="00AF3D48"/>
    <w:rsid w:val="00B542A3"/>
    <w:rsid w:val="00B61A81"/>
    <w:rsid w:val="00B70510"/>
    <w:rsid w:val="00BF41B8"/>
    <w:rsid w:val="00BF7880"/>
    <w:rsid w:val="00C46ABE"/>
    <w:rsid w:val="00CE6729"/>
    <w:rsid w:val="00CE76D0"/>
    <w:rsid w:val="00CF7F45"/>
    <w:rsid w:val="00D12B3B"/>
    <w:rsid w:val="00D15E10"/>
    <w:rsid w:val="00D459B3"/>
    <w:rsid w:val="00D51AAA"/>
    <w:rsid w:val="00D52466"/>
    <w:rsid w:val="00D715ED"/>
    <w:rsid w:val="00D81B9A"/>
    <w:rsid w:val="00D92F8D"/>
    <w:rsid w:val="00DB417A"/>
    <w:rsid w:val="00DC66FE"/>
    <w:rsid w:val="00DD0428"/>
    <w:rsid w:val="00DD421F"/>
    <w:rsid w:val="00DE3AC3"/>
    <w:rsid w:val="00E4331C"/>
    <w:rsid w:val="00E9250A"/>
    <w:rsid w:val="00EB739C"/>
    <w:rsid w:val="00EE3423"/>
    <w:rsid w:val="00EF39F2"/>
    <w:rsid w:val="00EF4CD7"/>
    <w:rsid w:val="00F1146A"/>
    <w:rsid w:val="00F20939"/>
    <w:rsid w:val="00F6057C"/>
    <w:rsid w:val="00F613D7"/>
    <w:rsid w:val="00F729C8"/>
    <w:rsid w:val="00F80B9B"/>
    <w:rsid w:val="00F812B2"/>
    <w:rsid w:val="00FA5472"/>
    <w:rsid w:val="00FC577F"/>
    <w:rsid w:val="00FF6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A7DF2113BC84988AC653F937B869E52">
    <w:name w:val="0A7DF2113BC84988AC653F937B869E52"/>
    <w:qFormat/>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NDg5OTEyMTM4NzA0IiwKCSJHcm91cElkIiA6ICIzOTEyMDIxOTEiLAoJIkltYWdlIiA6ICJpVkJPUncwS0dnb0FBQUFOU1VoRVVnQUFCVGNBQUFKMUNBWUFBQUFNZzhSS0FBQUFBWE5TUjBJQXJzNGM2UUFBSUFCSlJFRlVlSnpzM1hkY0UvZi9CL0JYQWlRRXd0NTdLS2dzQlJRSEttN0YwV0cxdGEzYW9XMnR2N2FPMmoyMXRidmExbS9WN21tcmJXMXQxVmF0Qy9kR1FVRVVRV1hMaHJCRDh2c2pJU1lrWVNOb1g4L0h3OGREa3J2TDNTV1h1N3p2L1htL0FT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lBwL3dOUUZJaWpKcEFML3dBQUFBQkpSVTVFcmtKZ2dnPT0iLAoJIlRoZW1lIiA6ICIiLAoJIlR5cGUiIDogImZsb3ciLAoJIlVzZXJJZCIgOiAiMzc4NTQwODQ2IiwKCSJWZXJzaW9uIiA6ICIz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38</Pages>
  <Words>13379</Words>
  <Characters>67699</Characters>
  <Application>Microsoft Office Word</Application>
  <DocSecurity>0</DocSecurity>
  <Lines>2051</Lines>
  <Paragraphs>1052</Paragraphs>
  <ScaleCrop>false</ScaleCrop>
  <Company/>
  <LinksUpToDate>false</LinksUpToDate>
  <CharactersWithSpaces>80026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强 罗</dc:creator>
  <cp:lastModifiedBy>Zizhou Zheng</cp:lastModifiedBy>
  <cp:revision>56</cp:revision>
  <cp:lastPrinted>2026-03-12T12:31:00Z</cp:lastPrinted>
  <dcterms:created xsi:type="dcterms:W3CDTF">2026-03-13T00:41:00Z</dcterms:created>
  <dcterms:modified xsi:type="dcterms:W3CDTF">2026-03-16T10:18:00Z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eyJoZGlkIjoiM2E5NjczNmI5OTNhZTUxMjE3NmNiMTEwMTY2ZmFhMzgiLCJ1c2VySWQiOiI1NjUzMjUxMzUifQ==</vt:lpwstr>
  </property>
  <property fmtid="{D5CDD505-2E9C-101B-9397-08002B2CF9AE}" pid="3" name="KSOProductBuildVer">
    <vt:lpwstr>2052-12.1.24709.24709</vt:lpwstr>
  </property>
  <property fmtid="{D5CDD505-2E9C-101B-9397-08002B2CF9AE}" pid="4" name="ICV">
    <vt:lpwstr>8321AE5558B5B89D4C507969532D0B9D_43</vt:lpwstr>
  </property>
</Properties>
</file>