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13.xml" ContentType="application/vnd.ms-office.chartcolorstyle+xml"/>
  <Override PartName="/word/charts/colors14.xml" ContentType="application/vnd.ms-office.chartcolorstyle+xml"/>
  <Override PartName="/word/charts/colors15.xml" ContentType="application/vnd.ms-office.chartcolorstyle+xml"/>
  <Override PartName="/word/charts/colors16.xml" ContentType="application/vnd.ms-office.chartcolorstyle+xml"/>
  <Override PartName="/word/charts/colors17.xml" ContentType="application/vnd.ms-office.chartcolorstyle+xml"/>
  <Override PartName="/word/charts/colors18.xml" ContentType="application/vnd.ms-office.chartcolorstyle+xml"/>
  <Override PartName="/word/charts/colors19.xml" ContentType="application/vnd.ms-office.chartcolorstyle+xml"/>
  <Override PartName="/word/charts/colors2.xml" ContentType="application/vnd.ms-office.chartcolorstyle+xml"/>
  <Override PartName="/word/charts/colors20.xml" ContentType="application/vnd.ms-office.chartcolorstyle+xml"/>
  <Override PartName="/word/charts/colors21.xml" ContentType="application/vnd.ms-office.chartcolorstyle+xml"/>
  <Override PartName="/word/charts/colors22.xml" ContentType="application/vnd.ms-office.chartcolorstyle+xml"/>
  <Override PartName="/word/charts/colors23.xml" ContentType="application/vnd.ms-office.chartcolorstyle+xml"/>
  <Override PartName="/word/charts/colors24.xml" ContentType="application/vnd.ms-office.chartcolorstyle+xml"/>
  <Override PartName="/word/charts/colors25.xml" ContentType="application/vnd.ms-office.chartcolorstyle+xml"/>
  <Override PartName="/word/charts/colors26.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13.xml" ContentType="application/vnd.ms-office.chartstyle+xml"/>
  <Override PartName="/word/charts/style14.xml" ContentType="application/vnd.ms-office.chartstyle+xml"/>
  <Override PartName="/word/charts/style15.xml" ContentType="application/vnd.ms-office.chartstyle+xml"/>
  <Override PartName="/word/charts/style16.xml" ContentType="application/vnd.ms-office.chartstyle+xml"/>
  <Override PartName="/word/charts/style17.xml" ContentType="application/vnd.ms-office.chartstyle+xml"/>
  <Override PartName="/word/charts/style18.xml" ContentType="application/vnd.ms-office.chartstyle+xml"/>
  <Override PartName="/word/charts/style19.xml" ContentType="application/vnd.ms-office.chartstyle+xml"/>
  <Override PartName="/word/charts/style2.xml" ContentType="application/vnd.ms-office.chartstyle+xml"/>
  <Override PartName="/word/charts/style20.xml" ContentType="application/vnd.ms-office.chartstyle+xml"/>
  <Override PartName="/word/charts/style21.xml" ContentType="application/vnd.ms-office.chartstyle+xml"/>
  <Override PartName="/word/charts/style22.xml" ContentType="application/vnd.ms-office.chartstyle+xml"/>
  <Override PartName="/word/charts/style23.xml" ContentType="application/vnd.ms-office.chartstyle+xml"/>
  <Override PartName="/word/charts/style24.xml" ContentType="application/vnd.ms-office.chartstyle+xml"/>
  <Override PartName="/word/charts/style25.xml" ContentType="application/vnd.ms-office.chartstyle+xml"/>
  <Override PartName="/word/charts/style26.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10.xml" ContentType="application/vnd.openxmlformats-officedocument.themeOverride+xml"/>
  <Override PartName="/word/theme/themeOverride11.xml" ContentType="application/vnd.openxmlformats-officedocument.themeOverride+xml"/>
  <Override PartName="/word/theme/themeOverride12.xml" ContentType="application/vnd.openxmlformats-officedocument.themeOverride+xml"/>
  <Override PartName="/word/theme/themeOverride13.xml" ContentType="application/vnd.openxmlformats-officedocument.themeOverride+xml"/>
  <Override PartName="/word/theme/themeOverride14.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Override PartName="/word/theme/themeOverride6.xml" ContentType="application/vnd.openxmlformats-officedocument.themeOverride+xml"/>
  <Override PartName="/word/theme/themeOverride7.xml" ContentType="application/vnd.openxmlformats-officedocument.themeOverride+xml"/>
  <Override PartName="/word/theme/themeOverride8.xml" ContentType="application/vnd.openxmlformats-officedocument.themeOverride+xml"/>
  <Override PartName="/word/theme/themeOverride9.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3"/>
        <w:tblpPr w:tblpXSpec="right" w:tblpY="285"/>
        <w:tblOverlap w:val="never"/>
        <w:tblW w:w="10740" w:type="dxa"/>
        <w:tblCaption w:val="[Table_Main]"/>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30" w:type="dxa"/>
          <w:bottom w:w="0" w:type="dxa"/>
          <w:right w:w="40" w:type="dxa"/>
        </w:tblCellMar>
      </w:tblPr>
      <w:tblGrid>
        <w:gridCol w:w="63"/>
        <w:gridCol w:w="4111"/>
        <w:gridCol w:w="2467"/>
        <w:gridCol w:w="1276"/>
        <w:gridCol w:w="2823"/>
        <w:gridCol w:w="63"/>
      </w:tblGrid>
      <w:tr w14:paraId="701D7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3" w:hRule="exact"/>
        </w:trPr>
        <w:tc>
          <w:tcPr>
            <w:tcW w:w="6641" w:type="dxa"/>
            <w:gridSpan w:val="3"/>
            <w:tcMar>
              <w:top w:w="60" w:type="dxa"/>
              <w:left w:w="120" w:type="dxa"/>
            </w:tcMar>
          </w:tcPr>
          <w:p w14:paraId="2DC83B64">
            <w:pPr>
              <w:pStyle w:val="120"/>
              <w:rPr>
                <w:rFonts w:hint="default" w:ascii="Calibri" w:hAnsi="Calibri" w:eastAsia="楷体_GB2312" w:cs="Calibri"/>
                <w:color w:val="FFFFFF" w:themeColor="background1"/>
                <w:sz w:val="21"/>
                <w:szCs w:val="21"/>
                <w:lang w:eastAsia="zh-CN"/>
                <w14:textFill>
                  <w14:solidFill>
                    <w14:schemeClr w14:val="bg1"/>
                  </w14:solidFill>
                </w14:textFill>
              </w:rPr>
            </w:pPr>
            <w:r>
              <w:rPr>
                <w:rFonts w:hint="default" w:ascii="Calibri" w:hAnsi="Calibri" w:eastAsia="楷体_GB2312" w:cs="Calibri"/>
                <w:color w:val="FFFFFF" w:themeColor="background1"/>
                <w:sz w:val="21"/>
                <w:szCs w:val="21"/>
                <w:lang w:eastAsia="zh-CN"/>
                <w14:textFill>
                  <w14:solidFill>
                    <w14:schemeClr w14:val="bg1"/>
                  </w14:solidFill>
                </w14:textFill>
              </w:rPr>
              <w:t>[Table_Main]</w:t>
            </w:r>
          </w:p>
        </w:tc>
        <w:tc>
          <w:tcPr>
            <w:tcW w:w="1276" w:type="dxa"/>
            <w:vAlign w:val="center"/>
          </w:tcPr>
          <w:p w14:paraId="759B4696">
            <w:pPr>
              <w:pStyle w:val="25"/>
              <w:framePr w:wrap="auto" w:vAnchor="margin" w:hAnchor="text" w:xAlign="left" w:yAlign="inline"/>
              <w:rPr>
                <w:rFonts w:hint="default" w:ascii="Calibri" w:hAnsi="Calibri" w:eastAsia="楷体_GB2312" w:cs="Calibri"/>
                <w:highlight w:val="yellow"/>
              </w:rPr>
            </w:pPr>
          </w:p>
        </w:tc>
        <w:tc>
          <w:tcPr>
            <w:tcW w:w="2823" w:type="dxa"/>
          </w:tcPr>
          <w:p w14:paraId="60EFF1D6">
            <w:pPr>
              <w:pStyle w:val="24"/>
              <w:framePr w:wrap="auto" w:vAnchor="margin" w:hAnchor="text" w:xAlign="left" w:yAlign="inline"/>
              <w:rPr>
                <w:rFonts w:hint="default" w:ascii="Calibri" w:hAnsi="Calibri" w:eastAsia="楷体_GB2312" w:cs="Calibri"/>
                <w:highlight w:val="yellow"/>
              </w:rPr>
            </w:pPr>
          </w:p>
        </w:tc>
      </w:tr>
      <w:tr w14:paraId="1603D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318" w:hRule="exact"/>
        </w:trPr>
        <w:tc>
          <w:tcPr>
            <w:tcW w:w="6641" w:type="dxa"/>
            <w:gridSpan w:val="3"/>
            <w:tcMar>
              <w:top w:w="60" w:type="dxa"/>
              <w:left w:w="119" w:type="dxa"/>
              <w:right w:w="0" w:type="dxa"/>
            </w:tcMar>
            <w:vAlign w:val="center"/>
          </w:tcPr>
          <w:p w14:paraId="355D012A">
            <w:pPr>
              <w:pStyle w:val="25"/>
              <w:framePr w:wrap="auto" w:vAnchor="margin" w:hAnchor="text" w:xAlign="left" w:yAlign="inline"/>
              <w:rPr>
                <w:rFonts w:hint="default" w:ascii="Calibri" w:hAnsi="Calibri" w:eastAsia="楷体_GB2312" w:cs="Calibri"/>
                <w:b w:val="0"/>
                <w:sz w:val="16"/>
                <w:lang w:eastAsia="zh-CN"/>
              </w:rPr>
            </w:pPr>
            <w:r>
              <w:rPr>
                <w:rFonts w:hint="default" w:ascii="Calibri" w:hAnsi="Calibri" w:eastAsia="楷体_GB2312" w:cs="Calibri"/>
                <w:b w:val="0"/>
                <w:sz w:val="16"/>
                <w:lang w:eastAsia="zh-CN"/>
              </w:rPr>
              <w:t>Research Report</w:t>
            </w:r>
          </w:p>
        </w:tc>
        <w:tc>
          <w:tcPr>
            <w:tcW w:w="4099" w:type="dxa"/>
            <w:gridSpan w:val="2"/>
          </w:tcPr>
          <w:p w14:paraId="4C0279B4">
            <w:pPr>
              <w:pStyle w:val="120"/>
              <w:rPr>
                <w:rFonts w:hint="default" w:ascii="Calibri" w:hAnsi="Calibri" w:eastAsia="楷体_GB2312" w:cs="Calibri"/>
                <w:sz w:val="16"/>
                <w:szCs w:val="16"/>
                <w:lang w:eastAsia="zh-CN"/>
              </w:rPr>
            </w:pPr>
          </w:p>
        </w:tc>
      </w:tr>
      <w:tr w14:paraId="71FA5A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76" w:hRule="exact"/>
        </w:trPr>
        <w:tc>
          <w:tcPr>
            <w:tcW w:w="6641" w:type="dxa"/>
            <w:gridSpan w:val="3"/>
            <w:tcMar>
              <w:top w:w="60" w:type="dxa"/>
              <w:left w:w="119" w:type="dxa"/>
              <w:right w:w="0" w:type="dxa"/>
            </w:tcMar>
            <w:vAlign w:val="center"/>
          </w:tcPr>
          <w:p w14:paraId="2CB1D3C0">
            <w:pPr>
              <w:pStyle w:val="25"/>
              <w:framePr w:wrap="auto" w:vAnchor="margin" w:hAnchor="text" w:xAlign="left" w:yAlign="inline"/>
              <w:rPr>
                <w:rFonts w:hint="default" w:ascii="Calibri" w:hAnsi="Calibri" w:eastAsia="楷体_GB2312" w:cs="Calibri"/>
                <w:b w:val="0"/>
                <w:sz w:val="20"/>
                <w:szCs w:val="20"/>
              </w:rPr>
            </w:pPr>
            <w:r>
              <w:rPr>
                <w:rFonts w:ascii="Calibri" w:eastAsia="楷体_GB2312"/>
                <w:b w:val="0"/>
                <w:i w:val="0"/>
                <w:color w:val="215E99"/>
                <w:sz w:val="16"/>
              </w:rPr>
              <w:t>16 Mar 2026</w:t>
            </w:r>
          </w:p>
        </w:tc>
        <w:tc>
          <w:tcPr>
            <w:tcW w:w="4099" w:type="dxa"/>
            <w:gridSpan w:val="2"/>
          </w:tcPr>
          <w:p w14:paraId="3D153761">
            <w:pPr>
              <w:pStyle w:val="120"/>
              <w:rPr>
                <w:rFonts w:hint="default" w:ascii="Calibri" w:hAnsi="Calibri" w:eastAsia="楷体_GB2312" w:cs="Calibri"/>
                <w:sz w:val="16"/>
                <w:szCs w:val="16"/>
                <w:lang w:eastAsia="zh-CN"/>
              </w:rPr>
            </w:pPr>
          </w:p>
        </w:tc>
      </w:tr>
      <w:tr w14:paraId="4BAEF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57" w:hRule="exact"/>
        </w:trPr>
        <w:tc>
          <w:tcPr>
            <w:tcW w:w="10740" w:type="dxa"/>
            <w:gridSpan w:val="5"/>
            <w:tcMar>
              <w:top w:w="60" w:type="dxa"/>
              <w:left w:w="119" w:type="dxa"/>
              <w:right w:w="0" w:type="dxa"/>
            </w:tcMar>
          </w:tcPr>
          <w:p w14:paraId="2C797CA1">
            <w:pPr>
              <w:pStyle w:val="24"/>
              <w:framePr w:wrap="auto" w:vAnchor="margin" w:hAnchor="text" w:xAlign="left" w:yAlign="inline"/>
              <w:jc w:val="left"/>
              <w:rPr>
                <w:rFonts w:hint="default" w:ascii="Calibri" w:hAnsi="Calibri" w:eastAsia="楷体_GB2312" w:cs="Calibri"/>
                <w:sz w:val="40"/>
                <w:szCs w:val="40"/>
                <w:lang w:eastAsia="zh-CN"/>
              </w:rPr>
            </w:pPr>
          </w:p>
        </w:tc>
      </w:tr>
      <w:tr w14:paraId="4EFCF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601" w:hRule="exact"/>
        </w:trPr>
        <w:tc>
          <w:tcPr>
            <w:tcW w:w="10740" w:type="dxa"/>
            <w:gridSpan w:val="5"/>
            <w:tcMar>
              <w:top w:w="60" w:type="dxa"/>
              <w:left w:w="119" w:type="dxa"/>
              <w:right w:w="0" w:type="dxa"/>
            </w:tcMar>
          </w:tcPr>
          <w:p w14:paraId="12F4A8D0">
            <w:pPr>
              <w:pStyle w:val="24"/>
              <w:framePr w:wrap="auto" w:vAnchor="margin" w:hAnchor="text" w:xAlign="left" w:yAlign="inline"/>
              <w:jc w:val="left"/>
              <w:rPr>
                <w:rFonts w:hint="default" w:ascii="Calibri" w:hAnsi="Calibri" w:eastAsia="楷体_GB2312" w:cs="Calibri"/>
                <w:sz w:val="40"/>
                <w:szCs w:val="40"/>
                <w:lang w:eastAsia="zh-CN"/>
              </w:rPr>
            </w:pPr>
            <w:r>
              <w:rPr>
                <w:rFonts w:ascii="Calibri" w:eastAsia="楷体_GB2312"/>
                <w:b/>
                <w:i w:val="0"/>
                <w:color w:val="215E99"/>
                <w:sz w:val="40"/>
              </w:rPr>
              <w:t>L'Oréal Group(OR PA)</w:t>
            </w:r>
          </w:p>
        </w:tc>
      </w:tr>
      <w:tr w14:paraId="6FCB2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773" w:hRule="exact"/>
        </w:trPr>
        <w:tc>
          <w:tcPr>
            <w:tcW w:w="10740" w:type="dxa"/>
            <w:gridSpan w:val="5"/>
            <w:tcMar>
              <w:top w:w="60" w:type="dxa"/>
              <w:left w:w="119" w:type="dxa"/>
              <w:right w:w="0" w:type="dxa"/>
            </w:tcMar>
          </w:tcPr>
          <w:p w14:paraId="59D8DE0B">
            <w:pPr>
              <w:pStyle w:val="120"/>
              <w:rPr>
                <w:rFonts w:hint="default" w:ascii="Calibri" w:hAnsi="Calibri" w:eastAsia="楷体_GB2312" w:cs="Calibri"/>
                <w:b w:val="0"/>
                <w:color w:val="23558C"/>
                <w:sz w:val="44"/>
                <w:szCs w:val="44"/>
                <w:lang w:eastAsia="zh-CN"/>
              </w:rPr>
            </w:pPr>
            <w:r>
              <w:rPr>
                <w:rFonts w:ascii="Calibri" w:eastAsia="楷体_GB2312"/>
                <w:b w:val="0"/>
                <w:i w:val="0"/>
                <w:color w:val="215E99"/>
                <w:sz w:val="32"/>
              </w:rPr>
              <w:t>Enduring Power and Innovation Driving the Global Beauty Leader: Initiation</w:t>
            </w:r>
          </w:p>
        </w:tc>
      </w:tr>
      <w:tr w14:paraId="21E7E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453" w:hRule="atLeast"/>
        </w:trPr>
        <w:tc>
          <w:tcPr>
            <w:tcW w:w="10740" w:type="dxa"/>
            <w:gridSpan w:val="5"/>
            <w:tcMar>
              <w:top w:w="60" w:type="dxa"/>
              <w:left w:w="119" w:type="dxa"/>
              <w:right w:w="0" w:type="dxa"/>
            </w:tcMar>
          </w:tcPr>
          <w:p w14:paraId="3BF43026">
            <w:pPr>
              <w:pStyle w:val="24"/>
              <w:framePr w:wrap="auto" w:vAnchor="margin" w:hAnchor="text" w:xAlign="left" w:yAlign="inline"/>
              <w:rPr>
                <w:rFonts w:hint="default" w:ascii="Calibri" w:hAnsi="Calibri" w:eastAsia="楷体_GB2312" w:cs="Calibri"/>
                <w:szCs w:val="24"/>
                <w:lang w:eastAsia="zh-CN"/>
              </w:rPr>
            </w:pPr>
          </w:p>
        </w:tc>
      </w:tr>
      <w:tr w14:paraId="1DB2E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3" w:hRule="exact"/>
        </w:trPr>
        <w:tc>
          <w:tcPr>
            <w:tcW w:w="10740" w:type="dxa"/>
            <w:gridSpan w:val="5"/>
            <w:tcMar>
              <w:left w:w="119" w:type="dxa"/>
            </w:tcMar>
          </w:tcPr>
          <w:p w14:paraId="58B11D03">
            <w:pPr>
              <w:pStyle w:val="24"/>
              <w:framePr w:wrap="auto" w:vAnchor="margin" w:hAnchor="text" w:xAlign="left" w:yAlign="inline"/>
              <w:rPr>
                <w:rFonts w:hint="default" w:ascii="Calibri" w:hAnsi="Calibri" w:eastAsia="楷体_GB2312" w:cs="Calibri"/>
              </w:rPr>
            </w:pPr>
          </w:p>
        </w:tc>
      </w:tr>
      <w:tr w14:paraId="2003E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Before w:val="1"/>
          <w:wBefore w:w="63" w:type="dxa"/>
          <w:trHeight w:val="6815" w:hRule="atLeast"/>
        </w:trPr>
        <w:tc>
          <w:tcPr>
            <w:tcW w:w="4111" w:type="dxa"/>
            <w:tcMar>
              <w:left w:w="57" w:type="dxa"/>
            </w:tcMar>
          </w:tcPr>
          <w:tbl>
            <w:tblPr>
              <w:tblStyle w:val="13"/>
              <w:tblW w:w="4014" w:type="dxa"/>
              <w:tblCaption w:val="[Table_Info]"/>
              <w:tblDescription w:val="表格隐藏唯一标识（请勿删除或修改）"/>
              <w:tblInd w:w="0" w:type="dxa"/>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Layout w:type="fixed"/>
              <w:tblCellMar>
                <w:top w:w="0" w:type="dxa"/>
                <w:left w:w="0" w:type="dxa"/>
                <w:bottom w:w="0" w:type="dxa"/>
                <w:right w:w="0" w:type="dxa"/>
              </w:tblCellMar>
            </w:tblPr>
            <w:tblGrid>
              <w:gridCol w:w="1700"/>
              <w:gridCol w:w="2314"/>
            </w:tblGrid>
            <w:tr w14:paraId="5AAAB56B">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 w:hRule="exact"/>
              </w:trPr>
              <w:tc>
                <w:tcPr>
                  <w:tcW w:w="4071" w:type="dxa"/>
                  <w:gridSpan w:val="2"/>
                  <w:tcBorders>
                    <w:top w:val="nil"/>
                    <w:left w:val="nil"/>
                    <w:bottom w:val="single" w:color="23558C" w:sz="12" w:space="0"/>
                    <w:right w:val="nil"/>
                  </w:tcBorders>
                </w:tcPr>
                <w:p w14:paraId="59923FE9">
                  <w:pPr>
                    <w:adjustRightInd w:val="0"/>
                    <w:snapToGrid w:val="0"/>
                    <w:rPr>
                      <w:rFonts w:hint="default" w:ascii="Calibri" w:hAnsi="Calibri" w:eastAsia="楷体_GB2312" w:cs="Calibri"/>
                      <w:sz w:val="21"/>
                      <w:szCs w:val="21"/>
                      <w:lang w:eastAsia="zh-CN"/>
                    </w:rPr>
                  </w:pPr>
                  <w:r>
                    <w:rPr>
                      <w:rFonts w:hint="default" w:ascii="Calibri" w:hAnsi="Calibri" w:eastAsia="楷体_GB2312" w:cs="Calibri"/>
                      <w:color w:val="FFFFFF"/>
                      <w:sz w:val="21"/>
                      <w:szCs w:val="21"/>
                      <w:lang w:eastAsia="zh-CN"/>
                    </w:rPr>
                    <w:t>[Table_Info]</w:t>
                  </w:r>
                </w:p>
              </w:tc>
            </w:tr>
            <w:tr w14:paraId="042588E7">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84" w:hRule="exact"/>
              </w:trPr>
              <w:tc>
                <w:tcPr>
                  <w:tcW w:w="4071" w:type="dxa"/>
                  <w:gridSpan w:val="2"/>
                  <w:tcBorders>
                    <w:top w:val="single" w:color="23558C" w:sz="12" w:space="0"/>
                  </w:tcBorders>
                  <w:shd w:val="clear" w:color="auto" w:fill="23558C"/>
                  <w:tcMar>
                    <w:left w:w="0" w:type="dxa"/>
                  </w:tcMar>
                </w:tcPr>
                <w:p w14:paraId="61FEB9AA">
                  <w:pPr>
                    <w:adjustRightInd w:val="0"/>
                    <w:snapToGrid w:val="0"/>
                    <w:ind w:right="85" w:firstLine="85"/>
                    <w:jc w:val="center"/>
                    <w:rPr>
                      <w:rFonts w:hint="default" w:ascii="Calibri" w:hAnsi="Calibri" w:eastAsia="楷体_GB2312" w:cs="Calibri"/>
                      <w:b/>
                      <w:i/>
                      <w:color w:val="23558C"/>
                      <w:sz w:val="24"/>
                      <w:szCs w:val="14"/>
                      <w:lang w:eastAsia="zh-CN"/>
                    </w:rPr>
                  </w:pPr>
                  <w:r>
                    <w:rPr>
                      <w:rFonts w:ascii="Calibri" w:eastAsia="楷体_GB2312"/>
                      <w:b/>
                      <w:i/>
                      <w:color w:val="FFFFFF"/>
                      <w:sz w:val="22"/>
                    </w:rPr>
                    <w:t>Initiate with OUTPERFORM</w:t>
                  </w:r>
                </w:p>
              </w:tc>
            </w:tr>
            <w:tr w14:paraId="6D666990">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70" w:hRule="exact"/>
              </w:trPr>
              <w:tc>
                <w:tcPr>
                  <w:tcW w:w="4071" w:type="dxa"/>
                  <w:gridSpan w:val="2"/>
                  <w:tcMar>
                    <w:left w:w="0" w:type="dxa"/>
                  </w:tcMar>
                </w:tcPr>
                <w:p w14:paraId="2F01A6BD">
                  <w:pPr>
                    <w:adjustRightInd w:val="0"/>
                    <w:snapToGrid w:val="0"/>
                    <w:ind w:right="85" w:firstLine="85"/>
                    <w:rPr>
                      <w:rFonts w:hint="default" w:ascii="Calibri" w:hAnsi="Calibri" w:eastAsia="楷体_GB2312" w:cs="Calibri"/>
                      <w:b/>
                      <w:color w:val="23558C"/>
                      <w:szCs w:val="14"/>
                      <w:lang w:eastAsia="zh-CN"/>
                    </w:rPr>
                  </w:pPr>
                </w:p>
              </w:tc>
            </w:tr>
            <w:tr w14:paraId="1702D247">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0CECAF67">
                  <w:pPr>
                    <w:adjustRightInd w:val="0"/>
                    <w:snapToGrid w:val="0"/>
                    <w:ind w:right="85" w:firstLine="85"/>
                    <w:rPr>
                      <w:rFonts w:hint="default" w:ascii="Calibri" w:hAnsi="Calibri" w:eastAsia="楷体_GB2312" w:cs="Calibri"/>
                      <w:color w:val="23558C"/>
                      <w:szCs w:val="14"/>
                      <w:lang w:eastAsia="zh-CN"/>
                    </w:rPr>
                  </w:pPr>
                  <w:r>
                    <w:rPr>
                      <w:rFonts w:hint="default" w:ascii="Calibri" w:hAnsi="Calibri" w:eastAsia="楷体_GB2312" w:cs="Calibri"/>
                      <w:color w:val="23558C"/>
                      <w:szCs w:val="14"/>
                      <w:lang w:eastAsia="zh-CN"/>
                    </w:rPr>
                    <w:t>Rating</w:t>
                  </w:r>
                </w:p>
              </w:tc>
              <w:tc>
                <w:tcPr>
                  <w:tcW w:w="2347" w:type="dxa"/>
                </w:tcPr>
                <w:p w14:paraId="6F11C015">
                  <w:pPr>
                    <w:adjustRightInd w:val="0"/>
                    <w:snapToGrid w:val="0"/>
                    <w:ind w:right="85" w:firstLine="85"/>
                    <w:jc w:val="right"/>
                    <w:rPr>
                      <w:rFonts w:hint="default" w:ascii="Calibri" w:hAnsi="Calibri" w:eastAsia="楷体_GB2312" w:cs="Calibri"/>
                      <w:sz w:val="14"/>
                      <w:szCs w:val="14"/>
                      <w:lang w:eastAsia="zh-CN"/>
                    </w:rPr>
                  </w:pPr>
                  <w:r>
                    <w:rPr>
                      <w:rFonts w:ascii="Calibri" w:eastAsia="楷体_GB2312"/>
                      <w:b w:val="0"/>
                      <w:i w:val="0"/>
                      <w:color w:val="215E99"/>
                      <w:sz w:val="16"/>
                    </w:rPr>
                    <w:t>OUTPERFORM</w:t>
                  </w:r>
                </w:p>
              </w:tc>
            </w:tr>
            <w:tr w14:paraId="77182F9E">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6249AFF4">
                  <w:pPr>
                    <w:adjustRightInd w:val="0"/>
                    <w:snapToGrid w:val="0"/>
                    <w:ind w:right="85" w:firstLine="85"/>
                    <w:rPr>
                      <w:rFonts w:hint="default" w:ascii="Calibri" w:hAnsi="Calibri" w:eastAsia="楷体_GB2312" w:cs="Calibri"/>
                      <w:color w:val="23558C"/>
                      <w:szCs w:val="14"/>
                      <w:lang w:eastAsia="zh-CN"/>
                    </w:rPr>
                  </w:pPr>
                  <w:r>
                    <w:rPr>
                      <w:rFonts w:hint="default" w:ascii="Calibri" w:hAnsi="Calibri" w:eastAsia="楷体_GB2312" w:cs="Calibri"/>
                      <w:color w:val="23558C"/>
                      <w:szCs w:val="14"/>
                      <w:lang w:eastAsia="zh-CN"/>
                    </w:rPr>
                    <w:t>Current Price</w:t>
                  </w:r>
                </w:p>
              </w:tc>
              <w:tc>
                <w:tcPr>
                  <w:tcW w:w="2347" w:type="dxa"/>
                </w:tcPr>
                <w:p w14:paraId="3FF00C64">
                  <w:pPr>
                    <w:adjustRightInd w:val="0"/>
                    <w:snapToGrid w:val="0"/>
                    <w:ind w:right="85" w:firstLine="85"/>
                    <w:jc w:val="right"/>
                    <w:rPr>
                      <w:rFonts w:hint="default" w:ascii="Calibri" w:hAnsi="Calibri" w:eastAsia="楷体_GB2312" w:cs="Calibri"/>
                      <w:sz w:val="14"/>
                      <w:szCs w:val="14"/>
                      <w:lang w:eastAsia="zh-CN"/>
                    </w:rPr>
                  </w:pPr>
                  <w:r>
                    <w:rPr>
                      <w:rFonts w:ascii="Calibri" w:eastAsia="楷体_GB2312"/>
                      <w:b w:val="0"/>
                      <w:i w:val="0"/>
                      <w:color w:val="215E99"/>
                      <w:sz w:val="16"/>
                    </w:rPr>
                    <w:t>353.65</w:t>
                  </w:r>
                </w:p>
              </w:tc>
            </w:tr>
            <w:tr w14:paraId="7E26279E">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75E7B1B0">
                  <w:pPr>
                    <w:adjustRightInd w:val="0"/>
                    <w:snapToGrid w:val="0"/>
                    <w:ind w:right="85" w:firstLine="85"/>
                    <w:rPr>
                      <w:rFonts w:hint="default" w:ascii="Calibri" w:hAnsi="Calibri" w:eastAsia="楷体_GB2312" w:cs="Calibri"/>
                      <w:color w:val="23558C"/>
                      <w:szCs w:val="14"/>
                      <w:lang w:eastAsia="zh-CN"/>
                    </w:rPr>
                  </w:pPr>
                  <w:r>
                    <w:rPr>
                      <w:rFonts w:hint="default" w:ascii="Calibri" w:hAnsi="Calibri" w:eastAsia="楷体_GB2312" w:cs="Calibri"/>
                      <w:color w:val="23558C"/>
                      <w:szCs w:val="14"/>
                      <w:lang w:eastAsia="zh-CN"/>
                    </w:rPr>
                    <w:t>Target Price</w:t>
                  </w:r>
                </w:p>
              </w:tc>
              <w:tc>
                <w:tcPr>
                  <w:tcW w:w="2347" w:type="dxa"/>
                </w:tcPr>
                <w:p w14:paraId="54989F5A">
                  <w:pPr>
                    <w:adjustRightInd w:val="0"/>
                    <w:snapToGrid w:val="0"/>
                    <w:ind w:right="85" w:firstLine="85"/>
                    <w:jc w:val="right"/>
                    <w:rPr>
                      <w:rFonts w:hint="default" w:ascii="Calibri" w:hAnsi="Calibri" w:eastAsia="楷体_GB2312" w:cs="Calibri"/>
                      <w:sz w:val="14"/>
                      <w:szCs w:val="14"/>
                      <w:lang w:eastAsia="zh-CN"/>
                    </w:rPr>
                  </w:pPr>
                  <w:r>
                    <w:rPr>
                      <w:rFonts w:ascii="Calibri" w:eastAsia="楷体_GB2312"/>
                      <w:b w:val="0"/>
                      <w:i w:val="0"/>
                      <w:color w:val="215E99"/>
                      <w:sz w:val="16"/>
                    </w:rPr>
                    <w:t>408</w:t>
                  </w:r>
                </w:p>
              </w:tc>
            </w:tr>
            <w:tr w14:paraId="74DA6922">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18CAD621">
                  <w:pPr>
                    <w:adjustRightInd w:val="0"/>
                    <w:snapToGrid w:val="0"/>
                    <w:ind w:right="85" w:firstLine="85"/>
                    <w:rPr>
                      <w:rFonts w:hint="default" w:ascii="Calibri" w:hAnsi="Calibri" w:eastAsia="楷体_GB2312" w:cs="Calibri"/>
                      <w:color w:val="23558C"/>
                      <w:szCs w:val="14"/>
                      <w:lang w:eastAsia="zh-CN"/>
                    </w:rPr>
                  </w:pPr>
                  <w:r>
                    <w:rPr>
                      <w:rFonts w:hint="default" w:ascii="Calibri" w:hAnsi="Calibri" w:eastAsia="楷体_GB2312" w:cs="Calibri"/>
                      <w:color w:val="23558C"/>
                      <w:szCs w:val="14"/>
                      <w:lang w:eastAsia="zh-CN"/>
                    </w:rPr>
                    <w:t>Market cap</w:t>
                  </w:r>
                </w:p>
              </w:tc>
              <w:tc>
                <w:tcPr>
                  <w:tcW w:w="2347" w:type="dxa"/>
                </w:tcPr>
                <w:p w14:paraId="38858209">
                  <w:pPr>
                    <w:adjustRightInd w:val="0"/>
                    <w:snapToGrid w:val="0"/>
                    <w:ind w:right="85" w:firstLine="85"/>
                    <w:jc w:val="right"/>
                    <w:rPr>
                      <w:rFonts w:hint="default" w:ascii="Calibri" w:hAnsi="Calibri" w:eastAsia="楷体_GB2312" w:cs="Calibri"/>
                      <w:sz w:val="14"/>
                      <w:szCs w:val="14"/>
                      <w:lang w:eastAsia="zh-CN"/>
                    </w:rPr>
                  </w:pPr>
                  <w:r>
                    <w:rPr>
                      <w:rFonts w:ascii="Calibri" w:eastAsia="楷体_GB2312"/>
                      <w:b w:val="0"/>
                      <w:i w:val="0"/>
                      <w:color w:val="215E99"/>
                      <w:sz w:val="16"/>
                    </w:rPr>
                    <w:t>187.17bn</w:t>
                  </w:r>
                </w:p>
              </w:tc>
            </w:tr>
            <w:tr w14:paraId="52F98258">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7A0043B2">
                  <w:pPr>
                    <w:adjustRightInd w:val="0"/>
                    <w:snapToGrid w:val="0"/>
                    <w:ind w:right="85" w:firstLine="85"/>
                    <w:rPr>
                      <w:rFonts w:hint="default" w:ascii="Calibri" w:hAnsi="Calibri" w:eastAsia="楷体_GB2312" w:cs="Calibri"/>
                      <w:color w:val="23558C"/>
                      <w:szCs w:val="14"/>
                      <w:lang w:eastAsia="zh-CN"/>
                    </w:rPr>
                  </w:pPr>
                  <w:r>
                    <w:rPr>
                      <w:rFonts w:hint="default" w:ascii="Calibri" w:hAnsi="Calibri" w:eastAsia="楷体_GB2312" w:cs="Calibri"/>
                      <w:color w:val="23558C"/>
                      <w:szCs w:val="14"/>
                      <w:lang w:eastAsia="zh-CN"/>
                    </w:rPr>
                    <w:t>Shares in issue</w:t>
                  </w:r>
                </w:p>
              </w:tc>
              <w:tc>
                <w:tcPr>
                  <w:tcW w:w="2347" w:type="dxa"/>
                </w:tcPr>
                <w:p w14:paraId="7731F7BA">
                  <w:pPr>
                    <w:adjustRightInd w:val="0"/>
                    <w:snapToGrid w:val="0"/>
                    <w:ind w:right="85" w:firstLine="85"/>
                    <w:jc w:val="right"/>
                    <w:rPr>
                      <w:rFonts w:hint="default" w:ascii="Calibri" w:hAnsi="Calibri" w:eastAsia="楷体_GB2312" w:cs="Calibri"/>
                      <w:sz w:val="14"/>
                      <w:szCs w:val="14"/>
                      <w:lang w:eastAsia="zh-CN"/>
                    </w:rPr>
                  </w:pPr>
                  <w:r>
                    <w:rPr>
                      <w:rFonts w:ascii="Calibri" w:eastAsia="楷体_GB2312"/>
                      <w:b w:val="0"/>
                      <w:i w:val="0"/>
                      <w:color w:val="215E99"/>
                      <w:sz w:val="16"/>
                    </w:rPr>
                    <w:t>533.78mn</w:t>
                  </w:r>
                </w:p>
              </w:tc>
            </w:tr>
            <w:tr w14:paraId="0A423942">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490A59D6">
                  <w:pPr>
                    <w:adjustRightInd w:val="0"/>
                    <w:snapToGrid w:val="0"/>
                    <w:ind w:right="85" w:firstLine="85"/>
                    <w:rPr>
                      <w:rFonts w:hint="default" w:ascii="Calibri" w:hAnsi="Calibri" w:eastAsia="楷体_GB2312" w:cs="Calibri"/>
                      <w:color w:val="23558C"/>
                      <w:szCs w:val="14"/>
                      <w:lang w:eastAsia="zh-CN"/>
                    </w:rPr>
                  </w:pPr>
                  <w:r>
                    <w:rPr>
                      <w:rFonts w:hint="default" w:ascii="Calibri" w:hAnsi="Calibri" w:eastAsia="楷体_GB2312" w:cs="Calibri"/>
                      <w:color w:val="23558C"/>
                      <w:szCs w:val="14"/>
                      <w:lang w:eastAsia="zh-CN"/>
                    </w:rPr>
                    <w:t>1 yr high - low</w:t>
                  </w:r>
                </w:p>
              </w:tc>
              <w:tc>
                <w:tcPr>
                  <w:tcW w:w="2347" w:type="dxa"/>
                </w:tcPr>
                <w:p w14:paraId="2D2547DA">
                  <w:pPr>
                    <w:adjustRightInd w:val="0"/>
                    <w:snapToGrid w:val="0"/>
                    <w:ind w:right="85" w:firstLine="85"/>
                    <w:jc w:val="right"/>
                    <w:rPr>
                      <w:rFonts w:hint="default" w:ascii="Calibri" w:hAnsi="Calibri" w:eastAsia="楷体_GB2312" w:cs="Calibri"/>
                      <w:sz w:val="14"/>
                      <w:szCs w:val="14"/>
                      <w:lang w:eastAsia="zh-CN"/>
                    </w:rPr>
                  </w:pPr>
                  <w:r>
                    <w:rPr>
                      <w:rFonts w:ascii="Calibri" w:eastAsia="楷体_GB2312"/>
                      <w:b w:val="0"/>
                      <w:i w:val="0"/>
                      <w:color w:val="215E99"/>
                      <w:sz w:val="16"/>
                    </w:rPr>
                    <w:t>406.70-329.63</w:t>
                  </w:r>
                </w:p>
              </w:tc>
            </w:tr>
            <w:tr w14:paraId="49154A2E">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98" w:hRule="exact"/>
              </w:trPr>
              <w:tc>
                <w:tcPr>
                  <w:tcW w:w="4071" w:type="dxa"/>
                  <w:gridSpan w:val="2"/>
                </w:tcPr>
                <w:p w14:paraId="299B6242">
                  <w:pPr>
                    <w:adjustRightInd w:val="0"/>
                    <w:snapToGrid w:val="0"/>
                    <w:ind w:left="85"/>
                    <w:rPr>
                      <w:rFonts w:hint="default" w:ascii="Calibri" w:hAnsi="Calibri" w:eastAsia="楷体_GB2312" w:cs="Calibri"/>
                      <w:i/>
                      <w:iCs/>
                      <w:sz w:val="14"/>
                      <w:szCs w:val="14"/>
                      <w:lang w:eastAsia="zh-CN"/>
                    </w:rPr>
                  </w:pPr>
                  <w:r>
                    <w:rPr>
                      <w:rFonts w:ascii="Calibri" w:eastAsia="楷体_GB2312"/>
                      <w:b w:val="0"/>
                      <w:i/>
                      <w:color w:val="000000"/>
                      <w:sz w:val="14"/>
                    </w:rPr>
                    <w:t>Note: Current Price 353.65 is the close price on 13 Mar 2026</w:t>
                  </w:r>
                </w:p>
              </w:tc>
            </w:tr>
            <w:tr w14:paraId="3D35C87B">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98" w:hRule="exact"/>
              </w:trPr>
              <w:tc>
                <w:tcPr>
                  <w:tcW w:w="4071" w:type="dxa"/>
                  <w:gridSpan w:val="2"/>
                </w:tcPr>
                <w:p w14:paraId="15D8E780">
                  <w:pPr>
                    <w:adjustRightInd w:val="0"/>
                    <w:snapToGrid w:val="0"/>
                    <w:ind w:left="85"/>
                    <w:rPr>
                      <w:rFonts w:hint="default" w:ascii="Calibri" w:hAnsi="Calibri" w:eastAsia="楷体_GB2312" w:cs="Calibri"/>
                      <w:sz w:val="14"/>
                      <w:szCs w:val="14"/>
                      <w:lang w:eastAsia="zh-CN"/>
                    </w:rPr>
                  </w:pPr>
                </w:p>
              </w:tc>
            </w:tr>
            <w:tr w14:paraId="2D4B84DF">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14:paraId="50CB9622">
                  <w:pPr>
                    <w:jc w:val="center"/>
                    <w:rPr>
                      <w:rFonts w:hint="default" w:ascii="Calibri" w:hAnsi="Calibri" w:eastAsia="楷体_GB2312" w:cs="Calibri"/>
                    </w:rPr>
                  </w:pPr>
                  <w:r>
                    <w:rPr>
                      <w:rFonts w:ascii="Calibri" w:eastAsia="楷体_GB2312"/>
                    </w:rPr>
                    <w:drawing>
                      <wp:inline distT="0" distB="0" distL="0" distR="0">
                        <wp:extent cx="2286000" cy="1016000"/>
                        <wp:effectExtent l="0" t="0" r="0" b="5080"/>
                        <wp:docPr id="48" name="Drawing 48" descr="/data/deploy/attachments/file/temp/202603/1773664915184_GWaH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Drawing 48" descr="/data/deploy/attachments/file/temp/202603/1773664915184_GWaHD.png"/>
                                <pic:cNvPicPr>
                                  <a:picLocks noChangeAspect="1"/>
                                </pic:cNvPicPr>
                              </pic:nvPicPr>
                              <pic:blipFill>
                                <a:blip r:embed="rId16"/>
                                <a:stretch>
                                  <a:fillRect/>
                                </a:stretch>
                              </pic:blipFill>
                              <pic:spPr>
                                <a:xfrm>
                                  <a:off x="0" y="0"/>
                                  <a:ext cx="2286000" cy="1016000"/>
                                </a:xfrm>
                                <a:prstGeom prst="rect">
                                  <a:avLst/>
                                </a:prstGeom>
                              </pic:spPr>
                            </pic:pic>
                          </a:graphicData>
                        </a:graphic>
                      </wp:inline>
                    </w:drawing>
                  </w:r>
                </w:p>
              </w:tc>
            </w:tr>
            <w:tr w14:paraId="255CFA2C">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14:paraId="453535C7">
                  <w:pPr>
                    <w:jc w:val="center"/>
                    <w:rPr>
                      <w:rFonts w:hint="default" w:ascii="Calibri" w:hAnsi="Calibri" w:eastAsia="楷体_GB2312" w:cs="Calibri"/>
                    </w:rPr>
                  </w:pPr>
                  <w:r>
                    <w:rPr>
                      <w:rFonts w:ascii="Calibri" w:eastAsia="楷体_GB2312"/>
                    </w:rPr>
                    <w:drawing>
                      <wp:inline distT="0" distB="0" distL="0" distR="0">
                        <wp:extent cx="2286000" cy="660400"/>
                        <wp:effectExtent l="0" t="0" r="0" b="10160"/>
                        <wp:docPr id="49" name="Drawing 49" descr="/data/deploy/attachments/file/temp/202603/1773664915202_ahK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Drawing 49" descr="/data/deploy/attachments/file/temp/202603/1773664915202_ahKAB.png"/>
                                <pic:cNvPicPr>
                                  <a:picLocks noChangeAspect="1"/>
                                </pic:cNvPicPr>
                              </pic:nvPicPr>
                              <pic:blipFill>
                                <a:blip r:embed="rId17"/>
                                <a:stretch>
                                  <a:fillRect/>
                                </a:stretch>
                              </pic:blipFill>
                              <pic:spPr>
                                <a:xfrm>
                                  <a:off x="0" y="0"/>
                                  <a:ext cx="2286000" cy="660400"/>
                                </a:xfrm>
                                <a:prstGeom prst="rect">
                                  <a:avLst/>
                                </a:prstGeom>
                              </pic:spPr>
                            </pic:pic>
                          </a:graphicData>
                        </a:graphic>
                      </wp:inline>
                    </w:drawing>
                  </w:r>
                </w:p>
              </w:tc>
            </w:tr>
            <w:tr w14:paraId="5116CF8B">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80" w:hRule="exact"/>
              </w:trPr>
              <w:tc>
                <w:tcPr>
                  <w:tcW w:w="4071" w:type="dxa"/>
                  <w:gridSpan w:val="2"/>
                </w:tcPr>
                <w:p w14:paraId="7AF62C84">
                  <w:pPr>
                    <w:adjustRightInd w:val="0"/>
                    <w:snapToGrid w:val="0"/>
                    <w:ind w:right="85" w:firstLine="85"/>
                    <w:rPr>
                      <w:rFonts w:hint="default" w:ascii="Calibri" w:hAnsi="Calibri" w:eastAsia="楷体_GB2312" w:cs="Calibri"/>
                      <w:i/>
                      <w:iCs/>
                      <w:sz w:val="12"/>
                      <w:szCs w:val="12"/>
                      <w:lang w:eastAsia="zh-CN"/>
                    </w:rPr>
                  </w:pPr>
                  <w:r>
                    <w:rPr>
                      <w:rFonts w:ascii="Calibri" w:eastAsia="楷体_GB2312"/>
                      <w:b w:val="0"/>
                      <w:i/>
                      <w:color w:val="000000"/>
                      <w:sz w:val="12"/>
                    </w:rPr>
                    <w:t>Source: HFI</w:t>
                  </w:r>
                </w:p>
              </w:tc>
            </w:tr>
            <w:tr w14:paraId="6B2FD787">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27" w:hRule="exact"/>
              </w:trPr>
              <w:tc>
                <w:tcPr>
                  <w:tcW w:w="4071" w:type="dxa"/>
                  <w:gridSpan w:val="2"/>
                  <w:tcMar>
                    <w:top w:w="0" w:type="dxa"/>
                    <w:left w:w="0" w:type="dxa"/>
                  </w:tcMar>
                </w:tcPr>
                <w:p w14:paraId="7324F09E">
                  <w:pPr>
                    <w:adjustRightInd w:val="0"/>
                    <w:snapToGrid w:val="0"/>
                    <w:ind w:right="85" w:firstLine="85"/>
                    <w:rPr>
                      <w:rFonts w:hint="default" w:ascii="Calibri" w:hAnsi="Calibri" w:eastAsia="楷体_GB2312" w:cs="Calibri"/>
                      <w:sz w:val="14"/>
                      <w:szCs w:val="14"/>
                      <w:lang w:eastAsia="zh-CN"/>
                    </w:rPr>
                  </w:pPr>
                </w:p>
              </w:tc>
            </w:tr>
            <w:tr w14:paraId="722FFBD7">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c>
                <w:tcPr>
                  <w:tcW w:w="4071" w:type="dxa"/>
                  <w:gridSpan w:val="2"/>
                </w:tcPr>
                <w:tbl>
                  <w:tblPr>
                    <w:tblStyle w:val="13"/>
                    <w:tblW w:w="4071" w:type="dxa"/>
                    <w:tblCaption w:val="[Table_Profi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60"/>
                    <w:gridCol w:w="703"/>
                    <w:gridCol w:w="53"/>
                    <w:gridCol w:w="721"/>
                    <w:gridCol w:w="30"/>
                    <w:gridCol w:w="738"/>
                    <w:gridCol w:w="14"/>
                    <w:gridCol w:w="752"/>
                  </w:tblGrid>
                  <w:tr w14:paraId="066B7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exact"/>
                    </w:trPr>
                    <w:tc>
                      <w:tcPr>
                        <w:tcW w:w="1225" w:type="dxa"/>
                        <w:vAlign w:val="center"/>
                      </w:tcPr>
                      <w:p w14:paraId="256C593F">
                        <w:pPr>
                          <w:rPr>
                            <w:rFonts w:hint="default" w:ascii="Calibri" w:hAnsi="Calibri" w:eastAsia="楷体_GB2312" w:cs="Calibri"/>
                            <w:color w:val="FFFFFF"/>
                          </w:rPr>
                        </w:pPr>
                        <w:r>
                          <w:rPr>
                            <w:rFonts w:hint="default" w:ascii="Calibri" w:hAnsi="Calibri" w:eastAsia="楷体_GB2312" w:cs="Calibri"/>
                            <w:color w:val="FFFFFF"/>
                          </w:rPr>
                          <w:t>[Table_Profit]</w:t>
                        </w:r>
                      </w:p>
                    </w:tc>
                    <w:tc>
                      <w:tcPr>
                        <w:tcW w:w="795" w:type="dxa"/>
                        <w:vAlign w:val="center"/>
                      </w:tcPr>
                      <w:p w14:paraId="48A87B76">
                        <w:pPr>
                          <w:ind w:right="85" w:firstLine="85"/>
                          <w:jc w:val="right"/>
                          <w:rPr>
                            <w:rFonts w:hint="default" w:ascii="Calibri" w:hAnsi="Calibri" w:eastAsia="楷体_GB2312" w:cs="Calibri"/>
                            <w:b/>
                            <w:bCs/>
                            <w:color w:val="000000"/>
                            <w:sz w:val="14"/>
                            <w:szCs w:val="14"/>
                          </w:rPr>
                        </w:pPr>
                      </w:p>
                    </w:tc>
                    <w:tc>
                      <w:tcPr>
                        <w:tcW w:w="879" w:type="dxa"/>
                        <w:gridSpan w:val="2"/>
                        <w:vAlign w:val="center"/>
                      </w:tcPr>
                      <w:p w14:paraId="029532D7">
                        <w:pPr>
                          <w:ind w:right="85" w:firstLine="85"/>
                          <w:jc w:val="right"/>
                          <w:rPr>
                            <w:rFonts w:hint="default" w:ascii="Calibri" w:hAnsi="Calibri" w:eastAsia="楷体_GB2312" w:cs="Calibri"/>
                            <w:b/>
                            <w:bCs/>
                            <w:color w:val="000000"/>
                            <w:sz w:val="14"/>
                            <w:szCs w:val="14"/>
                          </w:rPr>
                        </w:pPr>
                      </w:p>
                    </w:tc>
                    <w:tc>
                      <w:tcPr>
                        <w:tcW w:w="870" w:type="dxa"/>
                        <w:gridSpan w:val="2"/>
                        <w:vAlign w:val="center"/>
                      </w:tcPr>
                      <w:p w14:paraId="30CC14D5">
                        <w:pPr>
                          <w:ind w:right="85" w:firstLine="85"/>
                          <w:jc w:val="right"/>
                          <w:rPr>
                            <w:rFonts w:hint="default" w:ascii="Calibri" w:hAnsi="Calibri" w:eastAsia="楷体_GB2312" w:cs="Calibri"/>
                            <w:b/>
                            <w:bCs/>
                            <w:color w:val="000000"/>
                            <w:sz w:val="14"/>
                            <w:szCs w:val="14"/>
                          </w:rPr>
                        </w:pPr>
                      </w:p>
                    </w:tc>
                    <w:tc>
                      <w:tcPr>
                        <w:tcW w:w="869" w:type="dxa"/>
                        <w:gridSpan w:val="2"/>
                        <w:vAlign w:val="center"/>
                      </w:tcPr>
                      <w:p w14:paraId="20480819">
                        <w:pPr>
                          <w:ind w:right="85" w:firstLine="85"/>
                          <w:jc w:val="right"/>
                          <w:rPr>
                            <w:rFonts w:hint="default" w:ascii="Calibri" w:hAnsi="Calibri" w:eastAsia="楷体_GB2312" w:cs="Calibri"/>
                            <w:b/>
                            <w:bCs/>
                            <w:color w:val="000000"/>
                            <w:sz w:val="14"/>
                            <w:szCs w:val="14"/>
                          </w:rPr>
                        </w:pPr>
                      </w:p>
                    </w:tc>
                  </w:tr>
                  <w:tr w14:paraId="02A88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1225" w:type="dxa"/>
                        <w:vAlign w:val="center"/>
                      </w:tcPr>
                      <w:p w14:paraId="634C65C7">
                        <w:pPr>
                          <w:adjustRightInd w:val="0"/>
                          <w:snapToGrid w:val="0"/>
                          <w:rPr>
                            <w:rFonts w:hint="default" w:ascii="Calibri" w:hAnsi="Calibri" w:eastAsia="楷体_GB2312" w:cs="Calibri"/>
                            <w:color w:val="23558C"/>
                            <w:sz w:val="14"/>
                            <w:szCs w:val="14"/>
                            <w:lang w:eastAsia="zh-CN"/>
                          </w:rPr>
                        </w:pPr>
                        <w:r>
                          <w:rPr>
                            <w:rFonts w:ascii="Calibri" w:eastAsia="楷体_GB2312"/>
                            <w:b w:val="0"/>
                            <w:i w:val="0"/>
                            <w:color w:val="215E99"/>
                            <w:sz w:val="14"/>
                          </w:rPr>
                          <w:t>US$ mn</w:t>
                        </w:r>
                      </w:p>
                    </w:tc>
                    <w:tc>
                      <w:tcPr>
                        <w:tcW w:w="853" w:type="dxa"/>
                        <w:gridSpan w:val="2"/>
                        <w:vAlign w:val="center"/>
                      </w:tcPr>
                      <w:p w14:paraId="04E97317">
                        <w:pPr>
                          <w:adjustRightInd w:val="0"/>
                          <w:snapToGrid w:val="0"/>
                          <w:jc w:val="right"/>
                          <w:rPr>
                            <w:rFonts w:hint="default" w:ascii="Calibri" w:hAnsi="Calibri" w:eastAsia="楷体_GB2312" w:cs="Calibri"/>
                            <w:color w:val="23558C"/>
                            <w:sz w:val="14"/>
                            <w:szCs w:val="14"/>
                            <w:lang w:eastAsia="zh-CN"/>
                          </w:rPr>
                        </w:pPr>
                        <w:r>
                          <w:rPr>
                            <w:rFonts w:ascii="Calibri" w:eastAsia="楷体_GB2312"/>
                            <w:b w:val="0"/>
                            <w:i w:val="0"/>
                            <w:color w:val="215E99"/>
                            <w:sz w:val="14"/>
                          </w:rPr>
                          <w:t>Dec-24A</w:t>
                        </w:r>
                      </w:p>
                    </w:tc>
                    <w:tc>
                      <w:tcPr>
                        <w:tcW w:w="853" w:type="dxa"/>
                        <w:gridSpan w:val="2"/>
                        <w:vAlign w:val="center"/>
                      </w:tcPr>
                      <w:p w14:paraId="0AF0ED22">
                        <w:pPr>
                          <w:adjustRightInd w:val="0"/>
                          <w:snapToGrid w:val="0"/>
                          <w:jc w:val="right"/>
                          <w:rPr>
                            <w:rFonts w:hint="default" w:ascii="Calibri" w:hAnsi="Calibri" w:eastAsia="楷体_GB2312" w:cs="Calibri"/>
                            <w:color w:val="23558C"/>
                            <w:sz w:val="14"/>
                            <w:szCs w:val="14"/>
                            <w:lang w:eastAsia="zh-CN"/>
                          </w:rPr>
                        </w:pPr>
                        <w:r>
                          <w:rPr>
                            <w:rFonts w:ascii="Calibri" w:eastAsia="楷体_GB2312"/>
                            <w:b w:val="0"/>
                            <w:i w:val="0"/>
                            <w:color w:val="215E99"/>
                            <w:sz w:val="14"/>
                          </w:rPr>
                          <w:t>Dec-25E</w:t>
                        </w:r>
                      </w:p>
                    </w:tc>
                    <w:tc>
                      <w:tcPr>
                        <w:tcW w:w="853" w:type="dxa"/>
                        <w:gridSpan w:val="2"/>
                        <w:vAlign w:val="center"/>
                      </w:tcPr>
                      <w:p w14:paraId="57C5F888">
                        <w:pPr>
                          <w:adjustRightInd w:val="0"/>
                          <w:snapToGrid w:val="0"/>
                          <w:jc w:val="right"/>
                          <w:rPr>
                            <w:rFonts w:hint="default" w:ascii="Calibri" w:hAnsi="Calibri" w:eastAsia="楷体_GB2312" w:cs="Calibri"/>
                            <w:color w:val="23558C"/>
                            <w:sz w:val="14"/>
                            <w:szCs w:val="14"/>
                            <w:lang w:eastAsia="zh-CN"/>
                          </w:rPr>
                        </w:pPr>
                        <w:r>
                          <w:rPr>
                            <w:rFonts w:ascii="Calibri" w:eastAsia="楷体_GB2312"/>
                            <w:b w:val="0"/>
                            <w:i w:val="0"/>
                            <w:color w:val="215E99"/>
                            <w:sz w:val="14"/>
                          </w:rPr>
                          <w:t>Dec-26E</w:t>
                        </w:r>
                      </w:p>
                    </w:tc>
                    <w:tc>
                      <w:tcPr>
                        <w:tcW w:w="854" w:type="dxa"/>
                        <w:vAlign w:val="center"/>
                      </w:tcPr>
                      <w:p w14:paraId="60DC68AC">
                        <w:pPr>
                          <w:adjustRightInd w:val="0"/>
                          <w:snapToGrid w:val="0"/>
                          <w:jc w:val="right"/>
                          <w:rPr>
                            <w:rFonts w:hint="default" w:ascii="Calibri" w:hAnsi="Calibri" w:eastAsia="楷体_GB2312" w:cs="Calibri"/>
                            <w:color w:val="23558C"/>
                            <w:sz w:val="14"/>
                            <w:szCs w:val="14"/>
                            <w:lang w:eastAsia="zh-CN"/>
                          </w:rPr>
                        </w:pPr>
                        <w:r>
                          <w:rPr>
                            <w:rFonts w:ascii="Calibri" w:eastAsia="楷体_GB2312"/>
                            <w:b w:val="0"/>
                            <w:i w:val="0"/>
                            <w:color w:val="215E99"/>
                            <w:sz w:val="14"/>
                          </w:rPr>
                          <w:t>Dec-27E</w:t>
                        </w:r>
                      </w:p>
                    </w:tc>
                  </w:tr>
                  <w:tr w14:paraId="503AD0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15F2B912">
                        <w:pPr>
                          <w:adjustRightInd w:val="0"/>
                          <w:snapToGrid w:val="0"/>
                          <w:rPr>
                            <w:rFonts w:hint="default" w:ascii="Calibri" w:hAnsi="Calibri" w:eastAsia="楷体_GB2312" w:cs="Calibri"/>
                            <w:color w:val="23558C"/>
                            <w:sz w:val="14"/>
                            <w:szCs w:val="14"/>
                            <w:lang w:eastAsia="zh-CN"/>
                          </w:rPr>
                        </w:pPr>
                        <w:r>
                          <w:rPr>
                            <w:rFonts w:ascii="Calibri" w:eastAsia="楷体_GB2312"/>
                            <w:b w:val="0"/>
                            <w:i w:val="0"/>
                            <w:color w:val="215E99"/>
                            <w:sz w:val="14"/>
                          </w:rPr>
                          <w:t>Revenue</w:t>
                        </w:r>
                      </w:p>
                    </w:tc>
                    <w:tc>
                      <w:tcPr>
                        <w:tcW w:w="853" w:type="dxa"/>
                        <w:gridSpan w:val="2"/>
                        <w:vAlign w:val="center"/>
                      </w:tcPr>
                      <w:p w14:paraId="1BB2ADD4">
                        <w:pPr>
                          <w:adjustRightInd w:val="0"/>
                          <w:snapToGrid w:val="0"/>
                          <w:jc w:val="right"/>
                          <w:rPr>
                            <w:rFonts w:hint="default" w:ascii="Calibri" w:hAnsi="Calibri" w:eastAsia="楷体_GB2312" w:cs="Calibri"/>
                            <w:sz w:val="14"/>
                            <w:szCs w:val="14"/>
                            <w:lang w:eastAsia="zh-CN"/>
                          </w:rPr>
                        </w:pPr>
                        <w:r>
                          <w:rPr>
                            <w:rFonts w:ascii="Calibri" w:eastAsia="楷体_GB2312"/>
                            <w:b w:val="0"/>
                            <w:i w:val="0"/>
                            <w:color w:val="215E99"/>
                            <w:sz w:val="14"/>
                          </w:rPr>
                          <w:t>43,487</w:t>
                        </w:r>
                      </w:p>
                    </w:tc>
                    <w:tc>
                      <w:tcPr>
                        <w:tcW w:w="853" w:type="dxa"/>
                        <w:gridSpan w:val="2"/>
                        <w:vAlign w:val="center"/>
                      </w:tcPr>
                      <w:p w14:paraId="30C350AB">
                        <w:pPr>
                          <w:jc w:val="right"/>
                          <w:rPr>
                            <w:rFonts w:hint="default" w:ascii="Calibri" w:hAnsi="Calibri" w:eastAsia="楷体_GB2312" w:cs="Calibri"/>
                            <w:sz w:val="14"/>
                            <w:szCs w:val="14"/>
                          </w:rPr>
                        </w:pPr>
                        <w:r>
                          <w:rPr>
                            <w:rFonts w:ascii="Calibri" w:eastAsia="楷体_GB2312"/>
                            <w:b w:val="0"/>
                            <w:i w:val="0"/>
                            <w:color w:val="215E99"/>
                            <w:sz w:val="14"/>
                          </w:rPr>
                          <w:t>44,052</w:t>
                        </w:r>
                      </w:p>
                    </w:tc>
                    <w:tc>
                      <w:tcPr>
                        <w:tcW w:w="853" w:type="dxa"/>
                        <w:gridSpan w:val="2"/>
                        <w:vAlign w:val="center"/>
                      </w:tcPr>
                      <w:p w14:paraId="4FFA81DE">
                        <w:pPr>
                          <w:jc w:val="right"/>
                          <w:rPr>
                            <w:rFonts w:hint="default" w:ascii="Calibri" w:hAnsi="Calibri" w:eastAsia="楷体_GB2312" w:cs="Calibri"/>
                            <w:sz w:val="14"/>
                            <w:szCs w:val="14"/>
                          </w:rPr>
                        </w:pPr>
                        <w:r>
                          <w:rPr>
                            <w:rFonts w:ascii="Calibri" w:eastAsia="楷体_GB2312"/>
                            <w:b w:val="0"/>
                            <w:i w:val="0"/>
                            <w:color w:val="215E99"/>
                            <w:sz w:val="14"/>
                          </w:rPr>
                          <w:t>46,055</w:t>
                        </w:r>
                      </w:p>
                    </w:tc>
                    <w:tc>
                      <w:tcPr>
                        <w:tcW w:w="854" w:type="dxa"/>
                        <w:vAlign w:val="center"/>
                      </w:tcPr>
                      <w:p w14:paraId="58550201">
                        <w:pPr>
                          <w:jc w:val="right"/>
                          <w:rPr>
                            <w:rFonts w:hint="default" w:ascii="Calibri" w:hAnsi="Calibri" w:eastAsia="楷体_GB2312" w:cs="Calibri"/>
                            <w:sz w:val="14"/>
                            <w:szCs w:val="14"/>
                          </w:rPr>
                        </w:pPr>
                        <w:r>
                          <w:rPr>
                            <w:rFonts w:ascii="Calibri" w:eastAsia="楷体_GB2312"/>
                            <w:b w:val="0"/>
                            <w:i w:val="0"/>
                            <w:color w:val="215E99"/>
                            <w:sz w:val="14"/>
                          </w:rPr>
                          <w:t>48,398</w:t>
                        </w:r>
                      </w:p>
                    </w:tc>
                  </w:tr>
                  <w:tr w14:paraId="1BA47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7B6A4781">
                        <w:pPr>
                          <w:adjustRightInd w:val="0"/>
                          <w:snapToGrid w:val="0"/>
                          <w:rPr>
                            <w:rFonts w:hint="default" w:ascii="Calibri" w:hAnsi="Calibri" w:eastAsia="楷体_GB2312" w:cs="Calibri"/>
                            <w:color w:val="23558C"/>
                            <w:sz w:val="14"/>
                            <w:szCs w:val="14"/>
                            <w:lang w:eastAsia="zh-CN"/>
                          </w:rPr>
                        </w:pPr>
                        <w:r>
                          <w:rPr>
                            <w:rFonts w:ascii="Calibri" w:eastAsia="楷体_GB2312"/>
                            <w:b w:val="0"/>
                            <w:i w:val="0"/>
                            <w:color w:val="215E99"/>
                            <w:sz w:val="14"/>
                          </w:rPr>
                          <w:t>（+/-）</w:t>
                        </w:r>
                      </w:p>
                    </w:tc>
                    <w:tc>
                      <w:tcPr>
                        <w:tcW w:w="853" w:type="dxa"/>
                        <w:gridSpan w:val="2"/>
                        <w:vAlign w:val="center"/>
                      </w:tcPr>
                      <w:p w14:paraId="37460EAF">
                        <w:pPr>
                          <w:adjustRightInd w:val="0"/>
                          <w:snapToGrid w:val="0"/>
                          <w:jc w:val="right"/>
                          <w:rPr>
                            <w:rFonts w:hint="default" w:ascii="Calibri" w:hAnsi="Calibri" w:eastAsia="楷体_GB2312" w:cs="Calibri"/>
                            <w:sz w:val="14"/>
                            <w:szCs w:val="14"/>
                            <w:lang w:eastAsia="zh-CN"/>
                          </w:rPr>
                        </w:pPr>
                        <w:r>
                          <w:rPr>
                            <w:rFonts w:ascii="Calibri" w:eastAsia="楷体_GB2312"/>
                            <w:b w:val="0"/>
                            <w:i w:val="0"/>
                            <w:color w:val="215E99"/>
                            <w:sz w:val="14"/>
                          </w:rPr>
                          <w:t>5.60%</w:t>
                        </w:r>
                      </w:p>
                    </w:tc>
                    <w:tc>
                      <w:tcPr>
                        <w:tcW w:w="853" w:type="dxa"/>
                        <w:gridSpan w:val="2"/>
                        <w:vAlign w:val="center"/>
                      </w:tcPr>
                      <w:p w14:paraId="15AE1BEE">
                        <w:pPr>
                          <w:jc w:val="right"/>
                          <w:rPr>
                            <w:rFonts w:hint="default" w:ascii="Calibri" w:hAnsi="Calibri" w:eastAsia="楷体_GB2312" w:cs="Calibri"/>
                            <w:sz w:val="14"/>
                            <w:szCs w:val="14"/>
                          </w:rPr>
                        </w:pPr>
                        <w:r>
                          <w:rPr>
                            <w:rFonts w:ascii="Calibri" w:eastAsia="楷体_GB2312"/>
                            <w:b w:val="0"/>
                            <w:i w:val="0"/>
                            <w:color w:val="215E99"/>
                            <w:sz w:val="14"/>
                          </w:rPr>
                          <w:t>1.30%</w:t>
                        </w:r>
                      </w:p>
                    </w:tc>
                    <w:tc>
                      <w:tcPr>
                        <w:tcW w:w="853" w:type="dxa"/>
                        <w:gridSpan w:val="2"/>
                        <w:vAlign w:val="center"/>
                      </w:tcPr>
                      <w:p w14:paraId="53723075">
                        <w:pPr>
                          <w:jc w:val="right"/>
                          <w:rPr>
                            <w:rFonts w:hint="default" w:ascii="Calibri" w:hAnsi="Calibri" w:eastAsia="楷体_GB2312" w:cs="Calibri"/>
                            <w:sz w:val="14"/>
                            <w:szCs w:val="14"/>
                          </w:rPr>
                        </w:pPr>
                        <w:r>
                          <w:rPr>
                            <w:rFonts w:ascii="Calibri" w:eastAsia="楷体_GB2312"/>
                            <w:b w:val="0"/>
                            <w:i w:val="0"/>
                            <w:color w:val="215E99"/>
                            <w:sz w:val="14"/>
                          </w:rPr>
                          <w:t>4.55%</w:t>
                        </w:r>
                      </w:p>
                    </w:tc>
                    <w:tc>
                      <w:tcPr>
                        <w:tcW w:w="854" w:type="dxa"/>
                        <w:vAlign w:val="center"/>
                      </w:tcPr>
                      <w:p w14:paraId="5EB9DEC8">
                        <w:pPr>
                          <w:jc w:val="right"/>
                          <w:rPr>
                            <w:rFonts w:hint="default" w:ascii="Calibri" w:hAnsi="Calibri" w:eastAsia="楷体_GB2312" w:cs="Calibri"/>
                            <w:sz w:val="14"/>
                            <w:szCs w:val="14"/>
                          </w:rPr>
                        </w:pPr>
                        <w:r>
                          <w:rPr>
                            <w:rFonts w:ascii="Calibri" w:eastAsia="楷体_GB2312"/>
                            <w:b w:val="0"/>
                            <w:i w:val="0"/>
                            <w:color w:val="215E99"/>
                            <w:sz w:val="14"/>
                          </w:rPr>
                          <w:t>5.09%</w:t>
                        </w:r>
                      </w:p>
                    </w:tc>
                  </w:tr>
                  <w:tr w14:paraId="5588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0F5655D2">
                        <w:pPr>
                          <w:adjustRightInd w:val="0"/>
                          <w:snapToGrid w:val="0"/>
                          <w:rPr>
                            <w:rFonts w:hint="default" w:ascii="Calibri" w:hAnsi="Calibri" w:eastAsia="楷体_GB2312" w:cs="Calibri"/>
                            <w:color w:val="23558C"/>
                            <w:sz w:val="14"/>
                            <w:szCs w:val="14"/>
                            <w:lang w:eastAsia="zh-CN"/>
                          </w:rPr>
                        </w:pPr>
                        <w:r>
                          <w:rPr>
                            <w:rFonts w:ascii="Calibri" w:eastAsia="楷体_GB2312"/>
                            <w:b w:val="0"/>
                            <w:i w:val="0"/>
                            <w:color w:val="215E99"/>
                            <w:sz w:val="14"/>
                          </w:rPr>
                          <w:t>Net profit</w:t>
                        </w:r>
                      </w:p>
                    </w:tc>
                    <w:tc>
                      <w:tcPr>
                        <w:tcW w:w="853" w:type="dxa"/>
                        <w:gridSpan w:val="2"/>
                        <w:vAlign w:val="center"/>
                      </w:tcPr>
                      <w:p w14:paraId="7E2718FA">
                        <w:pPr>
                          <w:adjustRightInd w:val="0"/>
                          <w:snapToGrid w:val="0"/>
                          <w:jc w:val="right"/>
                          <w:rPr>
                            <w:rFonts w:hint="default" w:ascii="Calibri" w:hAnsi="Calibri" w:eastAsia="楷体_GB2312" w:cs="Calibri"/>
                            <w:sz w:val="14"/>
                            <w:szCs w:val="14"/>
                            <w:lang w:eastAsia="zh-CN"/>
                          </w:rPr>
                        </w:pPr>
                        <w:r>
                          <w:rPr>
                            <w:rFonts w:ascii="Calibri" w:eastAsia="楷体_GB2312"/>
                            <w:b w:val="0"/>
                            <w:i w:val="0"/>
                            <w:color w:val="215E99"/>
                            <w:sz w:val="14"/>
                          </w:rPr>
                          <w:t>6,409</w:t>
                        </w:r>
                      </w:p>
                    </w:tc>
                    <w:tc>
                      <w:tcPr>
                        <w:tcW w:w="853" w:type="dxa"/>
                        <w:gridSpan w:val="2"/>
                        <w:vAlign w:val="center"/>
                      </w:tcPr>
                      <w:p w14:paraId="3CF617CC">
                        <w:pPr>
                          <w:jc w:val="right"/>
                          <w:rPr>
                            <w:rFonts w:hint="default" w:ascii="Calibri" w:hAnsi="Calibri" w:eastAsia="楷体_GB2312" w:cs="Calibri"/>
                            <w:sz w:val="14"/>
                            <w:szCs w:val="14"/>
                          </w:rPr>
                        </w:pPr>
                        <w:r>
                          <w:rPr>
                            <w:rFonts w:ascii="Calibri" w:eastAsia="楷体_GB2312"/>
                            <w:b w:val="0"/>
                            <w:i w:val="0"/>
                            <w:color w:val="215E99"/>
                            <w:sz w:val="14"/>
                          </w:rPr>
                          <w:t>6,127</w:t>
                        </w:r>
                      </w:p>
                    </w:tc>
                    <w:tc>
                      <w:tcPr>
                        <w:tcW w:w="853" w:type="dxa"/>
                        <w:gridSpan w:val="2"/>
                        <w:vAlign w:val="center"/>
                      </w:tcPr>
                      <w:p w14:paraId="47FBB304">
                        <w:pPr>
                          <w:jc w:val="right"/>
                          <w:rPr>
                            <w:rFonts w:hint="default" w:ascii="Calibri" w:hAnsi="Calibri" w:eastAsia="楷体_GB2312" w:cs="Calibri"/>
                            <w:sz w:val="14"/>
                            <w:szCs w:val="14"/>
                          </w:rPr>
                        </w:pPr>
                        <w:r>
                          <w:rPr>
                            <w:rFonts w:ascii="Calibri" w:eastAsia="楷体_GB2312"/>
                            <w:b w:val="0"/>
                            <w:i w:val="0"/>
                            <w:color w:val="215E99"/>
                            <w:sz w:val="14"/>
                          </w:rPr>
                          <w:t>6,786</w:t>
                        </w:r>
                      </w:p>
                    </w:tc>
                    <w:tc>
                      <w:tcPr>
                        <w:tcW w:w="854" w:type="dxa"/>
                        <w:vAlign w:val="center"/>
                      </w:tcPr>
                      <w:p w14:paraId="1E0F8C5A">
                        <w:pPr>
                          <w:jc w:val="right"/>
                          <w:rPr>
                            <w:rFonts w:hint="default" w:ascii="Calibri" w:hAnsi="Calibri" w:eastAsia="楷体_GB2312" w:cs="Calibri"/>
                            <w:sz w:val="14"/>
                            <w:szCs w:val="14"/>
                          </w:rPr>
                        </w:pPr>
                        <w:r>
                          <w:rPr>
                            <w:rFonts w:ascii="Calibri" w:eastAsia="楷体_GB2312"/>
                            <w:b w:val="0"/>
                            <w:i w:val="0"/>
                            <w:color w:val="215E99"/>
                            <w:sz w:val="14"/>
                          </w:rPr>
                          <w:t>7,382</w:t>
                        </w:r>
                      </w:p>
                    </w:tc>
                  </w:tr>
                  <w:tr w14:paraId="6A342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6283A069">
                        <w:pPr>
                          <w:adjustRightInd w:val="0"/>
                          <w:snapToGrid w:val="0"/>
                          <w:rPr>
                            <w:rFonts w:hint="default" w:ascii="Calibri" w:hAnsi="Calibri" w:eastAsia="楷体_GB2312" w:cs="Calibri"/>
                            <w:color w:val="23558C"/>
                            <w:sz w:val="14"/>
                            <w:szCs w:val="14"/>
                            <w:lang w:eastAsia="zh-CN"/>
                          </w:rPr>
                        </w:pPr>
                        <w:r>
                          <w:rPr>
                            <w:rFonts w:ascii="Calibri" w:eastAsia="楷体_GB2312"/>
                            <w:b w:val="0"/>
                            <w:i w:val="0"/>
                            <w:color w:val="215E99"/>
                            <w:sz w:val="14"/>
                          </w:rPr>
                          <w:t>（+/-）</w:t>
                        </w:r>
                      </w:p>
                    </w:tc>
                    <w:tc>
                      <w:tcPr>
                        <w:tcW w:w="853" w:type="dxa"/>
                        <w:gridSpan w:val="2"/>
                        <w:vAlign w:val="center"/>
                      </w:tcPr>
                      <w:p w14:paraId="6EADB7EE">
                        <w:pPr>
                          <w:adjustRightInd w:val="0"/>
                          <w:snapToGrid w:val="0"/>
                          <w:jc w:val="right"/>
                          <w:rPr>
                            <w:rFonts w:hint="default" w:ascii="Calibri" w:hAnsi="Calibri" w:eastAsia="楷体_GB2312" w:cs="Calibri"/>
                            <w:sz w:val="14"/>
                            <w:szCs w:val="14"/>
                            <w:lang w:eastAsia="zh-CN"/>
                          </w:rPr>
                        </w:pPr>
                        <w:r>
                          <w:rPr>
                            <w:rFonts w:ascii="Calibri" w:eastAsia="楷体_GB2312"/>
                            <w:b w:val="0"/>
                            <w:i w:val="0"/>
                            <w:color w:val="215E99"/>
                            <w:sz w:val="14"/>
                          </w:rPr>
                          <w:t>4%</w:t>
                        </w:r>
                      </w:p>
                    </w:tc>
                    <w:tc>
                      <w:tcPr>
                        <w:tcW w:w="853" w:type="dxa"/>
                        <w:gridSpan w:val="2"/>
                        <w:vAlign w:val="center"/>
                      </w:tcPr>
                      <w:p w14:paraId="197612DC">
                        <w:pPr>
                          <w:jc w:val="right"/>
                          <w:rPr>
                            <w:rFonts w:hint="default" w:ascii="Calibri" w:hAnsi="Calibri" w:eastAsia="楷体_GB2312" w:cs="Calibri"/>
                            <w:sz w:val="14"/>
                            <w:szCs w:val="14"/>
                          </w:rPr>
                        </w:pPr>
                        <w:r>
                          <w:rPr>
                            <w:rFonts w:ascii="Calibri" w:eastAsia="楷体_GB2312"/>
                            <w:b w:val="0"/>
                            <w:i w:val="0"/>
                            <w:color w:val="215E99"/>
                            <w:sz w:val="14"/>
                          </w:rPr>
                          <w:t>-4%</w:t>
                        </w:r>
                      </w:p>
                    </w:tc>
                    <w:tc>
                      <w:tcPr>
                        <w:tcW w:w="853" w:type="dxa"/>
                        <w:gridSpan w:val="2"/>
                        <w:vAlign w:val="center"/>
                      </w:tcPr>
                      <w:p w14:paraId="61BE3CE4">
                        <w:pPr>
                          <w:jc w:val="right"/>
                          <w:rPr>
                            <w:rFonts w:hint="default" w:ascii="Calibri" w:hAnsi="Calibri" w:eastAsia="楷体_GB2312" w:cs="Calibri"/>
                            <w:sz w:val="14"/>
                            <w:szCs w:val="14"/>
                          </w:rPr>
                        </w:pPr>
                        <w:r>
                          <w:rPr>
                            <w:rFonts w:ascii="Calibri" w:eastAsia="楷体_GB2312"/>
                            <w:b w:val="0"/>
                            <w:i w:val="0"/>
                            <w:color w:val="215E99"/>
                            <w:sz w:val="14"/>
                          </w:rPr>
                          <w:t>11%</w:t>
                        </w:r>
                      </w:p>
                    </w:tc>
                    <w:tc>
                      <w:tcPr>
                        <w:tcW w:w="854" w:type="dxa"/>
                        <w:vAlign w:val="center"/>
                      </w:tcPr>
                      <w:p w14:paraId="5A32CECB">
                        <w:pPr>
                          <w:jc w:val="right"/>
                          <w:rPr>
                            <w:rFonts w:hint="default" w:ascii="Calibri" w:hAnsi="Calibri" w:eastAsia="楷体_GB2312" w:cs="Calibri"/>
                            <w:sz w:val="14"/>
                            <w:szCs w:val="14"/>
                          </w:rPr>
                        </w:pPr>
                        <w:r>
                          <w:rPr>
                            <w:rFonts w:ascii="Calibri" w:eastAsia="楷体_GB2312"/>
                            <w:b w:val="0"/>
                            <w:i w:val="0"/>
                            <w:color w:val="215E99"/>
                            <w:sz w:val="14"/>
                          </w:rPr>
                          <w:t>9%</w:t>
                        </w:r>
                      </w:p>
                    </w:tc>
                  </w:tr>
                  <w:tr w14:paraId="440AFE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6D7D4ADE">
                        <w:pPr>
                          <w:adjustRightInd w:val="0"/>
                          <w:snapToGrid w:val="0"/>
                          <w:rPr>
                            <w:rFonts w:hint="default" w:ascii="Calibri" w:hAnsi="Calibri" w:eastAsia="楷体_GB2312" w:cs="Calibri"/>
                            <w:color w:val="23558C"/>
                            <w:sz w:val="14"/>
                            <w:szCs w:val="14"/>
                            <w:lang w:eastAsia="zh-CN"/>
                          </w:rPr>
                        </w:pPr>
                        <w:r>
                          <w:rPr>
                            <w:rFonts w:ascii="Calibri" w:eastAsia="楷体_GB2312"/>
                            <w:b w:val="0"/>
                            <w:i w:val="0"/>
                            <w:color w:val="215E99"/>
                            <w:sz w:val="14"/>
                          </w:rPr>
                          <w:t>Diluted EPS (US$)</w:t>
                        </w:r>
                      </w:p>
                    </w:tc>
                    <w:tc>
                      <w:tcPr>
                        <w:tcW w:w="853" w:type="dxa"/>
                        <w:gridSpan w:val="2"/>
                        <w:vAlign w:val="center"/>
                      </w:tcPr>
                      <w:p w14:paraId="7AAE11DE">
                        <w:pPr>
                          <w:adjustRightInd w:val="0"/>
                          <w:snapToGrid w:val="0"/>
                          <w:jc w:val="right"/>
                          <w:rPr>
                            <w:rFonts w:hint="default" w:ascii="Calibri" w:hAnsi="Calibri" w:eastAsia="楷体_GB2312" w:cs="Calibri"/>
                            <w:sz w:val="14"/>
                            <w:szCs w:val="14"/>
                            <w:lang w:eastAsia="zh-CN"/>
                          </w:rPr>
                        </w:pPr>
                        <w:r>
                          <w:rPr>
                            <w:rFonts w:ascii="Calibri" w:eastAsia="楷体_GB2312"/>
                            <w:b w:val="0"/>
                            <w:i w:val="0"/>
                            <w:color w:val="215E99"/>
                            <w:sz w:val="14"/>
                          </w:rPr>
                          <w:t>11.95</w:t>
                        </w:r>
                      </w:p>
                    </w:tc>
                    <w:tc>
                      <w:tcPr>
                        <w:tcW w:w="853" w:type="dxa"/>
                        <w:gridSpan w:val="2"/>
                        <w:vAlign w:val="center"/>
                      </w:tcPr>
                      <w:p w14:paraId="02F06F28">
                        <w:pPr>
                          <w:jc w:val="right"/>
                          <w:rPr>
                            <w:rFonts w:hint="default" w:ascii="Calibri" w:hAnsi="Calibri" w:eastAsia="楷体_GB2312" w:cs="Calibri"/>
                            <w:sz w:val="14"/>
                            <w:szCs w:val="14"/>
                          </w:rPr>
                        </w:pPr>
                        <w:r>
                          <w:rPr>
                            <w:rFonts w:ascii="Calibri" w:eastAsia="楷体_GB2312"/>
                            <w:b w:val="0"/>
                            <w:i w:val="0"/>
                            <w:color w:val="215E99"/>
                            <w:sz w:val="14"/>
                          </w:rPr>
                          <w:t>11.44</w:t>
                        </w:r>
                      </w:p>
                    </w:tc>
                    <w:tc>
                      <w:tcPr>
                        <w:tcW w:w="853" w:type="dxa"/>
                        <w:gridSpan w:val="2"/>
                        <w:vAlign w:val="center"/>
                      </w:tcPr>
                      <w:p w14:paraId="5CE50E99">
                        <w:pPr>
                          <w:jc w:val="right"/>
                          <w:rPr>
                            <w:rFonts w:hint="default" w:ascii="Calibri" w:hAnsi="Calibri" w:eastAsia="楷体_GB2312" w:cs="Calibri"/>
                            <w:sz w:val="14"/>
                            <w:szCs w:val="14"/>
                          </w:rPr>
                        </w:pPr>
                        <w:r>
                          <w:rPr>
                            <w:rFonts w:ascii="Calibri" w:eastAsia="楷体_GB2312"/>
                            <w:b w:val="0"/>
                            <w:i w:val="0"/>
                            <w:color w:val="215E99"/>
                            <w:sz w:val="14"/>
                          </w:rPr>
                          <w:t>12.70</w:t>
                        </w:r>
                      </w:p>
                    </w:tc>
                    <w:tc>
                      <w:tcPr>
                        <w:tcW w:w="854" w:type="dxa"/>
                        <w:vAlign w:val="center"/>
                      </w:tcPr>
                      <w:p w14:paraId="5A6DDED9">
                        <w:pPr>
                          <w:jc w:val="right"/>
                          <w:rPr>
                            <w:rFonts w:hint="default" w:ascii="Calibri" w:hAnsi="Calibri" w:eastAsia="楷体_GB2312" w:cs="Calibri"/>
                            <w:sz w:val="14"/>
                            <w:szCs w:val="14"/>
                          </w:rPr>
                        </w:pPr>
                        <w:r>
                          <w:rPr>
                            <w:rFonts w:ascii="Calibri" w:eastAsia="楷体_GB2312"/>
                            <w:b w:val="0"/>
                            <w:i w:val="0"/>
                            <w:color w:val="215E99"/>
                            <w:sz w:val="14"/>
                          </w:rPr>
                          <w:t>13.83</w:t>
                        </w:r>
                      </w:p>
                    </w:tc>
                  </w:tr>
                  <w:tr w14:paraId="4F32FA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74D076E3">
                        <w:pPr>
                          <w:adjustRightInd w:val="0"/>
                          <w:snapToGrid w:val="0"/>
                          <w:rPr>
                            <w:rFonts w:hint="default" w:ascii="Calibri" w:hAnsi="Calibri" w:eastAsia="楷体_GB2312" w:cs="Calibri"/>
                            <w:color w:val="23558C"/>
                            <w:sz w:val="14"/>
                            <w:szCs w:val="14"/>
                            <w:lang w:eastAsia="zh-CN"/>
                          </w:rPr>
                        </w:pPr>
                        <w:r>
                          <w:rPr>
                            <w:rFonts w:ascii="Calibri" w:eastAsia="楷体_GB2312"/>
                            <w:b w:val="0"/>
                            <w:i w:val="0"/>
                            <w:color w:val="215E99"/>
                            <w:sz w:val="14"/>
                          </w:rPr>
                          <w:t>GPM</w:t>
                        </w:r>
                      </w:p>
                    </w:tc>
                    <w:tc>
                      <w:tcPr>
                        <w:tcW w:w="853" w:type="dxa"/>
                        <w:gridSpan w:val="2"/>
                        <w:vAlign w:val="center"/>
                      </w:tcPr>
                      <w:p w14:paraId="7C6DDEFE">
                        <w:pPr>
                          <w:adjustRightInd w:val="0"/>
                          <w:snapToGrid w:val="0"/>
                          <w:jc w:val="right"/>
                          <w:rPr>
                            <w:rFonts w:hint="default" w:ascii="Calibri" w:hAnsi="Calibri" w:eastAsia="楷体_GB2312" w:cs="Calibri"/>
                            <w:sz w:val="14"/>
                            <w:szCs w:val="14"/>
                            <w:lang w:eastAsia="zh-CN"/>
                          </w:rPr>
                        </w:pPr>
                        <w:r>
                          <w:rPr>
                            <w:rFonts w:ascii="Calibri" w:eastAsia="楷体_GB2312"/>
                            <w:b w:val="0"/>
                            <w:i w:val="0"/>
                            <w:color w:val="215E99"/>
                            <w:sz w:val="14"/>
                          </w:rPr>
                          <w:t>74.2%</w:t>
                        </w:r>
                      </w:p>
                    </w:tc>
                    <w:tc>
                      <w:tcPr>
                        <w:tcW w:w="853" w:type="dxa"/>
                        <w:gridSpan w:val="2"/>
                        <w:vAlign w:val="center"/>
                      </w:tcPr>
                      <w:p w14:paraId="1E10B248">
                        <w:pPr>
                          <w:jc w:val="right"/>
                          <w:rPr>
                            <w:rFonts w:hint="default" w:ascii="Calibri" w:hAnsi="Calibri" w:eastAsia="楷体_GB2312" w:cs="Calibri"/>
                            <w:sz w:val="14"/>
                            <w:szCs w:val="14"/>
                          </w:rPr>
                        </w:pPr>
                        <w:r>
                          <w:rPr>
                            <w:rFonts w:ascii="Calibri" w:eastAsia="楷体_GB2312"/>
                            <w:b w:val="0"/>
                            <w:i w:val="0"/>
                            <w:color w:val="215E99"/>
                            <w:sz w:val="14"/>
                          </w:rPr>
                          <w:t>74.3%</w:t>
                        </w:r>
                      </w:p>
                    </w:tc>
                    <w:tc>
                      <w:tcPr>
                        <w:tcW w:w="853" w:type="dxa"/>
                        <w:gridSpan w:val="2"/>
                        <w:vAlign w:val="center"/>
                      </w:tcPr>
                      <w:p w14:paraId="01943F50">
                        <w:pPr>
                          <w:jc w:val="right"/>
                          <w:rPr>
                            <w:rFonts w:hint="default" w:ascii="Calibri" w:hAnsi="Calibri" w:eastAsia="楷体_GB2312" w:cs="Calibri"/>
                            <w:sz w:val="14"/>
                            <w:szCs w:val="14"/>
                          </w:rPr>
                        </w:pPr>
                        <w:r>
                          <w:rPr>
                            <w:rFonts w:ascii="Calibri" w:eastAsia="楷体_GB2312"/>
                            <w:b w:val="0"/>
                            <w:i w:val="0"/>
                            <w:color w:val="215E99"/>
                            <w:sz w:val="14"/>
                          </w:rPr>
                          <w:t>74.4%</w:t>
                        </w:r>
                      </w:p>
                    </w:tc>
                    <w:tc>
                      <w:tcPr>
                        <w:tcW w:w="854" w:type="dxa"/>
                        <w:vAlign w:val="center"/>
                      </w:tcPr>
                      <w:p w14:paraId="2F4D9AA8">
                        <w:pPr>
                          <w:jc w:val="right"/>
                          <w:rPr>
                            <w:rFonts w:hint="default" w:ascii="Calibri" w:hAnsi="Calibri" w:eastAsia="楷体_GB2312" w:cs="Calibri"/>
                            <w:sz w:val="14"/>
                            <w:szCs w:val="14"/>
                          </w:rPr>
                        </w:pPr>
                        <w:r>
                          <w:rPr>
                            <w:rFonts w:ascii="Calibri" w:eastAsia="楷体_GB2312"/>
                            <w:b w:val="0"/>
                            <w:i w:val="0"/>
                            <w:color w:val="215E99"/>
                            <w:sz w:val="14"/>
                          </w:rPr>
                          <w:t>74.7%</w:t>
                        </w:r>
                      </w:p>
                    </w:tc>
                  </w:tr>
                  <w:tr w14:paraId="523F5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71C19D56">
                        <w:pPr>
                          <w:adjustRightInd w:val="0"/>
                          <w:snapToGrid w:val="0"/>
                          <w:rPr>
                            <w:rFonts w:hint="default" w:ascii="Calibri" w:hAnsi="Calibri" w:eastAsia="楷体_GB2312" w:cs="Calibri"/>
                            <w:color w:val="23558C"/>
                            <w:sz w:val="14"/>
                            <w:szCs w:val="14"/>
                            <w:lang w:eastAsia="zh-CN"/>
                          </w:rPr>
                        </w:pPr>
                        <w:r>
                          <w:rPr>
                            <w:rFonts w:ascii="Calibri" w:eastAsia="楷体_GB2312"/>
                            <w:b w:val="0"/>
                            <w:i w:val="0"/>
                            <w:color w:val="215E99"/>
                            <w:sz w:val="14"/>
                          </w:rPr>
                          <w:t>ROE</w:t>
                        </w:r>
                      </w:p>
                    </w:tc>
                    <w:tc>
                      <w:tcPr>
                        <w:tcW w:w="853" w:type="dxa"/>
                        <w:gridSpan w:val="2"/>
                        <w:vAlign w:val="center"/>
                      </w:tcPr>
                      <w:p w14:paraId="2BBDECAC">
                        <w:pPr>
                          <w:jc w:val="right"/>
                          <w:rPr>
                            <w:rFonts w:hint="default" w:ascii="Calibri" w:hAnsi="Calibri" w:eastAsia="楷体_GB2312" w:cs="Calibri"/>
                            <w:sz w:val="14"/>
                            <w:szCs w:val="14"/>
                          </w:rPr>
                        </w:pPr>
                        <w:r>
                          <w:rPr>
                            <w:rFonts w:ascii="Calibri" w:eastAsia="楷体_GB2312"/>
                            <w:b w:val="0"/>
                            <w:i w:val="0"/>
                            <w:color w:val="215E99"/>
                            <w:sz w:val="14"/>
                          </w:rPr>
                          <w:t>20.6%</w:t>
                        </w:r>
                      </w:p>
                    </w:tc>
                    <w:tc>
                      <w:tcPr>
                        <w:tcW w:w="853" w:type="dxa"/>
                        <w:gridSpan w:val="2"/>
                        <w:vAlign w:val="center"/>
                      </w:tcPr>
                      <w:p w14:paraId="302D42D9">
                        <w:pPr>
                          <w:jc w:val="right"/>
                          <w:rPr>
                            <w:rFonts w:hint="default" w:ascii="Calibri" w:hAnsi="Calibri" w:eastAsia="楷体_GB2312" w:cs="Calibri"/>
                            <w:sz w:val="14"/>
                            <w:szCs w:val="14"/>
                          </w:rPr>
                        </w:pPr>
                        <w:r>
                          <w:rPr>
                            <w:rFonts w:ascii="Calibri" w:eastAsia="楷体_GB2312"/>
                            <w:b w:val="0"/>
                            <w:i w:val="0"/>
                            <w:color w:val="215E99"/>
                            <w:sz w:val="14"/>
                          </w:rPr>
                          <w:t>18.0%</w:t>
                        </w:r>
                      </w:p>
                    </w:tc>
                    <w:tc>
                      <w:tcPr>
                        <w:tcW w:w="853" w:type="dxa"/>
                        <w:gridSpan w:val="2"/>
                        <w:vAlign w:val="center"/>
                      </w:tcPr>
                      <w:p w14:paraId="536A59CB">
                        <w:pPr>
                          <w:jc w:val="right"/>
                          <w:rPr>
                            <w:rFonts w:hint="default" w:ascii="Calibri" w:hAnsi="Calibri" w:eastAsia="楷体_GB2312" w:cs="Calibri"/>
                            <w:sz w:val="14"/>
                            <w:szCs w:val="14"/>
                          </w:rPr>
                        </w:pPr>
                        <w:r>
                          <w:rPr>
                            <w:rFonts w:ascii="Calibri" w:eastAsia="楷体_GB2312"/>
                            <w:b w:val="0"/>
                            <w:i w:val="0"/>
                            <w:color w:val="215E99"/>
                            <w:sz w:val="14"/>
                          </w:rPr>
                          <w:t>18.8%</w:t>
                        </w:r>
                      </w:p>
                    </w:tc>
                    <w:tc>
                      <w:tcPr>
                        <w:tcW w:w="854" w:type="dxa"/>
                        <w:vAlign w:val="center"/>
                      </w:tcPr>
                      <w:p w14:paraId="3203AE38">
                        <w:pPr>
                          <w:jc w:val="right"/>
                          <w:rPr>
                            <w:rFonts w:hint="default" w:ascii="Calibri" w:hAnsi="Calibri" w:eastAsia="楷体_GB2312" w:cs="Calibri"/>
                            <w:sz w:val="14"/>
                            <w:szCs w:val="14"/>
                          </w:rPr>
                        </w:pPr>
                        <w:r>
                          <w:rPr>
                            <w:rFonts w:ascii="Calibri" w:eastAsia="楷体_GB2312"/>
                            <w:b w:val="0"/>
                            <w:i w:val="0"/>
                            <w:color w:val="215E99"/>
                            <w:sz w:val="14"/>
                          </w:rPr>
                          <w:t>19.0%</w:t>
                        </w:r>
                      </w:p>
                    </w:tc>
                  </w:tr>
                  <w:tr w14:paraId="224189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63C40A00">
                        <w:pPr>
                          <w:adjustRightInd w:val="0"/>
                          <w:snapToGrid w:val="0"/>
                          <w:rPr>
                            <w:rFonts w:hint="default" w:ascii="Calibri" w:hAnsi="Calibri" w:eastAsia="楷体_GB2312" w:cs="Calibri"/>
                            <w:color w:val="23558C"/>
                            <w:sz w:val="14"/>
                            <w:szCs w:val="14"/>
                            <w:lang w:eastAsia="zh-CN"/>
                          </w:rPr>
                        </w:pPr>
                        <w:r>
                          <w:rPr>
                            <w:rFonts w:ascii="Calibri" w:eastAsia="楷体_GB2312"/>
                            <w:b w:val="0"/>
                            <w:i w:val="0"/>
                            <w:color w:val="215E99"/>
                            <w:sz w:val="14"/>
                          </w:rPr>
                          <w:t>P/E</w:t>
                        </w:r>
                      </w:p>
                    </w:tc>
                    <w:tc>
                      <w:tcPr>
                        <w:tcW w:w="853" w:type="dxa"/>
                        <w:gridSpan w:val="2"/>
                        <w:vAlign w:val="center"/>
                      </w:tcPr>
                      <w:p w14:paraId="72C085A7">
                        <w:pPr>
                          <w:jc w:val="right"/>
                          <w:rPr>
                            <w:rFonts w:hint="default" w:ascii="Calibri" w:hAnsi="Calibri" w:eastAsia="楷体_GB2312" w:cs="Calibri"/>
                            <w:sz w:val="14"/>
                            <w:szCs w:val="14"/>
                          </w:rPr>
                        </w:pPr>
                        <w:r>
                          <w:rPr>
                            <w:rFonts w:ascii="Calibri" w:eastAsia="楷体_GB2312"/>
                            <w:b w:val="0"/>
                            <w:i w:val="0"/>
                            <w:color w:val="215E99"/>
                            <w:sz w:val="14"/>
                          </w:rPr>
                          <w:t>30</w:t>
                        </w:r>
                      </w:p>
                    </w:tc>
                    <w:tc>
                      <w:tcPr>
                        <w:tcW w:w="853" w:type="dxa"/>
                        <w:gridSpan w:val="2"/>
                        <w:vAlign w:val="center"/>
                      </w:tcPr>
                      <w:p w14:paraId="5ED447D6">
                        <w:pPr>
                          <w:jc w:val="right"/>
                          <w:rPr>
                            <w:rFonts w:hint="default" w:ascii="Calibri" w:hAnsi="Calibri" w:eastAsia="楷体_GB2312" w:cs="Calibri"/>
                            <w:sz w:val="14"/>
                            <w:szCs w:val="14"/>
                          </w:rPr>
                        </w:pPr>
                        <w:r>
                          <w:rPr>
                            <w:rFonts w:ascii="Calibri" w:eastAsia="楷体_GB2312"/>
                            <w:b w:val="0"/>
                            <w:i w:val="0"/>
                            <w:color w:val="215E99"/>
                            <w:sz w:val="14"/>
                          </w:rPr>
                          <w:t>31</w:t>
                        </w:r>
                      </w:p>
                    </w:tc>
                    <w:tc>
                      <w:tcPr>
                        <w:tcW w:w="853" w:type="dxa"/>
                        <w:gridSpan w:val="2"/>
                        <w:vAlign w:val="center"/>
                      </w:tcPr>
                      <w:p w14:paraId="10D4B370">
                        <w:pPr>
                          <w:jc w:val="right"/>
                          <w:rPr>
                            <w:rFonts w:hint="default" w:ascii="Calibri" w:hAnsi="Calibri" w:eastAsia="楷体_GB2312" w:cs="Calibri"/>
                            <w:sz w:val="14"/>
                            <w:szCs w:val="14"/>
                          </w:rPr>
                        </w:pPr>
                        <w:r>
                          <w:rPr>
                            <w:rFonts w:ascii="Calibri" w:eastAsia="楷体_GB2312"/>
                            <w:b w:val="0"/>
                            <w:i w:val="0"/>
                            <w:color w:val="215E99"/>
                            <w:sz w:val="14"/>
                          </w:rPr>
                          <w:t>28</w:t>
                        </w:r>
                      </w:p>
                    </w:tc>
                    <w:tc>
                      <w:tcPr>
                        <w:tcW w:w="854" w:type="dxa"/>
                        <w:vAlign w:val="center"/>
                      </w:tcPr>
                      <w:p w14:paraId="4AF4893B">
                        <w:pPr>
                          <w:jc w:val="right"/>
                          <w:rPr>
                            <w:rFonts w:hint="default" w:ascii="Calibri" w:hAnsi="Calibri" w:eastAsia="楷体_GB2312" w:cs="Calibri"/>
                            <w:sz w:val="14"/>
                            <w:szCs w:val="14"/>
                          </w:rPr>
                        </w:pPr>
                        <w:r>
                          <w:rPr>
                            <w:rFonts w:ascii="Calibri" w:eastAsia="楷体_GB2312"/>
                            <w:b w:val="0"/>
                            <w:i w:val="0"/>
                            <w:color w:val="215E99"/>
                            <w:sz w:val="14"/>
                          </w:rPr>
                          <w:t>26</w:t>
                        </w:r>
                      </w:p>
                    </w:tc>
                  </w:tr>
                </w:tbl>
                <w:p w14:paraId="47430BFE">
                  <w:pPr>
                    <w:ind w:right="85" w:firstLine="85"/>
                    <w:rPr>
                      <w:rFonts w:hint="default" w:ascii="Calibri" w:hAnsi="Calibri" w:eastAsia="楷体_GB2312" w:cs="Calibri"/>
                    </w:rPr>
                  </w:pPr>
                </w:p>
              </w:tc>
            </w:tr>
            <w:tr w14:paraId="0AF36650">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16" w:hRule="atLeast"/>
              </w:trPr>
              <w:tc>
                <w:tcPr>
                  <w:tcW w:w="4071" w:type="dxa"/>
                  <w:gridSpan w:val="2"/>
                </w:tcPr>
                <w:p w14:paraId="35DD6EE0">
                  <w:pPr>
                    <w:ind w:firstLine="85"/>
                    <w:rPr>
                      <w:rFonts w:hint="default" w:ascii="Calibri" w:hAnsi="Calibri" w:eastAsia="楷体_GB2312" w:cs="Calibri"/>
                      <w:i/>
                      <w:iCs/>
                      <w:color w:val="000000"/>
                      <w:sz w:val="12"/>
                      <w:lang w:eastAsia="zh-CN"/>
                    </w:rPr>
                  </w:pPr>
                  <w:r>
                    <w:rPr>
                      <w:rFonts w:ascii="Calibri" w:eastAsia="楷体_GB2312"/>
                      <w:b w:val="0"/>
                      <w:i/>
                      <w:color w:val="000000"/>
                      <w:sz w:val="12"/>
                    </w:rPr>
                    <w:t>Source: Company data, HFI</w:t>
                  </w:r>
                </w:p>
              </w:tc>
            </w:tr>
          </w:tbl>
          <w:p w14:paraId="09733C68">
            <w:pPr>
              <w:pStyle w:val="24"/>
              <w:framePr w:wrap="auto" w:vAnchor="margin" w:hAnchor="text" w:xAlign="left" w:yAlign="inline"/>
              <w:jc w:val="left"/>
              <w:rPr>
                <w:rFonts w:hint="default" w:ascii="Calibri" w:hAnsi="Calibri" w:eastAsia="楷体_GB2312" w:cs="Calibri"/>
              </w:rPr>
            </w:pPr>
          </w:p>
        </w:tc>
        <w:tc>
          <w:tcPr>
            <w:tcW w:w="6061" w:type="dxa"/>
            <w:gridSpan w:val="4"/>
            <w:tcMar>
              <w:left w:w="85" w:type="dxa"/>
            </w:tcMar>
          </w:tcPr>
          <w:p w14:paraId="24B3FD2A">
            <w:pPr>
              <w:pStyle w:val="89"/>
              <w:jc w:val="both"/>
              <w:rPr>
                <w:rFonts w:hint="default" w:ascii="Calibri" w:hAnsi="Calibri" w:eastAsia="楷体_GB2312" w:cs="Calibri"/>
                <w:lang w:eastAsia="zh-CN"/>
              </w:rPr>
            </w:pPr>
            <w:r>
              <w:rPr>
                <w:rFonts w:hint="default" w:ascii="Calibri" w:hAnsi="Calibri" w:eastAsia="楷体_GB2312" w:cs="Calibri"/>
                <w:b/>
                <w:snapToGrid w:val="0"/>
                <w:color w:val="23558C"/>
                <w:lang w:eastAsia="zh-CN"/>
              </w:rPr>
              <w:t>L'Oréal Group: Global Beauty Leader.</w:t>
            </w:r>
            <w:r>
              <w:rPr>
                <w:rFonts w:hint="default" w:ascii="Calibri" w:hAnsi="Calibri" w:eastAsia="楷体_GB2312" w:cs="Calibri"/>
              </w:rPr>
              <w:t xml:space="preserve"> </w:t>
            </w:r>
            <w:r>
              <w:rPr>
                <w:rFonts w:hint="default" w:ascii="Calibri" w:hAnsi="Calibri" w:eastAsia="楷体_GB2312" w:cs="Calibri"/>
                <w:lang w:eastAsia="zh-CN"/>
              </w:rPr>
              <w:t>Founded in 1909 and headquartered in Paris, France, L'Oréal is the undisputed leader in the global beauty and personal care industry. In 2025, the Group recorded revenue of €44.052 billion and has consistently held the No.1 position in global beauty market share for many years (≈18.0% in 2024).The business is organized into four divisions (2025 revenue breakdown):</w:t>
            </w:r>
            <w:r>
              <w:rPr>
                <w:rFonts w:hint="default" w:ascii="Calibri" w:hAnsi="Calibri" w:eastAsia="楷体_GB2312" w:cs="Calibri"/>
                <w:sz w:val="24"/>
              </w:rPr>
              <w:t xml:space="preserve"> </w:t>
            </w:r>
            <w:r>
              <w:rPr>
                <w:rFonts w:hint="default" w:ascii="Calibri" w:hAnsi="Calibri" w:eastAsia="楷体_GB2312" w:cs="Calibri"/>
              </w:rPr>
              <w:t>Consumer Products: €16.090 billion (36.5%)</w:t>
            </w:r>
            <w:r>
              <w:rPr>
                <w:rFonts w:hint="default" w:ascii="Calibri" w:hAnsi="Calibri" w:eastAsia="楷体_GB2312" w:cs="Calibri"/>
                <w:lang w:eastAsia="zh-CN"/>
              </w:rPr>
              <w:t>,Luxury Products: €15.595 billion (35.4%),</w:t>
            </w:r>
            <w:r>
              <w:rPr>
                <w:rFonts w:hint="default" w:ascii="Calibri" w:hAnsi="Calibri" w:eastAsia="楷体_GB2312" w:cs="Calibri"/>
              </w:rPr>
              <w:t>Dermatological Beauty: €7.204 billion (16.4%)</w:t>
            </w:r>
            <w:r>
              <w:rPr>
                <w:rFonts w:hint="default" w:ascii="Calibri" w:hAnsi="Calibri" w:eastAsia="楷体_GB2312" w:cs="Calibri"/>
                <w:lang w:eastAsia="zh-CN"/>
              </w:rPr>
              <w:t>,</w:t>
            </w:r>
            <w:r>
              <w:rPr>
                <w:rFonts w:hint="default" w:ascii="Calibri" w:hAnsi="Calibri" w:eastAsia="楷体_GB2312" w:cs="Calibri"/>
              </w:rPr>
              <w:t>Professional Products: €5.163 billion (11.7%)</w:t>
            </w:r>
            <w:r>
              <w:rPr>
                <w:rFonts w:hint="default" w:ascii="Calibri" w:hAnsi="Calibri" w:eastAsia="楷体_GB2312" w:cs="Calibri"/>
                <w:lang w:eastAsia="zh-CN"/>
              </w:rPr>
              <w:t>.L'Oréal manages over 40 international brands spanning the full price spectrum from mass to ultra-luxury.</w:t>
            </w:r>
          </w:p>
          <w:p w14:paraId="2803F7C5">
            <w:pPr>
              <w:pStyle w:val="89"/>
              <w:jc w:val="both"/>
              <w:rPr>
                <w:rFonts w:hint="default" w:ascii="Calibri" w:hAnsi="Calibri" w:eastAsia="楷体_GB2312" w:cs="Calibri"/>
                <w:lang w:eastAsia="zh-CN"/>
              </w:rPr>
            </w:pPr>
            <w:r>
              <w:rPr>
                <w:rFonts w:hint="default" w:ascii="Calibri" w:hAnsi="Calibri" w:eastAsia="楷体_GB2312" w:cs="Calibri"/>
                <w:b/>
                <w:bCs/>
                <w:color w:val="23558C"/>
                <w:lang w:eastAsia="zh-CN"/>
              </w:rPr>
              <w:t>Global Beauty Market: Mature, Steady Growth with Increasing Concentration.</w:t>
            </w:r>
            <w:r>
              <w:rPr>
                <w:rFonts w:hint="default" w:ascii="Calibri" w:hAnsi="Calibri" w:eastAsia="楷体_GB2312" w:cs="Calibri"/>
              </w:rPr>
              <w:t xml:space="preserve"> </w:t>
            </w:r>
            <w:r>
              <w:rPr>
                <w:rFonts w:hint="default" w:ascii="Calibri" w:hAnsi="Calibri" w:eastAsia="楷体_GB2312" w:cs="Calibri"/>
                <w:lang w:eastAsia="zh-CN"/>
              </w:rPr>
              <w:t>The global beauty market has entered a mature phase of stable expansion. Market size grew from USD 473.2 billion in 2016 to USD 677.19 billion in 2025 (CAGR 4.06%), and is projected to rise from USD 703.31 billion in 2026 to USD 799.07 billion in 2030 (CAGR 3.24%).</w:t>
            </w:r>
            <w:r>
              <w:rPr>
                <w:rFonts w:hint="default" w:ascii="Calibri" w:hAnsi="Calibri" w:eastAsia="楷体_GB2312" w:cs="Calibri"/>
              </w:rPr>
              <w:t>Key structural trends include:</w:t>
            </w:r>
            <w:r>
              <w:rPr>
                <w:rFonts w:hint="default" w:ascii="Calibri" w:hAnsi="Calibri" w:eastAsia="楷体_GB2312" w:cs="Calibri"/>
                <w:sz w:val="24"/>
              </w:rPr>
              <w:t xml:space="preserve"> </w:t>
            </w:r>
            <w:r>
              <w:rPr>
                <w:rFonts w:hint="default" w:ascii="Calibri" w:hAnsi="Calibri" w:eastAsia="楷体_GB2312" w:cs="Calibri"/>
              </w:rPr>
              <w:t>Luxury/Prestige categories expected to grow at 7–9% CAGR (2023–2028), outperforming the overall market (~6%)</w:t>
            </w:r>
            <w:r>
              <w:rPr>
                <w:rFonts w:hint="default" w:ascii="Calibri" w:hAnsi="Calibri" w:eastAsia="楷体_GB2312" w:cs="Calibri"/>
                <w:lang w:eastAsia="zh-CN"/>
              </w:rPr>
              <w:t>;</w:t>
            </w:r>
            <w:r>
              <w:rPr>
                <w:rFonts w:hint="default" w:ascii="Calibri" w:hAnsi="Calibri" w:eastAsia="楷体_GB2312" w:cs="Calibri"/>
              </w:rPr>
              <w:t>Functional/efficacious skincare at 7–9% CAGR (vs. overall skincare 5–6%)</w:t>
            </w:r>
            <w:r>
              <w:rPr>
                <w:rFonts w:hint="default" w:ascii="Calibri" w:hAnsi="Calibri" w:eastAsia="楷体_GB2312" w:cs="Calibri"/>
                <w:lang w:eastAsia="zh-CN"/>
              </w:rPr>
              <w:t>.</w:t>
            </w:r>
            <w:r>
              <w:rPr>
                <w:rFonts w:hint="default" w:ascii="Calibri" w:hAnsi="Calibri" w:eastAsia="楷体_GB2312" w:cs="Calibri"/>
              </w:rPr>
              <w:t>The industry exhibits a clear Matthew effect: the top 10 players increased their combined global share by 5.2 percentage points from 2020 to 2024, reaching ≈38%.</w:t>
            </w:r>
          </w:p>
          <w:p w14:paraId="7EC62BCD">
            <w:pPr>
              <w:pStyle w:val="89"/>
              <w:jc w:val="both"/>
              <w:rPr>
                <w:rFonts w:hint="default" w:ascii="Calibri" w:hAnsi="Calibri" w:eastAsia="楷体_GB2312" w:cs="Calibri"/>
                <w:lang w:eastAsia="zh-CN"/>
              </w:rPr>
            </w:pPr>
            <w:r>
              <w:rPr>
                <w:rFonts w:hint="default" w:ascii="Calibri" w:hAnsi="Calibri" w:eastAsia="楷体_GB2312" w:cs="Calibri"/>
                <w:b/>
                <w:bCs/>
                <w:color w:val="23558C"/>
                <w:lang w:eastAsia="zh-CN"/>
              </w:rPr>
              <w:t xml:space="preserve">L'Oréal’s Five Mutually Reinforcing Competitive Moats. </w:t>
            </w:r>
            <w:r>
              <w:rPr>
                <w:rFonts w:hint="default" w:ascii="Calibri" w:hAnsi="Calibri" w:eastAsia="楷体_GB2312" w:cs="Calibri"/>
                <w:lang w:eastAsia="zh-CN"/>
              </w:rPr>
              <w:t>1)</w:t>
            </w:r>
            <w:r>
              <w:rPr>
                <w:rFonts w:hint="default" w:ascii="Calibri" w:hAnsi="Calibri" w:eastAsia="楷体_GB2312" w:cs="Calibri"/>
                <w:sz w:val="24"/>
              </w:rPr>
              <w:t xml:space="preserve"> </w:t>
            </w:r>
            <w:r>
              <w:rPr>
                <w:rFonts w:hint="default" w:ascii="Calibri" w:hAnsi="Calibri" w:eastAsia="楷体_GB2312" w:cs="Calibri"/>
              </w:rPr>
              <w:t>R&amp;D and Innovation Leadership</w:t>
            </w:r>
            <w:r>
              <w:rPr>
                <w:rFonts w:hint="default" w:ascii="Calibri" w:hAnsi="Calibri" w:eastAsia="楷体_GB2312" w:cs="Calibri"/>
                <w:lang w:eastAsia="zh-CN"/>
              </w:rPr>
              <w:t>;2)</w:t>
            </w:r>
            <w:r>
              <w:rPr>
                <w:rFonts w:hint="default" w:ascii="Calibri" w:hAnsi="Calibri" w:eastAsia="楷体_GB2312" w:cs="Calibri"/>
                <w:sz w:val="24"/>
              </w:rPr>
              <w:t xml:space="preserve"> </w:t>
            </w:r>
            <w:r>
              <w:rPr>
                <w:rFonts w:hint="default" w:ascii="Calibri" w:hAnsi="Calibri" w:eastAsia="楷体_GB2312" w:cs="Calibri"/>
              </w:rPr>
              <w:t>Broad and Well-Managed Brand Portfolio</w:t>
            </w:r>
            <w:r>
              <w:rPr>
                <w:rFonts w:hint="default" w:ascii="Calibri" w:hAnsi="Calibri" w:eastAsia="楷体_GB2312" w:cs="Calibri"/>
                <w:lang w:eastAsia="zh-CN"/>
              </w:rPr>
              <w:t>;3)</w:t>
            </w:r>
            <w:r>
              <w:rPr>
                <w:rFonts w:hint="default" w:ascii="Calibri" w:hAnsi="Calibri" w:eastAsia="楷体_GB2312" w:cs="Calibri"/>
                <w:sz w:val="24"/>
              </w:rPr>
              <w:t xml:space="preserve"> </w:t>
            </w:r>
            <w:r>
              <w:rPr>
                <w:rFonts w:hint="default" w:ascii="Calibri" w:hAnsi="Calibri" w:eastAsia="楷体_GB2312" w:cs="Calibri"/>
              </w:rPr>
              <w:t>Global Scale with Localized Executio</w:t>
            </w:r>
            <w:r>
              <w:rPr>
                <w:rFonts w:hint="default" w:ascii="Calibri" w:hAnsi="Calibri" w:eastAsia="楷体_GB2312" w:cs="Calibri"/>
                <w:lang w:eastAsia="zh-CN"/>
              </w:rPr>
              <w:t>n;4)</w:t>
            </w:r>
            <w:r>
              <w:rPr>
                <w:rFonts w:hint="default" w:ascii="Calibri" w:hAnsi="Calibri" w:eastAsia="楷体_GB2312" w:cs="Calibri"/>
                <w:sz w:val="24"/>
              </w:rPr>
              <w:t xml:space="preserve"> </w:t>
            </w:r>
            <w:r>
              <w:rPr>
                <w:rFonts w:hint="default" w:ascii="Calibri" w:hAnsi="Calibri" w:eastAsia="楷体_GB2312" w:cs="Calibri"/>
              </w:rPr>
              <w:t>Comprehensive Omnichannel Coverage</w:t>
            </w:r>
            <w:r>
              <w:rPr>
                <w:rFonts w:hint="default" w:ascii="Calibri" w:hAnsi="Calibri" w:eastAsia="楷体_GB2312" w:cs="Calibri"/>
                <w:lang w:eastAsia="zh-CN"/>
              </w:rPr>
              <w:t>;5)</w:t>
            </w:r>
            <w:r>
              <w:rPr>
                <w:rFonts w:hint="default" w:ascii="Calibri" w:hAnsi="Calibri" w:eastAsia="楷体_GB2312" w:cs="Calibri"/>
                <w:sz w:val="24"/>
              </w:rPr>
              <w:t xml:space="preserve"> </w:t>
            </w:r>
            <w:r>
              <w:rPr>
                <w:rFonts w:hint="default" w:ascii="Calibri" w:hAnsi="Calibri" w:eastAsia="楷体_GB2312" w:cs="Calibri"/>
              </w:rPr>
              <w:t>Digital &amp; Beauty Tech Advantage</w:t>
            </w:r>
            <w:r>
              <w:rPr>
                <w:rFonts w:hint="default" w:ascii="Calibri" w:hAnsi="Calibri" w:eastAsia="楷体_GB2312" w:cs="Calibri"/>
                <w:lang w:eastAsia="zh-CN"/>
              </w:rPr>
              <w:t>.</w:t>
            </w:r>
          </w:p>
          <w:p w14:paraId="61756503">
            <w:pPr>
              <w:pStyle w:val="89"/>
              <w:jc w:val="both"/>
              <w:rPr>
                <w:rFonts w:hint="default" w:ascii="Calibri" w:hAnsi="Calibri" w:eastAsia="楷体_GB2312" w:cs="Calibri"/>
              </w:rPr>
            </w:pPr>
            <w:r>
              <w:rPr>
                <w:rFonts w:hint="default" w:ascii="Calibri" w:hAnsi="Calibri" w:eastAsia="楷体_GB2312" w:cs="Calibri"/>
                <w:b/>
                <w:bCs/>
                <w:color w:val="23558C"/>
              </w:rPr>
              <w:t>Growth Drivers: Organic Momentum + Strategic Acquisitions</w:t>
            </w:r>
            <w:r>
              <w:rPr>
                <w:rFonts w:hint="default" w:ascii="Calibri" w:hAnsi="Calibri" w:eastAsia="楷体_GB2312" w:cs="Calibri"/>
                <w:b/>
                <w:bCs/>
                <w:color w:val="23558C"/>
                <w:lang w:eastAsia="zh-CN"/>
              </w:rPr>
              <w:t>.</w:t>
            </w:r>
            <w:r>
              <w:rPr>
                <w:rFonts w:hint="default" w:ascii="Calibri" w:hAnsi="Calibri" w:eastAsia="楷体_GB2312" w:cs="Calibri"/>
              </w:rPr>
              <w:t xml:space="preserve"> Focus on high-growth categories and emerging markets:</w:t>
            </w:r>
            <w:r>
              <w:rPr>
                <w:rFonts w:hint="default" w:ascii="Calibri" w:hAnsi="Calibri" w:eastAsia="楷体_GB2312" w:cs="Calibri"/>
                <w:lang w:eastAsia="zh-CN"/>
              </w:rPr>
              <w:t>1)</w:t>
            </w:r>
            <w:r>
              <w:rPr>
                <w:rFonts w:hint="default" w:ascii="Calibri" w:hAnsi="Calibri" w:eastAsia="楷体_GB2312" w:cs="Calibri"/>
              </w:rPr>
              <w:t xml:space="preserve"> </w:t>
            </w:r>
            <w:r>
              <w:rPr>
                <w:rFonts w:hint="default" w:ascii="Calibri" w:hAnsi="Calibri" w:eastAsia="楷体_GB2312" w:cs="Calibri"/>
                <w:lang w:eastAsia="zh-CN"/>
              </w:rPr>
              <w:t>Dermatological Beauty (Strongest Engine) — driven by patented actives (Melasyl™, P-Tiox), cross-category scalp care expansion, and digital-first / city-by-city penetration in India, Mainland China, Southeast Asia, Latin America, and GCC. 2)</w:t>
            </w:r>
            <w:r>
              <w:rPr>
                <w:rFonts w:hint="default" w:ascii="Calibri" w:hAnsi="Calibri" w:eastAsia="楷体_GB2312" w:cs="Calibri"/>
              </w:rPr>
              <w:t xml:space="preserve"> </w:t>
            </w:r>
            <w:r>
              <w:rPr>
                <w:rFonts w:hint="default" w:ascii="Calibri" w:hAnsi="Calibri" w:eastAsia="楷体_GB2312" w:cs="Calibri"/>
                <w:lang w:eastAsia="zh-CN"/>
              </w:rPr>
              <w:t>Luxury Products — capturing fragrance structural upgrade and ultra-premium gaps via Creed and the €4 billion Kering beauty alliance (licensing Bottega Veneta, Balenciaga, Gucci, etc.).3)</w:t>
            </w:r>
            <w:r>
              <w:rPr>
                <w:rFonts w:hint="default" w:ascii="Calibri" w:hAnsi="Calibri" w:eastAsia="楷体_GB2312" w:cs="Calibri"/>
                <w:sz w:val="24"/>
              </w:rPr>
              <w:t xml:space="preserve"> </w:t>
            </w:r>
            <w:r>
              <w:rPr>
                <w:rFonts w:hint="default" w:ascii="Calibri" w:hAnsi="Calibri" w:eastAsia="楷体_GB2312" w:cs="Calibri"/>
              </w:rPr>
              <w:t>Bolt-on Acquisitions — continuously strengthening the global brand operating platform.</w:t>
            </w:r>
          </w:p>
          <w:p w14:paraId="3D0AADAA">
            <w:pPr>
              <w:pStyle w:val="89"/>
              <w:jc w:val="both"/>
              <w:rPr>
                <w:rFonts w:hint="default" w:ascii="Calibri" w:hAnsi="Calibri" w:eastAsia="楷体_GB2312" w:cs="Calibri"/>
                <w:lang w:eastAsia="zh-CN"/>
              </w:rPr>
            </w:pPr>
            <w:r>
              <w:rPr>
                <w:rFonts w:hint="default" w:ascii="Calibri" w:hAnsi="Calibri" w:eastAsia="楷体_GB2312" w:cs="Calibri"/>
                <w:b/>
                <w:bCs/>
                <w:color w:val="23558C"/>
                <w:lang w:eastAsia="zh-CN"/>
              </w:rPr>
              <w:t xml:space="preserve">Valuation and Recommendation. </w:t>
            </w:r>
            <w:r>
              <w:rPr>
                <w:rFonts w:hint="default" w:ascii="Calibri" w:hAnsi="Calibri" w:eastAsia="楷体_GB2312" w:cs="Calibri"/>
                <w:lang w:eastAsia="zh-CN"/>
              </w:rPr>
              <w:t>We forecast 2026–2029 revenue at €46.055 / €48.398 / €50.953 billion and net profit at €6.786 / €7.382 / €7.932 billion. Using a DCF valuation model, we initiate coverage with an Outperform rating and a target price of €408.</w:t>
            </w:r>
          </w:p>
          <w:p w14:paraId="53F6A9E0">
            <w:pPr>
              <w:pStyle w:val="89"/>
              <w:jc w:val="both"/>
              <w:rPr>
                <w:rFonts w:hint="default" w:ascii="Calibri" w:hAnsi="Calibri" w:eastAsia="楷体_GB2312" w:cs="Calibri"/>
                <w:sz w:val="20"/>
                <w:szCs w:val="20"/>
              </w:rPr>
            </w:pPr>
            <w:r>
              <w:rPr>
                <w:rFonts w:hint="default" w:ascii="Calibri" w:hAnsi="Calibri" w:eastAsia="楷体_GB2312" w:cs="Calibri"/>
                <w:b/>
                <w:bCs/>
                <w:color w:val="23558C"/>
                <w:lang w:eastAsia="zh-CN"/>
              </w:rPr>
              <w:t xml:space="preserve">Risk: </w:t>
            </w:r>
            <w:r>
              <w:rPr>
                <w:rFonts w:hint="default" w:ascii="Calibri" w:hAnsi="Calibri" w:eastAsia="楷体_GB2312" w:cs="Calibri"/>
              </w:rPr>
              <w:t>Raw material price volatility; supply chain disruptions; intensified competition; shifts in consumer preferences.</w:t>
            </w:r>
          </w:p>
          <w:p w14:paraId="2E4A4274">
            <w:pPr>
              <w:pStyle w:val="72"/>
              <w:jc w:val="both"/>
              <w:rPr>
                <w:rFonts w:hint="default" w:ascii="Calibri" w:hAnsi="Calibri" w:eastAsia="楷体_GB2312" w:cs="Calibri"/>
                <w:sz w:val="20"/>
                <w:szCs w:val="20"/>
              </w:rPr>
            </w:pPr>
          </w:p>
          <w:p w14:paraId="2B4C0FB9">
            <w:pPr>
              <w:pStyle w:val="89"/>
              <w:jc w:val="both"/>
              <w:rPr>
                <w:rFonts w:hint="default" w:ascii="Calibri" w:hAnsi="Calibri" w:eastAsia="楷体_GB2312" w:cs="Calibri"/>
                <w:bCs/>
                <w:kern w:val="28"/>
                <w:lang w:eastAsia="zh-CN"/>
              </w:rPr>
            </w:pPr>
          </w:p>
        </w:tc>
      </w:tr>
      <w:tr w14:paraId="1B13D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855" w:hRule="atLeast"/>
        </w:trPr>
        <w:tc>
          <w:tcPr>
            <w:tcW w:w="10740" w:type="dxa"/>
            <w:gridSpan w:val="5"/>
            <w:tcMar>
              <w:left w:w="57" w:type="dxa"/>
            </w:tcMar>
          </w:tcPr>
          <w:p w14:paraId="5CF768E5">
            <w:pPr>
              <w:pStyle w:val="89"/>
              <w:spacing w:after="0"/>
              <w:jc w:val="both"/>
              <w:rPr>
                <w:rFonts w:hint="default" w:ascii="Calibri" w:hAnsi="Calibri" w:eastAsia="楷体_GB2312" w:cs="Calibri"/>
                <w:bCs/>
                <w:kern w:val="28"/>
                <w:lang w:eastAsia="zh-CN"/>
              </w:rPr>
            </w:pPr>
          </w:p>
          <w:tbl>
            <w:tblPr>
              <w:tblStyle w:val="13"/>
              <w:tblW w:w="0" w:type="auto"/>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4"/>
              <w:gridCol w:w="2551"/>
              <w:gridCol w:w="2693"/>
              <w:gridCol w:w="2694"/>
            </w:tblGrid>
            <w:tr w14:paraId="304C0F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3" w:hRule="exact"/>
              </w:trPr>
              <w:tc>
                <w:tcPr>
                  <w:tcW w:w="2694" w:type="dxa"/>
                  <w:tcMar>
                    <w:right w:w="60" w:type="dxa"/>
                  </w:tcMar>
                </w:tcPr>
                <w:p w14:paraId="64420497">
                  <w:pPr>
                    <w:pStyle w:val="52"/>
                    <w:framePr w:wrap="auto" w:vAnchor="margin" w:hAnchor="text" w:yAlign="inline"/>
                    <w:rPr>
                      <w:rFonts w:hint="default" w:ascii="Calibri" w:hAnsi="Calibri" w:eastAsia="楷体_GB2312" w:cs="Calibri"/>
                      <w:color w:val="FFFFFF" w:themeColor="background1"/>
                      <w14:textFill>
                        <w14:solidFill>
                          <w14:schemeClr w14:val="bg1"/>
                        </w14:solidFill>
                      </w14:textFill>
                    </w:rPr>
                  </w:pPr>
                  <w:bookmarkStart w:id="38" w:name="_GoBack"/>
                  <w:r>
                    <w:rPr>
                      <w:rFonts w:hint="default" w:ascii="Calibri" w:hAnsi="Calibri" w:eastAsia="楷体_GB2312" w:cs="Calibri"/>
                      <w:color w:val="FFFFFF" w:themeColor="background1"/>
                      <w14:textFill>
                        <w14:solidFill>
                          <w14:schemeClr w14:val="bg1"/>
                        </w14:solidFill>
                      </w14:textFill>
                    </w:rPr>
                    <w:t>[Table_Author]</w:t>
                  </w:r>
                </w:p>
              </w:tc>
              <w:tc>
                <w:tcPr>
                  <w:tcW w:w="2551" w:type="dxa"/>
                </w:tcPr>
                <w:p w14:paraId="53B70FF6">
                  <w:pPr>
                    <w:pStyle w:val="52"/>
                    <w:framePr w:wrap="auto" w:vAnchor="margin" w:hAnchor="text" w:yAlign="inline"/>
                    <w:rPr>
                      <w:rFonts w:hint="default" w:ascii="Calibri" w:hAnsi="Calibri" w:eastAsia="楷体_GB2312" w:cs="Calibri"/>
                      <w:color w:val="FFFFFF" w:themeColor="background1"/>
                      <w14:textFill>
                        <w14:solidFill>
                          <w14:schemeClr w14:val="bg1"/>
                        </w14:solidFill>
                      </w14:textFill>
                    </w:rPr>
                  </w:pPr>
                </w:p>
              </w:tc>
              <w:tc>
                <w:tcPr>
                  <w:tcW w:w="2693" w:type="dxa"/>
                </w:tcPr>
                <w:p w14:paraId="30EC3AEB">
                  <w:pPr>
                    <w:pStyle w:val="52"/>
                    <w:framePr w:wrap="auto" w:vAnchor="margin" w:hAnchor="text" w:yAlign="inline"/>
                    <w:rPr>
                      <w:rFonts w:hint="default" w:ascii="Calibri" w:hAnsi="Calibri" w:eastAsia="楷体_GB2312" w:cs="Calibri"/>
                      <w:color w:val="FFFFFF" w:themeColor="background1"/>
                      <w14:textFill>
                        <w14:solidFill>
                          <w14:schemeClr w14:val="bg1"/>
                        </w14:solidFill>
                      </w14:textFill>
                    </w:rPr>
                  </w:pPr>
                </w:p>
              </w:tc>
              <w:tc>
                <w:tcPr>
                  <w:tcW w:w="2694" w:type="dxa"/>
                </w:tcPr>
                <w:p w14:paraId="719D0815">
                  <w:pPr>
                    <w:pStyle w:val="52"/>
                    <w:framePr w:wrap="auto" w:vAnchor="margin" w:hAnchor="text" w:yAlign="inline"/>
                    <w:rPr>
                      <w:rFonts w:hint="default" w:ascii="Calibri" w:hAnsi="Calibri" w:eastAsia="楷体_GB2312" w:cs="Calibri"/>
                      <w:color w:val="FFFFFF" w:themeColor="background1"/>
                      <w14:textFill>
                        <w14:solidFill>
                          <w14:schemeClr w14:val="bg1"/>
                        </w14:solidFill>
                      </w14:textFill>
                    </w:rPr>
                  </w:pPr>
                </w:p>
              </w:tc>
            </w:tr>
            <w:tr w14:paraId="150A7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70EC53D9">
                  <w:pPr>
                    <w:pStyle w:val="51"/>
                    <w:framePr w:wrap="auto" w:vAnchor="margin" w:hAnchor="text" w:yAlign="inline"/>
                    <w:rPr>
                      <w:rFonts w:hint="default" w:ascii="Calibri" w:hAnsi="Calibri" w:eastAsia="楷体_GB2312" w:cs="Calibri"/>
                    </w:rPr>
                  </w:pPr>
                  <w:r>
                    <w:rPr>
                      <w:rFonts w:ascii="Calibri" w:eastAsia="楷体_GB2312"/>
                      <w:b/>
                      <w:i w:val="0"/>
                      <w:color w:val="000000"/>
                      <w:sz w:val="16"/>
                    </w:rPr>
                    <w:t>Bin Yang, SFC:BSQ313</w:t>
                  </w:r>
                </w:p>
              </w:tc>
              <w:tc>
                <w:tcPr>
                  <w:tcW w:w="2551" w:type="dxa"/>
                </w:tcPr>
                <w:p w14:paraId="3559B241">
                  <w:pPr>
                    <w:pStyle w:val="51"/>
                    <w:framePr w:wrap="auto" w:vAnchor="margin" w:hAnchor="text" w:yAlign="inline"/>
                    <w:rPr>
                      <w:rFonts w:hint="default" w:ascii="Calibri" w:hAnsi="Calibri" w:eastAsia="楷体_GB2312" w:cs="Calibri"/>
                    </w:rPr>
                  </w:pPr>
                </w:p>
              </w:tc>
              <w:tc>
                <w:tcPr>
                  <w:tcW w:w="2693" w:type="dxa"/>
                </w:tcPr>
                <w:p w14:paraId="4D183C5B">
                  <w:pPr>
                    <w:pStyle w:val="51"/>
                    <w:framePr w:wrap="auto" w:vAnchor="margin" w:hAnchor="text" w:yAlign="inline"/>
                    <w:rPr>
                      <w:rFonts w:hint="default" w:ascii="Calibri" w:hAnsi="Calibri" w:eastAsia="楷体_GB2312" w:cs="Calibri"/>
                    </w:rPr>
                  </w:pPr>
                </w:p>
              </w:tc>
              <w:tc>
                <w:tcPr>
                  <w:tcW w:w="2694" w:type="dxa"/>
                </w:tcPr>
                <w:p w14:paraId="35D0599C">
                  <w:pPr>
                    <w:pStyle w:val="51"/>
                    <w:framePr w:wrap="auto" w:vAnchor="margin" w:hAnchor="text" w:yAlign="inline"/>
                    <w:rPr>
                      <w:rFonts w:hint="default" w:ascii="Calibri" w:hAnsi="Calibri" w:eastAsia="楷体_GB2312" w:cs="Calibri"/>
                    </w:rPr>
                  </w:pPr>
                </w:p>
              </w:tc>
            </w:tr>
            <w:tr w14:paraId="06F66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4D1FD514">
                  <w:pPr>
                    <w:pStyle w:val="51"/>
                    <w:framePr w:wrap="auto" w:vAnchor="margin" w:hAnchor="text" w:yAlign="inline"/>
                    <w:rPr>
                      <w:rFonts w:hint="default" w:ascii="Calibri" w:hAnsi="Calibri" w:eastAsia="楷体_GB2312" w:cs="Calibri"/>
                      <w:b w:val="0"/>
                    </w:rPr>
                  </w:pPr>
                  <w:r>
                    <w:rPr>
                      <w:rFonts w:ascii="Calibri" w:eastAsia="楷体_GB2312"/>
                      <w:b w:val="0"/>
                      <w:i w:val="0"/>
                      <w:color w:val="000000"/>
                      <w:sz w:val="16"/>
                    </w:rPr>
                    <w:t>harryyang@hfisec.com.hk</w:t>
                  </w:r>
                </w:p>
              </w:tc>
              <w:tc>
                <w:tcPr>
                  <w:tcW w:w="2551" w:type="dxa"/>
                </w:tcPr>
                <w:p w14:paraId="593E354F">
                  <w:pPr>
                    <w:pStyle w:val="51"/>
                    <w:framePr w:wrap="auto" w:vAnchor="margin" w:hAnchor="text" w:yAlign="inline"/>
                    <w:rPr>
                      <w:rFonts w:hint="default" w:ascii="Calibri" w:hAnsi="Calibri" w:eastAsia="楷体_GB2312" w:cs="Calibri"/>
                      <w:b w:val="0"/>
                    </w:rPr>
                  </w:pPr>
                </w:p>
              </w:tc>
              <w:tc>
                <w:tcPr>
                  <w:tcW w:w="2693" w:type="dxa"/>
                </w:tcPr>
                <w:p w14:paraId="428FF7C2">
                  <w:pPr>
                    <w:pStyle w:val="51"/>
                    <w:framePr w:wrap="auto" w:vAnchor="margin" w:hAnchor="text" w:yAlign="inline"/>
                    <w:rPr>
                      <w:rFonts w:hint="default" w:ascii="Calibri" w:hAnsi="Calibri" w:eastAsia="楷体_GB2312" w:cs="Calibri"/>
                      <w:b w:val="0"/>
                    </w:rPr>
                  </w:pPr>
                </w:p>
              </w:tc>
              <w:tc>
                <w:tcPr>
                  <w:tcW w:w="2694" w:type="dxa"/>
                </w:tcPr>
                <w:p w14:paraId="2820A213">
                  <w:pPr>
                    <w:pStyle w:val="51"/>
                    <w:framePr w:wrap="auto" w:vAnchor="margin" w:hAnchor="text" w:yAlign="inline"/>
                    <w:rPr>
                      <w:rFonts w:hint="default" w:ascii="Calibri" w:hAnsi="Calibri" w:eastAsia="楷体_GB2312" w:cs="Calibri"/>
                      <w:b w:val="0"/>
                    </w:rPr>
                  </w:pPr>
                </w:p>
              </w:tc>
            </w:tr>
            <w:tr w14:paraId="41707F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52140D88">
                  <w:pPr>
                    <w:pStyle w:val="51"/>
                    <w:framePr w:wrap="auto" w:vAnchor="margin" w:hAnchor="text" w:yAlign="inline"/>
                    <w:rPr>
                      <w:rFonts w:hint="default" w:ascii="Calibri" w:hAnsi="Calibri" w:eastAsia="楷体_GB2312" w:cs="Calibri"/>
                      <w:b w:val="0"/>
                    </w:rPr>
                  </w:pPr>
                </w:p>
              </w:tc>
              <w:tc>
                <w:tcPr>
                  <w:tcW w:w="2551" w:type="dxa"/>
                </w:tcPr>
                <w:p w14:paraId="6657F884">
                  <w:pPr>
                    <w:pStyle w:val="51"/>
                    <w:framePr w:wrap="auto" w:vAnchor="margin" w:hAnchor="text" w:yAlign="inline"/>
                    <w:rPr>
                      <w:rFonts w:hint="default" w:ascii="Calibri" w:hAnsi="Calibri" w:eastAsia="楷体_GB2312" w:cs="Calibri"/>
                      <w:b w:val="0"/>
                    </w:rPr>
                  </w:pPr>
                </w:p>
              </w:tc>
              <w:tc>
                <w:tcPr>
                  <w:tcW w:w="2693" w:type="dxa"/>
                </w:tcPr>
                <w:p w14:paraId="57E5CD92">
                  <w:pPr>
                    <w:pStyle w:val="51"/>
                    <w:framePr w:wrap="auto" w:vAnchor="margin" w:hAnchor="text" w:yAlign="inline"/>
                    <w:rPr>
                      <w:rFonts w:hint="default" w:ascii="Calibri" w:hAnsi="Calibri" w:eastAsia="楷体_GB2312" w:cs="Calibri"/>
                      <w:b w:val="0"/>
                    </w:rPr>
                  </w:pPr>
                </w:p>
              </w:tc>
              <w:tc>
                <w:tcPr>
                  <w:tcW w:w="2694" w:type="dxa"/>
                </w:tcPr>
                <w:p w14:paraId="260C5047">
                  <w:pPr>
                    <w:pStyle w:val="51"/>
                    <w:framePr w:wrap="auto" w:vAnchor="margin" w:hAnchor="text" w:yAlign="inline"/>
                    <w:rPr>
                      <w:rFonts w:hint="default" w:ascii="Calibri" w:hAnsi="Calibri" w:eastAsia="楷体_GB2312" w:cs="Calibri"/>
                      <w:b w:val="0"/>
                    </w:rPr>
                  </w:pPr>
                </w:p>
              </w:tc>
            </w:tr>
            <w:tr w14:paraId="44C86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13D42A19">
                  <w:pPr>
                    <w:pStyle w:val="51"/>
                    <w:framePr w:wrap="auto" w:vAnchor="margin" w:hAnchor="text" w:yAlign="inline"/>
                    <w:rPr>
                      <w:rFonts w:hint="default" w:ascii="Calibri" w:hAnsi="Calibri" w:eastAsia="楷体_GB2312" w:cs="Calibri"/>
                      <w:b w:val="0"/>
                    </w:rPr>
                  </w:pPr>
                </w:p>
              </w:tc>
              <w:tc>
                <w:tcPr>
                  <w:tcW w:w="2551" w:type="dxa"/>
                </w:tcPr>
                <w:p w14:paraId="4D5FC3D8">
                  <w:pPr>
                    <w:pStyle w:val="51"/>
                    <w:framePr w:wrap="auto" w:vAnchor="margin" w:hAnchor="text" w:yAlign="inline"/>
                    <w:rPr>
                      <w:rFonts w:hint="default" w:ascii="Calibri" w:hAnsi="Calibri" w:eastAsia="楷体_GB2312" w:cs="Calibri"/>
                      <w:b w:val="0"/>
                    </w:rPr>
                  </w:pPr>
                </w:p>
              </w:tc>
              <w:tc>
                <w:tcPr>
                  <w:tcW w:w="2693" w:type="dxa"/>
                </w:tcPr>
                <w:p w14:paraId="6DE9093C">
                  <w:pPr>
                    <w:pStyle w:val="51"/>
                    <w:framePr w:wrap="auto" w:vAnchor="margin" w:hAnchor="text" w:yAlign="inline"/>
                    <w:rPr>
                      <w:rFonts w:hint="default" w:ascii="Calibri" w:hAnsi="Calibri" w:eastAsia="楷体_GB2312" w:cs="Calibri"/>
                      <w:b w:val="0"/>
                    </w:rPr>
                  </w:pPr>
                </w:p>
              </w:tc>
              <w:tc>
                <w:tcPr>
                  <w:tcW w:w="2694" w:type="dxa"/>
                </w:tcPr>
                <w:p w14:paraId="201445D9">
                  <w:pPr>
                    <w:pStyle w:val="51"/>
                    <w:framePr w:wrap="auto" w:vAnchor="margin" w:hAnchor="text" w:yAlign="inline"/>
                    <w:rPr>
                      <w:rFonts w:hint="default" w:ascii="Calibri" w:hAnsi="Calibri" w:eastAsia="楷体_GB2312" w:cs="Calibri"/>
                      <w:b w:val="0"/>
                    </w:rPr>
                  </w:pPr>
                </w:p>
              </w:tc>
            </w:tr>
            <w:bookmarkEnd w:id="38"/>
          </w:tbl>
          <w:p w14:paraId="5387C816">
            <w:pPr>
              <w:pStyle w:val="89"/>
              <w:spacing w:after="0"/>
              <w:jc w:val="both"/>
              <w:rPr>
                <w:rFonts w:hint="default" w:ascii="Calibri" w:hAnsi="Calibri" w:eastAsia="楷体_GB2312" w:cs="Calibri"/>
                <w:bCs/>
                <w:kern w:val="28"/>
                <w:lang w:eastAsia="zh-CN"/>
              </w:rPr>
            </w:pPr>
          </w:p>
        </w:tc>
      </w:tr>
    </w:tbl>
    <w:p w14:paraId="7401B7E2">
      <w:pPr>
        <w:pStyle w:val="72"/>
        <w:rPr>
          <w:rFonts w:hint="default" w:ascii="Calibri" w:hAnsi="Calibri" w:eastAsia="楷体_GB2312" w:cs="Calibri"/>
        </w:rPr>
      </w:pPr>
    </w:p>
    <w:p w14:paraId="249CA393">
      <w:pPr>
        <w:ind w:right="320"/>
        <w:rPr>
          <w:rFonts w:hint="default" w:ascii="Calibri" w:hAnsi="Calibri" w:eastAsia="楷体_GB2312" w:cs="Calibri"/>
          <w:lang w:eastAsia="zh-CN"/>
        </w:rPr>
      </w:pPr>
    </w:p>
    <w:p w14:paraId="283C10FA">
      <w:pPr>
        <w:rPr>
          <w:rFonts w:hint="default" w:ascii="Calibri" w:hAnsi="Calibri" w:eastAsia="楷体_GB2312" w:cs="Calibri"/>
          <w:lang w:eastAsia="zh-CN"/>
        </w:rPr>
      </w:pPr>
    </w:p>
    <w:p w14:paraId="236400BE">
      <w:pPr>
        <w:rPr>
          <w:rFonts w:hint="default" w:ascii="Calibri" w:hAnsi="Calibri" w:eastAsia="楷体_GB2312" w:cs="Calibri"/>
          <w:lang w:eastAsia="zh-CN"/>
        </w:rPr>
        <w:sectPr>
          <w:headerReference r:id="rId5" w:type="first"/>
          <w:footerReference r:id="rId8" w:type="first"/>
          <w:headerReference r:id="rId3" w:type="default"/>
          <w:footerReference r:id="rId6" w:type="default"/>
          <w:headerReference r:id="rId4" w:type="even"/>
          <w:footerReference r:id="rId7" w:type="even"/>
          <w:pgSz w:w="11909" w:h="16834"/>
          <w:pgMar w:top="567" w:right="907" w:bottom="1021" w:left="5160" w:header="284" w:footer="919" w:gutter="0"/>
          <w:cols w:space="720" w:num="1"/>
          <w:docGrid w:linePitch="360" w:charSpace="0"/>
        </w:sectPr>
      </w:pPr>
    </w:p>
    <w:p w14:paraId="4E7D3C29">
      <w:pPr>
        <w:pStyle w:val="72"/>
        <w:rPr>
          <w:rFonts w:hint="default" w:ascii="Calibri" w:hAnsi="Calibri" w:eastAsia="楷体_GB2312" w:cs="Calibri"/>
        </w:rPr>
      </w:pPr>
    </w:p>
    <w:sdt>
      <w:sdtPr>
        <w:rPr>
          <w:rFonts w:hint="default" w:ascii="Calibri" w:hAnsi="Calibri" w:eastAsia="楷体_GB2312" w:cs="Calibri"/>
          <w:b/>
          <w:snapToGrid w:val="0"/>
          <w:color w:val="auto"/>
          <w:sz w:val="16"/>
          <w:szCs w:val="16"/>
          <w:lang w:val="zh-CN" w:eastAsia="ja-JP"/>
        </w:rPr>
        <w:id w:val="1839496058"/>
        <w:docPartObj>
          <w:docPartGallery w:val="Table of Contents"/>
          <w:docPartUnique/>
        </w:docPartObj>
      </w:sdtPr>
      <w:sdtEndPr>
        <w:rPr>
          <w:rFonts w:hint="default" w:ascii="Calibri" w:hAnsi="Calibri" w:eastAsia="楷体_GB2312" w:cs="Calibri"/>
          <w:b/>
          <w:bCs/>
          <w:snapToGrid w:val="0"/>
          <w:color w:val="auto"/>
          <w:sz w:val="16"/>
          <w:szCs w:val="16"/>
          <w:lang w:val="zh-CN" w:eastAsia="zh-CN"/>
        </w:rPr>
      </w:sdtEndPr>
      <w:sdtContent>
        <w:p w14:paraId="2418D398">
          <w:pPr>
            <w:pStyle w:val="148"/>
            <w:rPr>
              <w:rFonts w:hint="default" w:ascii="Calibri" w:hAnsi="Calibri" w:eastAsia="楷体_GB2312" w:cs="Calibri"/>
              <w:b/>
              <w:color w:val="auto"/>
            </w:rPr>
          </w:pPr>
          <w:r>
            <w:rPr>
              <w:rFonts w:hint="default" w:ascii="Calibri" w:hAnsi="Calibri" w:eastAsia="楷体_GB2312" w:cs="Calibri"/>
              <w:b/>
              <w:color w:val="auto"/>
              <w:lang w:val="zh-CN"/>
            </w:rPr>
            <w:t>Contents</w:t>
          </w:r>
        </w:p>
        <w:p w14:paraId="301EB115">
          <w:pPr>
            <w:pStyle w:val="9"/>
            <w:tabs>
              <w:tab w:val="right" w:leader="dot" w:pos="7458"/>
            </w:tabs>
            <w:rPr>
              <w:b/>
              <w:bCs/>
            </w:rPr>
          </w:pPr>
          <w:r>
            <w:rPr>
              <w:rFonts w:hint="default" w:ascii="Calibri" w:hAnsi="Calibri" w:eastAsia="楷体_GB2312" w:cs="Calibri"/>
            </w:rPr>
            <w:fldChar w:fldCharType="begin"/>
          </w:r>
          <w:r>
            <w:rPr>
              <w:rFonts w:hint="default" w:ascii="Calibri" w:hAnsi="Calibri" w:eastAsia="楷体_GB2312" w:cs="Calibri"/>
            </w:rPr>
            <w:instrText xml:space="preserve"> TOC \o "1-3" \h \z \u </w:instrText>
          </w:r>
          <w:r>
            <w:rPr>
              <w:rFonts w:hint="default" w:ascii="Calibri" w:hAnsi="Calibri" w:eastAsia="楷体_GB2312" w:cs="Calibri"/>
            </w:rPr>
            <w:fldChar w:fldCharType="separate"/>
          </w:r>
          <w:r>
            <w:rPr>
              <w:rFonts w:hint="default" w:ascii="Calibri" w:hAnsi="Calibri" w:eastAsia="楷体_GB2312" w:cs="Calibri"/>
              <w:b/>
              <w:bCs/>
            </w:rPr>
            <w:fldChar w:fldCharType="begin"/>
          </w:r>
          <w:r>
            <w:rPr>
              <w:rFonts w:hint="default" w:ascii="Calibri" w:hAnsi="Calibri" w:eastAsia="楷体_GB2312" w:cs="Calibri"/>
              <w:b/>
              <w:bCs/>
            </w:rPr>
            <w:instrText xml:space="preserve"> HYPERLINK \l _Toc11998 </w:instrText>
          </w:r>
          <w:r>
            <w:rPr>
              <w:rFonts w:hint="default" w:ascii="Calibri" w:hAnsi="Calibri" w:eastAsia="楷体_GB2312" w:cs="Calibri"/>
              <w:b/>
              <w:bCs/>
            </w:rPr>
            <w:fldChar w:fldCharType="separate"/>
          </w:r>
          <w:r>
            <w:rPr>
              <w:rFonts w:hint="default" w:ascii="Calibri" w:hAnsi="Calibri" w:eastAsia="楷体_GB2312" w:cs="Calibri"/>
              <w:b/>
              <w:bCs/>
              <w:iCs/>
              <w:snapToGrid/>
              <w:kern w:val="0"/>
              <w:szCs w:val="28"/>
              <w:lang w:val="en-US" w:eastAsia="ja-JP" w:bidi="ar-SA"/>
            </w:rPr>
            <w:t>1 L'Oréal: Global Leader in Beauty &amp; Personal Care</w:t>
          </w:r>
          <w:r>
            <w:rPr>
              <w:b/>
              <w:bCs/>
            </w:rPr>
            <w:tab/>
          </w:r>
          <w:r>
            <w:rPr>
              <w:b/>
              <w:bCs/>
            </w:rPr>
            <w:fldChar w:fldCharType="begin"/>
          </w:r>
          <w:r>
            <w:rPr>
              <w:b/>
              <w:bCs/>
            </w:rPr>
            <w:instrText xml:space="preserve"> PAGEREF _Toc11998 \h </w:instrText>
          </w:r>
          <w:r>
            <w:rPr>
              <w:b/>
              <w:bCs/>
            </w:rPr>
            <w:fldChar w:fldCharType="separate"/>
          </w:r>
          <w:r>
            <w:rPr>
              <w:b/>
              <w:bCs/>
            </w:rPr>
            <w:t>3</w:t>
          </w:r>
          <w:r>
            <w:rPr>
              <w:b/>
              <w:bCs/>
            </w:rPr>
            <w:fldChar w:fldCharType="end"/>
          </w:r>
          <w:r>
            <w:rPr>
              <w:rFonts w:hint="default" w:ascii="Calibri" w:hAnsi="Calibri" w:eastAsia="楷体_GB2312" w:cs="Calibri"/>
              <w:b/>
              <w:bCs/>
            </w:rPr>
            <w:fldChar w:fldCharType="end"/>
          </w:r>
        </w:p>
        <w:p w14:paraId="6939B813">
          <w:pPr>
            <w:pStyle w:val="10"/>
            <w:tabs>
              <w:tab w:val="right" w:leader="dot" w:pos="7458"/>
            </w:tabs>
          </w:pPr>
          <w:r>
            <w:rPr>
              <w:rFonts w:hint="default" w:ascii="Calibri" w:hAnsi="Calibri" w:eastAsia="楷体_GB2312" w:cs="Calibri"/>
              <w:bCs/>
              <w:lang w:val="zh-CN"/>
            </w:rPr>
            <w:fldChar w:fldCharType="begin"/>
          </w:r>
          <w:r>
            <w:rPr>
              <w:rFonts w:hint="default" w:ascii="Calibri" w:hAnsi="Calibri" w:eastAsia="楷体_GB2312" w:cs="Calibri"/>
              <w:bCs/>
              <w:lang w:val="zh-CN"/>
            </w:rPr>
            <w:instrText xml:space="preserve"> HYPERLINK \l _Toc12231 </w:instrText>
          </w:r>
          <w:r>
            <w:rPr>
              <w:rFonts w:hint="default" w:ascii="Calibri" w:hAnsi="Calibri" w:eastAsia="楷体_GB2312" w:cs="Calibri"/>
              <w:bCs/>
              <w:lang w:val="zh-CN"/>
            </w:rPr>
            <w:fldChar w:fldCharType="separate"/>
          </w:r>
          <w:r>
            <w:rPr>
              <w:rFonts w:hint="default" w:ascii="Calibri" w:hAnsi="Calibri" w:eastAsia="楷体_GB2312" w:cs="Calibri"/>
              <w:szCs w:val="24"/>
            </w:rPr>
            <w:t>1.1 Company Overview</w:t>
          </w:r>
          <w:r>
            <w:tab/>
          </w:r>
          <w:r>
            <w:fldChar w:fldCharType="begin"/>
          </w:r>
          <w:r>
            <w:instrText xml:space="preserve"> PAGEREF _Toc12231 \h </w:instrText>
          </w:r>
          <w:r>
            <w:fldChar w:fldCharType="separate"/>
          </w:r>
          <w:r>
            <w:t>3</w:t>
          </w:r>
          <w:r>
            <w:fldChar w:fldCharType="end"/>
          </w:r>
          <w:r>
            <w:rPr>
              <w:rFonts w:hint="default" w:ascii="Calibri" w:hAnsi="Calibri" w:eastAsia="楷体_GB2312" w:cs="Calibri"/>
              <w:bCs/>
              <w:lang w:val="zh-CN"/>
            </w:rPr>
            <w:fldChar w:fldCharType="end"/>
          </w:r>
        </w:p>
        <w:p w14:paraId="7D5F0492">
          <w:pPr>
            <w:pStyle w:val="10"/>
            <w:tabs>
              <w:tab w:val="right" w:leader="dot" w:pos="7458"/>
            </w:tabs>
          </w:pPr>
          <w:r>
            <w:rPr>
              <w:rFonts w:hint="default" w:ascii="Calibri" w:hAnsi="Calibri" w:eastAsia="楷体_GB2312" w:cs="Calibri"/>
              <w:bCs/>
              <w:lang w:val="zh-CN"/>
            </w:rPr>
            <w:fldChar w:fldCharType="begin"/>
          </w:r>
          <w:r>
            <w:rPr>
              <w:rFonts w:hint="default" w:ascii="Calibri" w:hAnsi="Calibri" w:eastAsia="楷体_GB2312" w:cs="Calibri"/>
              <w:bCs/>
              <w:lang w:val="zh-CN"/>
            </w:rPr>
            <w:instrText xml:space="preserve"> HYPERLINK \l _Toc25093 </w:instrText>
          </w:r>
          <w:r>
            <w:rPr>
              <w:rFonts w:hint="default" w:ascii="Calibri" w:hAnsi="Calibri" w:eastAsia="楷体_GB2312" w:cs="Calibri"/>
              <w:bCs/>
              <w:lang w:val="zh-CN"/>
            </w:rPr>
            <w:fldChar w:fldCharType="separate"/>
          </w:r>
          <w:r>
            <w:rPr>
              <w:rFonts w:hint="default" w:ascii="Calibri" w:hAnsi="Calibri" w:eastAsia="楷体_GB2312" w:cs="Calibri"/>
              <w:szCs w:val="24"/>
            </w:rPr>
            <w:t>1.2 Ownership Structure &amp; Management</w:t>
          </w:r>
          <w:r>
            <w:tab/>
          </w:r>
          <w:r>
            <w:fldChar w:fldCharType="begin"/>
          </w:r>
          <w:r>
            <w:instrText xml:space="preserve"> PAGEREF _Toc25093 \h </w:instrText>
          </w:r>
          <w:r>
            <w:fldChar w:fldCharType="separate"/>
          </w:r>
          <w:r>
            <w:t>4</w:t>
          </w:r>
          <w:r>
            <w:fldChar w:fldCharType="end"/>
          </w:r>
          <w:r>
            <w:rPr>
              <w:rFonts w:hint="default" w:ascii="Calibri" w:hAnsi="Calibri" w:eastAsia="楷体_GB2312" w:cs="Calibri"/>
              <w:bCs/>
              <w:lang w:val="zh-CN"/>
            </w:rPr>
            <w:fldChar w:fldCharType="end"/>
          </w:r>
        </w:p>
        <w:p w14:paraId="2FA94145">
          <w:pPr>
            <w:pStyle w:val="10"/>
            <w:tabs>
              <w:tab w:val="right" w:leader="dot" w:pos="7458"/>
            </w:tabs>
          </w:pPr>
          <w:r>
            <w:rPr>
              <w:rFonts w:hint="default" w:ascii="Calibri" w:hAnsi="Calibri" w:eastAsia="楷体_GB2312" w:cs="Calibri"/>
              <w:bCs/>
              <w:lang w:val="zh-CN"/>
            </w:rPr>
            <w:fldChar w:fldCharType="begin"/>
          </w:r>
          <w:r>
            <w:rPr>
              <w:rFonts w:hint="default" w:ascii="Calibri" w:hAnsi="Calibri" w:eastAsia="楷体_GB2312" w:cs="Calibri"/>
              <w:bCs/>
              <w:lang w:val="zh-CN"/>
            </w:rPr>
            <w:instrText xml:space="preserve"> HYPERLINK \l _Toc14545 </w:instrText>
          </w:r>
          <w:r>
            <w:rPr>
              <w:rFonts w:hint="default" w:ascii="Calibri" w:hAnsi="Calibri" w:eastAsia="楷体_GB2312" w:cs="Calibri"/>
              <w:bCs/>
              <w:lang w:val="zh-CN"/>
            </w:rPr>
            <w:fldChar w:fldCharType="separate"/>
          </w:r>
          <w:r>
            <w:rPr>
              <w:rFonts w:hint="default" w:ascii="Calibri" w:hAnsi="Calibri" w:eastAsia="楷体_GB2312" w:cs="Calibri"/>
              <w:szCs w:val="24"/>
            </w:rPr>
            <w:t>1.3 Core Product Categories</w:t>
          </w:r>
          <w:r>
            <w:tab/>
          </w:r>
          <w:r>
            <w:fldChar w:fldCharType="begin"/>
          </w:r>
          <w:r>
            <w:instrText xml:space="preserve"> PAGEREF _Toc14545 \h </w:instrText>
          </w:r>
          <w:r>
            <w:fldChar w:fldCharType="separate"/>
          </w:r>
          <w:r>
            <w:t>6</w:t>
          </w:r>
          <w:r>
            <w:fldChar w:fldCharType="end"/>
          </w:r>
          <w:r>
            <w:rPr>
              <w:rFonts w:hint="default" w:ascii="Calibri" w:hAnsi="Calibri" w:eastAsia="楷体_GB2312" w:cs="Calibri"/>
              <w:bCs/>
              <w:lang w:val="zh-CN"/>
            </w:rPr>
            <w:fldChar w:fldCharType="end"/>
          </w:r>
        </w:p>
        <w:p w14:paraId="613EA456">
          <w:pPr>
            <w:pStyle w:val="10"/>
            <w:tabs>
              <w:tab w:val="right" w:leader="dot" w:pos="7458"/>
            </w:tabs>
          </w:pPr>
          <w:r>
            <w:rPr>
              <w:rFonts w:hint="default" w:ascii="Calibri" w:hAnsi="Calibri" w:eastAsia="楷体_GB2312" w:cs="Calibri"/>
              <w:bCs/>
              <w:lang w:val="zh-CN"/>
            </w:rPr>
            <w:fldChar w:fldCharType="begin"/>
          </w:r>
          <w:r>
            <w:rPr>
              <w:rFonts w:hint="default" w:ascii="Calibri" w:hAnsi="Calibri" w:eastAsia="楷体_GB2312" w:cs="Calibri"/>
              <w:bCs/>
              <w:lang w:val="zh-CN"/>
            </w:rPr>
            <w:instrText xml:space="preserve"> HYPERLINK \l _Toc1670 </w:instrText>
          </w:r>
          <w:r>
            <w:rPr>
              <w:rFonts w:hint="default" w:ascii="Calibri" w:hAnsi="Calibri" w:eastAsia="楷体_GB2312" w:cs="Calibri"/>
              <w:bCs/>
              <w:lang w:val="zh-CN"/>
            </w:rPr>
            <w:fldChar w:fldCharType="separate"/>
          </w:r>
          <w:r>
            <w:rPr>
              <w:rFonts w:hint="default" w:ascii="Calibri" w:hAnsi="Calibri" w:eastAsia="楷体_GB2312" w:cs="Calibri"/>
              <w:szCs w:val="24"/>
            </w:rPr>
            <w:t>1.4 Financial Performance</w:t>
          </w:r>
          <w:r>
            <w:tab/>
          </w:r>
          <w:r>
            <w:fldChar w:fldCharType="begin"/>
          </w:r>
          <w:r>
            <w:instrText xml:space="preserve"> PAGEREF _Toc1670 \h </w:instrText>
          </w:r>
          <w:r>
            <w:fldChar w:fldCharType="separate"/>
          </w:r>
          <w:r>
            <w:t>7</w:t>
          </w:r>
          <w:r>
            <w:fldChar w:fldCharType="end"/>
          </w:r>
          <w:r>
            <w:rPr>
              <w:rFonts w:hint="default" w:ascii="Calibri" w:hAnsi="Calibri" w:eastAsia="楷体_GB2312" w:cs="Calibri"/>
              <w:bCs/>
              <w:lang w:val="zh-CN"/>
            </w:rPr>
            <w:fldChar w:fldCharType="end"/>
          </w:r>
        </w:p>
        <w:p w14:paraId="4B03A44F">
          <w:pPr>
            <w:pStyle w:val="9"/>
            <w:tabs>
              <w:tab w:val="right" w:leader="dot" w:pos="7458"/>
            </w:tabs>
            <w:rPr>
              <w:b/>
              <w:bCs w:val="0"/>
            </w:rPr>
          </w:pPr>
          <w:r>
            <w:rPr>
              <w:rFonts w:hint="default" w:ascii="Calibri" w:hAnsi="Calibri" w:eastAsia="楷体_GB2312" w:cs="Calibri"/>
              <w:b/>
              <w:bCs w:val="0"/>
              <w:lang w:val="zh-CN"/>
            </w:rPr>
            <w:fldChar w:fldCharType="begin"/>
          </w:r>
          <w:r>
            <w:rPr>
              <w:rFonts w:hint="default" w:ascii="Calibri" w:hAnsi="Calibri" w:eastAsia="楷体_GB2312" w:cs="Calibri"/>
              <w:b/>
              <w:bCs w:val="0"/>
              <w:lang w:val="zh-CN"/>
            </w:rPr>
            <w:instrText xml:space="preserve"> HYPERLINK \l _Toc5895 </w:instrText>
          </w:r>
          <w:r>
            <w:rPr>
              <w:rFonts w:hint="default" w:ascii="Calibri" w:hAnsi="Calibri" w:eastAsia="楷体_GB2312" w:cs="Calibri"/>
              <w:b/>
              <w:bCs w:val="0"/>
              <w:lang w:val="zh-CN"/>
            </w:rPr>
            <w:fldChar w:fldCharType="separate"/>
          </w:r>
          <w:r>
            <w:rPr>
              <w:rFonts w:hint="default" w:ascii="Calibri" w:hAnsi="Calibri" w:eastAsia="楷体_GB2312" w:cs="Calibri"/>
              <w:b/>
              <w:bCs w:val="0"/>
              <w:iCs/>
              <w:snapToGrid/>
              <w:kern w:val="0"/>
              <w:szCs w:val="21"/>
              <w:lang w:val="en-US" w:eastAsia="ja-JP" w:bidi="ar-SA"/>
            </w:rPr>
            <w:t>2 Global Beauty Market: Steady Upward Growth, Strong Players Maintain Dominance</w:t>
          </w:r>
          <w:r>
            <w:rPr>
              <w:b/>
              <w:bCs w:val="0"/>
            </w:rPr>
            <w:tab/>
          </w:r>
          <w:r>
            <w:rPr>
              <w:b/>
              <w:bCs w:val="0"/>
            </w:rPr>
            <w:fldChar w:fldCharType="begin"/>
          </w:r>
          <w:r>
            <w:rPr>
              <w:b/>
              <w:bCs w:val="0"/>
            </w:rPr>
            <w:instrText xml:space="preserve"> PAGEREF _Toc5895 \h </w:instrText>
          </w:r>
          <w:r>
            <w:rPr>
              <w:b/>
              <w:bCs w:val="0"/>
            </w:rPr>
            <w:fldChar w:fldCharType="separate"/>
          </w:r>
          <w:r>
            <w:rPr>
              <w:b/>
              <w:bCs w:val="0"/>
            </w:rPr>
            <w:t>12</w:t>
          </w:r>
          <w:r>
            <w:rPr>
              <w:b/>
              <w:bCs w:val="0"/>
            </w:rPr>
            <w:fldChar w:fldCharType="end"/>
          </w:r>
          <w:r>
            <w:rPr>
              <w:rFonts w:hint="default" w:ascii="Calibri" w:hAnsi="Calibri" w:eastAsia="楷体_GB2312" w:cs="Calibri"/>
              <w:b/>
              <w:bCs w:val="0"/>
              <w:lang w:val="zh-CN"/>
            </w:rPr>
            <w:fldChar w:fldCharType="end"/>
          </w:r>
        </w:p>
        <w:p w14:paraId="6417201D">
          <w:pPr>
            <w:pStyle w:val="10"/>
            <w:tabs>
              <w:tab w:val="right" w:leader="dot" w:pos="7458"/>
            </w:tabs>
          </w:pPr>
          <w:r>
            <w:rPr>
              <w:rFonts w:hint="default" w:ascii="Calibri" w:hAnsi="Calibri" w:eastAsia="楷体_GB2312" w:cs="Calibri"/>
              <w:bCs/>
              <w:lang w:val="zh-CN"/>
            </w:rPr>
            <w:fldChar w:fldCharType="begin"/>
          </w:r>
          <w:r>
            <w:rPr>
              <w:rFonts w:hint="default" w:ascii="Calibri" w:hAnsi="Calibri" w:eastAsia="楷体_GB2312" w:cs="Calibri"/>
              <w:bCs/>
              <w:lang w:val="zh-CN"/>
            </w:rPr>
            <w:instrText xml:space="preserve"> HYPERLINK \l _Toc26840 </w:instrText>
          </w:r>
          <w:r>
            <w:rPr>
              <w:rFonts w:hint="default" w:ascii="Calibri" w:hAnsi="Calibri" w:eastAsia="楷体_GB2312" w:cs="Calibri"/>
              <w:bCs/>
              <w:lang w:val="zh-CN"/>
            </w:rPr>
            <w:fldChar w:fldCharType="separate"/>
          </w:r>
          <w:r>
            <w:rPr>
              <w:rFonts w:hint="default" w:ascii="Calibri" w:hAnsi="Calibri" w:eastAsia="楷体_GB2312" w:cs="Calibri"/>
            </w:rPr>
            <w:t>2.1 Stable Overall Growth, Outperformance in Premium Segment</w:t>
          </w:r>
          <w:r>
            <w:tab/>
          </w:r>
          <w:r>
            <w:fldChar w:fldCharType="begin"/>
          </w:r>
          <w:r>
            <w:instrText xml:space="preserve"> PAGEREF _Toc26840 \h </w:instrText>
          </w:r>
          <w:r>
            <w:fldChar w:fldCharType="separate"/>
          </w:r>
          <w:r>
            <w:t>12</w:t>
          </w:r>
          <w:r>
            <w:fldChar w:fldCharType="end"/>
          </w:r>
          <w:r>
            <w:rPr>
              <w:rFonts w:hint="default" w:ascii="Calibri" w:hAnsi="Calibri" w:eastAsia="楷体_GB2312" w:cs="Calibri"/>
              <w:bCs/>
              <w:lang w:val="zh-CN"/>
            </w:rPr>
            <w:fldChar w:fldCharType="end"/>
          </w:r>
        </w:p>
        <w:p w14:paraId="6C1D7CD6">
          <w:pPr>
            <w:pStyle w:val="10"/>
            <w:tabs>
              <w:tab w:val="right" w:leader="dot" w:pos="7458"/>
            </w:tabs>
          </w:pPr>
          <w:r>
            <w:rPr>
              <w:rFonts w:hint="default" w:ascii="Calibri" w:hAnsi="Calibri" w:eastAsia="楷体_GB2312" w:cs="Calibri"/>
              <w:bCs/>
              <w:lang w:val="zh-CN"/>
            </w:rPr>
            <w:fldChar w:fldCharType="begin"/>
          </w:r>
          <w:r>
            <w:rPr>
              <w:rFonts w:hint="default" w:ascii="Calibri" w:hAnsi="Calibri" w:eastAsia="楷体_GB2312" w:cs="Calibri"/>
              <w:bCs/>
              <w:lang w:val="zh-CN"/>
            </w:rPr>
            <w:instrText xml:space="preserve"> HYPERLINK \l _Toc22741 </w:instrText>
          </w:r>
          <w:r>
            <w:rPr>
              <w:rFonts w:hint="default" w:ascii="Calibri" w:hAnsi="Calibri" w:eastAsia="楷体_GB2312" w:cs="Calibri"/>
              <w:bCs/>
              <w:lang w:val="zh-CN"/>
            </w:rPr>
            <w:fldChar w:fldCharType="separate"/>
          </w:r>
          <w:r>
            <w:rPr>
              <w:rFonts w:hint="default" w:ascii="Calibri" w:hAnsi="Calibri" w:eastAsia="楷体_GB2312" w:cs="Calibri"/>
            </w:rPr>
            <w:t>2.2 Competitive Landscape: Significant Matthew Effect</w:t>
          </w:r>
          <w:r>
            <w:tab/>
          </w:r>
          <w:r>
            <w:fldChar w:fldCharType="begin"/>
          </w:r>
          <w:r>
            <w:instrText xml:space="preserve"> PAGEREF _Toc22741 \h </w:instrText>
          </w:r>
          <w:r>
            <w:fldChar w:fldCharType="separate"/>
          </w:r>
          <w:r>
            <w:t>15</w:t>
          </w:r>
          <w:r>
            <w:fldChar w:fldCharType="end"/>
          </w:r>
          <w:r>
            <w:rPr>
              <w:rFonts w:hint="default" w:ascii="Calibri" w:hAnsi="Calibri" w:eastAsia="楷体_GB2312" w:cs="Calibri"/>
              <w:bCs/>
              <w:lang w:val="zh-CN"/>
            </w:rPr>
            <w:fldChar w:fldCharType="end"/>
          </w:r>
        </w:p>
        <w:p w14:paraId="30DB6AC8">
          <w:pPr>
            <w:pStyle w:val="9"/>
            <w:tabs>
              <w:tab w:val="right" w:leader="dot" w:pos="7458"/>
            </w:tabs>
            <w:rPr>
              <w:b/>
              <w:bCs w:val="0"/>
            </w:rPr>
          </w:pPr>
          <w:r>
            <w:rPr>
              <w:rFonts w:hint="default" w:ascii="Calibri" w:hAnsi="Calibri" w:eastAsia="楷体_GB2312" w:cs="Calibri"/>
              <w:b/>
              <w:bCs w:val="0"/>
              <w:lang w:val="zh-CN"/>
            </w:rPr>
            <w:fldChar w:fldCharType="begin"/>
          </w:r>
          <w:r>
            <w:rPr>
              <w:rFonts w:hint="default" w:ascii="Calibri" w:hAnsi="Calibri" w:eastAsia="楷体_GB2312" w:cs="Calibri"/>
              <w:b/>
              <w:bCs w:val="0"/>
              <w:lang w:val="zh-CN"/>
            </w:rPr>
            <w:instrText xml:space="preserve"> HYPERLINK \l _Toc19006 </w:instrText>
          </w:r>
          <w:r>
            <w:rPr>
              <w:rFonts w:hint="default" w:ascii="Calibri" w:hAnsi="Calibri" w:eastAsia="楷体_GB2312" w:cs="Calibri"/>
              <w:b/>
              <w:bCs w:val="0"/>
              <w:lang w:val="zh-CN"/>
            </w:rPr>
            <w:fldChar w:fldCharType="separate"/>
          </w:r>
          <w:r>
            <w:rPr>
              <w:rFonts w:hint="default" w:ascii="Calibri" w:hAnsi="Calibri" w:eastAsia="楷体_GB2312" w:cs="Calibri"/>
              <w:b/>
              <w:bCs w:val="0"/>
              <w:szCs w:val="28"/>
            </w:rPr>
            <w:t>3 Five Core Competitive Strengths Building a Corporate Moat</w:t>
          </w:r>
          <w:r>
            <w:rPr>
              <w:b/>
              <w:bCs w:val="0"/>
            </w:rPr>
            <w:tab/>
          </w:r>
          <w:r>
            <w:rPr>
              <w:b/>
              <w:bCs w:val="0"/>
            </w:rPr>
            <w:fldChar w:fldCharType="begin"/>
          </w:r>
          <w:r>
            <w:rPr>
              <w:b/>
              <w:bCs w:val="0"/>
            </w:rPr>
            <w:instrText xml:space="preserve"> PAGEREF _Toc19006 \h </w:instrText>
          </w:r>
          <w:r>
            <w:rPr>
              <w:b/>
              <w:bCs w:val="0"/>
            </w:rPr>
            <w:fldChar w:fldCharType="separate"/>
          </w:r>
          <w:r>
            <w:rPr>
              <w:b/>
              <w:bCs w:val="0"/>
            </w:rPr>
            <w:t>18</w:t>
          </w:r>
          <w:r>
            <w:rPr>
              <w:b/>
              <w:bCs w:val="0"/>
            </w:rPr>
            <w:fldChar w:fldCharType="end"/>
          </w:r>
          <w:r>
            <w:rPr>
              <w:rFonts w:hint="default" w:ascii="Calibri" w:hAnsi="Calibri" w:eastAsia="楷体_GB2312" w:cs="Calibri"/>
              <w:b/>
              <w:bCs w:val="0"/>
              <w:lang w:val="zh-CN"/>
            </w:rPr>
            <w:fldChar w:fldCharType="end"/>
          </w:r>
        </w:p>
        <w:p w14:paraId="272BBDC1">
          <w:pPr>
            <w:pStyle w:val="10"/>
            <w:tabs>
              <w:tab w:val="right" w:leader="dot" w:pos="7458"/>
            </w:tabs>
          </w:pPr>
          <w:r>
            <w:rPr>
              <w:rFonts w:hint="default" w:ascii="Calibri" w:hAnsi="Calibri" w:eastAsia="楷体_GB2312" w:cs="Calibri"/>
              <w:bCs/>
              <w:lang w:val="zh-CN"/>
            </w:rPr>
            <w:fldChar w:fldCharType="begin"/>
          </w:r>
          <w:r>
            <w:rPr>
              <w:rFonts w:hint="default" w:ascii="Calibri" w:hAnsi="Calibri" w:eastAsia="楷体_GB2312" w:cs="Calibri"/>
              <w:bCs/>
              <w:lang w:val="zh-CN"/>
            </w:rPr>
            <w:instrText xml:space="preserve"> HYPERLINK \l _Toc7385 </w:instrText>
          </w:r>
          <w:r>
            <w:rPr>
              <w:rFonts w:hint="default" w:ascii="Calibri" w:hAnsi="Calibri" w:eastAsia="楷体_GB2312" w:cs="Calibri"/>
              <w:bCs/>
              <w:lang w:val="zh-CN"/>
            </w:rPr>
            <w:fldChar w:fldCharType="separate"/>
          </w:r>
          <w:r>
            <w:rPr>
              <w:rFonts w:hint="default" w:ascii="Calibri" w:hAnsi="Calibri" w:eastAsia="楷体_GB2312" w:cs="Calibri"/>
            </w:rPr>
            <w:t>3.1 Consumer Products Division: Premium Technology at Accessible Prices, Deep Channel Penetration</w:t>
          </w:r>
          <w:r>
            <w:tab/>
          </w:r>
          <w:r>
            <w:fldChar w:fldCharType="begin"/>
          </w:r>
          <w:r>
            <w:instrText xml:space="preserve"> PAGEREF _Toc7385 \h </w:instrText>
          </w:r>
          <w:r>
            <w:fldChar w:fldCharType="separate"/>
          </w:r>
          <w:r>
            <w:t>21</w:t>
          </w:r>
          <w:r>
            <w:fldChar w:fldCharType="end"/>
          </w:r>
          <w:r>
            <w:rPr>
              <w:rFonts w:hint="default" w:ascii="Calibri" w:hAnsi="Calibri" w:eastAsia="楷体_GB2312" w:cs="Calibri"/>
              <w:bCs/>
              <w:lang w:val="zh-CN"/>
            </w:rPr>
            <w:fldChar w:fldCharType="end"/>
          </w:r>
        </w:p>
        <w:p w14:paraId="03D0CA56">
          <w:pPr>
            <w:pStyle w:val="10"/>
            <w:tabs>
              <w:tab w:val="right" w:leader="dot" w:pos="7458"/>
            </w:tabs>
          </w:pPr>
          <w:r>
            <w:rPr>
              <w:rFonts w:hint="default" w:ascii="Calibri" w:hAnsi="Calibri" w:eastAsia="楷体_GB2312" w:cs="Calibri"/>
              <w:bCs/>
              <w:lang w:val="zh-CN"/>
            </w:rPr>
            <w:fldChar w:fldCharType="begin"/>
          </w:r>
          <w:r>
            <w:rPr>
              <w:rFonts w:hint="default" w:ascii="Calibri" w:hAnsi="Calibri" w:eastAsia="楷体_GB2312" w:cs="Calibri"/>
              <w:bCs/>
              <w:lang w:val="zh-CN"/>
            </w:rPr>
            <w:instrText xml:space="preserve"> HYPERLINK \l _Toc12212 </w:instrText>
          </w:r>
          <w:r>
            <w:rPr>
              <w:rFonts w:hint="default" w:ascii="Calibri" w:hAnsi="Calibri" w:eastAsia="楷体_GB2312" w:cs="Calibri"/>
              <w:bCs/>
              <w:lang w:val="zh-CN"/>
            </w:rPr>
            <w:fldChar w:fldCharType="separate"/>
          </w:r>
          <w:r>
            <w:rPr>
              <w:rFonts w:hint="default" w:ascii="Calibri" w:hAnsi="Calibri" w:eastAsia="楷体_GB2312" w:cs="Calibri"/>
            </w:rPr>
            <w:t>3.2 L'Oréal Luxe Division: Strong Brand-Building Capabilities Establish Brand Premium</w:t>
          </w:r>
          <w:r>
            <w:tab/>
          </w:r>
          <w:r>
            <w:fldChar w:fldCharType="begin"/>
          </w:r>
          <w:r>
            <w:instrText xml:space="preserve"> PAGEREF _Toc12212 \h </w:instrText>
          </w:r>
          <w:r>
            <w:fldChar w:fldCharType="separate"/>
          </w:r>
          <w:r>
            <w:t>23</w:t>
          </w:r>
          <w:r>
            <w:fldChar w:fldCharType="end"/>
          </w:r>
          <w:r>
            <w:rPr>
              <w:rFonts w:hint="default" w:ascii="Calibri" w:hAnsi="Calibri" w:eastAsia="楷体_GB2312" w:cs="Calibri"/>
              <w:bCs/>
              <w:lang w:val="zh-CN"/>
            </w:rPr>
            <w:fldChar w:fldCharType="end"/>
          </w:r>
        </w:p>
        <w:p w14:paraId="344B4F68">
          <w:pPr>
            <w:pStyle w:val="10"/>
            <w:tabs>
              <w:tab w:val="right" w:leader="dot" w:pos="7458"/>
            </w:tabs>
          </w:pPr>
          <w:r>
            <w:rPr>
              <w:rFonts w:hint="default" w:ascii="Calibri" w:hAnsi="Calibri" w:eastAsia="楷体_GB2312" w:cs="Calibri"/>
              <w:bCs/>
              <w:lang w:val="zh-CN"/>
            </w:rPr>
            <w:fldChar w:fldCharType="begin"/>
          </w:r>
          <w:r>
            <w:rPr>
              <w:rFonts w:hint="default" w:ascii="Calibri" w:hAnsi="Calibri" w:eastAsia="楷体_GB2312" w:cs="Calibri"/>
              <w:bCs/>
              <w:lang w:val="zh-CN"/>
            </w:rPr>
            <w:instrText xml:space="preserve"> HYPERLINK \l _Toc6538 </w:instrText>
          </w:r>
          <w:r>
            <w:rPr>
              <w:rFonts w:hint="default" w:ascii="Calibri" w:hAnsi="Calibri" w:eastAsia="楷体_GB2312" w:cs="Calibri"/>
              <w:bCs/>
              <w:lang w:val="zh-CN"/>
            </w:rPr>
            <w:fldChar w:fldCharType="separate"/>
          </w:r>
          <w:r>
            <w:rPr>
              <w:rFonts w:hint="default" w:ascii="Calibri" w:hAnsi="Calibri" w:eastAsia="楷体_GB2312" w:cs="Calibri"/>
            </w:rPr>
            <w:t>3.3 Professional Products Division: Specialized Products &amp; Channel Partnerships Build Brand Moats</w:t>
          </w:r>
          <w:r>
            <w:tab/>
          </w:r>
          <w:r>
            <w:fldChar w:fldCharType="begin"/>
          </w:r>
          <w:r>
            <w:instrText xml:space="preserve"> PAGEREF _Toc6538 \h </w:instrText>
          </w:r>
          <w:r>
            <w:fldChar w:fldCharType="separate"/>
          </w:r>
          <w:r>
            <w:t>25</w:t>
          </w:r>
          <w:r>
            <w:fldChar w:fldCharType="end"/>
          </w:r>
          <w:r>
            <w:rPr>
              <w:rFonts w:hint="default" w:ascii="Calibri" w:hAnsi="Calibri" w:eastAsia="楷体_GB2312" w:cs="Calibri"/>
              <w:bCs/>
              <w:lang w:val="zh-CN"/>
            </w:rPr>
            <w:fldChar w:fldCharType="end"/>
          </w:r>
        </w:p>
        <w:p w14:paraId="26CFCCDD">
          <w:pPr>
            <w:pStyle w:val="10"/>
            <w:tabs>
              <w:tab w:val="right" w:leader="dot" w:pos="7458"/>
            </w:tabs>
          </w:pPr>
          <w:r>
            <w:rPr>
              <w:rFonts w:hint="default" w:ascii="Calibri" w:hAnsi="Calibri" w:eastAsia="楷体_GB2312" w:cs="Calibri"/>
              <w:bCs/>
              <w:lang w:val="zh-CN"/>
            </w:rPr>
            <w:fldChar w:fldCharType="begin"/>
          </w:r>
          <w:r>
            <w:rPr>
              <w:rFonts w:hint="default" w:ascii="Calibri" w:hAnsi="Calibri" w:eastAsia="楷体_GB2312" w:cs="Calibri"/>
              <w:bCs/>
              <w:lang w:val="zh-CN"/>
            </w:rPr>
            <w:instrText xml:space="preserve"> HYPERLINK \l _Toc28036 </w:instrText>
          </w:r>
          <w:r>
            <w:rPr>
              <w:rFonts w:hint="default" w:ascii="Calibri" w:hAnsi="Calibri" w:eastAsia="楷体_GB2312" w:cs="Calibri"/>
              <w:bCs/>
              <w:lang w:val="zh-CN"/>
            </w:rPr>
            <w:fldChar w:fldCharType="separate"/>
          </w:r>
          <w:r>
            <w:rPr>
              <w:rFonts w:hint="default" w:ascii="Calibri" w:hAnsi="Calibri" w:eastAsia="楷体_GB2312" w:cs="Calibri"/>
            </w:rPr>
            <w:t>3.4 Dermatological Beauty Division: Science-Backed Skincare Solving Consumer Pain Points</w:t>
          </w:r>
          <w:r>
            <w:tab/>
          </w:r>
          <w:r>
            <w:fldChar w:fldCharType="begin"/>
          </w:r>
          <w:r>
            <w:instrText xml:space="preserve"> PAGEREF _Toc28036 \h </w:instrText>
          </w:r>
          <w:r>
            <w:fldChar w:fldCharType="separate"/>
          </w:r>
          <w:r>
            <w:t>27</w:t>
          </w:r>
          <w:r>
            <w:fldChar w:fldCharType="end"/>
          </w:r>
          <w:r>
            <w:rPr>
              <w:rFonts w:hint="default" w:ascii="Calibri" w:hAnsi="Calibri" w:eastAsia="楷体_GB2312" w:cs="Calibri"/>
              <w:bCs/>
              <w:lang w:val="zh-CN"/>
            </w:rPr>
            <w:fldChar w:fldCharType="end"/>
          </w:r>
        </w:p>
        <w:p w14:paraId="08835774">
          <w:pPr>
            <w:pStyle w:val="9"/>
            <w:tabs>
              <w:tab w:val="right" w:leader="dot" w:pos="7458"/>
            </w:tabs>
            <w:rPr>
              <w:b/>
              <w:bCs w:val="0"/>
            </w:rPr>
          </w:pPr>
          <w:r>
            <w:rPr>
              <w:rFonts w:hint="default" w:ascii="Calibri" w:hAnsi="Calibri" w:eastAsia="楷体_GB2312" w:cs="Calibri"/>
              <w:b/>
              <w:bCs w:val="0"/>
              <w:lang w:val="zh-CN"/>
            </w:rPr>
            <w:fldChar w:fldCharType="begin"/>
          </w:r>
          <w:r>
            <w:rPr>
              <w:rFonts w:hint="default" w:ascii="Calibri" w:hAnsi="Calibri" w:eastAsia="楷体_GB2312" w:cs="Calibri"/>
              <w:b/>
              <w:bCs w:val="0"/>
              <w:lang w:val="zh-CN"/>
            </w:rPr>
            <w:instrText xml:space="preserve"> HYPERLINK \l _Toc4881 </w:instrText>
          </w:r>
          <w:r>
            <w:rPr>
              <w:rFonts w:hint="default" w:ascii="Calibri" w:hAnsi="Calibri" w:eastAsia="楷体_GB2312" w:cs="Calibri"/>
              <w:b/>
              <w:bCs w:val="0"/>
              <w:lang w:val="zh-CN"/>
            </w:rPr>
            <w:fldChar w:fldCharType="separate"/>
          </w:r>
          <w:r>
            <w:rPr>
              <w:rFonts w:hint="default" w:ascii="Calibri" w:hAnsi="Calibri" w:eastAsia="楷体_GB2312" w:cs="Calibri"/>
              <w:b/>
              <w:bCs w:val="0"/>
              <w:szCs w:val="28"/>
            </w:rPr>
            <w:t>4 Future Highlights: Driving Growth Through Organic Expansion and External Acquisitions</w:t>
          </w:r>
          <w:r>
            <w:rPr>
              <w:b/>
              <w:bCs w:val="0"/>
            </w:rPr>
            <w:tab/>
          </w:r>
          <w:r>
            <w:rPr>
              <w:b/>
              <w:bCs w:val="0"/>
            </w:rPr>
            <w:fldChar w:fldCharType="begin"/>
          </w:r>
          <w:r>
            <w:rPr>
              <w:b/>
              <w:bCs w:val="0"/>
            </w:rPr>
            <w:instrText xml:space="preserve"> PAGEREF _Toc4881 \h </w:instrText>
          </w:r>
          <w:r>
            <w:rPr>
              <w:b/>
              <w:bCs w:val="0"/>
            </w:rPr>
            <w:fldChar w:fldCharType="separate"/>
          </w:r>
          <w:r>
            <w:rPr>
              <w:b/>
              <w:bCs w:val="0"/>
            </w:rPr>
            <w:t>29</w:t>
          </w:r>
          <w:r>
            <w:rPr>
              <w:b/>
              <w:bCs w:val="0"/>
            </w:rPr>
            <w:fldChar w:fldCharType="end"/>
          </w:r>
          <w:r>
            <w:rPr>
              <w:rFonts w:hint="default" w:ascii="Calibri" w:hAnsi="Calibri" w:eastAsia="楷体_GB2312" w:cs="Calibri"/>
              <w:b/>
              <w:bCs w:val="0"/>
              <w:lang w:val="zh-CN"/>
            </w:rPr>
            <w:fldChar w:fldCharType="end"/>
          </w:r>
        </w:p>
        <w:p w14:paraId="7F5F35C6">
          <w:pPr>
            <w:pStyle w:val="10"/>
            <w:tabs>
              <w:tab w:val="right" w:leader="dot" w:pos="7458"/>
            </w:tabs>
          </w:pPr>
          <w:r>
            <w:rPr>
              <w:rFonts w:hint="default" w:ascii="Calibri" w:hAnsi="Calibri" w:eastAsia="楷体_GB2312" w:cs="Calibri"/>
              <w:bCs/>
              <w:lang w:val="zh-CN"/>
            </w:rPr>
            <w:fldChar w:fldCharType="begin"/>
          </w:r>
          <w:r>
            <w:rPr>
              <w:rFonts w:hint="default" w:ascii="Calibri" w:hAnsi="Calibri" w:eastAsia="楷体_GB2312" w:cs="Calibri"/>
              <w:bCs/>
              <w:lang w:val="zh-CN"/>
            </w:rPr>
            <w:instrText xml:space="preserve"> HYPERLINK \l _Toc31789 </w:instrText>
          </w:r>
          <w:r>
            <w:rPr>
              <w:rFonts w:hint="default" w:ascii="Calibri" w:hAnsi="Calibri" w:eastAsia="楷体_GB2312" w:cs="Calibri"/>
              <w:bCs/>
              <w:lang w:val="zh-CN"/>
            </w:rPr>
            <w:fldChar w:fldCharType="separate"/>
          </w:r>
          <w:r>
            <w:rPr>
              <w:rFonts w:hint="default" w:ascii="Calibri" w:hAnsi="Calibri" w:eastAsia="楷体_GB2312" w:cs="Calibri"/>
            </w:rPr>
            <w:t>4.1 L'Oréal Luxe Division: Capitalizing on Structural Upgrades in Fragrances and Filling Super-Premium Gaps</w:t>
          </w:r>
          <w:r>
            <w:tab/>
          </w:r>
          <w:r>
            <w:fldChar w:fldCharType="begin"/>
          </w:r>
          <w:r>
            <w:instrText xml:space="preserve"> PAGEREF _Toc31789 \h </w:instrText>
          </w:r>
          <w:r>
            <w:fldChar w:fldCharType="separate"/>
          </w:r>
          <w:r>
            <w:t>29</w:t>
          </w:r>
          <w:r>
            <w:fldChar w:fldCharType="end"/>
          </w:r>
          <w:r>
            <w:rPr>
              <w:rFonts w:hint="default" w:ascii="Calibri" w:hAnsi="Calibri" w:eastAsia="楷体_GB2312" w:cs="Calibri"/>
              <w:bCs/>
              <w:lang w:val="zh-CN"/>
            </w:rPr>
            <w:fldChar w:fldCharType="end"/>
          </w:r>
        </w:p>
        <w:p w14:paraId="173D8CC4">
          <w:pPr>
            <w:pStyle w:val="10"/>
            <w:tabs>
              <w:tab w:val="right" w:leader="dot" w:pos="7458"/>
            </w:tabs>
          </w:pPr>
          <w:r>
            <w:rPr>
              <w:rFonts w:hint="default" w:ascii="Calibri" w:hAnsi="Calibri" w:eastAsia="楷体_GB2312" w:cs="Calibri"/>
              <w:bCs/>
              <w:lang w:val="zh-CN"/>
            </w:rPr>
            <w:fldChar w:fldCharType="begin"/>
          </w:r>
          <w:r>
            <w:rPr>
              <w:rFonts w:hint="default" w:ascii="Calibri" w:hAnsi="Calibri" w:eastAsia="楷体_GB2312" w:cs="Calibri"/>
              <w:bCs/>
              <w:lang w:val="zh-CN"/>
            </w:rPr>
            <w:instrText xml:space="preserve"> HYPERLINK \l _Toc14594 </w:instrText>
          </w:r>
          <w:r>
            <w:rPr>
              <w:rFonts w:hint="default" w:ascii="Calibri" w:hAnsi="Calibri" w:eastAsia="楷体_GB2312" w:cs="Calibri"/>
              <w:bCs/>
              <w:lang w:val="zh-CN"/>
            </w:rPr>
            <w:fldChar w:fldCharType="separate"/>
          </w:r>
          <w:r>
            <w:rPr>
              <w:rFonts w:hint="default" w:ascii="Calibri" w:hAnsi="Calibri" w:eastAsia="楷体_GB2312" w:cs="Calibri"/>
            </w:rPr>
            <w:t>4.2 Dermatological Beauty Division: Targeting Consumer Needs to Accelerate Emerging Market Penetration</w:t>
          </w:r>
          <w:r>
            <w:tab/>
          </w:r>
          <w:r>
            <w:fldChar w:fldCharType="begin"/>
          </w:r>
          <w:r>
            <w:instrText xml:space="preserve"> PAGEREF _Toc14594 \h </w:instrText>
          </w:r>
          <w:r>
            <w:fldChar w:fldCharType="separate"/>
          </w:r>
          <w:r>
            <w:t>31</w:t>
          </w:r>
          <w:r>
            <w:fldChar w:fldCharType="end"/>
          </w:r>
          <w:r>
            <w:rPr>
              <w:rFonts w:hint="default" w:ascii="Calibri" w:hAnsi="Calibri" w:eastAsia="楷体_GB2312" w:cs="Calibri"/>
              <w:bCs/>
              <w:lang w:val="zh-CN"/>
            </w:rPr>
            <w:fldChar w:fldCharType="end"/>
          </w:r>
        </w:p>
        <w:p w14:paraId="6F224B1A">
          <w:pPr>
            <w:pStyle w:val="10"/>
            <w:tabs>
              <w:tab w:val="right" w:leader="dot" w:pos="7458"/>
            </w:tabs>
          </w:pPr>
          <w:r>
            <w:rPr>
              <w:rFonts w:hint="default" w:ascii="Calibri" w:hAnsi="Calibri" w:eastAsia="楷体_GB2312" w:cs="Calibri"/>
              <w:bCs/>
              <w:lang w:val="zh-CN"/>
            </w:rPr>
            <w:fldChar w:fldCharType="begin"/>
          </w:r>
          <w:r>
            <w:rPr>
              <w:rFonts w:hint="default" w:ascii="Calibri" w:hAnsi="Calibri" w:eastAsia="楷体_GB2312" w:cs="Calibri"/>
              <w:bCs/>
              <w:lang w:val="zh-CN"/>
            </w:rPr>
            <w:instrText xml:space="preserve"> HYPERLINK \l _Toc18874 </w:instrText>
          </w:r>
          <w:r>
            <w:rPr>
              <w:rFonts w:hint="default" w:ascii="Calibri" w:hAnsi="Calibri" w:eastAsia="楷体_GB2312" w:cs="Calibri"/>
              <w:bCs/>
              <w:lang w:val="zh-CN"/>
            </w:rPr>
            <w:fldChar w:fldCharType="separate"/>
          </w:r>
          <w:r>
            <w:rPr>
              <w:rFonts w:hint="default" w:ascii="Calibri" w:hAnsi="Calibri" w:eastAsia="楷体_GB2312" w:cs="Calibri"/>
            </w:rPr>
            <w:t>4.3 Expanding through Acquisitions: Continuously strengthen the international brand operating platform</w:t>
          </w:r>
          <w:r>
            <w:tab/>
          </w:r>
          <w:r>
            <w:fldChar w:fldCharType="begin"/>
          </w:r>
          <w:r>
            <w:instrText xml:space="preserve"> PAGEREF _Toc18874 \h </w:instrText>
          </w:r>
          <w:r>
            <w:fldChar w:fldCharType="separate"/>
          </w:r>
          <w:r>
            <w:t>33</w:t>
          </w:r>
          <w:r>
            <w:fldChar w:fldCharType="end"/>
          </w:r>
          <w:r>
            <w:rPr>
              <w:rFonts w:hint="default" w:ascii="Calibri" w:hAnsi="Calibri" w:eastAsia="楷体_GB2312" w:cs="Calibri"/>
              <w:bCs/>
              <w:lang w:val="zh-CN"/>
            </w:rPr>
            <w:fldChar w:fldCharType="end"/>
          </w:r>
        </w:p>
        <w:p w14:paraId="4DDFD1D9">
          <w:pPr>
            <w:pStyle w:val="9"/>
            <w:tabs>
              <w:tab w:val="right" w:leader="dot" w:pos="7458"/>
            </w:tabs>
            <w:rPr>
              <w:b/>
              <w:bCs w:val="0"/>
            </w:rPr>
          </w:pPr>
          <w:r>
            <w:rPr>
              <w:rFonts w:hint="default" w:ascii="Calibri" w:hAnsi="Calibri" w:eastAsia="楷体_GB2312" w:cs="Calibri"/>
              <w:b/>
              <w:bCs w:val="0"/>
              <w:lang w:val="zh-CN"/>
            </w:rPr>
            <w:fldChar w:fldCharType="begin"/>
          </w:r>
          <w:r>
            <w:rPr>
              <w:rFonts w:hint="default" w:ascii="Calibri" w:hAnsi="Calibri" w:eastAsia="楷体_GB2312" w:cs="Calibri"/>
              <w:b/>
              <w:bCs w:val="0"/>
              <w:lang w:val="zh-CN"/>
            </w:rPr>
            <w:instrText xml:space="preserve"> HYPERLINK \l _Toc29403 </w:instrText>
          </w:r>
          <w:r>
            <w:rPr>
              <w:rFonts w:hint="default" w:ascii="Calibri" w:hAnsi="Calibri" w:eastAsia="楷体_GB2312" w:cs="Calibri"/>
              <w:b/>
              <w:bCs w:val="0"/>
              <w:lang w:val="zh-CN"/>
            </w:rPr>
            <w:fldChar w:fldCharType="separate"/>
          </w:r>
          <w:r>
            <w:rPr>
              <w:rFonts w:hint="default" w:ascii="Calibri" w:hAnsi="Calibri" w:eastAsia="楷体_GB2312" w:cs="Calibri"/>
              <w:b/>
              <w:bCs w:val="0"/>
              <w:szCs w:val="28"/>
            </w:rPr>
            <w:t>5.Valuation and investment rating</w:t>
          </w:r>
          <w:r>
            <w:rPr>
              <w:b/>
              <w:bCs w:val="0"/>
            </w:rPr>
            <w:tab/>
          </w:r>
          <w:r>
            <w:rPr>
              <w:b/>
              <w:bCs w:val="0"/>
            </w:rPr>
            <w:fldChar w:fldCharType="begin"/>
          </w:r>
          <w:r>
            <w:rPr>
              <w:b/>
              <w:bCs w:val="0"/>
            </w:rPr>
            <w:instrText xml:space="preserve"> PAGEREF _Toc29403 \h </w:instrText>
          </w:r>
          <w:r>
            <w:rPr>
              <w:b/>
              <w:bCs w:val="0"/>
            </w:rPr>
            <w:fldChar w:fldCharType="separate"/>
          </w:r>
          <w:r>
            <w:rPr>
              <w:b/>
              <w:bCs w:val="0"/>
            </w:rPr>
            <w:t>34</w:t>
          </w:r>
          <w:r>
            <w:rPr>
              <w:b/>
              <w:bCs w:val="0"/>
            </w:rPr>
            <w:fldChar w:fldCharType="end"/>
          </w:r>
          <w:r>
            <w:rPr>
              <w:rFonts w:hint="default" w:ascii="Calibri" w:hAnsi="Calibri" w:eastAsia="楷体_GB2312" w:cs="Calibri"/>
              <w:b/>
              <w:bCs w:val="0"/>
              <w:lang w:val="zh-CN"/>
            </w:rPr>
            <w:fldChar w:fldCharType="end"/>
          </w:r>
        </w:p>
        <w:p w14:paraId="0CA805AD">
          <w:pPr>
            <w:pStyle w:val="10"/>
            <w:tabs>
              <w:tab w:val="right" w:leader="dot" w:pos="7458"/>
            </w:tabs>
          </w:pPr>
          <w:r>
            <w:rPr>
              <w:rFonts w:hint="default" w:ascii="Calibri" w:hAnsi="Calibri" w:eastAsia="楷体_GB2312" w:cs="Calibri"/>
              <w:bCs/>
              <w:lang w:val="zh-CN"/>
            </w:rPr>
            <w:fldChar w:fldCharType="begin"/>
          </w:r>
          <w:r>
            <w:rPr>
              <w:rFonts w:hint="default" w:ascii="Calibri" w:hAnsi="Calibri" w:eastAsia="楷体_GB2312" w:cs="Calibri"/>
              <w:bCs/>
              <w:lang w:val="zh-CN"/>
            </w:rPr>
            <w:instrText xml:space="preserve"> HYPERLINK \l _Toc4812 </w:instrText>
          </w:r>
          <w:r>
            <w:rPr>
              <w:rFonts w:hint="default" w:ascii="Calibri" w:hAnsi="Calibri" w:eastAsia="楷体_GB2312" w:cs="Calibri"/>
              <w:bCs/>
              <w:lang w:val="zh-CN"/>
            </w:rPr>
            <w:fldChar w:fldCharType="separate"/>
          </w:r>
          <w:r>
            <w:rPr>
              <w:rFonts w:hint="default" w:ascii="Calibri" w:hAnsi="Calibri" w:eastAsia="楷体_GB2312" w:cs="Calibri"/>
            </w:rPr>
            <w:t xml:space="preserve">5.1 </w:t>
          </w:r>
          <w:r>
            <w:rPr>
              <w:rFonts w:hint="default" w:ascii="Calibri" w:hAnsi="Calibri" w:eastAsia="楷体_GB2312" w:cs="Calibri"/>
              <w:szCs w:val="26"/>
            </w:rPr>
            <w:t>Profit Forecast</w:t>
          </w:r>
          <w:r>
            <w:tab/>
          </w:r>
          <w:r>
            <w:fldChar w:fldCharType="begin"/>
          </w:r>
          <w:r>
            <w:instrText xml:space="preserve"> PAGEREF _Toc4812 \h </w:instrText>
          </w:r>
          <w:r>
            <w:fldChar w:fldCharType="separate"/>
          </w:r>
          <w:r>
            <w:t>34</w:t>
          </w:r>
          <w:r>
            <w:fldChar w:fldCharType="end"/>
          </w:r>
          <w:r>
            <w:rPr>
              <w:rFonts w:hint="default" w:ascii="Calibri" w:hAnsi="Calibri" w:eastAsia="楷体_GB2312" w:cs="Calibri"/>
              <w:bCs/>
              <w:lang w:val="zh-CN"/>
            </w:rPr>
            <w:fldChar w:fldCharType="end"/>
          </w:r>
        </w:p>
        <w:p w14:paraId="709F081A">
          <w:pPr>
            <w:pStyle w:val="10"/>
            <w:tabs>
              <w:tab w:val="right" w:leader="dot" w:pos="7458"/>
            </w:tabs>
          </w:pPr>
          <w:r>
            <w:rPr>
              <w:rFonts w:hint="default" w:ascii="Calibri" w:hAnsi="Calibri" w:eastAsia="楷体_GB2312" w:cs="Calibri"/>
              <w:bCs/>
              <w:lang w:val="zh-CN"/>
            </w:rPr>
            <w:fldChar w:fldCharType="begin"/>
          </w:r>
          <w:r>
            <w:rPr>
              <w:rFonts w:hint="default" w:ascii="Calibri" w:hAnsi="Calibri" w:eastAsia="楷体_GB2312" w:cs="Calibri"/>
              <w:bCs/>
              <w:lang w:val="zh-CN"/>
            </w:rPr>
            <w:instrText xml:space="preserve"> HYPERLINK \l _Toc6510 </w:instrText>
          </w:r>
          <w:r>
            <w:rPr>
              <w:rFonts w:hint="default" w:ascii="Calibri" w:hAnsi="Calibri" w:eastAsia="楷体_GB2312" w:cs="Calibri"/>
              <w:bCs/>
              <w:lang w:val="zh-CN"/>
            </w:rPr>
            <w:fldChar w:fldCharType="separate"/>
          </w:r>
          <w:r>
            <w:rPr>
              <w:rFonts w:hint="default" w:ascii="Calibri" w:hAnsi="Calibri" w:eastAsia="楷体_GB2312" w:cs="Calibri"/>
            </w:rPr>
            <w:t>5.2 Valuation Analysis</w:t>
          </w:r>
          <w:r>
            <w:tab/>
          </w:r>
          <w:r>
            <w:fldChar w:fldCharType="begin"/>
          </w:r>
          <w:r>
            <w:instrText xml:space="preserve"> PAGEREF _Toc6510 \h </w:instrText>
          </w:r>
          <w:r>
            <w:fldChar w:fldCharType="separate"/>
          </w:r>
          <w:r>
            <w:t>36</w:t>
          </w:r>
          <w:r>
            <w:fldChar w:fldCharType="end"/>
          </w:r>
          <w:r>
            <w:rPr>
              <w:rFonts w:hint="default" w:ascii="Calibri" w:hAnsi="Calibri" w:eastAsia="楷体_GB2312" w:cs="Calibri"/>
              <w:bCs/>
              <w:lang w:val="zh-CN"/>
            </w:rPr>
            <w:fldChar w:fldCharType="end"/>
          </w:r>
        </w:p>
        <w:p w14:paraId="6B010784">
          <w:pPr>
            <w:pStyle w:val="9"/>
            <w:tabs>
              <w:tab w:val="right" w:leader="dot" w:pos="7458"/>
            </w:tabs>
            <w:rPr>
              <w:b/>
              <w:bCs w:val="0"/>
            </w:rPr>
          </w:pPr>
          <w:r>
            <w:rPr>
              <w:rFonts w:hint="default" w:ascii="Calibri" w:hAnsi="Calibri" w:eastAsia="楷体_GB2312" w:cs="Calibri"/>
              <w:b/>
              <w:bCs w:val="0"/>
              <w:lang w:val="zh-CN"/>
            </w:rPr>
            <w:fldChar w:fldCharType="begin"/>
          </w:r>
          <w:r>
            <w:rPr>
              <w:rFonts w:hint="default" w:ascii="Calibri" w:hAnsi="Calibri" w:eastAsia="楷体_GB2312" w:cs="Calibri"/>
              <w:b/>
              <w:bCs w:val="0"/>
              <w:lang w:val="zh-CN"/>
            </w:rPr>
            <w:instrText xml:space="preserve"> HYPERLINK \l _Toc26839 </w:instrText>
          </w:r>
          <w:r>
            <w:rPr>
              <w:rFonts w:hint="default" w:ascii="Calibri" w:hAnsi="Calibri" w:eastAsia="楷体_GB2312" w:cs="Calibri"/>
              <w:b/>
              <w:bCs w:val="0"/>
              <w:lang w:val="zh-CN"/>
            </w:rPr>
            <w:fldChar w:fldCharType="separate"/>
          </w:r>
          <w:r>
            <w:rPr>
              <w:rFonts w:hint="default" w:ascii="Calibri" w:hAnsi="Calibri" w:eastAsia="楷体_GB2312" w:cs="Calibri"/>
              <w:b/>
              <w:bCs w:val="0"/>
              <w:szCs w:val="28"/>
            </w:rPr>
            <w:t>6. RISK</w:t>
          </w:r>
          <w:r>
            <w:rPr>
              <w:b/>
              <w:bCs w:val="0"/>
            </w:rPr>
            <w:tab/>
          </w:r>
          <w:r>
            <w:rPr>
              <w:b/>
              <w:bCs w:val="0"/>
            </w:rPr>
            <w:fldChar w:fldCharType="begin"/>
          </w:r>
          <w:r>
            <w:rPr>
              <w:b/>
              <w:bCs w:val="0"/>
            </w:rPr>
            <w:instrText xml:space="preserve"> PAGEREF _Toc26839 \h </w:instrText>
          </w:r>
          <w:r>
            <w:rPr>
              <w:b/>
              <w:bCs w:val="0"/>
            </w:rPr>
            <w:fldChar w:fldCharType="separate"/>
          </w:r>
          <w:r>
            <w:rPr>
              <w:b/>
              <w:bCs w:val="0"/>
            </w:rPr>
            <w:t>38</w:t>
          </w:r>
          <w:r>
            <w:rPr>
              <w:b/>
              <w:bCs w:val="0"/>
            </w:rPr>
            <w:fldChar w:fldCharType="end"/>
          </w:r>
          <w:r>
            <w:rPr>
              <w:rFonts w:hint="default" w:ascii="Calibri" w:hAnsi="Calibri" w:eastAsia="楷体_GB2312" w:cs="Calibri"/>
              <w:b/>
              <w:bCs w:val="0"/>
              <w:lang w:val="zh-CN"/>
            </w:rPr>
            <w:fldChar w:fldCharType="end"/>
          </w:r>
        </w:p>
        <w:p w14:paraId="6E890E77">
          <w:pPr>
            <w:rPr>
              <w:rFonts w:hint="default" w:ascii="Calibri" w:hAnsi="Calibri" w:eastAsia="楷体_GB2312" w:cs="Calibri"/>
              <w:b/>
              <w:bCs/>
              <w:lang w:val="zh-CN"/>
            </w:rPr>
          </w:pPr>
          <w:r>
            <w:rPr>
              <w:rFonts w:hint="default" w:ascii="Calibri" w:hAnsi="Calibri" w:eastAsia="楷体_GB2312" w:cs="Calibri"/>
              <w:bCs/>
              <w:lang w:val="zh-CN"/>
            </w:rPr>
            <w:fldChar w:fldCharType="end"/>
          </w:r>
        </w:p>
      </w:sdtContent>
    </w:sdt>
    <w:p w14:paraId="1E8A4987">
      <w:pPr>
        <w:pStyle w:val="89"/>
        <w:jc w:val="both"/>
        <w:rPr>
          <w:rFonts w:hint="default" w:ascii="Calibri" w:hAnsi="Calibri" w:eastAsia="楷体_GB2312" w:cs="Calibri"/>
          <w:b/>
          <w:bCs/>
          <w:color w:val="23558C"/>
          <w:kern w:val="28"/>
          <w:sz w:val="22"/>
          <w:szCs w:val="22"/>
        </w:rPr>
      </w:pPr>
    </w:p>
    <w:p w14:paraId="69AF1CDA">
      <w:pPr>
        <w:rPr>
          <w:rFonts w:hint="default" w:ascii="Calibri" w:hAnsi="Calibri" w:eastAsia="楷体_GB2312" w:cs="Calibri"/>
          <w:b/>
          <w:bCs/>
          <w:color w:val="23558C"/>
          <w:kern w:val="28"/>
          <w:sz w:val="22"/>
          <w:szCs w:val="22"/>
        </w:rPr>
      </w:pPr>
      <w:r>
        <w:rPr>
          <w:rFonts w:hint="default" w:ascii="Calibri" w:hAnsi="Calibri" w:eastAsia="楷体_GB2312" w:cs="Calibri"/>
          <w:b/>
          <w:bCs/>
          <w:color w:val="23558C"/>
          <w:kern w:val="28"/>
          <w:sz w:val="22"/>
          <w:szCs w:val="22"/>
        </w:rPr>
        <w:br w:type="page"/>
      </w:r>
    </w:p>
    <w:p w14:paraId="0CAEF4A3">
      <w:pPr>
        <w:pStyle w:val="2"/>
        <w:keepLines w:val="0"/>
        <w:pageBreakBefore w:val="0"/>
        <w:widowControl/>
        <w:kinsoku/>
        <w:wordWrap/>
        <w:overflowPunct/>
        <w:topLinePunct w:val="0"/>
        <w:autoSpaceDE/>
        <w:autoSpaceDN/>
        <w:bidi w:val="0"/>
        <w:adjustRightInd/>
        <w:snapToGrid/>
        <w:spacing w:before="0" w:after="181" w:afterLines="50" w:line="228" w:lineRule="auto"/>
        <w:jc w:val="both"/>
        <w:textAlignment w:val="auto"/>
        <w:rPr>
          <w:rFonts w:hint="default" w:ascii="Calibri" w:hAnsi="Calibri" w:eastAsia="楷体_GB2312" w:cs="Calibri"/>
          <w:b/>
          <w:bCs/>
          <w:iCs/>
          <w:snapToGrid/>
          <w:color w:val="23558C"/>
          <w:kern w:val="0"/>
          <w:sz w:val="28"/>
          <w:szCs w:val="28"/>
          <w:lang w:val="en-US" w:eastAsia="ja-JP" w:bidi="ar-SA"/>
        </w:rPr>
      </w:pPr>
      <w:bookmarkStart w:id="0" w:name="_Toc220275537"/>
      <w:bookmarkStart w:id="1" w:name="_Toc11998"/>
      <w:r>
        <w:rPr>
          <w:rFonts w:hint="default" w:ascii="Calibri" w:hAnsi="Calibri" w:eastAsia="楷体_GB2312" w:cs="Calibri"/>
          <w:b/>
          <w:bCs/>
          <w:iCs/>
          <w:snapToGrid/>
          <w:color w:val="23558C"/>
          <w:kern w:val="0"/>
          <w:sz w:val="28"/>
          <w:szCs w:val="28"/>
          <w:lang w:val="en-US" w:eastAsia="ja-JP" w:bidi="ar-SA"/>
        </w:rPr>
        <w:t xml:space="preserve">1 </w:t>
      </w:r>
      <w:bookmarkEnd w:id="0"/>
      <w:r>
        <w:rPr>
          <w:rFonts w:hint="default" w:ascii="Calibri" w:hAnsi="Calibri" w:eastAsia="楷体_GB2312" w:cs="Calibri"/>
          <w:b/>
          <w:bCs/>
          <w:iCs/>
          <w:snapToGrid/>
          <w:color w:val="23558C"/>
          <w:kern w:val="0"/>
          <w:sz w:val="28"/>
          <w:szCs w:val="28"/>
          <w:lang w:val="en-US" w:eastAsia="ja-JP" w:bidi="ar-SA"/>
        </w:rPr>
        <w:t>L'Oréal: Global Leader in Beauty &amp; Personal Care</w:t>
      </w:r>
      <w:bookmarkEnd w:id="1"/>
    </w:p>
    <w:p w14:paraId="2EEBC045">
      <w:pPr>
        <w:pStyle w:val="149"/>
        <w:keepLines w:val="0"/>
        <w:pageBreakBefore w:val="0"/>
        <w:widowControl/>
        <w:kinsoku/>
        <w:wordWrap/>
        <w:overflowPunct/>
        <w:topLinePunct w:val="0"/>
        <w:autoSpaceDE/>
        <w:autoSpaceDN/>
        <w:bidi w:val="0"/>
        <w:adjustRightInd/>
        <w:snapToGrid/>
        <w:spacing w:before="0" w:after="181" w:afterLines="50" w:line="228" w:lineRule="auto"/>
        <w:jc w:val="both"/>
        <w:textAlignment w:val="auto"/>
        <w:rPr>
          <w:rFonts w:hint="default" w:ascii="Calibri" w:hAnsi="Calibri" w:eastAsia="楷体_GB2312" w:cs="Calibri"/>
          <w:color w:val="23558C"/>
          <w:sz w:val="24"/>
          <w:szCs w:val="24"/>
        </w:rPr>
      </w:pPr>
      <w:bookmarkStart w:id="2" w:name="_Toc220275538"/>
      <w:bookmarkStart w:id="3" w:name="_Toc12231"/>
      <w:r>
        <w:rPr>
          <w:rFonts w:hint="default" w:ascii="Calibri" w:hAnsi="Calibri" w:eastAsia="楷体_GB2312" w:cs="Calibri"/>
          <w:color w:val="23558C"/>
          <w:sz w:val="24"/>
          <w:szCs w:val="24"/>
        </w:rPr>
        <w:t xml:space="preserve">1.1 </w:t>
      </w:r>
      <w:bookmarkEnd w:id="2"/>
      <w:r>
        <w:rPr>
          <w:rFonts w:hint="default" w:ascii="Calibri" w:hAnsi="Calibri" w:eastAsia="楷体_GB2312" w:cs="Calibri"/>
          <w:color w:val="23558C"/>
          <w:sz w:val="24"/>
          <w:szCs w:val="24"/>
        </w:rPr>
        <w:t>Company Overview</w:t>
      </w:r>
      <w:bookmarkEnd w:id="3"/>
    </w:p>
    <w:p w14:paraId="52B61C7F">
      <w:pPr>
        <w:keepLines w:val="0"/>
        <w:pageBreakBefore w:val="0"/>
        <w:widowControl/>
        <w:kinsoku/>
        <w:wordWrap/>
        <w:overflowPunct/>
        <w:topLinePunct w:val="0"/>
        <w:autoSpaceDE/>
        <w:autoSpaceDN/>
        <w:bidi w:val="0"/>
        <w:adjustRightInd/>
        <w:snapToGrid/>
        <w:spacing w:after="181" w:afterLines="50" w:line="228" w:lineRule="auto"/>
        <w:jc w:val="both"/>
        <w:textAlignment w:val="auto"/>
        <w:rPr>
          <w:rFonts w:hint="default" w:ascii="Calibri" w:hAnsi="Calibri" w:eastAsia="楷体_GB2312" w:cs="Calibri"/>
          <w:color w:val="0F1115"/>
          <w:sz w:val="22"/>
          <w:szCs w:val="22"/>
          <w:shd w:val="clear" w:color="auto" w:fill="FFFFFF"/>
          <w:lang w:bidi="ar"/>
        </w:rPr>
      </w:pPr>
      <w:r>
        <w:rPr>
          <w:rFonts w:hint="default" w:ascii="Calibri" w:hAnsi="Calibri" w:eastAsia="楷体_GB2312" w:cs="Calibri"/>
          <w:color w:val="0F1115"/>
          <w:sz w:val="22"/>
          <w:szCs w:val="22"/>
          <w:shd w:val="clear" w:color="auto" w:fill="FFFFFF"/>
          <w:lang w:bidi="ar"/>
        </w:rPr>
        <w:t>L'Oréal is a global leader in beauty, founded in 1909 and headquartered in France. Its core business encompasses a broad range of beauty products, including skincare, cosmetics, fragrances, hair colouring, and personal care. Over a century of scientific innovation, strategic expansion, and social responsibility, L'Oréal has established itself as the world's foremost beauty company. Its corporate development can be divided into six distinct phases:</w:t>
      </w:r>
    </w:p>
    <w:p w14:paraId="4C175E2C">
      <w:pPr>
        <w:keepLines w:val="0"/>
        <w:pageBreakBefore w:val="0"/>
        <w:widowControl/>
        <w:kinsoku/>
        <w:wordWrap/>
        <w:overflowPunct/>
        <w:topLinePunct w:val="0"/>
        <w:autoSpaceDE/>
        <w:autoSpaceDN/>
        <w:bidi w:val="0"/>
        <w:adjustRightInd/>
        <w:snapToGrid/>
        <w:spacing w:after="181" w:afterLines="50" w:line="228" w:lineRule="auto"/>
        <w:jc w:val="both"/>
        <w:textAlignment w:val="auto"/>
        <w:rPr>
          <w:rFonts w:hint="default" w:ascii="Calibri" w:hAnsi="Calibri" w:eastAsia="楷体_GB2312" w:cs="Calibri"/>
          <w:b/>
          <w:bCs/>
          <w:color w:val="0F1115"/>
          <w:sz w:val="22"/>
          <w:szCs w:val="22"/>
          <w:shd w:val="clear" w:color="auto" w:fill="FFFFFF"/>
          <w:lang w:bidi="ar"/>
        </w:rPr>
      </w:pPr>
      <w:r>
        <w:rPr>
          <w:rFonts w:hint="default" w:ascii="Calibri" w:hAnsi="Calibri" w:eastAsia="楷体_GB2312" w:cs="Calibri"/>
          <w:b/>
          <w:bCs/>
          <w:color w:val="0F1115"/>
          <w:sz w:val="22"/>
          <w:szCs w:val="22"/>
          <w:shd w:val="clear" w:color="auto" w:fill="FFFFFF"/>
          <w:lang w:bidi="ar"/>
        </w:rPr>
        <w:t>Phase 1 — 1909–1956: Founding and Brand Building</w:t>
      </w:r>
    </w:p>
    <w:p w14:paraId="7C785796">
      <w:pPr>
        <w:keepLines w:val="0"/>
        <w:pageBreakBefore w:val="0"/>
        <w:widowControl/>
        <w:kinsoku/>
        <w:wordWrap/>
        <w:overflowPunct/>
        <w:topLinePunct w:val="0"/>
        <w:autoSpaceDE/>
        <w:autoSpaceDN/>
        <w:bidi w:val="0"/>
        <w:adjustRightInd/>
        <w:snapToGrid/>
        <w:spacing w:after="181" w:afterLines="50" w:line="228" w:lineRule="auto"/>
        <w:jc w:val="both"/>
        <w:textAlignment w:val="auto"/>
        <w:rPr>
          <w:rFonts w:hint="default" w:ascii="Calibri" w:hAnsi="Calibri" w:eastAsia="楷体_GB2312" w:cs="Calibri"/>
          <w:color w:val="0F1115"/>
          <w:sz w:val="22"/>
          <w:szCs w:val="22"/>
          <w:shd w:val="clear" w:color="auto" w:fill="FFFFFF"/>
          <w:lang w:bidi="ar"/>
        </w:rPr>
      </w:pPr>
      <w:r>
        <w:rPr>
          <w:rFonts w:hint="default" w:ascii="Calibri" w:hAnsi="Calibri" w:eastAsia="楷体_GB2312" w:cs="Calibri"/>
          <w:color w:val="0F1115"/>
          <w:sz w:val="22"/>
          <w:szCs w:val="22"/>
          <w:shd w:val="clear" w:color="auto" w:fill="FFFFFF"/>
          <w:lang w:bidi="ar"/>
        </w:rPr>
        <w:t>Founder and chemist Eugène Schueller placed scientific innovation at the heart of the company, laying the groundwork for the L'Oréal brand. In 1909, he established the Société Française des Teintures Inoffensives pour Cheveux and introduced a mild hair dye called 'L'Auréale' (inspired by a popular hairstyle of the era). In 1934, the company launched the world's first soap-free shampoo; in 1935, it introduced Ambre Solaire, pioneering the suncare category; and in 1939, the company was officially renamed L'Oréal and relocated its headquarters to 14 Rue Royale, Paris.</w:t>
      </w:r>
    </w:p>
    <w:p w14:paraId="751A6750">
      <w:pPr>
        <w:keepLines w:val="0"/>
        <w:pageBreakBefore w:val="0"/>
        <w:widowControl/>
        <w:kinsoku/>
        <w:wordWrap/>
        <w:overflowPunct/>
        <w:topLinePunct w:val="0"/>
        <w:autoSpaceDE/>
        <w:autoSpaceDN/>
        <w:bidi w:val="0"/>
        <w:adjustRightInd/>
        <w:snapToGrid/>
        <w:spacing w:after="181" w:afterLines="50" w:line="228" w:lineRule="auto"/>
        <w:jc w:val="both"/>
        <w:textAlignment w:val="auto"/>
        <w:rPr>
          <w:rFonts w:hint="default" w:ascii="Calibri" w:hAnsi="Calibri" w:eastAsia="楷体_GB2312" w:cs="Calibri"/>
          <w:b/>
          <w:bCs/>
          <w:color w:val="0F1115"/>
          <w:sz w:val="22"/>
          <w:szCs w:val="22"/>
          <w:shd w:val="clear" w:color="auto" w:fill="FFFFFF"/>
          <w:lang w:bidi="ar"/>
        </w:rPr>
      </w:pPr>
      <w:r>
        <w:rPr>
          <w:rFonts w:hint="default" w:ascii="Calibri" w:hAnsi="Calibri" w:eastAsia="楷体_GB2312" w:cs="Calibri"/>
          <w:b/>
          <w:bCs/>
          <w:color w:val="0F1115"/>
          <w:sz w:val="22"/>
          <w:szCs w:val="22"/>
          <w:shd w:val="clear" w:color="auto" w:fill="FFFFFF"/>
          <w:lang w:bidi="ar"/>
        </w:rPr>
        <w:t>Phase 2 — 1957–1983: Seizing Opportunities and Growth Through Acquisitions</w:t>
      </w:r>
    </w:p>
    <w:p w14:paraId="37EC5341">
      <w:pPr>
        <w:keepLines w:val="0"/>
        <w:pageBreakBefore w:val="0"/>
        <w:widowControl/>
        <w:kinsoku/>
        <w:wordWrap/>
        <w:overflowPunct/>
        <w:topLinePunct w:val="0"/>
        <w:autoSpaceDE/>
        <w:autoSpaceDN/>
        <w:bidi w:val="0"/>
        <w:adjustRightInd/>
        <w:snapToGrid/>
        <w:spacing w:after="181" w:afterLines="50" w:line="228" w:lineRule="auto"/>
        <w:jc w:val="both"/>
        <w:textAlignment w:val="auto"/>
        <w:rPr>
          <w:rFonts w:hint="default" w:ascii="Calibri" w:hAnsi="Calibri" w:eastAsia="楷体_GB2312" w:cs="Calibri"/>
          <w:color w:val="0F1115"/>
          <w:sz w:val="22"/>
          <w:szCs w:val="22"/>
          <w:shd w:val="clear" w:color="auto" w:fill="FFFFFF"/>
          <w:lang w:bidi="ar"/>
        </w:rPr>
      </w:pPr>
      <w:r>
        <w:rPr>
          <w:rFonts w:hint="default" w:ascii="Calibri" w:hAnsi="Calibri" w:eastAsia="楷体_GB2312" w:cs="Calibri"/>
          <w:color w:val="0F1115"/>
          <w:sz w:val="22"/>
          <w:szCs w:val="22"/>
          <w:shd w:val="clear" w:color="auto" w:fill="FFFFFF"/>
          <w:lang w:bidi="ar"/>
        </w:rPr>
        <w:t>Under Chairman François Dalle and his 'Seize the Moment' philosophy, the company focused on R&amp;D and consumer needs, expanding through strategic acquisitions. L'Oréal listed on the Paris Stock Exchange in 1963 and went on to acquire brands including Mixa, Lancôme, Biotherm, and Laboratoires Garnier. Landmark product launches during this period included Kérastase haircare, the Lancôme Ô fragrance, Cacharel Anaïs Anaïs, Elsève shampoo, Garnier Ultra Doux, and the Plénitude Revitalift skincare line.</w:t>
      </w:r>
    </w:p>
    <w:p w14:paraId="6F87C101">
      <w:pPr>
        <w:keepLines w:val="0"/>
        <w:pageBreakBefore w:val="0"/>
        <w:widowControl/>
        <w:kinsoku/>
        <w:wordWrap/>
        <w:overflowPunct/>
        <w:topLinePunct w:val="0"/>
        <w:autoSpaceDE/>
        <w:autoSpaceDN/>
        <w:bidi w:val="0"/>
        <w:adjustRightInd/>
        <w:snapToGrid/>
        <w:spacing w:after="181" w:afterLines="50" w:line="228" w:lineRule="auto"/>
        <w:jc w:val="both"/>
        <w:textAlignment w:val="auto"/>
        <w:rPr>
          <w:rFonts w:hint="default" w:ascii="Calibri" w:hAnsi="Calibri" w:eastAsia="楷体_GB2312" w:cs="Calibri"/>
          <w:b/>
          <w:bCs/>
          <w:color w:val="0F1115"/>
          <w:sz w:val="22"/>
          <w:szCs w:val="22"/>
          <w:shd w:val="clear" w:color="auto" w:fill="FFFFFF"/>
          <w:lang w:bidi="ar"/>
        </w:rPr>
      </w:pPr>
      <w:r>
        <w:rPr>
          <w:rFonts w:hint="default" w:ascii="Calibri" w:hAnsi="Calibri" w:eastAsia="楷体_GB2312" w:cs="Calibri"/>
          <w:b/>
          <w:bCs/>
          <w:color w:val="0F1115"/>
          <w:sz w:val="22"/>
          <w:szCs w:val="22"/>
          <w:shd w:val="clear" w:color="auto" w:fill="FFFFFF"/>
          <w:lang w:bidi="ar"/>
        </w:rPr>
        <w:t>Phase 3 — 1984–1987: Deepening the 'Beauty Science' Strategy and Entering Men's Care</w:t>
      </w:r>
    </w:p>
    <w:p w14:paraId="1BFB9508">
      <w:pPr>
        <w:keepLines w:val="0"/>
        <w:pageBreakBefore w:val="0"/>
        <w:widowControl/>
        <w:kinsoku/>
        <w:wordWrap/>
        <w:overflowPunct/>
        <w:topLinePunct w:val="0"/>
        <w:autoSpaceDE/>
        <w:autoSpaceDN/>
        <w:bidi w:val="0"/>
        <w:adjustRightInd/>
        <w:snapToGrid/>
        <w:spacing w:after="181" w:afterLines="50" w:line="228" w:lineRule="auto"/>
        <w:jc w:val="both"/>
        <w:textAlignment w:val="auto"/>
        <w:rPr>
          <w:rFonts w:hint="default" w:ascii="Calibri" w:hAnsi="Calibri" w:eastAsia="楷体_GB2312" w:cs="Calibri"/>
          <w:color w:val="0F1115"/>
          <w:sz w:val="22"/>
          <w:szCs w:val="22"/>
          <w:shd w:val="clear" w:color="auto" w:fill="FFFFFF"/>
          <w:lang w:bidi="ar"/>
        </w:rPr>
      </w:pPr>
      <w:r>
        <w:rPr>
          <w:rFonts w:hint="default" w:ascii="Calibri" w:hAnsi="Calibri" w:eastAsia="楷体_GB2312" w:cs="Calibri"/>
          <w:color w:val="0F1115"/>
          <w:sz w:val="22"/>
          <w:szCs w:val="22"/>
          <w:shd w:val="clear" w:color="auto" w:fill="FFFFFF"/>
          <w:lang w:bidi="ar"/>
        </w:rPr>
        <w:t>Under CEO Charles Zviak, the company made substantial investments in R&amp;D. In 1984, it secured the Ralph Lauren fragrance licence for the US market; in 1985, Biotherm launched a men's skincare range; and in 1986, Vichy introduced men's skincare products.</w:t>
      </w:r>
    </w:p>
    <w:p w14:paraId="2B679198">
      <w:pPr>
        <w:keepLines w:val="0"/>
        <w:pageBreakBefore w:val="0"/>
        <w:widowControl/>
        <w:kinsoku/>
        <w:wordWrap/>
        <w:overflowPunct/>
        <w:topLinePunct w:val="0"/>
        <w:autoSpaceDE/>
        <w:autoSpaceDN/>
        <w:bidi w:val="0"/>
        <w:adjustRightInd/>
        <w:snapToGrid/>
        <w:spacing w:after="181" w:afterLines="50" w:line="228" w:lineRule="auto"/>
        <w:jc w:val="both"/>
        <w:textAlignment w:val="auto"/>
        <w:rPr>
          <w:rFonts w:hint="default" w:ascii="Calibri" w:hAnsi="Calibri" w:eastAsia="楷体_GB2312" w:cs="Calibri"/>
          <w:b/>
          <w:bCs/>
          <w:color w:val="0F1115"/>
          <w:sz w:val="22"/>
          <w:szCs w:val="22"/>
          <w:shd w:val="clear" w:color="auto" w:fill="FFFFFF"/>
          <w:lang w:bidi="ar"/>
        </w:rPr>
      </w:pPr>
      <w:r>
        <w:rPr>
          <w:rFonts w:hint="default" w:ascii="Calibri" w:hAnsi="Calibri" w:eastAsia="楷体_GB2312" w:cs="Calibri"/>
          <w:b/>
          <w:bCs/>
          <w:color w:val="0F1115"/>
          <w:sz w:val="22"/>
          <w:szCs w:val="22"/>
          <w:shd w:val="clear" w:color="auto" w:fill="FFFFFF"/>
          <w:lang w:bidi="ar"/>
        </w:rPr>
        <w:t>Phase 4 — 1988–2005: Becoming the Undisputed Leader in Beauty</w:t>
      </w:r>
    </w:p>
    <w:p w14:paraId="5FE939C1">
      <w:pPr>
        <w:keepLines w:val="0"/>
        <w:pageBreakBefore w:val="0"/>
        <w:widowControl/>
        <w:kinsoku/>
        <w:wordWrap/>
        <w:overflowPunct/>
        <w:topLinePunct w:val="0"/>
        <w:autoSpaceDE/>
        <w:autoSpaceDN/>
        <w:bidi w:val="0"/>
        <w:adjustRightInd/>
        <w:snapToGrid/>
        <w:spacing w:after="181" w:afterLines="50" w:line="228" w:lineRule="auto"/>
        <w:jc w:val="both"/>
        <w:textAlignment w:val="auto"/>
        <w:rPr>
          <w:rFonts w:hint="default" w:ascii="Calibri" w:hAnsi="Calibri" w:eastAsia="楷体_GB2312" w:cs="Calibri"/>
          <w:color w:val="0F1115"/>
          <w:sz w:val="22"/>
          <w:szCs w:val="22"/>
          <w:shd w:val="clear" w:color="auto" w:fill="FFFFFF"/>
          <w:lang w:bidi="ar"/>
        </w:rPr>
      </w:pPr>
      <w:r>
        <w:rPr>
          <w:rFonts w:hint="default" w:ascii="Calibri" w:hAnsi="Calibri" w:eastAsia="楷体_GB2312" w:cs="Calibri"/>
          <w:color w:val="0F1115"/>
          <w:sz w:val="22"/>
          <w:szCs w:val="22"/>
          <w:shd w:val="clear" w:color="auto" w:fill="FFFFFF"/>
          <w:lang w:bidi="ar"/>
        </w:rPr>
        <w:t>Under President Lindsey Owen-Jones, L'Oréal became the world's number-one cosmetics company through strategic acquisitions, including Helena Rubinstein, the Giorgio Armani fragrance licence, La Roche-Posay, Maybelline, Kiehl's, and SkinCeuticals. The group also launched the L'Oréal–UNESCO 'For Women in Science' international programme during this period.</w:t>
      </w:r>
    </w:p>
    <w:p w14:paraId="7A9D831C">
      <w:pPr>
        <w:keepLines w:val="0"/>
        <w:pageBreakBefore w:val="0"/>
        <w:widowControl/>
        <w:kinsoku/>
        <w:wordWrap/>
        <w:overflowPunct/>
        <w:topLinePunct w:val="0"/>
        <w:autoSpaceDE/>
        <w:autoSpaceDN/>
        <w:bidi w:val="0"/>
        <w:adjustRightInd/>
        <w:snapToGrid/>
        <w:spacing w:after="181" w:afterLines="50" w:line="228" w:lineRule="auto"/>
        <w:jc w:val="both"/>
        <w:textAlignment w:val="auto"/>
        <w:rPr>
          <w:rFonts w:hint="default" w:ascii="Calibri" w:hAnsi="Calibri" w:eastAsia="楷体_GB2312" w:cs="Calibri"/>
          <w:b/>
          <w:bCs/>
          <w:color w:val="0F1115"/>
          <w:sz w:val="22"/>
          <w:szCs w:val="22"/>
          <w:shd w:val="clear" w:color="auto" w:fill="FFFFFF"/>
          <w:lang w:bidi="ar"/>
        </w:rPr>
      </w:pPr>
      <w:r>
        <w:rPr>
          <w:rFonts w:hint="default" w:ascii="Calibri" w:hAnsi="Calibri" w:eastAsia="楷体_GB2312" w:cs="Calibri"/>
          <w:b/>
          <w:bCs/>
          <w:color w:val="0F1115"/>
          <w:sz w:val="22"/>
          <w:szCs w:val="22"/>
          <w:shd w:val="clear" w:color="auto" w:fill="FFFFFF"/>
          <w:lang w:bidi="ar"/>
        </w:rPr>
        <w:t>Phase 5 — 2006–2021: Introducing the 'Beauty for All' Mission</w:t>
      </w:r>
    </w:p>
    <w:p w14:paraId="31728CF1">
      <w:pPr>
        <w:keepLines w:val="0"/>
        <w:pageBreakBefore w:val="0"/>
        <w:widowControl/>
        <w:kinsoku/>
        <w:wordWrap/>
        <w:overflowPunct/>
        <w:topLinePunct w:val="0"/>
        <w:autoSpaceDE/>
        <w:autoSpaceDN/>
        <w:bidi w:val="0"/>
        <w:adjustRightInd/>
        <w:snapToGrid/>
        <w:spacing w:after="181" w:afterLines="50" w:line="228" w:lineRule="auto"/>
        <w:jc w:val="both"/>
        <w:textAlignment w:val="auto"/>
        <w:rPr>
          <w:rFonts w:hint="default" w:ascii="Calibri" w:hAnsi="Calibri" w:eastAsia="楷体_GB2312" w:cs="Calibri"/>
          <w:color w:val="0F1115"/>
          <w:sz w:val="22"/>
          <w:szCs w:val="22"/>
          <w:shd w:val="clear" w:color="auto" w:fill="FFFFFF"/>
          <w:lang w:bidi="ar"/>
        </w:rPr>
      </w:pPr>
      <w:r>
        <w:rPr>
          <w:rFonts w:hint="default" w:ascii="Calibri" w:hAnsi="Calibri" w:eastAsia="楷体_GB2312" w:cs="Calibri"/>
          <w:color w:val="0F1115"/>
          <w:sz w:val="22"/>
          <w:szCs w:val="22"/>
          <w:shd w:val="clear" w:color="auto" w:fill="FFFFFF"/>
          <w:lang w:bidi="ar"/>
        </w:rPr>
        <w:t>Under CEO Jean-Paul Agon, the group adopted a 'Beauty for All' mission, with an emphasis on diversity, inclusivity, and sustainable responsibility.</w:t>
      </w:r>
    </w:p>
    <w:p w14:paraId="4832302E">
      <w:pPr>
        <w:keepLines w:val="0"/>
        <w:pageBreakBefore w:val="0"/>
        <w:widowControl/>
        <w:kinsoku/>
        <w:wordWrap/>
        <w:overflowPunct/>
        <w:topLinePunct w:val="0"/>
        <w:autoSpaceDE/>
        <w:autoSpaceDN/>
        <w:bidi w:val="0"/>
        <w:adjustRightInd/>
        <w:snapToGrid/>
        <w:spacing w:after="181" w:afterLines="50" w:line="228" w:lineRule="auto"/>
        <w:jc w:val="both"/>
        <w:textAlignment w:val="auto"/>
        <w:rPr>
          <w:rFonts w:hint="default" w:ascii="Calibri" w:hAnsi="Calibri" w:eastAsia="楷体_GB2312" w:cs="Calibri"/>
          <w:b/>
          <w:bCs/>
          <w:color w:val="0F1115"/>
          <w:sz w:val="22"/>
          <w:szCs w:val="22"/>
          <w:shd w:val="clear" w:color="auto" w:fill="FFFFFF"/>
          <w:lang w:bidi="ar"/>
        </w:rPr>
      </w:pPr>
      <w:r>
        <w:rPr>
          <w:rFonts w:hint="default" w:ascii="Calibri" w:hAnsi="Calibri" w:eastAsia="楷体_GB2312" w:cs="Calibri"/>
          <w:b/>
          <w:bCs/>
          <w:color w:val="0F1115"/>
          <w:sz w:val="22"/>
          <w:szCs w:val="22"/>
          <w:shd w:val="clear" w:color="auto" w:fill="FFFFFF"/>
          <w:lang w:bidi="ar"/>
        </w:rPr>
        <w:t>Phase 6 — 2021 to Present: Creating Beauty That Moves the World Forward</w:t>
      </w:r>
    </w:p>
    <w:p w14:paraId="4D43A620">
      <w:pPr>
        <w:keepLines w:val="0"/>
        <w:pageBreakBefore w:val="0"/>
        <w:widowControl/>
        <w:kinsoku/>
        <w:wordWrap/>
        <w:overflowPunct/>
        <w:topLinePunct w:val="0"/>
        <w:autoSpaceDE/>
        <w:autoSpaceDN/>
        <w:bidi w:val="0"/>
        <w:adjustRightInd/>
        <w:snapToGrid/>
        <w:spacing w:after="181" w:afterLines="50" w:line="228" w:lineRule="auto"/>
        <w:jc w:val="both"/>
        <w:textAlignment w:val="auto"/>
        <w:rPr>
          <w:rFonts w:hint="default" w:ascii="Calibri" w:hAnsi="Calibri" w:eastAsia="楷体_GB2312" w:cs="Calibri"/>
          <w:b/>
          <w:bCs/>
          <w:sz w:val="22"/>
          <w:szCs w:val="22"/>
          <w:u w:val="single"/>
        </w:rPr>
      </w:pPr>
      <w:r>
        <w:rPr>
          <w:rFonts w:hint="default" w:ascii="Calibri" w:hAnsi="Calibri" w:eastAsia="楷体_GB2312" w:cs="Calibri"/>
          <w:color w:val="0F1115"/>
          <w:sz w:val="22"/>
          <w:szCs w:val="22"/>
          <w:shd w:val="clear" w:color="auto" w:fill="FFFFFF"/>
          <w:lang w:bidi="ar"/>
        </w:rPr>
        <w:t>Under CEO Nicolas Hieronimus, the group focuses on high-quality, scientifically validated, and ethically produced products, accelerating its Beauty Tech and sustainability agenda. Key milestones include the reopening of the historic La Roche-Posay thermal centre in France (2022), the acquisition of Aesop (2023), the inauguration of the François Dalle Beauty Research Space, a collaboration with the Louvre and Lancôme, the acquisition of the Miu Miu licence (2024), and the group's inaugural keynote address at CES Las Vegas as the first beauty company to do so. Looking ahead, L'Oréal aims to 'invent the beauty of the future' through Beauty Tech, green science, biotechnology, and artificial intelligence.</w:t>
      </w:r>
    </w:p>
    <w:tbl>
      <w:tblPr>
        <w:tblStyle w:val="12"/>
        <w:tblW w:w="7466" w:type="dxa"/>
        <w:tblInd w:w="0" w:type="dxa"/>
        <w:tblLayout w:type="fixed"/>
        <w:tblCellMar>
          <w:top w:w="0" w:type="dxa"/>
          <w:left w:w="108" w:type="dxa"/>
          <w:bottom w:w="0" w:type="dxa"/>
          <w:right w:w="108" w:type="dxa"/>
        </w:tblCellMar>
      </w:tblPr>
      <w:tblGrid>
        <w:gridCol w:w="7466"/>
      </w:tblGrid>
      <w:tr w14:paraId="1166D9AC">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59DD1476">
            <w:pPr>
              <w:rPr>
                <w:rFonts w:hint="default" w:ascii="Calibri" w:hAnsi="Calibri" w:eastAsia="楷体_GB2312" w:cs="Calibri"/>
                <w:b/>
                <w:bCs/>
                <w:sz w:val="20"/>
                <w:szCs w:val="20"/>
              </w:rPr>
            </w:pPr>
            <w:r>
              <w:rPr>
                <w:rFonts w:hint="default" w:ascii="Calibri" w:hAnsi="Calibri" w:eastAsia="楷体_GB2312" w:cs="Calibri"/>
                <w:b/>
                <w:bCs/>
                <w:sz w:val="20"/>
                <w:szCs w:val="20"/>
              </w:rPr>
              <w:t xml:space="preserve">Figure: </w:t>
            </w:r>
            <w:r>
              <w:rPr>
                <w:rStyle w:val="15"/>
                <w:rFonts w:hint="default" w:ascii="Calibri" w:hAnsi="Calibri" w:eastAsia="楷体_GB2312" w:cs="Calibri"/>
                <w:b/>
                <w:bCs/>
                <w:color w:val="0F1115"/>
                <w:sz w:val="20"/>
                <w:szCs w:val="20"/>
                <w:shd w:val="clear" w:color="auto" w:fill="FFFFFF"/>
                <w:lang w:bidi="ar"/>
              </w:rPr>
              <w:t>L'Oréal Corporate Milestones</w:t>
            </w:r>
          </w:p>
        </w:tc>
      </w:tr>
      <w:tr w14:paraId="2E4D7713">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31B9570E">
            <w:pPr>
              <w:spacing w:before="48" w:beforeLines="20" w:after="48" w:afterLines="20"/>
              <w:jc w:val="center"/>
              <w:textAlignment w:val="center"/>
              <w:rPr>
                <w:rFonts w:hint="default" w:ascii="Calibri" w:hAnsi="Calibri" w:eastAsia="楷体_GB2312" w:cs="Calibri"/>
                <w:b/>
                <w:bCs/>
                <w:sz w:val="20"/>
                <w:szCs w:val="20"/>
              </w:rPr>
            </w:pPr>
            <w:r>
              <w:rPr>
                <w:rFonts w:hint="default" w:ascii="Calibri" w:hAnsi="Calibri" w:eastAsia="楷体_GB2312" w:cs="Calibri"/>
                <w:snapToGrid/>
              </w:rPr>
              <w:drawing>
                <wp:inline distT="0" distB="0" distL="0" distR="0">
                  <wp:extent cx="4603750" cy="2216150"/>
                  <wp:effectExtent l="0" t="0" r="13970" b="8890"/>
                  <wp:docPr id="792417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17880" name="图片 1"/>
                          <pic:cNvPicPr>
                            <a:picLocks noChangeAspect="1"/>
                          </pic:cNvPicPr>
                        </pic:nvPicPr>
                        <pic:blipFill>
                          <a:blip r:embed="rId18"/>
                          <a:stretch>
                            <a:fillRect/>
                          </a:stretch>
                        </pic:blipFill>
                        <pic:spPr>
                          <a:xfrm>
                            <a:off x="0" y="0"/>
                            <a:ext cx="4603750" cy="2216150"/>
                          </a:xfrm>
                          <a:prstGeom prst="rect">
                            <a:avLst/>
                          </a:prstGeom>
                        </pic:spPr>
                      </pic:pic>
                    </a:graphicData>
                  </a:graphic>
                </wp:inline>
              </w:drawing>
            </w:r>
          </w:p>
        </w:tc>
      </w:tr>
      <w:tr w14:paraId="156FCC4E">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CDDD636">
            <w:pPr>
              <w:spacing w:line="240" w:lineRule="atLeast"/>
              <w:jc w:val="both"/>
              <w:textAlignment w:val="center"/>
              <w:rPr>
                <w:rFonts w:hint="default" w:ascii="Calibri" w:hAnsi="Calibri" w:eastAsia="楷体_GB2312" w:cs="Calibri"/>
                <w:b w:val="0"/>
                <w:bCs w:val="0"/>
                <w:sz w:val="20"/>
                <w:szCs w:val="20"/>
              </w:rPr>
            </w:pPr>
            <w:r>
              <w:rPr>
                <w:rFonts w:hint="default" w:ascii="Calibri" w:hAnsi="Calibri" w:eastAsia="楷体_GB2312" w:cs="Calibri"/>
                <w:b w:val="0"/>
                <w:bCs w:val="0"/>
                <w:sz w:val="20"/>
                <w:szCs w:val="20"/>
              </w:rPr>
              <w:t>Source: L'Oréal Annual Reports, HFI</w:t>
            </w:r>
          </w:p>
        </w:tc>
      </w:tr>
    </w:tbl>
    <w:p w14:paraId="24782B3A">
      <w:pPr>
        <w:pStyle w:val="149"/>
        <w:keepLines w:val="0"/>
        <w:pageBreakBefore w:val="0"/>
        <w:widowControl/>
        <w:kinsoku/>
        <w:wordWrap/>
        <w:overflowPunct/>
        <w:topLinePunct w:val="0"/>
        <w:autoSpaceDE/>
        <w:autoSpaceDN/>
        <w:bidi w:val="0"/>
        <w:adjustRightInd/>
        <w:snapToGrid/>
        <w:spacing w:before="0" w:after="181" w:afterLines="50" w:line="228" w:lineRule="auto"/>
        <w:jc w:val="both"/>
        <w:textAlignment w:val="auto"/>
        <w:rPr>
          <w:rFonts w:hint="default" w:ascii="Calibri" w:hAnsi="Calibri" w:eastAsia="楷体_GB2312" w:cs="Calibri"/>
          <w:color w:val="23558C"/>
          <w:sz w:val="24"/>
          <w:szCs w:val="24"/>
        </w:rPr>
      </w:pPr>
      <w:bookmarkStart w:id="4" w:name="_Toc220275539"/>
    </w:p>
    <w:p w14:paraId="283EF0A5">
      <w:pPr>
        <w:pStyle w:val="149"/>
        <w:keepLines w:val="0"/>
        <w:pageBreakBefore w:val="0"/>
        <w:widowControl/>
        <w:kinsoku/>
        <w:wordWrap/>
        <w:overflowPunct/>
        <w:topLinePunct w:val="0"/>
        <w:autoSpaceDE/>
        <w:autoSpaceDN/>
        <w:bidi w:val="0"/>
        <w:adjustRightInd/>
        <w:snapToGrid/>
        <w:spacing w:before="0" w:after="181" w:afterLines="50" w:line="228" w:lineRule="auto"/>
        <w:jc w:val="both"/>
        <w:textAlignment w:val="auto"/>
        <w:rPr>
          <w:rFonts w:hint="default" w:ascii="Calibri" w:hAnsi="Calibri" w:eastAsia="楷体_GB2312" w:cs="Calibri"/>
          <w:color w:val="23558C"/>
          <w:sz w:val="24"/>
          <w:szCs w:val="24"/>
        </w:rPr>
      </w:pPr>
      <w:bookmarkStart w:id="5" w:name="_Toc25093"/>
      <w:r>
        <w:rPr>
          <w:rFonts w:hint="default" w:ascii="Calibri" w:hAnsi="Calibri" w:eastAsia="楷体_GB2312" w:cs="Calibri"/>
          <w:color w:val="23558C"/>
          <w:sz w:val="24"/>
          <w:szCs w:val="24"/>
        </w:rPr>
        <w:t xml:space="preserve">1.2 </w:t>
      </w:r>
      <w:bookmarkEnd w:id="4"/>
      <w:r>
        <w:rPr>
          <w:rFonts w:hint="default" w:ascii="Calibri" w:hAnsi="Calibri" w:eastAsia="楷体_GB2312" w:cs="Calibri"/>
          <w:color w:val="23558C"/>
          <w:sz w:val="24"/>
          <w:szCs w:val="24"/>
        </w:rPr>
        <w:t>Ownership Structure &amp; Management</w:t>
      </w:r>
      <w:bookmarkEnd w:id="5"/>
      <w:r>
        <w:rPr>
          <w:rFonts w:hint="default" w:ascii="Calibri" w:hAnsi="Calibri" w:eastAsia="楷体_GB2312" w:cs="Calibri"/>
          <w:color w:val="23558C"/>
          <w:sz w:val="24"/>
          <w:szCs w:val="24"/>
        </w:rPr>
        <w:t xml:space="preserve"> </w:t>
      </w:r>
    </w:p>
    <w:p w14:paraId="6F78C314">
      <w:pPr>
        <w:pStyle w:val="11"/>
        <w:keepNext w:val="0"/>
        <w:keepLines w:val="0"/>
        <w:pageBreakBefore w:val="0"/>
        <w:widowControl/>
        <w:kinsoku/>
        <w:wordWrap/>
        <w:overflowPunct/>
        <w:topLinePunct w:val="0"/>
        <w:autoSpaceDE/>
        <w:autoSpaceDN/>
        <w:bidi w:val="0"/>
        <w:adjustRightInd/>
        <w:snapToGrid/>
        <w:spacing w:after="200" w:line="228" w:lineRule="auto"/>
        <w:jc w:val="both"/>
        <w:textAlignment w:val="auto"/>
        <w:rPr>
          <w:rFonts w:hint="default" w:ascii="Calibri" w:hAnsi="Calibri" w:eastAsia="楷体_GB2312" w:cs="Calibri"/>
          <w:sz w:val="22"/>
          <w:szCs w:val="22"/>
        </w:rPr>
      </w:pPr>
      <w:r>
        <w:rPr>
          <w:rStyle w:val="15"/>
          <w:rFonts w:hint="default" w:ascii="Calibri" w:hAnsi="Calibri" w:eastAsia="楷体_GB2312" w:cs="Calibri"/>
          <w:b w:val="0"/>
          <w:color w:val="0F1115"/>
          <w:sz w:val="22"/>
          <w:szCs w:val="22"/>
        </w:rPr>
        <w:t>L'Oréal's shareholder structure is characterised by considerable stability and concentrated family control. The largest shareholder is the Bettencourt Meyers family, holding 34.76% of shares. Nestlé is the second-largest shareholder with a 20.14% stake. Employee share ownership stands at 1.05%, with staff participating in the company's equity incentive scheme. The remaining shares are held by international and French institutional investors, providing a diversified shareholder base. This ownership structure ensures stable corporate governance while preserving the family's pivotal role in strategic decision-making.</w:t>
      </w:r>
    </w:p>
    <w:tbl>
      <w:tblPr>
        <w:tblStyle w:val="12"/>
        <w:tblW w:w="7466" w:type="dxa"/>
        <w:tblInd w:w="0" w:type="dxa"/>
        <w:tblLayout w:type="fixed"/>
        <w:tblCellMar>
          <w:top w:w="0" w:type="dxa"/>
          <w:left w:w="108" w:type="dxa"/>
          <w:bottom w:w="0" w:type="dxa"/>
          <w:right w:w="108" w:type="dxa"/>
        </w:tblCellMar>
      </w:tblPr>
      <w:tblGrid>
        <w:gridCol w:w="7466"/>
      </w:tblGrid>
      <w:tr w14:paraId="7A936B22">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06E0D68C">
            <w:pPr>
              <w:rPr>
                <w:rFonts w:hint="default" w:ascii="Calibri" w:hAnsi="Calibri" w:eastAsia="楷体_GB2312" w:cs="Calibri"/>
                <w:b/>
                <w:bCs w:val="0"/>
                <w:sz w:val="20"/>
                <w:szCs w:val="20"/>
              </w:rPr>
            </w:pPr>
            <w:bookmarkStart w:id="6" w:name="_Hlk216641008"/>
            <w:r>
              <w:rPr>
                <w:rStyle w:val="15"/>
                <w:rFonts w:hint="default" w:ascii="Calibri" w:hAnsi="Calibri" w:eastAsia="楷体_GB2312" w:cs="Calibri"/>
                <w:b/>
                <w:bCs w:val="0"/>
                <w:color w:val="0F1115"/>
                <w:sz w:val="20"/>
                <w:szCs w:val="20"/>
                <w:shd w:val="clear" w:color="auto" w:fill="FFFFFF"/>
                <w:lang w:bidi="ar"/>
              </w:rPr>
              <w:t>Figure: L'Oréal Group Ownership Structure</w:t>
            </w:r>
          </w:p>
        </w:tc>
      </w:tr>
      <w:tr w14:paraId="08537C4D">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0481F2FD">
            <w:pPr>
              <w:spacing w:before="48" w:beforeLines="20" w:after="48" w:afterLines="20"/>
              <w:jc w:val="center"/>
              <w:textAlignment w:val="center"/>
              <w:rPr>
                <w:rFonts w:hint="default" w:ascii="Calibri" w:hAnsi="Calibri" w:eastAsia="楷体_GB2312" w:cs="Calibri"/>
                <w:b/>
                <w:bCs/>
                <w:sz w:val="20"/>
                <w:szCs w:val="20"/>
              </w:rPr>
            </w:pPr>
            <w:r>
              <w:rPr>
                <w:rFonts w:hint="default" w:ascii="Calibri" w:hAnsi="Calibri" w:eastAsia="楷体_GB2312" w:cs="Calibri"/>
                <w:snapToGrid/>
              </w:rPr>
              <w:drawing>
                <wp:inline distT="0" distB="0" distL="0" distR="0">
                  <wp:extent cx="4603750" cy="1353820"/>
                  <wp:effectExtent l="0" t="0" r="13970" b="2540"/>
                  <wp:docPr id="1740813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13390" name="图片 1"/>
                          <pic:cNvPicPr>
                            <a:picLocks noChangeAspect="1"/>
                          </pic:cNvPicPr>
                        </pic:nvPicPr>
                        <pic:blipFill>
                          <a:blip r:embed="rId19"/>
                          <a:stretch>
                            <a:fillRect/>
                          </a:stretch>
                        </pic:blipFill>
                        <pic:spPr>
                          <a:xfrm>
                            <a:off x="0" y="0"/>
                            <a:ext cx="4603750" cy="1353820"/>
                          </a:xfrm>
                          <a:prstGeom prst="rect">
                            <a:avLst/>
                          </a:prstGeom>
                        </pic:spPr>
                      </pic:pic>
                    </a:graphicData>
                  </a:graphic>
                </wp:inline>
              </w:drawing>
            </w:r>
          </w:p>
        </w:tc>
      </w:tr>
      <w:tr w14:paraId="3B85B8C9">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05D445C8">
            <w:pPr>
              <w:spacing w:line="240" w:lineRule="atLeast"/>
              <w:jc w:val="both"/>
              <w:textAlignment w:val="center"/>
              <w:rPr>
                <w:rFonts w:hint="default" w:ascii="Calibri" w:hAnsi="Calibri" w:eastAsia="楷体_GB2312" w:cs="Calibri"/>
                <w:b w:val="0"/>
                <w:bCs w:val="0"/>
                <w:sz w:val="20"/>
                <w:szCs w:val="20"/>
              </w:rPr>
            </w:pPr>
            <w:r>
              <w:rPr>
                <w:rFonts w:hint="default" w:ascii="Calibri" w:hAnsi="Calibri" w:eastAsia="楷体_GB2312" w:cs="Calibri"/>
                <w:b w:val="0"/>
                <w:bCs w:val="0"/>
                <w:sz w:val="20"/>
                <w:szCs w:val="20"/>
              </w:rPr>
              <w:t>Source: Company Financial Reports, HFI</w:t>
            </w:r>
          </w:p>
        </w:tc>
      </w:tr>
      <w:bookmarkEnd w:id="6"/>
    </w:tbl>
    <w:p w14:paraId="35A3F458">
      <w:pPr>
        <w:rPr>
          <w:rFonts w:hint="default" w:ascii="Calibri" w:hAnsi="Calibri" w:eastAsia="楷体_GB2312" w:cs="Calibri"/>
          <w:kern w:val="2"/>
          <w:sz w:val="22"/>
          <w:szCs w:val="22"/>
        </w:rPr>
      </w:pPr>
    </w:p>
    <w:p w14:paraId="2A98B190">
      <w:pPr>
        <w:pStyle w:val="11"/>
        <w:shd w:val="clear" w:color="auto" w:fill="FFFFFF"/>
        <w:jc w:val="both"/>
        <w:rPr>
          <w:rStyle w:val="15"/>
          <w:rFonts w:hint="default" w:ascii="Calibri" w:hAnsi="Calibri" w:eastAsia="楷体_GB2312" w:cs="Calibri"/>
          <w:b w:val="0"/>
          <w:color w:val="0F1115"/>
          <w:sz w:val="22"/>
          <w:szCs w:val="22"/>
          <w:shd w:val="clear" w:color="auto" w:fill="FFFFFF"/>
        </w:rPr>
      </w:pPr>
      <w:r>
        <w:rPr>
          <w:rStyle w:val="15"/>
          <w:rFonts w:hint="default" w:ascii="Calibri" w:hAnsi="Calibri" w:eastAsia="楷体_GB2312" w:cs="Calibri"/>
          <w:bCs/>
          <w:color w:val="0F1115"/>
          <w:sz w:val="22"/>
          <w:szCs w:val="22"/>
          <w:shd w:val="clear" w:color="auto" w:fill="FFFFFF"/>
        </w:rPr>
        <w:t xml:space="preserve">L'Oréal's management structure consists of an effective Executive Committee and a Board of Directors. </w:t>
      </w:r>
      <w:r>
        <w:rPr>
          <w:rStyle w:val="15"/>
          <w:rFonts w:hint="default" w:ascii="Calibri" w:hAnsi="Calibri" w:eastAsia="楷体_GB2312" w:cs="Calibri"/>
          <w:b w:val="0"/>
          <w:color w:val="0F1115"/>
          <w:sz w:val="22"/>
          <w:szCs w:val="22"/>
          <w:shd w:val="clear" w:color="auto" w:fill="FFFFFF"/>
        </w:rPr>
        <w:t>The Executive Committee is responsible for translating the Board's strategic direction into operational practice and managing the group's global operations; its members lead the group's various divisions, functional departments, and regional markets. The Board of Directors comprises a number of independent and experienced directors, including members of the founding family and external directors, ensuring transparency and independence in corporate governance.</w:t>
      </w:r>
    </w:p>
    <w:p w14:paraId="37485181">
      <w:pPr>
        <w:pStyle w:val="11"/>
        <w:shd w:val="clear" w:color="auto" w:fill="FFFFFF"/>
        <w:jc w:val="both"/>
        <w:rPr>
          <w:rStyle w:val="15"/>
          <w:rFonts w:hint="default" w:ascii="Calibri" w:hAnsi="Calibri" w:eastAsia="楷体_GB2312" w:cs="Calibri"/>
          <w:bCs/>
          <w:color w:val="0F1115"/>
          <w:sz w:val="22"/>
          <w:szCs w:val="22"/>
          <w:u w:val="single"/>
          <w:shd w:val="clear" w:color="auto" w:fill="FFFFFF"/>
        </w:rPr>
      </w:pPr>
      <w:r>
        <w:rPr>
          <w:rStyle w:val="15"/>
          <w:rFonts w:hint="default" w:ascii="Calibri" w:hAnsi="Calibri" w:eastAsia="楷体_GB2312" w:cs="Calibri"/>
          <w:bCs/>
          <w:color w:val="0F1115"/>
          <w:sz w:val="22"/>
          <w:szCs w:val="22"/>
          <w:u w:val="single"/>
          <w:shd w:val="clear" w:color="auto" w:fill="FFFFFF"/>
        </w:rPr>
        <w:t>L'Oréal's leadership team provides strong strategic support through a stable governance structure and diverse leadership, reinforcing the group's leading position in the global beauty industry and driving its continuous innovation and sustainable development.</w:t>
      </w:r>
    </w:p>
    <w:p w14:paraId="6743E175">
      <w:pPr>
        <w:pStyle w:val="11"/>
        <w:shd w:val="clear" w:color="auto" w:fill="FFFFFF"/>
        <w:jc w:val="both"/>
        <w:rPr>
          <w:rStyle w:val="15"/>
          <w:rFonts w:hint="default" w:ascii="Calibri" w:hAnsi="Calibri" w:eastAsia="楷体_GB2312" w:cs="Calibri"/>
          <w:bCs/>
          <w:color w:val="0F1115"/>
          <w:sz w:val="22"/>
          <w:szCs w:val="22"/>
          <w:u w:val="single"/>
          <w:shd w:val="clear" w:color="auto" w:fill="FFFFFF"/>
        </w:rPr>
      </w:pPr>
    </w:p>
    <w:tbl>
      <w:tblPr>
        <w:tblStyle w:val="12"/>
        <w:tblW w:w="7466" w:type="dxa"/>
        <w:tblInd w:w="0" w:type="dxa"/>
        <w:tblLayout w:type="fixed"/>
        <w:tblCellMar>
          <w:top w:w="0" w:type="dxa"/>
          <w:left w:w="108" w:type="dxa"/>
          <w:bottom w:w="0" w:type="dxa"/>
          <w:right w:w="108" w:type="dxa"/>
        </w:tblCellMar>
      </w:tblPr>
      <w:tblGrid>
        <w:gridCol w:w="7466"/>
      </w:tblGrid>
      <w:tr w14:paraId="7701DCE8">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C6B9A0D">
            <w:pPr>
              <w:rPr>
                <w:rFonts w:hint="default" w:ascii="Calibri" w:hAnsi="Calibri" w:eastAsia="楷体_GB2312" w:cs="Calibri"/>
                <w:sz w:val="20"/>
                <w:szCs w:val="20"/>
              </w:rPr>
            </w:pPr>
            <w:r>
              <w:rPr>
                <w:rStyle w:val="15"/>
                <w:rFonts w:hint="default" w:ascii="Calibri" w:hAnsi="Calibri" w:eastAsia="楷体_GB2312" w:cs="Calibri"/>
                <w:color w:val="0F1115"/>
                <w:sz w:val="20"/>
                <w:szCs w:val="20"/>
                <w:shd w:val="clear" w:color="auto" w:fill="FFFFFF"/>
                <w:lang w:bidi="ar"/>
              </w:rPr>
              <w:t>Table: Senior Management Team</w:t>
            </w:r>
          </w:p>
        </w:tc>
      </w:tr>
      <w:tr w14:paraId="02B901BC">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1D84979C">
            <w:pPr>
              <w:spacing w:before="48" w:beforeLines="20" w:after="48" w:afterLines="20"/>
              <w:jc w:val="both"/>
              <w:textAlignment w:val="center"/>
              <w:rPr>
                <w:rFonts w:hint="default" w:ascii="Calibri" w:hAnsi="Calibri" w:eastAsia="楷体_GB2312" w:cs="Calibri"/>
                <w:b/>
                <w:bCs/>
                <w:sz w:val="20"/>
                <w:szCs w:val="20"/>
              </w:rPr>
            </w:pPr>
            <w:r>
              <w:rPr>
                <w:rFonts w:hint="default" w:ascii="Calibri" w:hAnsi="Calibri" w:eastAsia="楷体_GB2312" w:cs="Calibri"/>
                <w:b/>
                <w:bCs/>
                <w:sz w:val="20"/>
                <w:szCs w:val="20"/>
              </w:rPr>
              <w:drawing>
                <wp:inline distT="0" distB="0" distL="0" distR="0">
                  <wp:extent cx="4598670" cy="7270115"/>
                  <wp:effectExtent l="0" t="0" r="3810" b="14605"/>
                  <wp:docPr id="151422394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23948" name="图片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598670" cy="7270115"/>
                          </a:xfrm>
                          <a:prstGeom prst="rect">
                            <a:avLst/>
                          </a:prstGeom>
                          <a:noFill/>
                          <a:ln>
                            <a:noFill/>
                          </a:ln>
                        </pic:spPr>
                      </pic:pic>
                    </a:graphicData>
                  </a:graphic>
                </wp:inline>
              </w:drawing>
            </w:r>
          </w:p>
        </w:tc>
      </w:tr>
      <w:tr w14:paraId="0127F49A">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0E843668">
            <w:pPr>
              <w:spacing w:line="240" w:lineRule="atLeast"/>
              <w:jc w:val="both"/>
              <w:textAlignment w:val="center"/>
              <w:rPr>
                <w:rFonts w:hint="default" w:ascii="Calibri" w:hAnsi="Calibri" w:eastAsia="楷体_GB2312" w:cs="Calibri"/>
                <w:b w:val="0"/>
                <w:bCs w:val="0"/>
                <w:sz w:val="20"/>
                <w:szCs w:val="20"/>
              </w:rPr>
            </w:pPr>
            <w:r>
              <w:rPr>
                <w:rFonts w:hint="default" w:ascii="Calibri" w:hAnsi="Calibri" w:eastAsia="楷体_GB2312" w:cs="Calibri"/>
                <w:b w:val="0"/>
                <w:bCs w:val="0"/>
                <w:sz w:val="20"/>
                <w:szCs w:val="20"/>
              </w:rPr>
              <w:t>Source: Company Financial Reports, HFI</w:t>
            </w:r>
          </w:p>
        </w:tc>
      </w:tr>
    </w:tbl>
    <w:p w14:paraId="388AF288">
      <w:pPr>
        <w:pStyle w:val="149"/>
        <w:jc w:val="both"/>
        <w:rPr>
          <w:rFonts w:hint="default" w:ascii="Calibri" w:hAnsi="Calibri" w:eastAsia="楷体_GB2312" w:cs="Calibri"/>
          <w:color w:val="800080"/>
          <w:sz w:val="24"/>
          <w:szCs w:val="24"/>
        </w:rPr>
      </w:pPr>
      <w:bookmarkStart w:id="7" w:name="_Toc220275540"/>
      <w:bookmarkStart w:id="8" w:name="_Toc14545"/>
      <w:r>
        <w:rPr>
          <w:rFonts w:hint="default" w:ascii="Calibri" w:hAnsi="Calibri" w:eastAsia="楷体_GB2312" w:cs="Calibri"/>
          <w:color w:val="23558C"/>
          <w:sz w:val="24"/>
          <w:szCs w:val="24"/>
        </w:rPr>
        <w:t xml:space="preserve">1.3 </w:t>
      </w:r>
      <w:bookmarkEnd w:id="7"/>
      <w:r>
        <w:rPr>
          <w:rFonts w:hint="default" w:ascii="Calibri" w:hAnsi="Calibri" w:eastAsia="楷体_GB2312" w:cs="Calibri"/>
          <w:color w:val="23558C"/>
          <w:sz w:val="24"/>
          <w:szCs w:val="24"/>
        </w:rPr>
        <w:t>Core Product Categories</w:t>
      </w:r>
      <w:bookmarkEnd w:id="8"/>
    </w:p>
    <w:p w14:paraId="5C7443D7">
      <w:pPr>
        <w:widowControl w:val="0"/>
        <w:jc w:val="both"/>
        <w:rPr>
          <w:rFonts w:hint="default" w:ascii="Calibri" w:hAnsi="Calibri" w:eastAsia="楷体_GB2312" w:cs="Calibri"/>
          <w:color w:val="0F1115"/>
          <w:sz w:val="22"/>
          <w:szCs w:val="22"/>
          <w:shd w:val="clear" w:color="auto" w:fill="FFFFFF"/>
        </w:rPr>
      </w:pPr>
      <w:r>
        <w:rPr>
          <w:rFonts w:hint="default" w:ascii="Calibri" w:hAnsi="Calibri" w:eastAsia="楷体_GB2312" w:cs="Calibri"/>
          <w:color w:val="0F1115"/>
          <w:sz w:val="22"/>
          <w:szCs w:val="22"/>
          <w:shd w:val="clear" w:color="auto" w:fill="FFFFFF"/>
        </w:rPr>
        <w:t>L'Oréal's core products span a wide range of beauty and personal care segments, encompassing skincare, colour cosmetics, hair care, fragrances, and hair colouring.</w:t>
      </w:r>
    </w:p>
    <w:p w14:paraId="054335DC">
      <w:pPr>
        <w:widowControl w:val="0"/>
        <w:jc w:val="both"/>
        <w:rPr>
          <w:rFonts w:hint="default" w:ascii="Calibri" w:hAnsi="Calibri" w:eastAsia="楷体_GB2312" w:cs="Calibri"/>
          <w:color w:val="0F1115"/>
          <w:sz w:val="22"/>
          <w:szCs w:val="22"/>
          <w:shd w:val="clear" w:color="auto" w:fill="FFFFFF"/>
        </w:rPr>
      </w:pPr>
    </w:p>
    <w:p w14:paraId="735B6A37">
      <w:pPr>
        <w:widowControl w:val="0"/>
        <w:jc w:val="both"/>
        <w:rPr>
          <w:rFonts w:hint="default" w:ascii="Calibri" w:hAnsi="Calibri" w:eastAsia="楷体_GB2312" w:cs="Calibri"/>
          <w:color w:val="0F1115"/>
          <w:sz w:val="22"/>
          <w:szCs w:val="22"/>
          <w:shd w:val="clear" w:color="auto" w:fill="FFFFFF"/>
        </w:rPr>
      </w:pPr>
      <w:r>
        <w:rPr>
          <w:rFonts w:hint="default" w:ascii="Calibri" w:hAnsi="Calibri" w:eastAsia="楷体_GB2312" w:cs="Calibri"/>
          <w:b/>
          <w:bCs/>
          <w:color w:val="0F1115"/>
          <w:sz w:val="22"/>
          <w:szCs w:val="22"/>
          <w:shd w:val="clear" w:color="auto" w:fill="FFFFFF"/>
        </w:rPr>
        <w:t xml:space="preserve">Skincare: </w:t>
      </w:r>
      <w:r>
        <w:rPr>
          <w:rFonts w:hint="default" w:ascii="Calibri" w:hAnsi="Calibri" w:eastAsia="楷体_GB2312" w:cs="Calibri"/>
          <w:color w:val="0F1115"/>
          <w:sz w:val="22"/>
          <w:szCs w:val="22"/>
          <w:shd w:val="clear" w:color="auto" w:fill="FFFFFF"/>
        </w:rPr>
        <w:t>L'Oréal's largest product category, covering the full price spectrum from mass to luxury. Core brands include L'Oréal Paris, Garnier, La Roche-Posay, CeraVe, and Vichy, with dermatology-focused brands registering especially strong growth.</w:t>
      </w:r>
    </w:p>
    <w:p w14:paraId="0E9E83D9">
      <w:pPr>
        <w:widowControl w:val="0"/>
        <w:jc w:val="both"/>
        <w:rPr>
          <w:rFonts w:hint="default" w:ascii="Calibri" w:hAnsi="Calibri" w:eastAsia="楷体_GB2312" w:cs="Calibri"/>
          <w:color w:val="0F1115"/>
          <w:sz w:val="22"/>
          <w:szCs w:val="22"/>
          <w:shd w:val="clear" w:color="auto" w:fill="FFFFFF"/>
        </w:rPr>
      </w:pPr>
    </w:p>
    <w:p w14:paraId="1506BB64">
      <w:pPr>
        <w:widowControl w:val="0"/>
        <w:jc w:val="both"/>
        <w:rPr>
          <w:rFonts w:hint="default" w:ascii="Calibri" w:hAnsi="Calibri" w:eastAsia="楷体_GB2312" w:cs="Calibri"/>
          <w:color w:val="0F1115"/>
          <w:sz w:val="22"/>
          <w:szCs w:val="22"/>
          <w:shd w:val="clear" w:color="auto" w:fill="FFFFFF"/>
        </w:rPr>
      </w:pPr>
      <w:r>
        <w:rPr>
          <w:rFonts w:hint="default" w:ascii="Calibri" w:hAnsi="Calibri" w:eastAsia="楷体_GB2312" w:cs="Calibri"/>
          <w:b/>
          <w:bCs/>
          <w:color w:val="0F1115"/>
          <w:sz w:val="22"/>
          <w:szCs w:val="22"/>
          <w:shd w:val="clear" w:color="auto" w:fill="FFFFFF"/>
        </w:rPr>
        <w:t>Color Cosmetics:</w:t>
      </w:r>
      <w:r>
        <w:rPr>
          <w:rFonts w:hint="default" w:ascii="Calibri" w:hAnsi="Calibri" w:eastAsia="楷体_GB2312" w:cs="Calibri"/>
          <w:color w:val="0F1115"/>
          <w:sz w:val="22"/>
          <w:szCs w:val="22"/>
          <w:shd w:val="clear" w:color="auto" w:fill="FFFFFF"/>
        </w:rPr>
        <w:t xml:space="preserve"> Another key business pillar, spanning face, eye, and lip make-up. Through internationally recognized brands such as Maybelline New York, NYX Professional Makeup, and L'Oréal Paris, the group commands a significant share of the global color cosmetics market.</w:t>
      </w:r>
    </w:p>
    <w:p w14:paraId="70C24732">
      <w:pPr>
        <w:widowControl w:val="0"/>
        <w:jc w:val="both"/>
        <w:rPr>
          <w:rFonts w:hint="default" w:ascii="Calibri" w:hAnsi="Calibri" w:eastAsia="楷体_GB2312" w:cs="Calibri"/>
          <w:color w:val="0F1115"/>
          <w:sz w:val="22"/>
          <w:szCs w:val="22"/>
          <w:shd w:val="clear" w:color="auto" w:fill="FFFFFF"/>
        </w:rPr>
      </w:pPr>
    </w:p>
    <w:p w14:paraId="3E4FA519">
      <w:pPr>
        <w:widowControl w:val="0"/>
        <w:jc w:val="both"/>
        <w:rPr>
          <w:rFonts w:hint="default" w:ascii="Calibri" w:hAnsi="Calibri" w:eastAsia="楷体_GB2312" w:cs="Calibri"/>
          <w:color w:val="0F1115"/>
          <w:sz w:val="22"/>
          <w:szCs w:val="22"/>
          <w:shd w:val="clear" w:color="auto" w:fill="FFFFFF"/>
        </w:rPr>
      </w:pPr>
      <w:r>
        <w:rPr>
          <w:rFonts w:hint="default" w:ascii="Calibri" w:hAnsi="Calibri" w:eastAsia="楷体_GB2312" w:cs="Calibri"/>
          <w:b/>
          <w:bCs/>
          <w:color w:val="0F1115"/>
          <w:sz w:val="22"/>
          <w:szCs w:val="22"/>
          <w:shd w:val="clear" w:color="auto" w:fill="FFFFFF"/>
        </w:rPr>
        <w:t xml:space="preserve">Hair Care &amp; Cleansing: </w:t>
      </w:r>
      <w:r>
        <w:rPr>
          <w:rFonts w:hint="default" w:ascii="Calibri" w:hAnsi="Calibri" w:eastAsia="楷体_GB2312" w:cs="Calibri"/>
          <w:color w:val="0F1115"/>
          <w:sz w:val="22"/>
          <w:szCs w:val="22"/>
          <w:shd w:val="clear" w:color="auto" w:fill="FFFFFF"/>
        </w:rPr>
        <w:t>L'Oréal's hair care portfolio includes shampoos, conditioners, and styling products, anchored by key brands such as L'Oréal Professional, Kérastase, and Redken. In the premium haircare segment, Kérastase and Redken attract a large affluent consumer base through innovative care solutions and professional formulations.</w:t>
      </w:r>
    </w:p>
    <w:p w14:paraId="67CE9F97">
      <w:pPr>
        <w:widowControl w:val="0"/>
        <w:jc w:val="both"/>
        <w:rPr>
          <w:rFonts w:hint="default" w:ascii="Calibri" w:hAnsi="Calibri" w:eastAsia="楷体_GB2312" w:cs="Calibri"/>
          <w:color w:val="0F1115"/>
          <w:sz w:val="22"/>
          <w:szCs w:val="22"/>
          <w:shd w:val="clear" w:color="auto" w:fill="FFFFFF"/>
        </w:rPr>
      </w:pPr>
    </w:p>
    <w:p w14:paraId="107D8BA6">
      <w:pPr>
        <w:widowControl w:val="0"/>
        <w:jc w:val="both"/>
        <w:rPr>
          <w:rFonts w:hint="default" w:ascii="Calibri" w:hAnsi="Calibri" w:eastAsia="楷体_GB2312" w:cs="Calibri"/>
          <w:color w:val="0F1115"/>
          <w:sz w:val="22"/>
          <w:szCs w:val="22"/>
          <w:shd w:val="clear" w:color="auto" w:fill="FFFFFF"/>
        </w:rPr>
      </w:pPr>
      <w:r>
        <w:rPr>
          <w:rFonts w:hint="default" w:ascii="Calibri" w:hAnsi="Calibri" w:eastAsia="楷体_GB2312" w:cs="Calibri"/>
          <w:b/>
          <w:bCs/>
          <w:color w:val="0F1115"/>
          <w:sz w:val="22"/>
          <w:szCs w:val="22"/>
          <w:shd w:val="clear" w:color="auto" w:fill="FFFFFF"/>
        </w:rPr>
        <w:t xml:space="preserve">Fragrances: </w:t>
      </w:r>
      <w:r>
        <w:rPr>
          <w:rFonts w:hint="default" w:ascii="Calibri" w:hAnsi="Calibri" w:eastAsia="楷体_GB2312" w:cs="Calibri"/>
          <w:color w:val="0F1115"/>
          <w:sz w:val="22"/>
          <w:szCs w:val="22"/>
          <w:shd w:val="clear" w:color="auto" w:fill="FFFFFF"/>
        </w:rPr>
        <w:t>Fragrances remain an important component of L'Oréal's Luxe division, with brands including Yves Saint Laurent, Lancôme, Valentino, and Prada enjoying strong global reputations. In 2024, new launches such as Paradoxe (Prada), Libre (Yves Saint Laurent), and Born in Roma (Valentino) performed strongly, sustaining growth in the luxury fragrance market.</w:t>
      </w:r>
    </w:p>
    <w:p w14:paraId="6A5FB4D7">
      <w:pPr>
        <w:widowControl w:val="0"/>
        <w:jc w:val="both"/>
        <w:rPr>
          <w:rFonts w:hint="default" w:ascii="Calibri" w:hAnsi="Calibri" w:eastAsia="楷体_GB2312" w:cs="Calibri"/>
          <w:color w:val="0F1115"/>
          <w:sz w:val="22"/>
          <w:szCs w:val="22"/>
          <w:shd w:val="clear" w:color="auto" w:fill="FFFFFF"/>
        </w:rPr>
      </w:pPr>
    </w:p>
    <w:p w14:paraId="3B63116F">
      <w:pPr>
        <w:widowControl w:val="0"/>
        <w:jc w:val="both"/>
        <w:rPr>
          <w:rFonts w:hint="default" w:ascii="Calibri" w:hAnsi="Calibri" w:eastAsia="楷体_GB2312" w:cs="Calibri"/>
          <w:color w:val="0F1115"/>
          <w:sz w:val="22"/>
          <w:szCs w:val="22"/>
          <w:shd w:val="clear" w:color="auto" w:fill="FFFFFF"/>
        </w:rPr>
      </w:pPr>
      <w:r>
        <w:rPr>
          <w:rFonts w:hint="default" w:ascii="Calibri" w:hAnsi="Calibri" w:eastAsia="楷体_GB2312" w:cs="Calibri"/>
          <w:b/>
          <w:bCs/>
          <w:color w:val="0F1115"/>
          <w:sz w:val="22"/>
          <w:szCs w:val="22"/>
          <w:shd w:val="clear" w:color="auto" w:fill="FFFFFF"/>
        </w:rPr>
        <w:t xml:space="preserve">Hair Coloring: </w:t>
      </w:r>
      <w:r>
        <w:rPr>
          <w:rFonts w:hint="default" w:ascii="Calibri" w:hAnsi="Calibri" w:eastAsia="楷体_GB2312" w:cs="Calibri"/>
          <w:color w:val="0F1115"/>
          <w:sz w:val="22"/>
          <w:szCs w:val="22"/>
          <w:shd w:val="clear" w:color="auto" w:fill="FFFFFF"/>
        </w:rPr>
        <w:t>Hair coloring encompasses dyes and treatment products. Brands such as L'Oréal Professional and Garnier continue to drive this sub-segment. In 2024, new product launches including Garnier Color Sensation attracted broad consumer interest with their accessible price points and innovative formulations.</w:t>
      </w:r>
    </w:p>
    <w:p w14:paraId="27BC2CF2">
      <w:pPr>
        <w:widowControl w:val="0"/>
        <w:jc w:val="both"/>
        <w:rPr>
          <w:rFonts w:hint="default" w:ascii="Calibri" w:hAnsi="Calibri" w:eastAsia="楷体_GB2312" w:cs="Calibri"/>
          <w:color w:val="0F1115"/>
          <w:sz w:val="22"/>
          <w:szCs w:val="22"/>
          <w:shd w:val="clear" w:color="auto" w:fill="FFFFFF"/>
        </w:rPr>
      </w:pPr>
    </w:p>
    <w:p w14:paraId="1C73D1C3">
      <w:pPr>
        <w:widowControl w:val="0"/>
        <w:jc w:val="both"/>
        <w:rPr>
          <w:rFonts w:hint="default" w:ascii="Calibri" w:hAnsi="Calibri" w:eastAsia="楷体_GB2312" w:cs="Calibri"/>
          <w:color w:val="0F1115"/>
          <w:sz w:val="22"/>
          <w:szCs w:val="22"/>
          <w:shd w:val="clear" w:color="auto" w:fill="FFFFFF"/>
        </w:rPr>
      </w:pPr>
      <w:r>
        <w:rPr>
          <w:rFonts w:hint="default" w:ascii="Calibri" w:hAnsi="Calibri" w:eastAsia="楷体_GB2312" w:cs="Calibri"/>
          <w:b/>
          <w:bCs/>
          <w:color w:val="0F1115"/>
          <w:sz w:val="22"/>
          <w:szCs w:val="22"/>
          <w:shd w:val="clear" w:color="auto" w:fill="FFFFFF"/>
        </w:rPr>
        <w:t xml:space="preserve">Other Beauty &amp; Personal Care: </w:t>
      </w:r>
      <w:r>
        <w:rPr>
          <w:rFonts w:hint="default" w:ascii="Calibri" w:hAnsi="Calibri" w:eastAsia="楷体_GB2312" w:cs="Calibri"/>
          <w:color w:val="0F1115"/>
          <w:sz w:val="22"/>
          <w:szCs w:val="22"/>
          <w:shd w:val="clear" w:color="auto" w:fill="FFFFFF"/>
        </w:rPr>
        <w:t>L'Oréal's portfolio also covers nail care, body care, and personal hygiene. Through brands such as Biotherm, Mixa, and Yves Saint Laurent Beauty, the group continues to broaden its product offering to meet the needs of a wider consumer base.</w:t>
      </w:r>
    </w:p>
    <w:p w14:paraId="521D79E6">
      <w:pPr>
        <w:rPr>
          <w:rFonts w:hint="default" w:ascii="Calibri" w:hAnsi="Calibri" w:eastAsia="楷体_GB2312" w:cs="Calibri"/>
          <w:color w:val="0F1115"/>
          <w:sz w:val="22"/>
          <w:szCs w:val="22"/>
          <w:shd w:val="clear" w:color="auto" w:fill="FFFFFF"/>
        </w:rPr>
      </w:pPr>
      <w:r>
        <w:rPr>
          <w:rFonts w:hint="default" w:ascii="Calibri" w:hAnsi="Calibri" w:eastAsia="楷体_GB2312" w:cs="Calibri"/>
          <w:color w:val="0F1115"/>
          <w:sz w:val="22"/>
          <w:szCs w:val="22"/>
          <w:shd w:val="clear" w:color="auto" w:fill="FFFFFF"/>
        </w:rPr>
        <w:br w:type="page"/>
      </w:r>
    </w:p>
    <w:tbl>
      <w:tblPr>
        <w:tblStyle w:val="12"/>
        <w:tblW w:w="7466" w:type="dxa"/>
        <w:tblInd w:w="0" w:type="dxa"/>
        <w:tblLayout w:type="fixed"/>
        <w:tblCellMar>
          <w:top w:w="0" w:type="dxa"/>
          <w:left w:w="108" w:type="dxa"/>
          <w:bottom w:w="0" w:type="dxa"/>
          <w:right w:w="108" w:type="dxa"/>
        </w:tblCellMar>
      </w:tblPr>
      <w:tblGrid>
        <w:gridCol w:w="7466"/>
      </w:tblGrid>
      <w:tr w14:paraId="54E054C3">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4E5603E5">
            <w:pPr>
              <w:spacing w:before="48" w:beforeLines="20" w:after="48" w:afterLines="20"/>
              <w:jc w:val="both"/>
              <w:textAlignment w:val="center"/>
              <w:rPr>
                <w:rFonts w:hint="default" w:ascii="Calibri" w:hAnsi="Calibri" w:eastAsia="楷体_GB2312" w:cs="Calibri"/>
                <w:b/>
                <w:sz w:val="20"/>
                <w:szCs w:val="20"/>
              </w:rPr>
            </w:pPr>
            <w:r>
              <w:rPr>
                <w:rFonts w:hint="default" w:ascii="Calibri" w:hAnsi="Calibri" w:eastAsia="楷体_GB2312" w:cs="Calibri"/>
                <w:b/>
                <w:sz w:val="20"/>
                <w:szCs w:val="20"/>
              </w:rPr>
              <w:t>Figure: L'Oréal Key Brands and Product Categories</w:t>
            </w:r>
          </w:p>
        </w:tc>
      </w:tr>
      <w:tr w14:paraId="2763B5D3">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3D209E3F">
            <w:pPr>
              <w:spacing w:before="48" w:beforeLines="20" w:after="48" w:afterLines="20"/>
              <w:jc w:val="center"/>
              <w:textAlignment w:val="center"/>
              <w:rPr>
                <w:rFonts w:hint="default" w:ascii="Calibri" w:hAnsi="Calibri" w:eastAsia="楷体_GB2312" w:cs="Calibri"/>
                <w:b/>
                <w:bCs/>
                <w:sz w:val="20"/>
                <w:szCs w:val="20"/>
              </w:rPr>
            </w:pPr>
            <w:r>
              <w:rPr>
                <w:rFonts w:hint="default" w:ascii="Calibri" w:hAnsi="Calibri" w:eastAsia="楷体_GB2312" w:cs="Calibri"/>
                <w:b/>
                <w:bCs/>
                <w:sz w:val="20"/>
                <w:szCs w:val="20"/>
              </w:rPr>
              <w:drawing>
                <wp:inline distT="0" distB="0" distL="0" distR="0">
                  <wp:extent cx="4601845" cy="2617470"/>
                  <wp:effectExtent l="0" t="0" r="635" b="3810"/>
                  <wp:docPr id="43142950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29507" name="图片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601845" cy="2617470"/>
                          </a:xfrm>
                          <a:prstGeom prst="rect">
                            <a:avLst/>
                          </a:prstGeom>
                          <a:noFill/>
                          <a:ln>
                            <a:noFill/>
                          </a:ln>
                        </pic:spPr>
                      </pic:pic>
                    </a:graphicData>
                  </a:graphic>
                </wp:inline>
              </w:drawing>
            </w:r>
          </w:p>
        </w:tc>
      </w:tr>
      <w:tr w14:paraId="240DC17B">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37431873">
            <w:pPr>
              <w:spacing w:line="240" w:lineRule="atLeast"/>
              <w:jc w:val="both"/>
              <w:textAlignment w:val="center"/>
              <w:rPr>
                <w:rFonts w:hint="default" w:ascii="Calibri" w:hAnsi="Calibri" w:eastAsia="楷体_GB2312" w:cs="Calibri"/>
                <w:b w:val="0"/>
                <w:bCs w:val="0"/>
                <w:sz w:val="20"/>
                <w:szCs w:val="20"/>
              </w:rPr>
            </w:pPr>
            <w:r>
              <w:rPr>
                <w:rFonts w:hint="default" w:ascii="Calibri" w:hAnsi="Calibri" w:eastAsia="楷体_GB2312" w:cs="Calibri"/>
                <w:b w:val="0"/>
                <w:bCs w:val="0"/>
                <w:sz w:val="20"/>
                <w:szCs w:val="20"/>
              </w:rPr>
              <w:t>Source: Company Financial Reports, HFI</w:t>
            </w:r>
          </w:p>
        </w:tc>
      </w:tr>
    </w:tbl>
    <w:p w14:paraId="3DCE4012">
      <w:pPr>
        <w:rPr>
          <w:rFonts w:hint="default" w:ascii="Calibri" w:hAnsi="Calibri" w:eastAsia="楷体_GB2312" w:cs="Calibri"/>
          <w:b/>
          <w:bCs/>
          <w:color w:val="0F1115"/>
          <w:sz w:val="22"/>
          <w:szCs w:val="22"/>
          <w:shd w:val="clear" w:color="auto" w:fill="FFFFFF"/>
          <w:lang w:bidi="ar"/>
        </w:rPr>
      </w:pPr>
      <w:bookmarkStart w:id="9" w:name="_Hlk216642019"/>
    </w:p>
    <w:p w14:paraId="4B93ED15">
      <w:pPr>
        <w:pStyle w:val="149"/>
        <w:ind w:right="42"/>
        <w:jc w:val="both"/>
        <w:rPr>
          <w:rFonts w:hint="default" w:ascii="Calibri" w:hAnsi="Calibri" w:eastAsia="楷体_GB2312" w:cs="Calibri"/>
          <w:color w:val="800080"/>
          <w:sz w:val="24"/>
          <w:szCs w:val="24"/>
        </w:rPr>
      </w:pPr>
      <w:bookmarkStart w:id="10" w:name="_Toc1670"/>
      <w:r>
        <w:rPr>
          <w:rFonts w:hint="default" w:ascii="Calibri" w:hAnsi="Calibri" w:eastAsia="楷体_GB2312" w:cs="Calibri"/>
          <w:color w:val="23558C"/>
          <w:sz w:val="24"/>
          <w:szCs w:val="24"/>
        </w:rPr>
        <w:t>1.4 Financial Performance</w:t>
      </w:r>
      <w:bookmarkEnd w:id="10"/>
    </w:p>
    <w:p w14:paraId="1E04EED7">
      <w:pPr>
        <w:widowControl w:val="0"/>
        <w:jc w:val="both"/>
        <w:rPr>
          <w:rFonts w:hint="default" w:ascii="Calibri" w:hAnsi="Calibri" w:eastAsia="楷体_GB2312" w:cs="Calibri"/>
          <w:color w:val="0F1115"/>
          <w:sz w:val="22"/>
          <w:szCs w:val="22"/>
          <w:shd w:val="clear" w:color="auto" w:fill="FFFFFF"/>
          <w:lang w:bidi="ar"/>
        </w:rPr>
      </w:pPr>
      <w:r>
        <w:rPr>
          <w:rFonts w:hint="default" w:ascii="Calibri" w:hAnsi="Calibri" w:eastAsia="楷体_GB2312" w:cs="Calibri"/>
          <w:b/>
          <w:bCs/>
          <w:color w:val="0F1115"/>
          <w:sz w:val="22"/>
          <w:szCs w:val="22"/>
          <w:shd w:val="clear" w:color="auto" w:fill="FFFFFF"/>
          <w:lang w:bidi="ar"/>
        </w:rPr>
        <w:t xml:space="preserve">L'Oréal's revenue demonstrated consistent and healthy growth from 2019 to 2025. </w:t>
      </w:r>
      <w:r>
        <w:rPr>
          <w:rFonts w:hint="default" w:ascii="Calibri" w:hAnsi="Calibri" w:eastAsia="楷体_GB2312" w:cs="Calibri"/>
          <w:color w:val="0F1115"/>
          <w:sz w:val="22"/>
          <w:szCs w:val="22"/>
          <w:shd w:val="clear" w:color="auto" w:fill="FFFFFF"/>
          <w:lang w:bidi="ar"/>
        </w:rPr>
        <w:t>Group sales increased from €29.87 billion in 2019 to €44.05 billion in 2025, representing a CAGR of 6.7%, continuously reinforcing its position as the world's number-one beauty company. In 2020, the COVID-19 pandemic caused global beauty consumption to contract sharply, with group revenue declining 6.3% year-on-year to €27.99 billion. As restrictions eased in 2021, consumer demand rebounded strongly and revenue grew 15.3% to €32.29 billion. In 2022, despite elevated inflation and geopolitical disruption, the group maintained high-speed growth of +18.5%, reaching €38.26 billion, driven primarily by the Dermatological Beauty and L'Oréal Luxe divisions, and underpinned by the structural upgrading of global premium beauty demand. Revenue reached €41.18 billion in 2023 (+7.6% YoY), as cautious consumer sentiment in China weighed on North Asia, though strong performances in Europe and North America provided an effective offset. In 2024, group revenue reached €43.49 billion (+5.6% YoY); despite a -3.4% decline in North Asia, Latin America (+13.3%) and the SAPMENA region (+12.0%) emerged as key growth engines. Revenue grew further to €44.05 billion in 2025, up 1.3% reported (+4.0% organic at constant exchange rates), with the narrowing growth rate primarily attributable to currency headwinds from euro appreciation.</w:t>
      </w:r>
    </w:p>
    <w:p w14:paraId="7F8A239C">
      <w:pPr>
        <w:rPr>
          <w:rFonts w:hint="default" w:ascii="Calibri" w:hAnsi="Calibri" w:eastAsia="楷体_GB2312" w:cs="Calibri"/>
          <w:kern w:val="2"/>
          <w:sz w:val="22"/>
          <w:szCs w:val="22"/>
        </w:rPr>
      </w:pPr>
      <w:r>
        <w:rPr>
          <w:rFonts w:hint="default" w:ascii="Calibri" w:hAnsi="Calibri" w:eastAsia="楷体_GB2312" w:cs="Calibri"/>
          <w:kern w:val="2"/>
          <w:sz w:val="22"/>
          <w:szCs w:val="22"/>
        </w:rPr>
        <w:br w:type="page"/>
      </w:r>
    </w:p>
    <w:tbl>
      <w:tblPr>
        <w:tblStyle w:val="12"/>
        <w:tblW w:w="7466" w:type="dxa"/>
        <w:tblInd w:w="0" w:type="dxa"/>
        <w:tblLayout w:type="fixed"/>
        <w:tblCellMar>
          <w:top w:w="0" w:type="dxa"/>
          <w:left w:w="108" w:type="dxa"/>
          <w:bottom w:w="0" w:type="dxa"/>
          <w:right w:w="108" w:type="dxa"/>
        </w:tblCellMar>
      </w:tblPr>
      <w:tblGrid>
        <w:gridCol w:w="7466"/>
      </w:tblGrid>
      <w:tr w14:paraId="6FD1016F">
        <w:trPr>
          <w:trHeight w:val="302" w:hRule="atLeast"/>
        </w:trPr>
        <w:tc>
          <w:tcPr>
            <w:tcW w:w="7466" w:type="dxa"/>
            <w:tcBorders>
              <w:bottom w:val="single" w:color="auto" w:sz="4" w:space="0"/>
            </w:tcBorders>
            <w:tcMar>
              <w:left w:w="0" w:type="dxa"/>
              <w:right w:w="28" w:type="dxa"/>
            </w:tcMar>
          </w:tcPr>
          <w:p w14:paraId="3E4B74EA">
            <w:pPr>
              <w:spacing w:before="48" w:beforeLines="20" w:after="48" w:afterLines="20"/>
              <w:jc w:val="both"/>
              <w:textAlignment w:val="center"/>
              <w:rPr>
                <w:rFonts w:hint="default" w:ascii="Calibri" w:hAnsi="Calibri" w:eastAsia="楷体_GB2312" w:cs="Calibri"/>
                <w:b/>
                <w:sz w:val="20"/>
                <w:szCs w:val="20"/>
              </w:rPr>
            </w:pPr>
            <w:r>
              <w:rPr>
                <w:rFonts w:hint="default" w:ascii="Calibri" w:hAnsi="Calibri" w:eastAsia="楷体_GB2312" w:cs="Calibri"/>
                <w:b/>
                <w:sz w:val="20"/>
                <w:szCs w:val="20"/>
              </w:rPr>
              <w:t>Figure: L'Oréal Revenue and Growth Rate 2020–2025 (€ million)</w:t>
            </w:r>
          </w:p>
        </w:tc>
      </w:tr>
      <w:tr w14:paraId="2E9A5FE6">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4030E3A7">
            <w:pPr>
              <w:spacing w:before="48" w:beforeLines="20" w:after="48" w:afterLines="20"/>
              <w:jc w:val="center"/>
              <w:textAlignment w:val="center"/>
              <w:rPr>
                <w:rFonts w:hint="default" w:ascii="Calibri" w:hAnsi="Calibri" w:eastAsia="楷体_GB2312" w:cs="Calibri"/>
                <w:b/>
                <w:bCs/>
                <w:sz w:val="20"/>
                <w:szCs w:val="20"/>
              </w:rPr>
            </w:pPr>
            <w:r>
              <w:rPr>
                <w:rFonts w:hint="default" w:ascii="Calibri" w:hAnsi="Calibri" w:eastAsia="楷体_GB2312" w:cs="Calibri"/>
                <w:snapToGrid/>
              </w:rPr>
              <w:drawing>
                <wp:inline distT="0" distB="0" distL="0" distR="0">
                  <wp:extent cx="4603750" cy="2622550"/>
                  <wp:effectExtent l="0" t="0" r="13970" b="13970"/>
                  <wp:docPr id="46748319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c>
      </w:tr>
      <w:tr w14:paraId="726A8FB2">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735DD969">
            <w:pPr>
              <w:spacing w:line="240" w:lineRule="atLeast"/>
              <w:jc w:val="both"/>
              <w:textAlignment w:val="center"/>
              <w:rPr>
                <w:rFonts w:hint="default" w:ascii="Calibri" w:hAnsi="Calibri" w:eastAsia="楷体_GB2312" w:cs="Calibri"/>
                <w:b w:val="0"/>
                <w:bCs w:val="0"/>
                <w:sz w:val="20"/>
                <w:szCs w:val="20"/>
              </w:rPr>
            </w:pPr>
            <w:r>
              <w:rPr>
                <w:rFonts w:hint="default" w:ascii="Calibri" w:hAnsi="Calibri" w:eastAsia="楷体_GB2312" w:cs="Calibri"/>
                <w:b w:val="0"/>
                <w:bCs w:val="0"/>
                <w:sz w:val="20"/>
                <w:szCs w:val="20"/>
              </w:rPr>
              <w:t>Source: Company Financial Reports, HFI</w:t>
            </w:r>
          </w:p>
        </w:tc>
      </w:tr>
    </w:tbl>
    <w:p w14:paraId="7D1797EC">
      <w:pPr>
        <w:widowControl w:val="0"/>
        <w:jc w:val="both"/>
        <w:rPr>
          <w:rFonts w:hint="default" w:ascii="Calibri" w:hAnsi="Calibri" w:eastAsia="楷体_GB2312" w:cs="Calibri"/>
          <w:kern w:val="2"/>
          <w:sz w:val="22"/>
          <w:szCs w:val="22"/>
        </w:rPr>
      </w:pPr>
    </w:p>
    <w:p w14:paraId="01799FB9">
      <w:pPr>
        <w:widowControl w:val="0"/>
        <w:jc w:val="both"/>
        <w:rPr>
          <w:rFonts w:hint="default" w:ascii="Calibri" w:hAnsi="Calibri" w:eastAsia="楷体_GB2312" w:cs="Calibri"/>
          <w:color w:val="0F1115"/>
          <w:sz w:val="22"/>
          <w:szCs w:val="22"/>
          <w:shd w:val="clear" w:color="auto" w:fill="FFFFFF"/>
          <w:lang w:bidi="ar"/>
        </w:rPr>
      </w:pPr>
      <w:r>
        <w:rPr>
          <w:rFonts w:hint="default" w:ascii="Calibri" w:hAnsi="Calibri" w:eastAsia="楷体_GB2312" w:cs="Calibri"/>
          <w:b/>
          <w:bCs/>
          <w:color w:val="0F1115"/>
          <w:sz w:val="22"/>
          <w:szCs w:val="22"/>
          <w:shd w:val="clear" w:color="auto" w:fill="FFFFFF"/>
          <w:lang w:bidi="ar"/>
        </w:rPr>
        <w:t xml:space="preserve">In terms of business structure, all four divisions contributed to group growth, though divergence was pronounced; the sustained high-speed expansion of the Dermatological Beauty Division represented the most significant structural change over the past six years. </w:t>
      </w:r>
      <w:r>
        <w:rPr>
          <w:rFonts w:hint="default" w:ascii="Calibri" w:hAnsi="Calibri" w:eastAsia="楷体_GB2312" w:cs="Calibri"/>
          <w:color w:val="0F1115"/>
          <w:sz w:val="22"/>
          <w:szCs w:val="22"/>
          <w:shd w:val="clear" w:color="auto" w:fill="FFFFFF"/>
          <w:lang w:bidi="ar"/>
        </w:rPr>
        <w:t>From 2020 to 2025, consolidated group sales grew from €27.99 billion to €44.05 billion, with a CAGR of 9.5%. Among the four divisions, the Dermatological Beauty Division achieved a CAGR of 19.1%, followed by Professional Products at 10.8%, L'Oréal Luxe at 8.9%, and Consumer Products at 6.6%. In terms of revenue mix, the Dermatological Beauty Division's share rose sharply from 10.8% in 2020 to 16.4% in 2025, while Consumer Products narrowed from 41.8% to 36.5%, reflecting the group's broader transition from volume-driven expansion to higher value-added growth.</w:t>
      </w:r>
    </w:p>
    <w:p w14:paraId="34C3B19E">
      <w:pPr>
        <w:widowControl w:val="0"/>
        <w:jc w:val="both"/>
        <w:rPr>
          <w:rFonts w:hint="default" w:ascii="Calibri" w:hAnsi="Calibri" w:eastAsia="楷体_GB2312" w:cs="Calibri"/>
          <w:color w:val="0F1115"/>
          <w:sz w:val="22"/>
          <w:szCs w:val="22"/>
          <w:shd w:val="clear" w:color="auto" w:fill="FFFFFF"/>
          <w:lang w:bidi="ar"/>
        </w:rPr>
      </w:pPr>
    </w:p>
    <w:tbl>
      <w:tblPr>
        <w:tblStyle w:val="12"/>
        <w:tblW w:w="7466" w:type="dxa"/>
        <w:tblInd w:w="0" w:type="dxa"/>
        <w:tblLayout w:type="fixed"/>
        <w:tblCellMar>
          <w:top w:w="0" w:type="dxa"/>
          <w:left w:w="108" w:type="dxa"/>
          <w:bottom w:w="0" w:type="dxa"/>
          <w:right w:w="108" w:type="dxa"/>
        </w:tblCellMar>
      </w:tblPr>
      <w:tblGrid>
        <w:gridCol w:w="7466"/>
      </w:tblGrid>
      <w:tr w14:paraId="5485995E">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01527CAD">
            <w:pPr>
              <w:rPr>
                <w:rFonts w:hint="default" w:ascii="Calibri" w:hAnsi="Calibri" w:eastAsia="楷体_GB2312" w:cs="Calibri"/>
                <w:sz w:val="20"/>
                <w:szCs w:val="20"/>
              </w:rPr>
            </w:pPr>
            <w:r>
              <w:rPr>
                <w:rStyle w:val="15"/>
                <w:rFonts w:hint="default" w:ascii="Calibri" w:hAnsi="Calibri" w:eastAsia="楷体_GB2312" w:cs="Calibri"/>
                <w:color w:val="0F1115"/>
                <w:sz w:val="20"/>
                <w:szCs w:val="20"/>
                <w:shd w:val="clear" w:color="auto" w:fill="FFFFFF"/>
                <w:lang w:bidi="ar"/>
              </w:rPr>
              <w:t>Figure: L'Oréal Revenue by Division (€ million)</w:t>
            </w:r>
          </w:p>
        </w:tc>
      </w:tr>
      <w:tr w14:paraId="1858862C">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24597E8C">
            <w:pPr>
              <w:spacing w:before="48" w:beforeLines="20" w:after="48" w:afterLines="20"/>
              <w:jc w:val="center"/>
              <w:textAlignment w:val="center"/>
              <w:rPr>
                <w:rFonts w:hint="default" w:ascii="Calibri" w:hAnsi="Calibri" w:eastAsia="楷体_GB2312" w:cs="Calibri"/>
                <w:b/>
                <w:bCs/>
                <w:sz w:val="20"/>
                <w:szCs w:val="20"/>
              </w:rPr>
            </w:pPr>
            <w:r>
              <w:rPr>
                <w:rFonts w:hint="default" w:ascii="Calibri" w:hAnsi="Calibri" w:eastAsia="楷体_GB2312" w:cs="Calibri"/>
                <w:snapToGrid/>
              </w:rPr>
              <w:drawing>
                <wp:inline distT="0" distB="0" distL="0" distR="0">
                  <wp:extent cx="4569460" cy="2726055"/>
                  <wp:effectExtent l="0" t="0" r="2540" b="1905"/>
                  <wp:docPr id="256598967"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c>
      </w:tr>
      <w:tr w14:paraId="40CBD460">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171FFA23">
            <w:pPr>
              <w:spacing w:line="240" w:lineRule="atLeast"/>
              <w:jc w:val="both"/>
              <w:textAlignment w:val="center"/>
              <w:rPr>
                <w:rFonts w:hint="default" w:ascii="Calibri" w:hAnsi="Calibri" w:eastAsia="楷体_GB2312" w:cs="Calibri"/>
                <w:b w:val="0"/>
                <w:bCs w:val="0"/>
                <w:sz w:val="20"/>
                <w:szCs w:val="20"/>
              </w:rPr>
            </w:pPr>
            <w:r>
              <w:rPr>
                <w:rFonts w:hint="default" w:ascii="Calibri" w:hAnsi="Calibri" w:eastAsia="楷体_GB2312" w:cs="Calibri"/>
                <w:b w:val="0"/>
                <w:bCs w:val="0"/>
                <w:sz w:val="20"/>
                <w:szCs w:val="20"/>
              </w:rPr>
              <w:t>Source: Company Financial Reports, HFI</w:t>
            </w:r>
          </w:p>
        </w:tc>
      </w:tr>
    </w:tbl>
    <w:p w14:paraId="37833613">
      <w:pPr>
        <w:pStyle w:val="27"/>
        <w:numPr>
          <w:ilvl w:val="0"/>
          <w:numId w:val="8"/>
        </w:numPr>
        <w:spacing w:before="80" w:after="80"/>
        <w:rPr>
          <w:rFonts w:hint="default" w:ascii="Calibri" w:hAnsi="Calibri" w:eastAsia="楷体_GB2312" w:cs="Calibri"/>
          <w:b/>
          <w:bCs/>
          <w:color w:val="0F1115"/>
          <w:sz w:val="22"/>
          <w:szCs w:val="22"/>
          <w:shd w:val="clear" w:color="auto" w:fill="FFFFFF"/>
          <w:lang w:bidi="ar"/>
        </w:rPr>
      </w:pPr>
      <w:r>
        <w:rPr>
          <w:rFonts w:hint="default" w:ascii="Calibri" w:hAnsi="Calibri" w:eastAsia="楷体_GB2312" w:cs="Calibri"/>
          <w:b/>
          <w:bCs/>
          <w:color w:val="0F1115"/>
          <w:sz w:val="22"/>
          <w:szCs w:val="22"/>
          <w:shd w:val="clear" w:color="auto" w:fill="FFFFFF"/>
          <w:lang w:bidi="ar"/>
        </w:rPr>
        <w:t>Dermatological Beauty Division</w:t>
      </w:r>
    </w:p>
    <w:p w14:paraId="3FBE52B1">
      <w:pPr>
        <w:spacing w:before="80" w:after="80"/>
        <w:jc w:val="both"/>
        <w:rPr>
          <w:rFonts w:hint="default" w:ascii="Calibri" w:hAnsi="Calibri" w:eastAsia="楷体_GB2312" w:cs="Calibri"/>
          <w:color w:val="0F1115"/>
          <w:sz w:val="22"/>
          <w:szCs w:val="22"/>
          <w:shd w:val="clear" w:color="auto" w:fill="FFFFFF"/>
          <w:lang w:bidi="ar"/>
        </w:rPr>
      </w:pPr>
      <w:r>
        <w:rPr>
          <w:rFonts w:hint="default" w:ascii="Calibri" w:hAnsi="Calibri" w:eastAsia="楷体_GB2312" w:cs="Calibri"/>
          <w:b/>
          <w:bCs/>
          <w:color w:val="0F1115"/>
          <w:sz w:val="22"/>
          <w:szCs w:val="22"/>
          <w:shd w:val="clear" w:color="auto" w:fill="FFFFFF"/>
          <w:lang w:bidi="ar"/>
        </w:rPr>
        <w:t>The fastest-growing and most profitable of the four divisions, with an operating profit margin of 26.1% in 2025.</w:t>
      </w:r>
      <w:r>
        <w:rPr>
          <w:rFonts w:hint="default" w:ascii="Calibri" w:hAnsi="Calibri" w:eastAsia="楷体_GB2312" w:cs="Calibri"/>
          <w:color w:val="0F1115"/>
          <w:sz w:val="22"/>
          <w:szCs w:val="22"/>
          <w:shd w:val="clear" w:color="auto" w:fill="FFFFFF"/>
          <w:lang w:bidi="ar"/>
        </w:rPr>
        <w:t xml:space="preserve"> Revenue expanded from €3.01 billion in 2020 to €7.20 billion in 2025 (CAGR 19.1%). The division maintained approximately 30% annual growth in 2021–2022, more than doubling in scale over five years. Growth moderated to 25.5%, 9.3%, and 2.5% from 2023 to 2025 respectively, yet the division continues to lead the group and to significantly outperform in the North Asia market.</w:t>
      </w:r>
    </w:p>
    <w:p w14:paraId="46C49689">
      <w:pPr>
        <w:widowControl w:val="0"/>
        <w:jc w:val="both"/>
        <w:rPr>
          <w:rFonts w:hint="default" w:ascii="Calibri" w:hAnsi="Calibri" w:eastAsia="楷体_GB2312" w:cs="Calibri"/>
          <w:kern w:val="2"/>
          <w:sz w:val="22"/>
          <w:szCs w:val="22"/>
        </w:rPr>
      </w:pPr>
    </w:p>
    <w:tbl>
      <w:tblPr>
        <w:tblStyle w:val="12"/>
        <w:tblW w:w="7466" w:type="dxa"/>
        <w:tblInd w:w="0" w:type="dxa"/>
        <w:tblLayout w:type="fixed"/>
        <w:tblCellMar>
          <w:top w:w="0" w:type="dxa"/>
          <w:left w:w="108" w:type="dxa"/>
          <w:bottom w:w="0" w:type="dxa"/>
          <w:right w:w="108" w:type="dxa"/>
        </w:tblCellMar>
      </w:tblPr>
      <w:tblGrid>
        <w:gridCol w:w="7466"/>
      </w:tblGrid>
      <w:tr w14:paraId="69582FA6">
        <w:trPr>
          <w:trHeight w:val="302" w:hRule="atLeast"/>
        </w:trPr>
        <w:tc>
          <w:tcPr>
            <w:tcW w:w="7466" w:type="dxa"/>
            <w:tcBorders>
              <w:bottom w:val="single" w:color="auto" w:sz="4" w:space="0"/>
            </w:tcBorders>
            <w:tcMar>
              <w:left w:w="0" w:type="dxa"/>
              <w:right w:w="28" w:type="dxa"/>
            </w:tcMar>
          </w:tcPr>
          <w:p w14:paraId="06F7BE9D">
            <w:pPr>
              <w:rPr>
                <w:rFonts w:hint="default" w:ascii="Calibri" w:hAnsi="Calibri" w:eastAsia="楷体_GB2312" w:cs="Calibri"/>
                <w:sz w:val="20"/>
                <w:szCs w:val="20"/>
              </w:rPr>
            </w:pPr>
            <w:r>
              <w:rPr>
                <w:rStyle w:val="15"/>
                <w:rFonts w:hint="default" w:ascii="Calibri" w:hAnsi="Calibri" w:eastAsia="楷体_GB2312" w:cs="Calibri"/>
                <w:color w:val="0F1115"/>
                <w:sz w:val="20"/>
                <w:szCs w:val="20"/>
                <w:shd w:val="clear" w:color="auto" w:fill="FFFFFF"/>
                <w:lang w:bidi="ar"/>
              </w:rPr>
              <w:t>Figure: Dermatological Beauty Division Revenue 2020–2025 (€ million)</w:t>
            </w:r>
          </w:p>
        </w:tc>
      </w:tr>
      <w:tr w14:paraId="7899D954">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7728F05B">
            <w:pPr>
              <w:spacing w:before="48" w:beforeLines="20" w:after="48" w:afterLines="20"/>
              <w:jc w:val="center"/>
              <w:textAlignment w:val="center"/>
              <w:rPr>
                <w:rFonts w:hint="default" w:ascii="Calibri" w:hAnsi="Calibri" w:eastAsia="楷体_GB2312" w:cs="Calibri"/>
                <w:b/>
                <w:bCs/>
                <w:sz w:val="20"/>
                <w:szCs w:val="20"/>
              </w:rPr>
            </w:pPr>
            <w:r>
              <w:rPr>
                <w:rFonts w:hint="default" w:ascii="Calibri" w:hAnsi="Calibri" w:eastAsia="楷体_GB2312" w:cs="Calibri"/>
                <w:snapToGrid/>
              </w:rPr>
              <w:drawing>
                <wp:inline distT="0" distB="0" distL="0" distR="0">
                  <wp:extent cx="4572000" cy="2432050"/>
                  <wp:effectExtent l="0" t="0" r="0" b="6350"/>
                  <wp:docPr id="141075735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c>
      </w:tr>
      <w:tr w14:paraId="69D864B2">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41335889">
            <w:pPr>
              <w:spacing w:line="240" w:lineRule="atLeast"/>
              <w:jc w:val="both"/>
              <w:textAlignment w:val="center"/>
              <w:rPr>
                <w:rFonts w:hint="default" w:ascii="Calibri" w:hAnsi="Calibri" w:eastAsia="楷体_GB2312" w:cs="Calibri"/>
                <w:b w:val="0"/>
                <w:bCs w:val="0"/>
                <w:sz w:val="20"/>
                <w:szCs w:val="20"/>
              </w:rPr>
            </w:pPr>
            <w:r>
              <w:rPr>
                <w:rFonts w:hint="default" w:ascii="Calibri" w:hAnsi="Calibri" w:eastAsia="楷体_GB2312" w:cs="Calibri"/>
                <w:b w:val="0"/>
                <w:bCs w:val="0"/>
                <w:sz w:val="20"/>
                <w:szCs w:val="20"/>
              </w:rPr>
              <w:t>Source: Company Financial Reports, HFI</w:t>
            </w:r>
          </w:p>
        </w:tc>
      </w:tr>
    </w:tbl>
    <w:p w14:paraId="19FD41C4">
      <w:pPr>
        <w:widowControl w:val="0"/>
        <w:jc w:val="both"/>
        <w:rPr>
          <w:rFonts w:hint="default" w:ascii="Calibri" w:hAnsi="Calibri" w:eastAsia="楷体_GB2312" w:cs="Calibri"/>
          <w:kern w:val="2"/>
          <w:sz w:val="22"/>
          <w:szCs w:val="22"/>
        </w:rPr>
      </w:pPr>
    </w:p>
    <w:p w14:paraId="4BBB3A7D">
      <w:pPr>
        <w:pStyle w:val="27"/>
        <w:numPr>
          <w:ilvl w:val="0"/>
          <w:numId w:val="8"/>
        </w:numPr>
        <w:spacing w:before="80" w:after="80"/>
        <w:rPr>
          <w:rFonts w:hint="default" w:ascii="Calibri" w:hAnsi="Calibri" w:eastAsia="楷体_GB2312" w:cs="Calibri"/>
          <w:b/>
          <w:bCs/>
          <w:color w:val="0F1115"/>
          <w:sz w:val="22"/>
          <w:szCs w:val="22"/>
          <w:shd w:val="clear" w:color="auto" w:fill="FFFFFF"/>
          <w:lang w:bidi="ar"/>
        </w:rPr>
      </w:pPr>
      <w:r>
        <w:rPr>
          <w:rFonts w:hint="default" w:ascii="Calibri" w:hAnsi="Calibri" w:eastAsia="楷体_GB2312" w:cs="Calibri"/>
          <w:b/>
          <w:bCs/>
          <w:color w:val="0F1115"/>
          <w:sz w:val="22"/>
          <w:szCs w:val="22"/>
          <w:shd w:val="clear" w:color="auto" w:fill="FFFFFF"/>
          <w:lang w:bidi="ar"/>
        </w:rPr>
        <w:t>L'Oréal Luxe Division</w:t>
      </w:r>
    </w:p>
    <w:p w14:paraId="68BF9EA1">
      <w:pPr>
        <w:spacing w:before="80" w:after="80"/>
        <w:jc w:val="both"/>
        <w:rPr>
          <w:rFonts w:hint="default" w:ascii="Calibri" w:hAnsi="Calibri" w:eastAsia="楷体_GB2312" w:cs="Calibri"/>
          <w:color w:val="0F1115"/>
          <w:sz w:val="22"/>
          <w:szCs w:val="22"/>
          <w:shd w:val="clear" w:color="auto" w:fill="FFFFFF"/>
          <w:lang w:bidi="ar"/>
        </w:rPr>
      </w:pPr>
      <w:r>
        <w:rPr>
          <w:rFonts w:hint="default" w:ascii="Calibri" w:hAnsi="Calibri" w:eastAsia="楷体_GB2312" w:cs="Calibri"/>
          <w:b/>
          <w:bCs/>
          <w:color w:val="0F1115"/>
          <w:sz w:val="22"/>
          <w:szCs w:val="22"/>
          <w:shd w:val="clear" w:color="auto" w:fill="FFFFFF"/>
          <w:lang w:bidi="ar"/>
        </w:rPr>
        <w:t>L'Oréal Luxe generated revenue of €15.60 billion in 2025 (CAGR 8.9%) and became the group's largest division by revenue for the first time in 2021, surpassing the Consumer Products Division.</w:t>
      </w:r>
      <w:r>
        <w:rPr>
          <w:rFonts w:hint="default" w:ascii="Calibri" w:hAnsi="Calibri" w:eastAsia="楷体_GB2312" w:cs="Calibri"/>
          <w:color w:val="0F1115"/>
          <w:sz w:val="22"/>
          <w:szCs w:val="22"/>
          <w:shd w:val="clear" w:color="auto" w:fill="FFFFFF"/>
          <w:lang w:bidi="ar"/>
        </w:rPr>
        <w:t xml:space="preserve"> Fragrances rebounded strongly, with luxury fragrance brands including YSL, Armani, and Prada growing more than 20% in 2022, driving the division to achieve 21.2% and 18.7% growth in 2021 and 2022 respectively. Growth narrowed significantly from 2023 to 2025, to 2.0%, 4.5%, and 0.0% respectively.</w:t>
      </w:r>
    </w:p>
    <w:p w14:paraId="3307500D">
      <w:pPr>
        <w:rPr>
          <w:rFonts w:hint="default" w:ascii="Calibri" w:hAnsi="Calibri" w:eastAsia="楷体_GB2312" w:cs="Calibri"/>
          <w:color w:val="0F1115"/>
          <w:sz w:val="22"/>
          <w:szCs w:val="22"/>
          <w:shd w:val="clear" w:color="auto" w:fill="FFFFFF"/>
          <w:lang w:bidi="ar"/>
        </w:rPr>
      </w:pPr>
      <w:r>
        <w:rPr>
          <w:rFonts w:hint="default" w:ascii="Calibri" w:hAnsi="Calibri" w:eastAsia="楷体_GB2312" w:cs="Calibri"/>
          <w:color w:val="0F1115"/>
          <w:sz w:val="22"/>
          <w:szCs w:val="22"/>
          <w:shd w:val="clear" w:color="auto" w:fill="FFFFFF"/>
          <w:lang w:bidi="ar"/>
        </w:rPr>
        <w:br w:type="page"/>
      </w:r>
    </w:p>
    <w:tbl>
      <w:tblPr>
        <w:tblStyle w:val="12"/>
        <w:tblW w:w="7466" w:type="dxa"/>
        <w:tblInd w:w="0" w:type="dxa"/>
        <w:tblLayout w:type="fixed"/>
        <w:tblCellMar>
          <w:top w:w="0" w:type="dxa"/>
          <w:left w:w="108" w:type="dxa"/>
          <w:bottom w:w="0" w:type="dxa"/>
          <w:right w:w="108" w:type="dxa"/>
        </w:tblCellMar>
      </w:tblPr>
      <w:tblGrid>
        <w:gridCol w:w="7466"/>
      </w:tblGrid>
      <w:tr w14:paraId="7CDFD0E8">
        <w:trPr>
          <w:trHeight w:val="302" w:hRule="atLeast"/>
        </w:trPr>
        <w:tc>
          <w:tcPr>
            <w:tcW w:w="7466" w:type="dxa"/>
            <w:tcBorders>
              <w:bottom w:val="single" w:color="auto" w:sz="4" w:space="0"/>
            </w:tcBorders>
            <w:tcMar>
              <w:left w:w="0" w:type="dxa"/>
              <w:right w:w="28" w:type="dxa"/>
            </w:tcMar>
          </w:tcPr>
          <w:p w14:paraId="1A77B177">
            <w:pPr>
              <w:rPr>
                <w:rFonts w:hint="default" w:ascii="Calibri" w:hAnsi="Calibri" w:eastAsia="楷体_GB2312" w:cs="Calibri"/>
                <w:sz w:val="20"/>
                <w:szCs w:val="20"/>
              </w:rPr>
            </w:pPr>
            <w:r>
              <w:rPr>
                <w:rStyle w:val="15"/>
                <w:rFonts w:hint="default" w:ascii="Calibri" w:hAnsi="Calibri" w:eastAsia="楷体_GB2312" w:cs="Calibri"/>
                <w:color w:val="0F1115"/>
                <w:sz w:val="20"/>
                <w:szCs w:val="20"/>
                <w:shd w:val="clear" w:color="auto" w:fill="FFFFFF"/>
                <w:lang w:bidi="ar"/>
              </w:rPr>
              <w:t>Figure: L'Oréal Luxe Revenue 2020–2025 (€ million)</w:t>
            </w:r>
          </w:p>
        </w:tc>
      </w:tr>
      <w:tr w14:paraId="0BCA8023">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315E5AB4">
            <w:pPr>
              <w:spacing w:before="48" w:beforeLines="20" w:after="48" w:afterLines="20"/>
              <w:jc w:val="center"/>
              <w:textAlignment w:val="center"/>
              <w:rPr>
                <w:rFonts w:hint="default" w:ascii="Calibri" w:hAnsi="Calibri" w:eastAsia="楷体_GB2312" w:cs="Calibri"/>
                <w:b/>
                <w:bCs/>
                <w:sz w:val="20"/>
                <w:szCs w:val="20"/>
              </w:rPr>
            </w:pPr>
            <w:r>
              <w:rPr>
                <w:rFonts w:hint="default" w:ascii="Calibri" w:hAnsi="Calibri" w:eastAsia="楷体_GB2312" w:cs="Calibri"/>
                <w:snapToGrid/>
              </w:rPr>
              <w:drawing>
                <wp:inline distT="0" distB="0" distL="0" distR="0">
                  <wp:extent cx="4572000" cy="2276475"/>
                  <wp:effectExtent l="0" t="0" r="0" b="9525"/>
                  <wp:docPr id="1950622008"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r>
      <w:tr w14:paraId="5F8496A2">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7FA9C142">
            <w:pPr>
              <w:spacing w:line="240" w:lineRule="atLeast"/>
              <w:jc w:val="both"/>
              <w:textAlignment w:val="center"/>
              <w:rPr>
                <w:rFonts w:hint="default" w:ascii="Calibri" w:hAnsi="Calibri" w:eastAsia="楷体_GB2312" w:cs="Calibri"/>
                <w:b w:val="0"/>
                <w:bCs w:val="0"/>
                <w:sz w:val="20"/>
                <w:szCs w:val="20"/>
              </w:rPr>
            </w:pPr>
            <w:r>
              <w:rPr>
                <w:rFonts w:hint="default" w:ascii="Calibri" w:hAnsi="Calibri" w:eastAsia="楷体_GB2312" w:cs="Calibri"/>
                <w:b w:val="0"/>
                <w:bCs w:val="0"/>
                <w:sz w:val="20"/>
                <w:szCs w:val="20"/>
              </w:rPr>
              <w:t>Source: Company Financial Reports, HFI</w:t>
            </w:r>
          </w:p>
          <w:p w14:paraId="72A282E6">
            <w:pPr>
              <w:spacing w:line="240" w:lineRule="atLeast"/>
              <w:jc w:val="both"/>
              <w:textAlignment w:val="center"/>
              <w:rPr>
                <w:rFonts w:hint="default" w:ascii="Calibri" w:hAnsi="Calibri" w:eastAsia="楷体_GB2312" w:cs="Calibri"/>
                <w:b w:val="0"/>
                <w:bCs w:val="0"/>
                <w:sz w:val="20"/>
                <w:szCs w:val="20"/>
              </w:rPr>
            </w:pPr>
          </w:p>
        </w:tc>
      </w:tr>
    </w:tbl>
    <w:p w14:paraId="239ADD63">
      <w:pPr>
        <w:pStyle w:val="27"/>
        <w:numPr>
          <w:ilvl w:val="0"/>
          <w:numId w:val="8"/>
        </w:numPr>
        <w:spacing w:before="80" w:after="80"/>
        <w:rPr>
          <w:rFonts w:hint="default" w:ascii="Calibri" w:hAnsi="Calibri" w:eastAsia="楷体_GB2312" w:cs="Calibri"/>
          <w:b/>
          <w:bCs/>
          <w:color w:val="0F1115"/>
          <w:sz w:val="22"/>
          <w:szCs w:val="22"/>
          <w:shd w:val="clear" w:color="auto" w:fill="FFFFFF"/>
          <w:lang w:bidi="ar"/>
        </w:rPr>
      </w:pPr>
      <w:r>
        <w:rPr>
          <w:rFonts w:hint="default" w:ascii="Calibri" w:hAnsi="Calibri" w:eastAsia="楷体_GB2312" w:cs="Calibri"/>
          <w:b/>
          <w:bCs/>
          <w:color w:val="0F1115"/>
          <w:sz w:val="22"/>
          <w:szCs w:val="22"/>
          <w:shd w:val="clear" w:color="auto" w:fill="FFFFFF"/>
          <w:lang w:bidi="ar"/>
        </w:rPr>
        <w:t>Consumer Products Division</w:t>
      </w:r>
    </w:p>
    <w:p w14:paraId="6B82F82C">
      <w:pPr>
        <w:spacing w:before="80" w:after="80"/>
        <w:jc w:val="both"/>
        <w:rPr>
          <w:rFonts w:hint="default" w:ascii="Calibri" w:hAnsi="Calibri" w:eastAsia="楷体_GB2312" w:cs="Calibri"/>
          <w:color w:val="0F1115"/>
          <w:sz w:val="22"/>
          <w:szCs w:val="22"/>
          <w:shd w:val="clear" w:color="auto" w:fill="FFFFFF"/>
          <w:lang w:bidi="ar"/>
        </w:rPr>
      </w:pPr>
      <w:r>
        <w:rPr>
          <w:rFonts w:hint="default" w:ascii="Calibri" w:hAnsi="Calibri" w:eastAsia="楷体_GB2312" w:cs="Calibri"/>
          <w:b/>
          <w:bCs/>
          <w:color w:val="0F1115"/>
          <w:sz w:val="22"/>
          <w:szCs w:val="22"/>
          <w:shd w:val="clear" w:color="auto" w:fill="FFFFFF"/>
          <w:lang w:bidi="ar"/>
        </w:rPr>
        <w:t xml:space="preserve">The Consumer Products Division is the group's largest by volume, with revenue of €16.09 billion in 2025 (36.5% of total group revenue; CAGR 6.6%). </w:t>
      </w:r>
      <w:r>
        <w:rPr>
          <w:rFonts w:hint="default" w:ascii="Calibri" w:hAnsi="Calibri" w:eastAsia="楷体_GB2312" w:cs="Calibri"/>
          <w:color w:val="0F1115"/>
          <w:sz w:val="22"/>
          <w:szCs w:val="22"/>
          <w:shd w:val="clear" w:color="auto" w:fill="FFFFFF"/>
          <w:lang w:bidi="ar"/>
        </w:rPr>
        <w:t>Growth was relatively stable, with stronger performance in 2021–2022 (4.6% and 14.6% respectively) as color cosmetics demand recovered, before returning to the low-to-mid single-digit range of 8.2%, 5.3%, and 0.7% from 2023 to 2025.</w:t>
      </w:r>
    </w:p>
    <w:p w14:paraId="2F8EB08C">
      <w:pPr>
        <w:spacing w:before="80" w:after="80"/>
        <w:jc w:val="both"/>
        <w:rPr>
          <w:rFonts w:hint="default" w:ascii="Calibri" w:hAnsi="Calibri" w:eastAsia="楷体_GB2312" w:cs="Calibri"/>
          <w:color w:val="0F1115"/>
          <w:sz w:val="22"/>
          <w:szCs w:val="22"/>
          <w:shd w:val="clear" w:color="auto" w:fill="FFFFFF"/>
          <w:lang w:bidi="ar"/>
        </w:rPr>
      </w:pPr>
    </w:p>
    <w:tbl>
      <w:tblPr>
        <w:tblStyle w:val="12"/>
        <w:tblW w:w="7466" w:type="dxa"/>
        <w:tblInd w:w="0" w:type="dxa"/>
        <w:tblLayout w:type="fixed"/>
        <w:tblCellMar>
          <w:top w:w="0" w:type="dxa"/>
          <w:left w:w="108" w:type="dxa"/>
          <w:bottom w:w="0" w:type="dxa"/>
          <w:right w:w="108" w:type="dxa"/>
        </w:tblCellMar>
      </w:tblPr>
      <w:tblGrid>
        <w:gridCol w:w="7466"/>
      </w:tblGrid>
      <w:tr w14:paraId="342CB727">
        <w:trPr>
          <w:trHeight w:val="302" w:hRule="atLeast"/>
        </w:trPr>
        <w:tc>
          <w:tcPr>
            <w:tcW w:w="7466" w:type="dxa"/>
            <w:tcBorders>
              <w:bottom w:val="single" w:color="auto" w:sz="4" w:space="0"/>
            </w:tcBorders>
            <w:tcMar>
              <w:left w:w="0" w:type="dxa"/>
              <w:right w:w="28" w:type="dxa"/>
            </w:tcMar>
          </w:tcPr>
          <w:p w14:paraId="0D84A14D">
            <w:pPr>
              <w:rPr>
                <w:rFonts w:hint="default" w:ascii="Calibri" w:hAnsi="Calibri" w:eastAsia="楷体_GB2312" w:cs="Calibri"/>
                <w:sz w:val="20"/>
                <w:szCs w:val="20"/>
              </w:rPr>
            </w:pPr>
            <w:r>
              <w:rPr>
                <w:rStyle w:val="15"/>
                <w:rFonts w:hint="default" w:ascii="Calibri" w:hAnsi="Calibri" w:eastAsia="楷体_GB2312" w:cs="Calibri"/>
                <w:color w:val="0F1115"/>
                <w:sz w:val="20"/>
                <w:szCs w:val="20"/>
                <w:shd w:val="clear" w:color="auto" w:fill="FFFFFF"/>
                <w:lang w:bidi="ar"/>
              </w:rPr>
              <w:t>Figure: Consumer Products Division Revenue 2020–2025 (€ million)</w:t>
            </w:r>
          </w:p>
        </w:tc>
      </w:tr>
      <w:tr w14:paraId="394CA4FA">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327B2524">
            <w:pPr>
              <w:spacing w:before="48" w:beforeLines="20" w:after="48" w:afterLines="20"/>
              <w:jc w:val="center"/>
              <w:textAlignment w:val="center"/>
              <w:rPr>
                <w:rFonts w:hint="default" w:ascii="Calibri" w:hAnsi="Calibri" w:eastAsia="楷体_GB2312" w:cs="Calibri"/>
                <w:b/>
                <w:bCs/>
                <w:sz w:val="20"/>
                <w:szCs w:val="20"/>
              </w:rPr>
            </w:pPr>
            <w:r>
              <w:rPr>
                <w:rFonts w:hint="default" w:ascii="Calibri" w:hAnsi="Calibri" w:eastAsia="楷体_GB2312" w:cs="Calibri"/>
                <w:snapToGrid/>
              </w:rPr>
              <w:drawing>
                <wp:inline distT="0" distB="0" distL="0" distR="0">
                  <wp:extent cx="4572000" cy="2582545"/>
                  <wp:effectExtent l="0" t="0" r="0" b="8255"/>
                  <wp:docPr id="85063362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r>
      <w:tr w14:paraId="6417C759">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4C61EEED">
            <w:pPr>
              <w:spacing w:line="240" w:lineRule="atLeast"/>
              <w:jc w:val="both"/>
              <w:textAlignment w:val="center"/>
              <w:rPr>
                <w:rFonts w:hint="default" w:ascii="Calibri" w:hAnsi="Calibri" w:eastAsia="楷体_GB2312" w:cs="Calibri"/>
                <w:b w:val="0"/>
                <w:bCs w:val="0"/>
                <w:sz w:val="20"/>
                <w:szCs w:val="20"/>
              </w:rPr>
            </w:pPr>
            <w:r>
              <w:rPr>
                <w:rFonts w:hint="default" w:ascii="Calibri" w:hAnsi="Calibri" w:eastAsia="楷体_GB2312" w:cs="Calibri"/>
                <w:b w:val="0"/>
                <w:bCs w:val="0"/>
                <w:sz w:val="20"/>
                <w:szCs w:val="20"/>
              </w:rPr>
              <w:t>Source: Company Financial Reports, HFI</w:t>
            </w:r>
          </w:p>
          <w:p w14:paraId="5B2D5803">
            <w:pPr>
              <w:spacing w:line="240" w:lineRule="atLeast"/>
              <w:jc w:val="both"/>
              <w:textAlignment w:val="center"/>
              <w:rPr>
                <w:rFonts w:hint="default" w:ascii="Calibri" w:hAnsi="Calibri" w:eastAsia="楷体_GB2312" w:cs="Calibri"/>
                <w:b w:val="0"/>
                <w:bCs w:val="0"/>
                <w:sz w:val="20"/>
                <w:szCs w:val="20"/>
              </w:rPr>
            </w:pPr>
          </w:p>
        </w:tc>
      </w:tr>
    </w:tbl>
    <w:p w14:paraId="44735814">
      <w:pPr>
        <w:pStyle w:val="27"/>
        <w:numPr>
          <w:ilvl w:val="0"/>
          <w:numId w:val="8"/>
        </w:numPr>
        <w:spacing w:before="80" w:after="80"/>
        <w:rPr>
          <w:rFonts w:hint="default" w:ascii="Calibri" w:hAnsi="Calibri" w:eastAsia="楷体_GB2312" w:cs="Calibri"/>
          <w:b/>
          <w:bCs/>
          <w:color w:val="0F1115"/>
          <w:sz w:val="22"/>
          <w:szCs w:val="22"/>
          <w:shd w:val="clear" w:color="auto" w:fill="FFFFFF"/>
          <w:lang w:bidi="ar"/>
        </w:rPr>
      </w:pPr>
      <w:r>
        <w:rPr>
          <w:rFonts w:hint="default" w:ascii="Calibri" w:hAnsi="Calibri" w:eastAsia="楷体_GB2312" w:cs="Calibri"/>
          <w:b/>
          <w:bCs/>
          <w:color w:val="0F1115"/>
          <w:sz w:val="22"/>
          <w:szCs w:val="22"/>
          <w:shd w:val="clear" w:color="auto" w:fill="FFFFFF"/>
          <w:lang w:bidi="ar"/>
        </w:rPr>
        <w:t>Professional Products Division</w:t>
      </w:r>
    </w:p>
    <w:p w14:paraId="5E785DB6">
      <w:pPr>
        <w:spacing w:before="80" w:after="80"/>
        <w:jc w:val="both"/>
        <w:rPr>
          <w:rFonts w:hint="default" w:ascii="Calibri" w:hAnsi="Calibri" w:eastAsia="楷体_GB2312" w:cs="Calibri"/>
          <w:color w:val="0F1115"/>
          <w:sz w:val="22"/>
          <w:szCs w:val="22"/>
          <w:shd w:val="clear" w:color="auto" w:fill="FFFFFF"/>
          <w:lang w:bidi="ar"/>
        </w:rPr>
      </w:pPr>
      <w:r>
        <w:rPr>
          <w:rFonts w:hint="default" w:ascii="Calibri" w:hAnsi="Calibri" w:eastAsia="楷体_GB2312" w:cs="Calibri"/>
          <w:b/>
          <w:bCs/>
          <w:color w:val="0F1115"/>
          <w:sz w:val="22"/>
          <w:szCs w:val="22"/>
          <w:shd w:val="clear" w:color="auto" w:fill="FFFFFF"/>
          <w:lang w:bidi="ar"/>
        </w:rPr>
        <w:t xml:space="preserve">The Professional Products Division generated revenue of €5.16 billion in 2025 (CAGR 10.8%). </w:t>
      </w:r>
      <w:r>
        <w:rPr>
          <w:rFonts w:hint="default" w:ascii="Calibri" w:hAnsi="Calibri" w:eastAsia="楷体_GB2312" w:cs="Calibri"/>
          <w:color w:val="0F1115"/>
          <w:sz w:val="22"/>
          <w:szCs w:val="22"/>
          <w:shd w:val="clear" w:color="auto" w:fill="FFFFFF"/>
          <w:lang w:bidi="ar"/>
        </w:rPr>
        <w:t>The division was hit hardest by COVID-19 — widespread salon closures in 2020 caused a 10% revenue decline — but the crisis accelerated an e-commerce and omnichannel pivot, with the SalonCentric platform achieving breakthroughs in North America and Tmall in China. As salons reopened, the division rebounded strongly in 2021 and 2022, with growth of 22.0% and 18.5% respectively. Growth normalized and even accelerated from 2023 to 2025 (4.0%, 5.0%, and 7.5%), with Kérastase having become the division's largest brand while maintaining double-digit growth and the premiumization strategy continuing to deliver steady momentum.</w:t>
      </w:r>
    </w:p>
    <w:p w14:paraId="4C982B7D">
      <w:pPr>
        <w:spacing w:before="80" w:after="80"/>
        <w:jc w:val="both"/>
        <w:rPr>
          <w:rFonts w:hint="default" w:ascii="Calibri" w:hAnsi="Calibri" w:eastAsia="楷体_GB2312" w:cs="Calibri"/>
          <w:color w:val="0F1115"/>
          <w:sz w:val="22"/>
          <w:szCs w:val="22"/>
          <w:shd w:val="clear" w:color="auto" w:fill="FFFFFF"/>
          <w:lang w:bidi="ar"/>
        </w:rPr>
      </w:pPr>
    </w:p>
    <w:tbl>
      <w:tblPr>
        <w:tblStyle w:val="12"/>
        <w:tblW w:w="7466" w:type="dxa"/>
        <w:tblInd w:w="0" w:type="dxa"/>
        <w:tblLayout w:type="fixed"/>
        <w:tblCellMar>
          <w:top w:w="0" w:type="dxa"/>
          <w:left w:w="108" w:type="dxa"/>
          <w:bottom w:w="0" w:type="dxa"/>
          <w:right w:w="108" w:type="dxa"/>
        </w:tblCellMar>
      </w:tblPr>
      <w:tblGrid>
        <w:gridCol w:w="7466"/>
      </w:tblGrid>
      <w:tr w14:paraId="195612E4">
        <w:trPr>
          <w:trHeight w:val="302" w:hRule="atLeast"/>
        </w:trPr>
        <w:tc>
          <w:tcPr>
            <w:tcW w:w="7466" w:type="dxa"/>
            <w:tcBorders>
              <w:bottom w:val="single" w:color="auto" w:sz="4" w:space="0"/>
            </w:tcBorders>
            <w:tcMar>
              <w:left w:w="0" w:type="dxa"/>
              <w:right w:w="28" w:type="dxa"/>
            </w:tcMar>
          </w:tcPr>
          <w:p w14:paraId="09F50F3B">
            <w:pPr>
              <w:rPr>
                <w:rFonts w:hint="default" w:ascii="Calibri" w:hAnsi="Calibri" w:eastAsia="楷体_GB2312" w:cs="Calibri"/>
                <w:sz w:val="20"/>
                <w:szCs w:val="20"/>
              </w:rPr>
            </w:pPr>
            <w:r>
              <w:rPr>
                <w:rStyle w:val="15"/>
                <w:rFonts w:hint="default" w:ascii="Calibri" w:hAnsi="Calibri" w:eastAsia="楷体_GB2312" w:cs="Calibri"/>
                <w:color w:val="0F1115"/>
                <w:sz w:val="20"/>
                <w:szCs w:val="20"/>
                <w:shd w:val="clear" w:color="auto" w:fill="FFFFFF"/>
                <w:lang w:bidi="ar"/>
              </w:rPr>
              <w:t>Figure: Professional Products Division Revenue 2020–2025 (€ million)</w:t>
            </w:r>
          </w:p>
        </w:tc>
      </w:tr>
      <w:tr w14:paraId="51A8BF33">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161F811C">
            <w:pPr>
              <w:spacing w:before="48" w:beforeLines="20" w:after="48" w:afterLines="20"/>
              <w:jc w:val="center"/>
              <w:textAlignment w:val="center"/>
              <w:rPr>
                <w:rFonts w:hint="default" w:ascii="Calibri" w:hAnsi="Calibri" w:eastAsia="楷体_GB2312" w:cs="Calibri"/>
                <w:b/>
                <w:bCs/>
                <w:sz w:val="20"/>
                <w:szCs w:val="20"/>
              </w:rPr>
            </w:pPr>
            <w:r>
              <w:rPr>
                <w:rFonts w:hint="default" w:ascii="Calibri" w:hAnsi="Calibri" w:eastAsia="楷体_GB2312" w:cs="Calibri"/>
                <w:snapToGrid/>
              </w:rPr>
              <w:drawing>
                <wp:inline distT="0" distB="0" distL="0" distR="0">
                  <wp:extent cx="4578350" cy="2582545"/>
                  <wp:effectExtent l="0" t="0" r="8890" b="8255"/>
                  <wp:docPr id="1261631498"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c>
      </w:tr>
      <w:tr w14:paraId="323CE83E">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51BBF1ED">
            <w:pPr>
              <w:spacing w:line="240" w:lineRule="atLeast"/>
              <w:jc w:val="both"/>
              <w:textAlignment w:val="center"/>
              <w:rPr>
                <w:rFonts w:hint="default" w:ascii="Calibri" w:hAnsi="Calibri" w:eastAsia="楷体_GB2312" w:cs="Calibri"/>
                <w:b w:val="0"/>
                <w:bCs w:val="0"/>
                <w:sz w:val="20"/>
                <w:szCs w:val="20"/>
              </w:rPr>
            </w:pPr>
            <w:r>
              <w:rPr>
                <w:rFonts w:hint="default" w:ascii="Calibri" w:hAnsi="Calibri" w:eastAsia="楷体_GB2312" w:cs="Calibri"/>
                <w:b w:val="0"/>
                <w:bCs w:val="0"/>
                <w:sz w:val="20"/>
                <w:szCs w:val="20"/>
              </w:rPr>
              <w:t>Source: Company Financial Reports, HFI</w:t>
            </w:r>
          </w:p>
        </w:tc>
      </w:tr>
    </w:tbl>
    <w:p w14:paraId="4215C065">
      <w:pPr>
        <w:spacing w:before="80" w:after="80"/>
        <w:rPr>
          <w:rFonts w:hint="default" w:ascii="Calibri" w:hAnsi="Calibri" w:eastAsia="楷体_GB2312" w:cs="Calibri"/>
          <w:b/>
          <w:bCs/>
          <w:color w:val="0F1115"/>
          <w:sz w:val="22"/>
          <w:szCs w:val="22"/>
          <w:shd w:val="clear" w:color="auto" w:fill="FFFFFF"/>
          <w:lang w:bidi="ar"/>
        </w:rPr>
      </w:pPr>
    </w:p>
    <w:p w14:paraId="7BA308DD">
      <w:pPr>
        <w:spacing w:before="80" w:after="80"/>
        <w:jc w:val="both"/>
        <w:rPr>
          <w:rFonts w:hint="default" w:ascii="Calibri" w:hAnsi="Calibri" w:eastAsia="楷体_GB2312" w:cs="Calibri"/>
          <w:b/>
          <w:bCs/>
          <w:color w:val="0F1115"/>
          <w:sz w:val="22"/>
          <w:szCs w:val="22"/>
          <w:shd w:val="clear" w:color="auto" w:fill="FFFFFF"/>
          <w:lang w:bidi="ar"/>
        </w:rPr>
      </w:pPr>
      <w:r>
        <w:rPr>
          <w:rFonts w:hint="default" w:ascii="Calibri" w:hAnsi="Calibri" w:eastAsia="楷体_GB2312" w:cs="Calibri"/>
          <w:b/>
          <w:bCs/>
          <w:color w:val="0F1115"/>
          <w:sz w:val="22"/>
          <w:szCs w:val="22"/>
          <w:shd w:val="clear" w:color="auto" w:fill="FFFFFF"/>
          <w:lang w:bidi="ar"/>
        </w:rPr>
        <w:t>L'Oréal's profitability remained broadly steady from 2022 to 2025, with a moderate improvement across all key metrics.</w:t>
      </w:r>
    </w:p>
    <w:p w14:paraId="754B4A45">
      <w:pPr>
        <w:spacing w:before="80" w:after="80"/>
        <w:jc w:val="both"/>
        <w:rPr>
          <w:rFonts w:hint="default" w:ascii="Calibri" w:hAnsi="Calibri" w:eastAsia="楷体_GB2312" w:cs="Calibri"/>
          <w:color w:val="0F1115"/>
          <w:sz w:val="22"/>
          <w:szCs w:val="22"/>
          <w:shd w:val="clear" w:color="auto" w:fill="FFFFFF"/>
          <w:lang w:bidi="ar"/>
        </w:rPr>
      </w:pPr>
      <w:r>
        <w:rPr>
          <w:rFonts w:hint="default" w:ascii="Calibri" w:hAnsi="Calibri" w:eastAsia="楷体_GB2312" w:cs="Calibri"/>
          <w:b/>
          <w:bCs/>
          <w:color w:val="0F1115"/>
          <w:sz w:val="22"/>
          <w:szCs w:val="22"/>
          <w:shd w:val="clear" w:color="auto" w:fill="FFFFFF"/>
          <w:lang w:bidi="ar"/>
        </w:rPr>
        <w:t xml:space="preserve">1) Gross Profit and Gross Margin: </w:t>
      </w:r>
      <w:r>
        <w:rPr>
          <w:rFonts w:hint="default" w:ascii="Calibri" w:hAnsi="Calibri" w:eastAsia="楷体_GB2312" w:cs="Calibri"/>
          <w:color w:val="0F1115"/>
          <w:sz w:val="22"/>
          <w:szCs w:val="22"/>
          <w:shd w:val="clear" w:color="auto" w:fill="FFFFFF"/>
          <w:lang w:bidi="ar"/>
        </w:rPr>
        <w:t>Group gross profit grew from €27.68 billion in 2022 to €32.74 billion in 2025 (three-year CAGR of 5.8%). The gross margin expanded continuously from 72.4% to 74.3%, a cumulative improvement of 1.9 percentage points, primarily driven by an ongoing product-mix shift towards higher value-added categories, favourable pricing dynamics, and disciplined purchasing and manufacturing cost management, partially offset by currency headwinds.</w:t>
      </w:r>
    </w:p>
    <w:p w14:paraId="646D245D">
      <w:pPr>
        <w:spacing w:before="80" w:after="80"/>
        <w:jc w:val="both"/>
        <w:rPr>
          <w:rFonts w:hint="default" w:ascii="Calibri" w:hAnsi="Calibri" w:eastAsia="楷体_GB2312" w:cs="Calibri"/>
          <w:color w:val="0F1115"/>
          <w:sz w:val="22"/>
          <w:szCs w:val="22"/>
          <w:shd w:val="clear" w:color="auto" w:fill="FFFFFF"/>
          <w:lang w:bidi="ar"/>
        </w:rPr>
      </w:pPr>
      <w:r>
        <w:rPr>
          <w:rFonts w:hint="default" w:ascii="Calibri" w:hAnsi="Calibri" w:eastAsia="楷体_GB2312" w:cs="Calibri"/>
          <w:b/>
          <w:bCs/>
          <w:color w:val="0F1115"/>
          <w:sz w:val="22"/>
          <w:szCs w:val="22"/>
          <w:shd w:val="clear" w:color="auto" w:fill="FFFFFF"/>
          <w:lang w:bidi="ar"/>
        </w:rPr>
        <w:t xml:space="preserve">2) Expense Ratios: </w:t>
      </w:r>
      <w:r>
        <w:rPr>
          <w:rFonts w:hint="default" w:ascii="Calibri" w:hAnsi="Calibri" w:eastAsia="楷体_GB2312" w:cs="Calibri"/>
          <w:color w:val="0F1115"/>
          <w:sz w:val="22"/>
          <w:szCs w:val="22"/>
          <w:shd w:val="clear" w:color="auto" w:fill="FFFFFF"/>
          <w:lang w:bidi="ar"/>
        </w:rPr>
        <w:t>L'Oréal's cost structure remained broadly stable from 2022 to 2025. Advertising and promotion expenditure was consistently maintained in the range of 31%–33% of sales, R&amp;D expenses held steady at 3.1% of sales, and the selling, general and administrative expense ratio edged up slightly from 18.4% in 2022 to 18.9% in 2024 before declining to 18.8% in 2025, as efficiency gains from regional restructuring began to materialise.</w:t>
      </w:r>
    </w:p>
    <w:p w14:paraId="12462DE2">
      <w:pPr>
        <w:spacing w:before="80" w:after="80"/>
        <w:jc w:val="both"/>
        <w:rPr>
          <w:rFonts w:hint="default" w:ascii="Calibri" w:hAnsi="Calibri" w:eastAsia="楷体_GB2312" w:cs="Calibri"/>
          <w:color w:val="0F1115"/>
          <w:sz w:val="22"/>
          <w:szCs w:val="22"/>
          <w:shd w:val="clear" w:color="auto" w:fill="FFFFFF"/>
          <w:lang w:bidi="ar"/>
        </w:rPr>
      </w:pPr>
      <w:r>
        <w:rPr>
          <w:rFonts w:hint="default" w:ascii="Calibri" w:hAnsi="Calibri" w:eastAsia="楷体_GB2312" w:cs="Calibri"/>
          <w:b/>
          <w:bCs/>
          <w:color w:val="0F1115"/>
          <w:sz w:val="22"/>
          <w:szCs w:val="22"/>
          <w:shd w:val="clear" w:color="auto" w:fill="FFFFFF"/>
          <w:lang w:bidi="ar"/>
        </w:rPr>
        <w:t>3) Operating Profit and Operating Margin:</w:t>
      </w:r>
      <w:r>
        <w:rPr>
          <w:rFonts w:hint="default" w:ascii="Calibri" w:hAnsi="Calibri" w:eastAsia="楷体_GB2312" w:cs="Calibri"/>
          <w:color w:val="0F1115"/>
          <w:sz w:val="22"/>
          <w:szCs w:val="22"/>
          <w:shd w:val="clear" w:color="auto" w:fill="FFFFFF"/>
          <w:lang w:bidi="ar"/>
        </w:rPr>
        <w:t xml:space="preserve"> Operating profit grew from €7.46 billion in 2022 to €8.89 billion in 2025 (three-year CAGR of 6.0%), with the operating margin improving year by year from 19.5% to 19.8%, 20.0%, and 20.2% — setting a record high for four consecutive years. This reflects the combined effect of operating scale and leverage, demonstrating L'Oréal's dual-track approach of 'investing in brands while improving efficiency'.</w:t>
      </w:r>
    </w:p>
    <w:p w14:paraId="7BA5C6A7">
      <w:pPr>
        <w:rPr>
          <w:rFonts w:hint="default" w:ascii="Calibri" w:hAnsi="Calibri" w:eastAsia="楷体_GB2312" w:cs="Calibri"/>
          <w:color w:val="0F1115"/>
          <w:sz w:val="22"/>
          <w:szCs w:val="22"/>
          <w:shd w:val="clear" w:color="auto" w:fill="FFFFFF"/>
          <w:lang w:bidi="ar"/>
        </w:rPr>
      </w:pPr>
      <w:r>
        <w:rPr>
          <w:rFonts w:hint="default" w:ascii="Calibri" w:hAnsi="Calibri" w:eastAsia="楷体_GB2312" w:cs="Calibri"/>
          <w:color w:val="0F1115"/>
          <w:sz w:val="22"/>
          <w:szCs w:val="22"/>
          <w:shd w:val="clear" w:color="auto" w:fill="FFFFFF"/>
          <w:lang w:bidi="ar"/>
        </w:rPr>
        <w:br w:type="page"/>
      </w:r>
    </w:p>
    <w:p w14:paraId="15EFD674">
      <w:pPr>
        <w:spacing w:before="80" w:after="80"/>
        <w:jc w:val="both"/>
        <w:rPr>
          <w:rFonts w:hint="default" w:ascii="Calibri" w:hAnsi="Calibri" w:eastAsia="楷体_GB2312" w:cs="Calibri"/>
          <w:color w:val="0F1115"/>
          <w:sz w:val="22"/>
          <w:szCs w:val="22"/>
          <w:shd w:val="clear" w:color="auto" w:fill="FFFFFF"/>
          <w:lang w:bidi="ar"/>
        </w:rPr>
      </w:pPr>
      <w:r>
        <w:rPr>
          <w:rFonts w:hint="default" w:ascii="Calibri" w:hAnsi="Calibri" w:eastAsia="楷体_GB2312" w:cs="Calibri"/>
          <w:b/>
          <w:bCs/>
          <w:color w:val="0F1115"/>
          <w:sz w:val="22"/>
          <w:szCs w:val="22"/>
          <w:shd w:val="clear" w:color="auto" w:fill="FFFFFF"/>
          <w:lang w:bidi="ar"/>
        </w:rPr>
        <w:t xml:space="preserve">4) Net Profit: </w:t>
      </w:r>
      <w:r>
        <w:rPr>
          <w:rFonts w:hint="default" w:ascii="Calibri" w:hAnsi="Calibri" w:eastAsia="楷体_GB2312" w:cs="Calibri"/>
          <w:color w:val="0F1115"/>
          <w:sz w:val="22"/>
          <w:szCs w:val="22"/>
          <w:shd w:val="clear" w:color="auto" w:fill="FFFFFF"/>
          <w:lang w:bidi="ar"/>
        </w:rPr>
        <w:t>Net profit attributable to the parent company moved from €5.71 billion in 2022 to €6.13 billion in 2025, with the net profit margin maintained in the 14.7%–15.0% range. The 2025 net profit declined 4.4% year-on-year due to non-recurring impairment losses; excluding this item, adjusted net profit was €6.81 billion, up 0.3% YoY, reflecting robust underlying earnings quality.</w:t>
      </w:r>
    </w:p>
    <w:p w14:paraId="1B1CACE8">
      <w:pPr>
        <w:widowControl w:val="0"/>
        <w:jc w:val="both"/>
        <w:rPr>
          <w:rFonts w:hint="default" w:ascii="Calibri" w:hAnsi="Calibri" w:eastAsia="楷体_GB2312" w:cs="Calibri"/>
          <w:kern w:val="2"/>
          <w:sz w:val="22"/>
          <w:szCs w:val="22"/>
        </w:rPr>
      </w:pPr>
    </w:p>
    <w:tbl>
      <w:tblPr>
        <w:tblStyle w:val="12"/>
        <w:tblW w:w="10490" w:type="dxa"/>
        <w:tblInd w:w="-2885" w:type="dxa"/>
        <w:tblLayout w:type="fixed"/>
        <w:tblCellMar>
          <w:top w:w="0" w:type="dxa"/>
          <w:left w:w="108" w:type="dxa"/>
          <w:bottom w:w="0" w:type="dxa"/>
          <w:right w:w="108" w:type="dxa"/>
        </w:tblCellMar>
      </w:tblPr>
      <w:tblGrid>
        <w:gridCol w:w="5100"/>
        <w:gridCol w:w="241"/>
        <w:gridCol w:w="5149"/>
      </w:tblGrid>
      <w:tr w14:paraId="61A765DF">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3621F09C">
            <w:pPr>
              <w:spacing w:before="48" w:beforeLines="20" w:after="48" w:afterLines="20"/>
              <w:jc w:val="both"/>
              <w:textAlignment w:val="center"/>
              <w:rPr>
                <w:rFonts w:hint="default" w:ascii="Calibri" w:hAnsi="Calibri" w:eastAsia="楷体_GB2312" w:cs="Calibri"/>
                <w:b/>
                <w:sz w:val="20"/>
                <w:szCs w:val="20"/>
                <w:highlight w:val="yellow"/>
              </w:rPr>
            </w:pPr>
            <w:r>
              <w:rPr>
                <w:rFonts w:hint="default" w:ascii="Calibri" w:hAnsi="Calibri" w:eastAsia="楷体_GB2312" w:cs="Calibri"/>
                <w:b/>
                <w:sz w:val="20"/>
                <w:szCs w:val="20"/>
              </w:rPr>
              <w:t>Figure: L'Oréal Gross Profit and Gross Margin 2020–2025 (€ million)</w:t>
            </w:r>
          </w:p>
        </w:tc>
        <w:tc>
          <w:tcPr>
            <w:tcW w:w="241" w:type="dxa"/>
            <w:tcMar>
              <w:left w:w="0" w:type="dxa"/>
              <w:right w:w="28" w:type="dxa"/>
            </w:tcMar>
          </w:tcPr>
          <w:p w14:paraId="4F187094">
            <w:pPr>
              <w:spacing w:before="48" w:beforeLines="20" w:after="48" w:afterLines="20"/>
              <w:jc w:val="both"/>
              <w:rPr>
                <w:rFonts w:hint="default" w:ascii="Calibri" w:hAnsi="Calibri" w:eastAsia="楷体_GB2312" w:cs="Calibri"/>
                <w:sz w:val="20"/>
                <w:szCs w:val="20"/>
                <w:highlight w:val="yellow"/>
              </w:rPr>
            </w:pPr>
          </w:p>
        </w:tc>
        <w:tc>
          <w:tcPr>
            <w:tcW w:w="5149" w:type="dxa"/>
            <w:tcBorders>
              <w:bottom w:val="single" w:color="auto" w:sz="4" w:space="0"/>
            </w:tcBorders>
            <w:tcMar>
              <w:left w:w="0" w:type="dxa"/>
              <w:right w:w="28" w:type="dxa"/>
            </w:tcMar>
          </w:tcPr>
          <w:p w14:paraId="77A3CAC9">
            <w:pPr>
              <w:spacing w:before="48" w:beforeLines="20" w:after="48" w:afterLines="20"/>
              <w:jc w:val="both"/>
              <w:rPr>
                <w:rFonts w:hint="default" w:ascii="Calibri" w:hAnsi="Calibri" w:eastAsia="楷体_GB2312" w:cs="Calibri"/>
                <w:b/>
                <w:sz w:val="20"/>
                <w:szCs w:val="20"/>
              </w:rPr>
            </w:pPr>
            <w:r>
              <w:rPr>
                <w:rFonts w:hint="default" w:ascii="Calibri" w:hAnsi="Calibri" w:eastAsia="楷体_GB2312" w:cs="Calibri"/>
                <w:b/>
                <w:sz w:val="20"/>
                <w:szCs w:val="20"/>
              </w:rPr>
              <w:t>Figure: L'Oréal Expense Ratios 2020–2025</w:t>
            </w:r>
          </w:p>
        </w:tc>
      </w:tr>
      <w:tr w14:paraId="6DFE0BC5">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6DFC08BB">
            <w:pPr>
              <w:spacing w:before="48" w:beforeLines="20" w:after="48" w:afterLines="20"/>
              <w:jc w:val="both"/>
              <w:textAlignment w:val="center"/>
              <w:rPr>
                <w:rFonts w:hint="default" w:ascii="Calibri" w:hAnsi="Calibri" w:eastAsia="楷体_GB2312" w:cs="Calibri"/>
                <w:b/>
                <w:color w:val="000000"/>
                <w:sz w:val="20"/>
                <w:szCs w:val="20"/>
                <w:lang w:bidi="ar"/>
              </w:rPr>
            </w:pPr>
            <w:r>
              <w:rPr>
                <w:rFonts w:hint="default" w:ascii="Calibri" w:hAnsi="Calibri" w:eastAsia="楷体_GB2312" w:cs="Calibri"/>
                <w:snapToGrid/>
              </w:rPr>
              <w:drawing>
                <wp:inline distT="0" distB="0" distL="0" distR="0">
                  <wp:extent cx="3101340" cy="1860550"/>
                  <wp:effectExtent l="0" t="0" r="7620" b="13970"/>
                  <wp:docPr id="200905870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c>
        <w:tc>
          <w:tcPr>
            <w:tcW w:w="241" w:type="dxa"/>
          </w:tcPr>
          <w:p w14:paraId="78E7DD46">
            <w:pPr>
              <w:spacing w:before="48" w:beforeLines="20" w:after="48" w:afterLines="20"/>
              <w:jc w:val="both"/>
              <w:rPr>
                <w:rFonts w:hint="default" w:ascii="Calibri" w:hAnsi="Calibri" w:eastAsia="楷体_GB2312" w:cs="Calibri"/>
                <w:sz w:val="20"/>
                <w:szCs w:val="20"/>
              </w:rPr>
            </w:pPr>
          </w:p>
        </w:tc>
        <w:tc>
          <w:tcPr>
            <w:tcW w:w="5149" w:type="dxa"/>
            <w:tcBorders>
              <w:top w:val="single" w:color="auto" w:sz="4" w:space="0"/>
              <w:bottom w:val="single" w:color="auto" w:sz="4" w:space="0"/>
            </w:tcBorders>
          </w:tcPr>
          <w:p w14:paraId="7220C3A2">
            <w:pPr>
              <w:spacing w:before="48" w:beforeLines="20" w:after="48" w:afterLines="20"/>
              <w:jc w:val="both"/>
              <w:rPr>
                <w:rFonts w:hint="default" w:ascii="Calibri" w:hAnsi="Calibri" w:eastAsia="楷体_GB2312" w:cs="Calibri"/>
                <w:b/>
                <w:sz w:val="20"/>
                <w:szCs w:val="20"/>
              </w:rPr>
            </w:pPr>
            <w:r>
              <w:rPr>
                <w:rFonts w:hint="default" w:ascii="Calibri" w:hAnsi="Calibri" w:eastAsia="楷体_GB2312" w:cs="Calibri"/>
                <w:snapToGrid/>
              </w:rPr>
              <w:drawing>
                <wp:inline distT="0" distB="0" distL="0" distR="0">
                  <wp:extent cx="3132455" cy="1879600"/>
                  <wp:effectExtent l="0" t="0" r="6985" b="10160"/>
                  <wp:docPr id="154178058"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c>
      </w:tr>
      <w:tr w14:paraId="63E7EE2F">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46167063">
            <w:pPr>
              <w:spacing w:before="48" w:beforeLines="20" w:after="48" w:afterLines="20"/>
              <w:jc w:val="both"/>
              <w:textAlignment w:val="center"/>
              <w:rPr>
                <w:rFonts w:hint="default" w:ascii="Calibri" w:hAnsi="Calibri" w:eastAsia="楷体_GB2312" w:cs="Calibri"/>
                <w:b w:val="0"/>
                <w:bCs w:val="0"/>
                <w:sz w:val="20"/>
                <w:szCs w:val="20"/>
              </w:rPr>
            </w:pPr>
            <w:r>
              <w:rPr>
                <w:rFonts w:hint="default" w:ascii="Calibri" w:hAnsi="Calibri" w:eastAsia="楷体_GB2312" w:cs="Calibri"/>
                <w:b w:val="0"/>
                <w:bCs w:val="0"/>
                <w:sz w:val="20"/>
                <w:szCs w:val="20"/>
              </w:rPr>
              <w:t>Source: Company Financial Reports, HFI</w:t>
            </w:r>
          </w:p>
        </w:tc>
        <w:tc>
          <w:tcPr>
            <w:tcW w:w="241" w:type="dxa"/>
            <w:tcMar>
              <w:left w:w="0" w:type="dxa"/>
              <w:right w:w="28" w:type="dxa"/>
            </w:tcMar>
          </w:tcPr>
          <w:p w14:paraId="65E26E7D">
            <w:pPr>
              <w:spacing w:before="48" w:beforeLines="20" w:after="48" w:afterLines="20"/>
              <w:jc w:val="both"/>
              <w:rPr>
                <w:rFonts w:hint="default" w:ascii="Calibri" w:hAnsi="Calibri" w:eastAsia="楷体_GB2312" w:cs="Calibri"/>
                <w:b w:val="0"/>
                <w:bCs w:val="0"/>
                <w:sz w:val="20"/>
                <w:szCs w:val="20"/>
              </w:rPr>
            </w:pPr>
          </w:p>
        </w:tc>
        <w:tc>
          <w:tcPr>
            <w:tcW w:w="5149" w:type="dxa"/>
            <w:tcBorders>
              <w:top w:val="single" w:color="auto" w:sz="4" w:space="0"/>
            </w:tcBorders>
            <w:tcMar>
              <w:left w:w="0" w:type="dxa"/>
              <w:right w:w="28" w:type="dxa"/>
            </w:tcMar>
          </w:tcPr>
          <w:p w14:paraId="3AB59A29">
            <w:pPr>
              <w:spacing w:before="48" w:beforeLines="20" w:after="48" w:afterLines="20"/>
              <w:jc w:val="both"/>
              <w:rPr>
                <w:rFonts w:hint="default" w:ascii="Calibri" w:hAnsi="Calibri" w:eastAsia="楷体_GB2312" w:cs="Calibri"/>
                <w:b w:val="0"/>
                <w:bCs w:val="0"/>
                <w:sz w:val="20"/>
                <w:szCs w:val="20"/>
              </w:rPr>
            </w:pPr>
            <w:r>
              <w:rPr>
                <w:rFonts w:hint="default" w:ascii="Calibri" w:hAnsi="Calibri" w:eastAsia="楷体_GB2312" w:cs="Calibri"/>
                <w:b w:val="0"/>
                <w:bCs w:val="0"/>
                <w:sz w:val="20"/>
                <w:szCs w:val="20"/>
              </w:rPr>
              <w:t>Source: Company Financial Reports, HFI</w:t>
            </w:r>
          </w:p>
        </w:tc>
      </w:tr>
    </w:tbl>
    <w:p w14:paraId="53A9725D">
      <w:pPr>
        <w:widowControl w:val="0"/>
        <w:jc w:val="both"/>
        <w:rPr>
          <w:rFonts w:hint="default" w:ascii="Calibri" w:hAnsi="Calibri" w:eastAsia="楷体_GB2312" w:cs="Calibri"/>
          <w:kern w:val="2"/>
          <w:sz w:val="22"/>
          <w:szCs w:val="22"/>
        </w:rPr>
      </w:pPr>
    </w:p>
    <w:p w14:paraId="5F33B5E7">
      <w:pPr>
        <w:widowControl w:val="0"/>
        <w:jc w:val="both"/>
        <w:rPr>
          <w:rFonts w:hint="default" w:ascii="Calibri" w:hAnsi="Calibri" w:eastAsia="楷体_GB2312" w:cs="Calibri"/>
          <w:kern w:val="2"/>
          <w:sz w:val="22"/>
          <w:szCs w:val="22"/>
        </w:rPr>
      </w:pPr>
    </w:p>
    <w:tbl>
      <w:tblPr>
        <w:tblStyle w:val="12"/>
        <w:tblW w:w="10490" w:type="dxa"/>
        <w:tblInd w:w="-2885" w:type="dxa"/>
        <w:tblLayout w:type="fixed"/>
        <w:tblCellMar>
          <w:top w:w="0" w:type="dxa"/>
          <w:left w:w="108" w:type="dxa"/>
          <w:bottom w:w="0" w:type="dxa"/>
          <w:right w:w="108" w:type="dxa"/>
        </w:tblCellMar>
      </w:tblPr>
      <w:tblGrid>
        <w:gridCol w:w="5100"/>
        <w:gridCol w:w="241"/>
        <w:gridCol w:w="5149"/>
      </w:tblGrid>
      <w:tr w14:paraId="6E13003B">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26954C34">
            <w:pPr>
              <w:spacing w:before="48" w:beforeLines="20" w:after="48" w:afterLines="20"/>
              <w:jc w:val="both"/>
              <w:textAlignment w:val="center"/>
              <w:rPr>
                <w:rFonts w:hint="default" w:ascii="Calibri" w:hAnsi="Calibri" w:eastAsia="楷体_GB2312" w:cs="Calibri"/>
                <w:b/>
                <w:sz w:val="20"/>
                <w:szCs w:val="20"/>
                <w:highlight w:val="yellow"/>
              </w:rPr>
            </w:pPr>
            <w:r>
              <w:rPr>
                <w:rFonts w:hint="default" w:ascii="Calibri" w:hAnsi="Calibri" w:eastAsia="楷体_GB2312" w:cs="Calibri"/>
                <w:b/>
                <w:sz w:val="20"/>
                <w:szCs w:val="20"/>
              </w:rPr>
              <w:t>Figure: L'Oréal Net Profit and Net Margin 2020–2025 (€ million)</w:t>
            </w:r>
          </w:p>
        </w:tc>
        <w:tc>
          <w:tcPr>
            <w:tcW w:w="241" w:type="dxa"/>
            <w:tcMar>
              <w:left w:w="0" w:type="dxa"/>
              <w:right w:w="28" w:type="dxa"/>
            </w:tcMar>
          </w:tcPr>
          <w:p w14:paraId="48992861">
            <w:pPr>
              <w:spacing w:before="48" w:beforeLines="20" w:after="48" w:afterLines="20"/>
              <w:jc w:val="both"/>
              <w:rPr>
                <w:rFonts w:hint="default" w:ascii="Calibri" w:hAnsi="Calibri" w:eastAsia="楷体_GB2312" w:cs="Calibri"/>
                <w:sz w:val="20"/>
                <w:szCs w:val="20"/>
                <w:highlight w:val="yellow"/>
              </w:rPr>
            </w:pPr>
          </w:p>
        </w:tc>
        <w:tc>
          <w:tcPr>
            <w:tcW w:w="5149" w:type="dxa"/>
            <w:tcBorders>
              <w:bottom w:val="single" w:color="auto" w:sz="4" w:space="0"/>
            </w:tcBorders>
            <w:tcMar>
              <w:left w:w="0" w:type="dxa"/>
              <w:right w:w="28" w:type="dxa"/>
            </w:tcMar>
          </w:tcPr>
          <w:p w14:paraId="36AEE1A3">
            <w:pPr>
              <w:spacing w:before="48" w:beforeLines="20" w:after="48" w:afterLines="20"/>
              <w:jc w:val="both"/>
              <w:rPr>
                <w:rFonts w:hint="default" w:ascii="Calibri" w:hAnsi="Calibri" w:eastAsia="楷体_GB2312" w:cs="Calibri"/>
                <w:b/>
                <w:sz w:val="20"/>
                <w:szCs w:val="20"/>
              </w:rPr>
            </w:pPr>
            <w:r>
              <w:rPr>
                <w:rFonts w:hint="default" w:ascii="Calibri" w:hAnsi="Calibri" w:eastAsia="楷体_GB2312" w:cs="Calibri"/>
                <w:b/>
                <w:sz w:val="20"/>
                <w:szCs w:val="20"/>
              </w:rPr>
              <w:t>Figure: L'Oréal Operating Profit and Operating Margin 2020–2025 (€ million)</w:t>
            </w:r>
          </w:p>
        </w:tc>
      </w:tr>
      <w:tr w14:paraId="1977C234">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69FCC55A">
            <w:pPr>
              <w:spacing w:before="48" w:beforeLines="20" w:after="48" w:afterLines="20"/>
              <w:jc w:val="both"/>
              <w:textAlignment w:val="center"/>
              <w:rPr>
                <w:rFonts w:hint="default" w:ascii="Calibri" w:hAnsi="Calibri" w:eastAsia="楷体_GB2312" w:cs="Calibri"/>
                <w:b/>
                <w:color w:val="000000"/>
                <w:sz w:val="20"/>
                <w:szCs w:val="20"/>
                <w:lang w:bidi="ar"/>
              </w:rPr>
            </w:pPr>
            <w:r>
              <w:rPr>
                <w:rFonts w:hint="default" w:ascii="Calibri" w:hAnsi="Calibri" w:eastAsia="楷体_GB2312" w:cs="Calibri"/>
                <w:snapToGrid/>
              </w:rPr>
              <w:drawing>
                <wp:inline distT="0" distB="0" distL="0" distR="0">
                  <wp:extent cx="3101340" cy="1860550"/>
                  <wp:effectExtent l="0" t="0" r="7620" b="13970"/>
                  <wp:docPr id="164263266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tc>
        <w:tc>
          <w:tcPr>
            <w:tcW w:w="241" w:type="dxa"/>
          </w:tcPr>
          <w:p w14:paraId="212BF985">
            <w:pPr>
              <w:spacing w:before="48" w:beforeLines="20" w:after="48" w:afterLines="20"/>
              <w:jc w:val="both"/>
              <w:rPr>
                <w:rFonts w:hint="default" w:ascii="Calibri" w:hAnsi="Calibri" w:eastAsia="楷体_GB2312" w:cs="Calibri"/>
                <w:sz w:val="20"/>
                <w:szCs w:val="20"/>
              </w:rPr>
            </w:pPr>
          </w:p>
        </w:tc>
        <w:tc>
          <w:tcPr>
            <w:tcW w:w="5149" w:type="dxa"/>
            <w:tcBorders>
              <w:top w:val="single" w:color="auto" w:sz="4" w:space="0"/>
              <w:bottom w:val="single" w:color="auto" w:sz="4" w:space="0"/>
            </w:tcBorders>
          </w:tcPr>
          <w:p w14:paraId="2F102568">
            <w:pPr>
              <w:spacing w:before="48" w:beforeLines="20" w:after="48" w:afterLines="20"/>
              <w:jc w:val="both"/>
              <w:rPr>
                <w:rFonts w:hint="default" w:ascii="Calibri" w:hAnsi="Calibri" w:eastAsia="楷体_GB2312" w:cs="Calibri"/>
                <w:b/>
                <w:sz w:val="20"/>
                <w:szCs w:val="20"/>
              </w:rPr>
            </w:pPr>
            <w:r>
              <w:rPr>
                <w:rFonts w:hint="default" w:ascii="Calibri" w:hAnsi="Calibri" w:eastAsia="楷体_GB2312" w:cs="Calibri"/>
                <w:snapToGrid/>
              </w:rPr>
              <w:drawing>
                <wp:inline distT="0" distB="0" distL="0" distR="0">
                  <wp:extent cx="3132455" cy="1879600"/>
                  <wp:effectExtent l="0" t="0" r="6985" b="10160"/>
                  <wp:docPr id="42500178"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tc>
      </w:tr>
      <w:tr w14:paraId="6EDD19B1">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2261F9F1">
            <w:pPr>
              <w:spacing w:before="48" w:beforeLines="20" w:after="48" w:afterLines="20"/>
              <w:jc w:val="both"/>
              <w:textAlignment w:val="center"/>
              <w:rPr>
                <w:rFonts w:hint="default" w:ascii="Calibri" w:hAnsi="Calibri" w:eastAsia="楷体_GB2312" w:cs="Calibri"/>
                <w:b w:val="0"/>
                <w:bCs w:val="0"/>
                <w:sz w:val="20"/>
                <w:szCs w:val="20"/>
              </w:rPr>
            </w:pPr>
            <w:r>
              <w:rPr>
                <w:rFonts w:hint="default" w:ascii="Calibri" w:hAnsi="Calibri" w:eastAsia="楷体_GB2312" w:cs="Calibri"/>
                <w:b w:val="0"/>
                <w:bCs w:val="0"/>
                <w:sz w:val="20"/>
                <w:szCs w:val="20"/>
              </w:rPr>
              <w:t>Source: Company Financial Reports, HFI</w:t>
            </w:r>
          </w:p>
        </w:tc>
        <w:tc>
          <w:tcPr>
            <w:tcW w:w="241" w:type="dxa"/>
            <w:tcMar>
              <w:left w:w="0" w:type="dxa"/>
              <w:right w:w="28" w:type="dxa"/>
            </w:tcMar>
          </w:tcPr>
          <w:p w14:paraId="23BE5D1B">
            <w:pPr>
              <w:spacing w:before="48" w:beforeLines="20" w:after="48" w:afterLines="20"/>
              <w:jc w:val="both"/>
              <w:rPr>
                <w:rFonts w:hint="default" w:ascii="Calibri" w:hAnsi="Calibri" w:eastAsia="楷体_GB2312" w:cs="Calibri"/>
                <w:b w:val="0"/>
                <w:bCs w:val="0"/>
                <w:sz w:val="20"/>
                <w:szCs w:val="20"/>
              </w:rPr>
            </w:pPr>
          </w:p>
        </w:tc>
        <w:tc>
          <w:tcPr>
            <w:tcW w:w="5149" w:type="dxa"/>
            <w:tcBorders>
              <w:top w:val="single" w:color="auto" w:sz="4" w:space="0"/>
            </w:tcBorders>
            <w:tcMar>
              <w:left w:w="0" w:type="dxa"/>
              <w:right w:w="28" w:type="dxa"/>
            </w:tcMar>
          </w:tcPr>
          <w:p w14:paraId="5906A462">
            <w:pPr>
              <w:spacing w:before="48" w:beforeLines="20" w:after="48" w:afterLines="20"/>
              <w:jc w:val="both"/>
              <w:rPr>
                <w:rFonts w:hint="default" w:ascii="Calibri" w:hAnsi="Calibri" w:eastAsia="楷体_GB2312" w:cs="Calibri"/>
                <w:b w:val="0"/>
                <w:bCs w:val="0"/>
                <w:sz w:val="20"/>
                <w:szCs w:val="20"/>
              </w:rPr>
            </w:pPr>
            <w:r>
              <w:rPr>
                <w:rFonts w:hint="default" w:ascii="Calibri" w:hAnsi="Calibri" w:eastAsia="楷体_GB2312" w:cs="Calibri"/>
                <w:b w:val="0"/>
                <w:bCs w:val="0"/>
                <w:sz w:val="20"/>
                <w:szCs w:val="20"/>
              </w:rPr>
              <w:t>Source: Company Financial Reports, HFI</w:t>
            </w:r>
          </w:p>
        </w:tc>
      </w:tr>
    </w:tbl>
    <w:p w14:paraId="1CC1CB46">
      <w:pPr>
        <w:spacing w:before="80" w:after="80"/>
        <w:rPr>
          <w:rFonts w:hint="default" w:ascii="Calibri" w:hAnsi="Calibri" w:eastAsia="楷体_GB2312" w:cs="Calibri"/>
          <w:color w:val="0F1115"/>
          <w:sz w:val="22"/>
          <w:szCs w:val="22"/>
          <w:shd w:val="clear" w:color="auto" w:fill="FFFFFF"/>
          <w:lang w:bidi="ar"/>
        </w:rPr>
      </w:pPr>
    </w:p>
    <w:bookmarkEnd w:id="9"/>
    <w:p w14:paraId="5BC2CACF">
      <w:pPr>
        <w:pStyle w:val="2"/>
        <w:spacing w:before="240" w:beforeLines="100" w:after="240" w:afterLines="100"/>
        <w:jc w:val="both"/>
        <w:rPr>
          <w:rFonts w:hint="default" w:ascii="Calibri" w:hAnsi="Calibri" w:eastAsia="楷体_GB2312" w:cs="Calibri"/>
          <w:b/>
          <w:bCs/>
          <w:iCs/>
          <w:snapToGrid/>
          <w:color w:val="23558C"/>
          <w:kern w:val="0"/>
          <w:sz w:val="28"/>
          <w:szCs w:val="21"/>
          <w:lang w:val="en-US" w:eastAsia="ja-JP" w:bidi="ar-SA"/>
        </w:rPr>
      </w:pPr>
      <w:bookmarkStart w:id="11" w:name="_Toc5895"/>
      <w:bookmarkStart w:id="12" w:name="_Toc223631777"/>
      <w:bookmarkStart w:id="13" w:name="_Toc220275545"/>
      <w:bookmarkStart w:id="14" w:name="_Toc186105500"/>
      <w:r>
        <w:rPr>
          <w:rFonts w:hint="default" w:ascii="Calibri" w:hAnsi="Calibri" w:eastAsia="楷体_GB2312" w:cs="Calibri"/>
          <w:b/>
          <w:bCs/>
          <w:iCs/>
          <w:snapToGrid/>
          <w:color w:val="23558C"/>
          <w:kern w:val="0"/>
          <w:sz w:val="28"/>
          <w:szCs w:val="21"/>
          <w:lang w:val="en-US" w:eastAsia="ja-JP" w:bidi="ar-SA"/>
        </w:rPr>
        <w:t>2 Global Beauty Market: Steady Upward Growth, Strong Players Maintain Dominance</w:t>
      </w:r>
      <w:bookmarkEnd w:id="11"/>
    </w:p>
    <w:bookmarkEnd w:id="12"/>
    <w:p w14:paraId="024B1153">
      <w:pPr>
        <w:pStyle w:val="149"/>
        <w:jc w:val="both"/>
        <w:rPr>
          <w:rFonts w:hint="default" w:ascii="Calibri" w:hAnsi="Calibri" w:eastAsia="楷体_GB2312" w:cs="Calibri"/>
          <w:color w:val="23558C"/>
          <w:sz w:val="24"/>
        </w:rPr>
      </w:pPr>
      <w:bookmarkStart w:id="15" w:name="_Toc223631778"/>
      <w:bookmarkStart w:id="16" w:name="_Toc26840"/>
      <w:r>
        <w:rPr>
          <w:rFonts w:hint="default" w:ascii="Calibri" w:hAnsi="Calibri" w:eastAsia="楷体_GB2312" w:cs="Calibri"/>
          <w:color w:val="23558C"/>
          <w:sz w:val="24"/>
        </w:rPr>
        <w:t>2.1</w:t>
      </w:r>
      <w:bookmarkEnd w:id="15"/>
      <w:r>
        <w:rPr>
          <w:rFonts w:hint="default" w:ascii="Calibri" w:hAnsi="Calibri" w:eastAsia="楷体_GB2312" w:cs="Calibri"/>
          <w:color w:val="23558C"/>
          <w:sz w:val="24"/>
        </w:rPr>
        <w:t xml:space="preserve"> Stable Overall Growth, Outperformance in Premium Segment</w:t>
      </w:r>
      <w:bookmarkEnd w:id="16"/>
    </w:p>
    <w:p w14:paraId="14E44205">
      <w:pPr>
        <w:jc w:val="both"/>
        <w:rPr>
          <w:rFonts w:hint="default" w:ascii="Calibri" w:hAnsi="Calibri" w:eastAsia="楷体_GB2312" w:cs="Calibri"/>
          <w:kern w:val="2"/>
          <w:sz w:val="22"/>
          <w:szCs w:val="22"/>
        </w:rPr>
      </w:pPr>
      <w:r>
        <w:rPr>
          <w:rFonts w:hint="default" w:ascii="Calibri" w:hAnsi="Calibri" w:eastAsia="楷体_GB2312" w:cs="Calibri"/>
          <w:b/>
          <w:bCs/>
          <w:kern w:val="2"/>
          <w:sz w:val="22"/>
          <w:szCs w:val="22"/>
        </w:rPr>
        <w:t xml:space="preserve">The global beauty market has entered a relatively mature phase, with overall steady growth. </w:t>
      </w:r>
      <w:r>
        <w:rPr>
          <w:rFonts w:hint="default" w:ascii="Calibri" w:hAnsi="Calibri" w:eastAsia="楷体_GB2312" w:cs="Calibri"/>
          <w:kern w:val="2"/>
          <w:sz w:val="22"/>
          <w:szCs w:val="22"/>
        </w:rPr>
        <w:t>According to data, the total size of the global beauty and personal care market increased from USD 47.32 billion in 2016 to USD 67.719 billion in 2025, representing a compound annual growth rate (CAGR) of approximately 4.06% over the decade. Although market size saw short-term volatility in 2020 affected by external factors, it subsequently demonstrated strong recovery and rebound momentum.</w:t>
      </w:r>
    </w:p>
    <w:p w14:paraId="13C57B62">
      <w:pPr>
        <w:jc w:val="both"/>
        <w:rPr>
          <w:rFonts w:hint="default" w:ascii="Calibri" w:hAnsi="Calibri" w:eastAsia="楷体_GB2312" w:cs="Calibri"/>
          <w:color w:val="000000"/>
        </w:rPr>
      </w:pPr>
      <w:r>
        <w:rPr>
          <w:rFonts w:hint="default" w:ascii="Calibri" w:hAnsi="Calibri" w:eastAsia="楷体_GB2312" w:cs="Calibri"/>
          <w:kern w:val="2"/>
          <w:sz w:val="22"/>
          <w:szCs w:val="22"/>
        </w:rPr>
        <w:t>As the industry has become relatively mature, Statista projects that the global beauty market will expand further from USD 70.331 billion in 2026 to USD 79.907 billion in 2030, with a compound annual growth rate (CAGR) of 3.24% during the 2026–2030 period.</w:t>
      </w:r>
    </w:p>
    <w:p w14:paraId="1A1B269C">
      <w:pPr>
        <w:jc w:val="both"/>
        <w:rPr>
          <w:rFonts w:hint="default" w:ascii="Calibri" w:hAnsi="Calibri" w:eastAsia="楷体_GB2312" w:cs="Calibri"/>
          <w:kern w:val="2"/>
          <w:sz w:val="22"/>
          <w:szCs w:val="22"/>
        </w:rPr>
      </w:pPr>
    </w:p>
    <w:tbl>
      <w:tblPr>
        <w:tblStyle w:val="12"/>
        <w:tblW w:w="10490" w:type="dxa"/>
        <w:tblInd w:w="-2885" w:type="dxa"/>
        <w:tblLayout w:type="fixed"/>
        <w:tblCellMar>
          <w:top w:w="0" w:type="dxa"/>
          <w:left w:w="108" w:type="dxa"/>
          <w:bottom w:w="0" w:type="dxa"/>
          <w:right w:w="108" w:type="dxa"/>
        </w:tblCellMar>
      </w:tblPr>
      <w:tblGrid>
        <w:gridCol w:w="5100"/>
        <w:gridCol w:w="241"/>
        <w:gridCol w:w="5149"/>
      </w:tblGrid>
      <w:tr w14:paraId="195AA022">
        <w:trPr>
          <w:trHeight w:val="227" w:hRule="atLeast"/>
        </w:trPr>
        <w:tc>
          <w:tcPr>
            <w:tcW w:w="5100" w:type="dxa"/>
            <w:tcBorders>
              <w:bottom w:val="single" w:color="auto" w:sz="4" w:space="0"/>
            </w:tcBorders>
            <w:tcMar>
              <w:left w:w="0" w:type="dxa"/>
              <w:right w:w="28" w:type="dxa"/>
            </w:tcMar>
          </w:tcPr>
          <w:p w14:paraId="1EA4F781">
            <w:pPr>
              <w:spacing w:before="48" w:beforeLines="20" w:after="48" w:afterLines="20"/>
              <w:jc w:val="both"/>
              <w:textAlignment w:val="center"/>
              <w:rPr>
                <w:rFonts w:hint="default" w:ascii="Calibri" w:hAnsi="Calibri" w:eastAsia="楷体_GB2312" w:cs="Calibri"/>
                <w:b/>
                <w:sz w:val="20"/>
                <w:szCs w:val="20"/>
              </w:rPr>
            </w:pPr>
            <w:r>
              <w:rPr>
                <w:rFonts w:hint="default" w:ascii="Calibri" w:hAnsi="Calibri" w:eastAsia="楷体_GB2312" w:cs="Calibri"/>
                <w:b/>
                <w:sz w:val="20"/>
                <w:szCs w:val="20"/>
              </w:rPr>
              <w:t>Figure:</w:t>
            </w:r>
            <w:r>
              <w:rPr>
                <w:rFonts w:hint="default" w:ascii="Calibri" w:hAnsi="Calibri" w:eastAsia="楷体_GB2312" w:cs="Calibri"/>
              </w:rPr>
              <w:t xml:space="preserve"> </w:t>
            </w:r>
            <w:r>
              <w:rPr>
                <w:rFonts w:hint="default" w:ascii="Calibri" w:hAnsi="Calibri" w:eastAsia="楷体_GB2312" w:cs="Calibri"/>
                <w:b/>
                <w:sz w:val="20"/>
                <w:szCs w:val="20"/>
              </w:rPr>
              <w:t>Global Beauty Market Size and YoY Growth, 2015–2025 (USD billions)</w:t>
            </w:r>
          </w:p>
        </w:tc>
        <w:tc>
          <w:tcPr>
            <w:tcW w:w="241" w:type="dxa"/>
            <w:tcMar>
              <w:left w:w="0" w:type="dxa"/>
              <w:right w:w="28" w:type="dxa"/>
            </w:tcMar>
          </w:tcPr>
          <w:p w14:paraId="39B7D89F">
            <w:pPr>
              <w:spacing w:before="48" w:beforeLines="20" w:after="48" w:afterLines="20"/>
              <w:jc w:val="both"/>
              <w:rPr>
                <w:rFonts w:hint="default" w:ascii="Calibri" w:hAnsi="Calibri" w:eastAsia="楷体_GB2312" w:cs="Calibri"/>
                <w:sz w:val="20"/>
                <w:szCs w:val="20"/>
              </w:rPr>
            </w:pPr>
          </w:p>
        </w:tc>
        <w:tc>
          <w:tcPr>
            <w:tcW w:w="5149" w:type="dxa"/>
            <w:tcBorders>
              <w:bottom w:val="single" w:color="auto" w:sz="4" w:space="0"/>
            </w:tcBorders>
            <w:tcMar>
              <w:left w:w="0" w:type="dxa"/>
              <w:right w:w="28" w:type="dxa"/>
            </w:tcMar>
          </w:tcPr>
          <w:p w14:paraId="5CFE0D8C">
            <w:pPr>
              <w:spacing w:before="48" w:beforeLines="20" w:after="48" w:afterLines="20"/>
              <w:jc w:val="both"/>
              <w:rPr>
                <w:rFonts w:hint="default" w:ascii="Calibri" w:hAnsi="Calibri" w:eastAsia="楷体_GB2312" w:cs="Calibri"/>
                <w:b/>
                <w:sz w:val="20"/>
                <w:szCs w:val="20"/>
              </w:rPr>
            </w:pPr>
            <w:r>
              <w:rPr>
                <w:rFonts w:hint="default" w:ascii="Calibri" w:hAnsi="Calibri" w:eastAsia="楷体_GB2312" w:cs="Calibri"/>
                <w:b/>
                <w:sz w:val="20"/>
                <w:szCs w:val="20"/>
              </w:rPr>
              <w:t>Figure: Estimated Global Beauty Market Size, 2026–2030 (USD billions)</w:t>
            </w:r>
          </w:p>
        </w:tc>
      </w:tr>
      <w:tr w14:paraId="78B3F79B">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44BDFDE3">
            <w:pPr>
              <w:spacing w:before="48" w:beforeLines="20" w:after="48" w:afterLines="20"/>
              <w:jc w:val="both"/>
              <w:textAlignment w:val="center"/>
              <w:rPr>
                <w:rFonts w:hint="default" w:ascii="Calibri" w:hAnsi="Calibri" w:eastAsia="楷体_GB2312" w:cs="Calibri"/>
                <w:b/>
                <w:color w:val="000000"/>
                <w:sz w:val="20"/>
                <w:szCs w:val="20"/>
                <w:lang w:bidi="ar"/>
              </w:rPr>
            </w:pPr>
            <w:r>
              <w:rPr>
                <w:rFonts w:hint="default" w:ascii="Calibri" w:hAnsi="Calibri" w:eastAsia="楷体_GB2312" w:cs="Calibri"/>
                <w:snapToGrid/>
              </w:rPr>
              <w:drawing>
                <wp:inline distT="0" distB="0" distL="0" distR="0">
                  <wp:extent cx="3225165" cy="1749425"/>
                  <wp:effectExtent l="0" t="0" r="0" b="0"/>
                  <wp:docPr id="77558856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tc>
        <w:tc>
          <w:tcPr>
            <w:tcW w:w="241" w:type="dxa"/>
          </w:tcPr>
          <w:p w14:paraId="47C1B685">
            <w:pPr>
              <w:spacing w:before="48" w:beforeLines="20" w:after="48" w:afterLines="20"/>
              <w:jc w:val="both"/>
              <w:rPr>
                <w:rFonts w:hint="default" w:ascii="Calibri" w:hAnsi="Calibri" w:eastAsia="楷体_GB2312" w:cs="Calibri"/>
                <w:sz w:val="20"/>
                <w:szCs w:val="20"/>
              </w:rPr>
            </w:pPr>
          </w:p>
        </w:tc>
        <w:tc>
          <w:tcPr>
            <w:tcW w:w="5149" w:type="dxa"/>
            <w:tcBorders>
              <w:top w:val="single" w:color="auto" w:sz="4" w:space="0"/>
              <w:bottom w:val="single" w:color="auto" w:sz="4" w:space="0"/>
            </w:tcBorders>
          </w:tcPr>
          <w:p w14:paraId="6D83E9F9">
            <w:pPr>
              <w:spacing w:before="48" w:beforeLines="20" w:after="48" w:afterLines="20"/>
              <w:jc w:val="both"/>
              <w:rPr>
                <w:rFonts w:hint="default" w:ascii="Calibri" w:hAnsi="Calibri" w:eastAsia="楷体_GB2312" w:cs="Calibri"/>
                <w:b/>
                <w:sz w:val="20"/>
                <w:szCs w:val="20"/>
              </w:rPr>
            </w:pPr>
            <w:r>
              <w:rPr>
                <w:rFonts w:hint="default" w:ascii="Calibri" w:hAnsi="Calibri" w:eastAsia="楷体_GB2312" w:cs="Calibri"/>
                <w:snapToGrid/>
              </w:rPr>
              <w:drawing>
                <wp:inline distT="0" distB="0" distL="0" distR="0">
                  <wp:extent cx="3132455" cy="1811020"/>
                  <wp:effectExtent l="0" t="0" r="0" b="0"/>
                  <wp:docPr id="101188238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tc>
      </w:tr>
      <w:tr w14:paraId="129F765C">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2B2EE2C8">
            <w:pPr>
              <w:spacing w:before="48" w:beforeLines="20" w:after="48" w:afterLines="20"/>
              <w:jc w:val="both"/>
              <w:textAlignment w:val="center"/>
              <w:rPr>
                <w:rFonts w:hint="default" w:ascii="Calibri" w:hAnsi="Calibri" w:eastAsia="楷体_GB2312" w:cs="Calibri"/>
                <w:b w:val="0"/>
                <w:bCs w:val="0"/>
                <w:sz w:val="20"/>
                <w:szCs w:val="20"/>
              </w:rPr>
            </w:pPr>
            <w:r>
              <w:rPr>
                <w:rFonts w:hint="default" w:ascii="Calibri" w:hAnsi="Calibri" w:eastAsia="楷体_GB2312" w:cs="Calibri"/>
                <w:b w:val="0"/>
                <w:bCs w:val="0"/>
                <w:sz w:val="20"/>
                <w:szCs w:val="20"/>
              </w:rPr>
              <w:t>Source: Statista，HFI</w:t>
            </w:r>
          </w:p>
        </w:tc>
        <w:tc>
          <w:tcPr>
            <w:tcW w:w="241" w:type="dxa"/>
            <w:tcMar>
              <w:left w:w="0" w:type="dxa"/>
              <w:right w:w="28" w:type="dxa"/>
            </w:tcMar>
          </w:tcPr>
          <w:p w14:paraId="40BED4AB">
            <w:pPr>
              <w:spacing w:before="48" w:beforeLines="20" w:after="48" w:afterLines="20"/>
              <w:jc w:val="both"/>
              <w:rPr>
                <w:rFonts w:hint="default" w:ascii="Calibri" w:hAnsi="Calibri" w:eastAsia="楷体_GB2312" w:cs="Calibri"/>
                <w:b w:val="0"/>
                <w:bCs w:val="0"/>
                <w:sz w:val="20"/>
                <w:szCs w:val="20"/>
              </w:rPr>
            </w:pPr>
          </w:p>
        </w:tc>
        <w:tc>
          <w:tcPr>
            <w:tcW w:w="5149" w:type="dxa"/>
            <w:tcBorders>
              <w:top w:val="single" w:color="auto" w:sz="4" w:space="0"/>
            </w:tcBorders>
            <w:tcMar>
              <w:left w:w="0" w:type="dxa"/>
              <w:right w:w="28" w:type="dxa"/>
            </w:tcMar>
          </w:tcPr>
          <w:p w14:paraId="73F17EEE">
            <w:pPr>
              <w:spacing w:before="48" w:beforeLines="20" w:after="48" w:afterLines="20"/>
              <w:jc w:val="both"/>
              <w:rPr>
                <w:rFonts w:hint="default" w:ascii="Calibri" w:hAnsi="Calibri" w:eastAsia="楷体_GB2312" w:cs="Calibri"/>
                <w:b w:val="0"/>
                <w:bCs w:val="0"/>
                <w:sz w:val="20"/>
                <w:szCs w:val="20"/>
              </w:rPr>
            </w:pPr>
            <w:r>
              <w:rPr>
                <w:rFonts w:hint="default" w:ascii="Calibri" w:hAnsi="Calibri" w:eastAsia="楷体_GB2312" w:cs="Calibri"/>
                <w:b w:val="0"/>
                <w:bCs w:val="0"/>
                <w:sz w:val="20"/>
                <w:szCs w:val="20"/>
              </w:rPr>
              <w:t>Source: Statista，HFI</w:t>
            </w:r>
          </w:p>
        </w:tc>
      </w:tr>
    </w:tbl>
    <w:p w14:paraId="0A8C71AE">
      <w:pPr>
        <w:rPr>
          <w:rFonts w:hint="default" w:ascii="Calibri" w:hAnsi="Calibri" w:eastAsia="楷体_GB2312" w:cs="Calibri"/>
        </w:rPr>
      </w:pPr>
    </w:p>
    <w:p w14:paraId="48F1D3E9">
      <w:pPr>
        <w:jc w:val="both"/>
        <w:rPr>
          <w:rFonts w:hint="default" w:ascii="Calibri" w:hAnsi="Calibri" w:eastAsia="楷体_GB2312" w:cs="Calibri"/>
          <w:kern w:val="2"/>
          <w:sz w:val="22"/>
          <w:szCs w:val="22"/>
        </w:rPr>
      </w:pPr>
      <w:r>
        <w:rPr>
          <w:rFonts w:hint="default" w:ascii="Calibri" w:hAnsi="Calibri" w:eastAsia="楷体_GB2312" w:cs="Calibri"/>
          <w:b/>
          <w:bCs/>
          <w:kern w:val="2"/>
          <w:sz w:val="22"/>
          <w:szCs w:val="22"/>
        </w:rPr>
        <w:t xml:space="preserve">In terms of the segment structure of the global beauty market, personal care and skin care account for the core market share. In addition, segments exhibit significant divergence in their growth contribution. </w:t>
      </w:r>
      <w:r>
        <w:rPr>
          <w:rFonts w:hint="default" w:ascii="Calibri" w:hAnsi="Calibri" w:eastAsia="楷体_GB2312" w:cs="Calibri"/>
          <w:kern w:val="2"/>
          <w:sz w:val="22"/>
          <w:szCs w:val="22"/>
        </w:rPr>
        <w:t>In terms of incremental contribution by segment, personal care is the primary driver of market expansion, with its size rising from USD 24.516 billion to USD 29.308 billion, contributing 40.66% to the total incremental growth. Skin care follows closely, with an increment of USD 3.456 billion during the period and a growth contribution of 29.32%. Color cosmetics, the third-largest source of growth, expanded from USD 8.989 billion to USD 11.469 billion, with a contribution of 21.04%. Fragrance and beauty tech contributed 7.49% and 1.47% of the market incremental share, respectively, between 2019 and 2025.</w:t>
      </w:r>
    </w:p>
    <w:p w14:paraId="005B783A">
      <w:pPr>
        <w:rPr>
          <w:rFonts w:hint="default" w:ascii="Calibri" w:hAnsi="Calibri" w:eastAsia="楷体_GB2312" w:cs="Calibri"/>
        </w:rPr>
      </w:pPr>
    </w:p>
    <w:tbl>
      <w:tblPr>
        <w:tblStyle w:val="12"/>
        <w:tblW w:w="10490" w:type="dxa"/>
        <w:tblInd w:w="-2885" w:type="dxa"/>
        <w:tblLayout w:type="fixed"/>
        <w:tblCellMar>
          <w:top w:w="0" w:type="dxa"/>
          <w:left w:w="108" w:type="dxa"/>
          <w:bottom w:w="0" w:type="dxa"/>
          <w:right w:w="108" w:type="dxa"/>
        </w:tblCellMar>
      </w:tblPr>
      <w:tblGrid>
        <w:gridCol w:w="5100"/>
        <w:gridCol w:w="241"/>
        <w:gridCol w:w="5149"/>
      </w:tblGrid>
      <w:tr w14:paraId="69ACDEFB">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501FEFBC">
            <w:pPr>
              <w:spacing w:before="48" w:beforeLines="20" w:after="48" w:afterLines="20"/>
              <w:jc w:val="both"/>
              <w:textAlignment w:val="center"/>
              <w:rPr>
                <w:rFonts w:hint="default" w:ascii="Calibri" w:hAnsi="Calibri" w:eastAsia="楷体_GB2312" w:cs="Calibri"/>
                <w:b/>
                <w:sz w:val="20"/>
                <w:szCs w:val="20"/>
                <w:highlight w:val="yellow"/>
              </w:rPr>
            </w:pPr>
            <w:r>
              <w:rPr>
                <w:rFonts w:hint="default" w:ascii="Calibri" w:hAnsi="Calibri" w:eastAsia="楷体_GB2312" w:cs="Calibri"/>
                <w:b/>
                <w:sz w:val="20"/>
                <w:szCs w:val="20"/>
              </w:rPr>
              <w:t>Figure: Global Beauty Market Size by Category, 2018–2025 (USD billions)</w:t>
            </w:r>
          </w:p>
        </w:tc>
        <w:tc>
          <w:tcPr>
            <w:tcW w:w="241" w:type="dxa"/>
            <w:tcMar>
              <w:left w:w="0" w:type="dxa"/>
              <w:right w:w="28" w:type="dxa"/>
            </w:tcMar>
          </w:tcPr>
          <w:p w14:paraId="743CCEA5">
            <w:pPr>
              <w:spacing w:before="48" w:beforeLines="20" w:after="48" w:afterLines="20"/>
              <w:jc w:val="both"/>
              <w:rPr>
                <w:rFonts w:hint="default" w:ascii="Calibri" w:hAnsi="Calibri" w:eastAsia="楷体_GB2312" w:cs="Calibri"/>
                <w:sz w:val="20"/>
                <w:szCs w:val="20"/>
                <w:highlight w:val="yellow"/>
              </w:rPr>
            </w:pPr>
          </w:p>
        </w:tc>
        <w:tc>
          <w:tcPr>
            <w:tcW w:w="5149" w:type="dxa"/>
            <w:tcBorders>
              <w:bottom w:val="single" w:color="auto" w:sz="4" w:space="0"/>
            </w:tcBorders>
            <w:tcMar>
              <w:left w:w="0" w:type="dxa"/>
              <w:right w:w="28" w:type="dxa"/>
            </w:tcMar>
          </w:tcPr>
          <w:p w14:paraId="5BD085E1">
            <w:pPr>
              <w:spacing w:before="48" w:beforeLines="20" w:after="48" w:afterLines="20"/>
              <w:jc w:val="both"/>
              <w:rPr>
                <w:rFonts w:hint="default" w:ascii="Calibri" w:hAnsi="Calibri" w:eastAsia="楷体_GB2312" w:cs="Calibri"/>
                <w:b/>
                <w:sz w:val="20"/>
                <w:szCs w:val="20"/>
              </w:rPr>
            </w:pPr>
            <w:r>
              <w:rPr>
                <w:rFonts w:hint="default" w:ascii="Calibri" w:hAnsi="Calibri" w:eastAsia="楷体_GB2312" w:cs="Calibri"/>
                <w:b/>
                <w:sz w:val="20"/>
                <w:szCs w:val="20"/>
              </w:rPr>
              <w:t>Figure: Growth Contribution of Each Segment to the Global Beauty Market, 2019–2025</w:t>
            </w:r>
          </w:p>
        </w:tc>
      </w:tr>
      <w:tr w14:paraId="33FA73D1">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27F31FA6">
            <w:pPr>
              <w:spacing w:before="48" w:beforeLines="20" w:after="48" w:afterLines="20"/>
              <w:jc w:val="both"/>
              <w:textAlignment w:val="center"/>
              <w:rPr>
                <w:rFonts w:hint="default" w:ascii="Calibri" w:hAnsi="Calibri" w:eastAsia="楷体_GB2312" w:cs="Calibri"/>
                <w:b/>
                <w:color w:val="000000"/>
                <w:sz w:val="20"/>
                <w:szCs w:val="20"/>
                <w:lang w:bidi="ar"/>
              </w:rPr>
            </w:pPr>
            <w:r>
              <w:rPr>
                <w:rFonts w:hint="default" w:ascii="Calibri" w:hAnsi="Calibri" w:eastAsia="楷体_GB2312" w:cs="Calibri"/>
                <w:snapToGrid/>
              </w:rPr>
              <w:drawing>
                <wp:inline distT="0" distB="0" distL="0" distR="0">
                  <wp:extent cx="3100705" cy="1933575"/>
                  <wp:effectExtent l="0" t="0" r="8255" b="1905"/>
                  <wp:docPr id="40489877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tc>
        <w:tc>
          <w:tcPr>
            <w:tcW w:w="241" w:type="dxa"/>
          </w:tcPr>
          <w:p w14:paraId="3511DC53">
            <w:pPr>
              <w:spacing w:before="48" w:beforeLines="20" w:after="48" w:afterLines="20"/>
              <w:jc w:val="both"/>
              <w:rPr>
                <w:rFonts w:hint="default" w:ascii="Calibri" w:hAnsi="Calibri" w:eastAsia="楷体_GB2312" w:cs="Calibri"/>
                <w:sz w:val="20"/>
                <w:szCs w:val="20"/>
              </w:rPr>
            </w:pPr>
          </w:p>
        </w:tc>
        <w:tc>
          <w:tcPr>
            <w:tcW w:w="5149" w:type="dxa"/>
            <w:tcBorders>
              <w:top w:val="single" w:color="auto" w:sz="4" w:space="0"/>
              <w:bottom w:val="single" w:color="auto" w:sz="4" w:space="0"/>
            </w:tcBorders>
          </w:tcPr>
          <w:p w14:paraId="093E3EC3">
            <w:pPr>
              <w:spacing w:before="48" w:beforeLines="20" w:after="48" w:afterLines="20"/>
              <w:jc w:val="both"/>
              <w:rPr>
                <w:rFonts w:hint="default" w:ascii="Calibri" w:hAnsi="Calibri" w:eastAsia="楷体_GB2312" w:cs="Calibri"/>
                <w:b/>
                <w:sz w:val="14"/>
                <w:szCs w:val="14"/>
              </w:rPr>
            </w:pPr>
            <w:r>
              <w:rPr>
                <w:rFonts w:hint="default" w:ascii="Calibri" w:hAnsi="Calibri" w:eastAsia="楷体_GB2312" w:cs="Calibri"/>
                <w:snapToGrid/>
                <w:sz w:val="14"/>
                <w:szCs w:val="14"/>
              </w:rPr>
              <w:drawing>
                <wp:inline distT="0" distB="0" distL="0" distR="0">
                  <wp:extent cx="3132455" cy="1879600"/>
                  <wp:effectExtent l="0" t="0" r="6985" b="10160"/>
                  <wp:docPr id="2071605628"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tc>
      </w:tr>
      <w:tr w14:paraId="62FB0D34">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2A39DC83">
            <w:pPr>
              <w:spacing w:before="48" w:beforeLines="20" w:after="48" w:afterLines="20"/>
              <w:jc w:val="both"/>
              <w:textAlignment w:val="center"/>
              <w:rPr>
                <w:rFonts w:hint="default" w:ascii="Calibri" w:hAnsi="Calibri" w:eastAsia="楷体_GB2312" w:cs="Calibri"/>
                <w:b w:val="0"/>
                <w:bCs w:val="0"/>
                <w:sz w:val="20"/>
                <w:szCs w:val="20"/>
              </w:rPr>
            </w:pPr>
            <w:r>
              <w:rPr>
                <w:rFonts w:hint="default" w:ascii="Calibri" w:hAnsi="Calibri" w:eastAsia="楷体_GB2312" w:cs="Calibri"/>
                <w:b w:val="0"/>
                <w:bCs w:val="0"/>
                <w:sz w:val="20"/>
                <w:szCs w:val="20"/>
              </w:rPr>
              <w:t>Source: Statista，HFI</w:t>
            </w:r>
          </w:p>
        </w:tc>
        <w:tc>
          <w:tcPr>
            <w:tcW w:w="241" w:type="dxa"/>
            <w:tcMar>
              <w:left w:w="0" w:type="dxa"/>
              <w:right w:w="28" w:type="dxa"/>
            </w:tcMar>
          </w:tcPr>
          <w:p w14:paraId="08CD614A">
            <w:pPr>
              <w:spacing w:before="48" w:beforeLines="20" w:after="48" w:afterLines="20"/>
              <w:jc w:val="both"/>
              <w:rPr>
                <w:rFonts w:hint="default" w:ascii="Calibri" w:hAnsi="Calibri" w:eastAsia="楷体_GB2312" w:cs="Calibri"/>
                <w:b w:val="0"/>
                <w:bCs w:val="0"/>
                <w:sz w:val="20"/>
                <w:szCs w:val="20"/>
              </w:rPr>
            </w:pPr>
          </w:p>
        </w:tc>
        <w:tc>
          <w:tcPr>
            <w:tcW w:w="5149" w:type="dxa"/>
            <w:tcBorders>
              <w:top w:val="single" w:color="auto" w:sz="4" w:space="0"/>
            </w:tcBorders>
            <w:tcMar>
              <w:left w:w="0" w:type="dxa"/>
              <w:right w:w="28" w:type="dxa"/>
            </w:tcMar>
          </w:tcPr>
          <w:p w14:paraId="4A1A033D">
            <w:pPr>
              <w:spacing w:before="48" w:beforeLines="20" w:after="48" w:afterLines="20"/>
              <w:jc w:val="both"/>
              <w:rPr>
                <w:rFonts w:hint="default" w:ascii="Calibri" w:hAnsi="Calibri" w:eastAsia="楷体_GB2312" w:cs="Calibri"/>
                <w:b w:val="0"/>
                <w:bCs w:val="0"/>
                <w:sz w:val="20"/>
                <w:szCs w:val="20"/>
              </w:rPr>
            </w:pPr>
            <w:r>
              <w:rPr>
                <w:rFonts w:hint="default" w:ascii="Calibri" w:hAnsi="Calibri" w:eastAsia="楷体_GB2312" w:cs="Calibri"/>
                <w:b w:val="0"/>
                <w:bCs w:val="0"/>
                <w:sz w:val="20"/>
                <w:szCs w:val="20"/>
              </w:rPr>
              <w:t>Source: Statista，HFI</w:t>
            </w:r>
          </w:p>
        </w:tc>
      </w:tr>
    </w:tbl>
    <w:p w14:paraId="49DE053F">
      <w:pPr>
        <w:jc w:val="both"/>
        <w:rPr>
          <w:rFonts w:hint="default" w:ascii="Calibri" w:hAnsi="Calibri" w:eastAsia="楷体_GB2312" w:cs="Calibri"/>
          <w:kern w:val="2"/>
          <w:sz w:val="22"/>
          <w:szCs w:val="22"/>
        </w:rPr>
      </w:pPr>
      <w:r>
        <w:rPr>
          <w:rFonts w:hint="default" w:ascii="Calibri" w:hAnsi="Calibri" w:eastAsia="楷体_GB2312" w:cs="Calibri"/>
          <w:b/>
          <w:bCs/>
          <w:kern w:val="2"/>
          <w:sz w:val="22"/>
          <w:szCs w:val="22"/>
        </w:rPr>
        <w:t>In terms of product categories, science-backed high-efficacy products are leading the market into a phase of structural expansion amid stock competition.</w:t>
      </w:r>
      <w:r>
        <w:rPr>
          <w:rFonts w:hint="default" w:ascii="Calibri" w:hAnsi="Calibri" w:eastAsia="楷体_GB2312" w:cs="Calibri"/>
          <w:kern w:val="2"/>
          <w:sz w:val="22"/>
          <w:szCs w:val="22"/>
        </w:rPr>
        <w:t xml:space="preserve"> The growth focus of the skin care market is shifting rapidly toward the high-efficacy segment.</w:t>
      </w:r>
    </w:p>
    <w:p w14:paraId="657C0F83">
      <w:pPr>
        <w:jc w:val="both"/>
        <w:rPr>
          <w:rFonts w:hint="default" w:ascii="Calibri" w:hAnsi="Calibri" w:eastAsia="楷体_GB2312" w:cs="Calibri"/>
          <w:kern w:val="2"/>
          <w:sz w:val="22"/>
          <w:szCs w:val="22"/>
        </w:rPr>
      </w:pPr>
      <w:r>
        <w:rPr>
          <w:rFonts w:hint="default" w:ascii="Calibri" w:hAnsi="Calibri" w:eastAsia="楷体_GB2312" w:cs="Calibri"/>
          <w:kern w:val="2"/>
          <w:sz w:val="22"/>
          <w:szCs w:val="22"/>
        </w:rPr>
        <w:t>Furthermore, shifting demand among young consumers forms the long-term driver of this growth. According to the Numerator 2024 Beauty Trends Report, when Gen Z purchases personal care and skin care products, their emphasis on "products for specific needs" (50%) and "beneficial ingredients" (35%) is significantly higher than the average. "Efficacy" (22%) and "natural/organic ingredients" (22%) also rank high, while experiential factors (e.g., sensory experience 16%, novelty 10%) are relatively lower. Such consumption preferences, rooted in scientific validation and targeted pain-point solutions, have become a key driver for skin care categories to achieve differentiated competition and maintain premium pricing in the stock era.</w:t>
      </w:r>
    </w:p>
    <w:p w14:paraId="636BF552">
      <w:pPr>
        <w:rPr>
          <w:rFonts w:hint="default" w:ascii="Calibri" w:hAnsi="Calibri" w:eastAsia="楷体_GB2312" w:cs="Calibri"/>
          <w:kern w:val="2"/>
          <w:sz w:val="22"/>
          <w:szCs w:val="22"/>
        </w:rPr>
      </w:pPr>
    </w:p>
    <w:tbl>
      <w:tblPr>
        <w:tblStyle w:val="12"/>
        <w:tblW w:w="7466" w:type="dxa"/>
        <w:tblInd w:w="0" w:type="dxa"/>
        <w:tblLayout w:type="fixed"/>
        <w:tblCellMar>
          <w:top w:w="0" w:type="dxa"/>
          <w:left w:w="108" w:type="dxa"/>
          <w:bottom w:w="0" w:type="dxa"/>
          <w:right w:w="108" w:type="dxa"/>
        </w:tblCellMar>
      </w:tblPr>
      <w:tblGrid>
        <w:gridCol w:w="7466"/>
      </w:tblGrid>
      <w:tr w14:paraId="3FFA052F">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3FAF37BC">
            <w:pPr>
              <w:spacing w:before="48" w:beforeLines="20" w:after="48" w:afterLines="20"/>
              <w:jc w:val="both"/>
              <w:textAlignment w:val="center"/>
              <w:rPr>
                <w:rFonts w:hint="default" w:ascii="Calibri" w:hAnsi="Calibri" w:eastAsia="楷体_GB2312" w:cs="Calibri"/>
                <w:b/>
                <w:sz w:val="20"/>
                <w:szCs w:val="20"/>
              </w:rPr>
            </w:pPr>
            <w:r>
              <w:rPr>
                <w:rFonts w:hint="default" w:ascii="Calibri" w:hAnsi="Calibri" w:eastAsia="楷体_GB2312" w:cs="Calibri"/>
                <w:b/>
                <w:sz w:val="20"/>
                <w:szCs w:val="20"/>
              </w:rPr>
              <w:t>Figure: Top Considerations for Gen Z When Purchasing Personal Care and Skin Care Products</w:t>
            </w:r>
          </w:p>
        </w:tc>
      </w:tr>
      <w:tr w14:paraId="6EED9E73">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75A5A666">
            <w:pPr>
              <w:spacing w:before="48" w:beforeLines="20" w:after="48" w:afterLines="20"/>
              <w:jc w:val="center"/>
              <w:textAlignment w:val="center"/>
              <w:rPr>
                <w:rFonts w:hint="default" w:ascii="Calibri" w:hAnsi="Calibri" w:eastAsia="楷体_GB2312" w:cs="Calibri"/>
                <w:b/>
                <w:bCs/>
                <w:sz w:val="20"/>
                <w:szCs w:val="20"/>
              </w:rPr>
            </w:pPr>
            <w:r>
              <w:rPr>
                <w:rFonts w:hint="default" w:ascii="Calibri" w:hAnsi="Calibri" w:eastAsia="楷体_GB2312" w:cs="Calibri"/>
                <w:snapToGrid/>
              </w:rPr>
              <w:drawing>
                <wp:inline distT="0" distB="0" distL="0" distR="0">
                  <wp:extent cx="4691380" cy="2264410"/>
                  <wp:effectExtent l="0" t="0" r="2540" b="6350"/>
                  <wp:docPr id="25877525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tc>
      </w:tr>
      <w:tr w14:paraId="55B49F24">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2CE4844F">
            <w:pPr>
              <w:spacing w:line="240" w:lineRule="atLeast"/>
              <w:jc w:val="both"/>
              <w:textAlignment w:val="center"/>
              <w:rPr>
                <w:rFonts w:hint="default" w:ascii="Calibri" w:hAnsi="Calibri" w:eastAsia="楷体_GB2312" w:cs="Calibri"/>
                <w:b w:val="0"/>
                <w:bCs w:val="0"/>
                <w:sz w:val="20"/>
                <w:szCs w:val="20"/>
              </w:rPr>
            </w:pPr>
            <w:r>
              <w:rPr>
                <w:rFonts w:hint="default" w:ascii="Calibri" w:hAnsi="Calibri" w:eastAsia="楷体_GB2312" w:cs="Calibri"/>
                <w:b w:val="0"/>
                <w:bCs w:val="0"/>
                <w:sz w:val="20"/>
                <w:szCs w:val="20"/>
              </w:rPr>
              <w:t>Source:</w:t>
            </w:r>
            <w:r>
              <w:rPr>
                <w:rFonts w:hint="default" w:ascii="Calibri" w:hAnsi="Calibri" w:eastAsia="楷体_GB2312" w:cs="Calibri"/>
                <w:b w:val="0"/>
                <w:bCs w:val="0"/>
                <w:kern w:val="2"/>
                <w:sz w:val="20"/>
                <w:szCs w:val="20"/>
              </w:rPr>
              <w:t xml:space="preserve"> Numerator</w:t>
            </w:r>
            <w:r>
              <w:rPr>
                <w:rFonts w:hint="default" w:ascii="Calibri" w:hAnsi="Calibri" w:eastAsia="楷体_GB2312" w:cs="Calibri"/>
                <w:b w:val="0"/>
                <w:bCs w:val="0"/>
                <w:sz w:val="20"/>
                <w:szCs w:val="20"/>
              </w:rPr>
              <w:t>，HFI</w:t>
            </w:r>
          </w:p>
        </w:tc>
      </w:tr>
    </w:tbl>
    <w:p w14:paraId="0D4A1D1F">
      <w:pPr>
        <w:rPr>
          <w:rFonts w:hint="default" w:ascii="Calibri" w:hAnsi="Calibri" w:eastAsia="楷体_GB2312" w:cs="Calibri"/>
          <w:b/>
          <w:bCs/>
          <w:kern w:val="2"/>
          <w:sz w:val="22"/>
          <w:szCs w:val="22"/>
        </w:rPr>
      </w:pPr>
    </w:p>
    <w:p w14:paraId="6F4BD718">
      <w:pPr>
        <w:jc w:val="both"/>
        <w:rPr>
          <w:rFonts w:hint="default" w:ascii="Calibri" w:hAnsi="Calibri" w:eastAsia="楷体_GB2312" w:cs="Calibri"/>
          <w:kern w:val="2"/>
          <w:sz w:val="22"/>
          <w:szCs w:val="22"/>
        </w:rPr>
      </w:pPr>
      <w:r>
        <w:rPr>
          <w:rFonts w:hint="default" w:ascii="Calibri" w:hAnsi="Calibri" w:eastAsia="楷体_GB2312" w:cs="Calibri"/>
          <w:b/>
          <w:bCs/>
          <w:kern w:val="2"/>
          <w:sz w:val="22"/>
          <w:szCs w:val="22"/>
        </w:rPr>
        <w:t>In terms of growth trends across price tiers, the high-end market has generally outpaced the mass market.</w:t>
      </w:r>
      <w:r>
        <w:rPr>
          <w:rFonts w:hint="default" w:ascii="Calibri" w:hAnsi="Calibri" w:eastAsia="楷体_GB2312" w:cs="Calibri"/>
          <w:kern w:val="2"/>
          <w:sz w:val="22"/>
          <w:szCs w:val="22"/>
        </w:rPr>
        <w:t xml:space="preserve"> According to McKinsey projections, the high-price segment will grow faster than the overall market between 2023 and 2028. Among them, the Luxury and Prestige categories demonstrate the strongest growth momentum, with compound annual growth rates (CAGR) of 9% and 7% respectively, both exceeding the overall market average of 6%.In comparison, the Entry prestige and Masstige categories show steady growth, each with a CAGR of 6%, in line with the market average. The Mass market segment grows at a more moderate pace, with a CAGR of 5%.</w:t>
      </w:r>
    </w:p>
    <w:p w14:paraId="3C64FA50">
      <w:pPr>
        <w:rPr>
          <w:rFonts w:hint="default" w:ascii="Calibri" w:hAnsi="Calibri" w:eastAsia="楷体_GB2312" w:cs="Calibri"/>
          <w:kern w:val="2"/>
          <w:sz w:val="22"/>
          <w:szCs w:val="22"/>
        </w:rPr>
      </w:pPr>
      <w:r>
        <w:rPr>
          <w:rFonts w:hint="default" w:ascii="Calibri" w:hAnsi="Calibri" w:eastAsia="楷体_GB2312" w:cs="Calibri"/>
          <w:kern w:val="2"/>
          <w:sz w:val="22"/>
          <w:szCs w:val="22"/>
        </w:rPr>
        <w:br w:type="page"/>
      </w:r>
    </w:p>
    <w:tbl>
      <w:tblPr>
        <w:tblStyle w:val="12"/>
        <w:tblW w:w="7466" w:type="dxa"/>
        <w:tblInd w:w="0" w:type="dxa"/>
        <w:tblLayout w:type="fixed"/>
        <w:tblCellMar>
          <w:top w:w="0" w:type="dxa"/>
          <w:left w:w="108" w:type="dxa"/>
          <w:bottom w:w="0" w:type="dxa"/>
          <w:right w:w="108" w:type="dxa"/>
        </w:tblCellMar>
      </w:tblPr>
      <w:tblGrid>
        <w:gridCol w:w="7466"/>
      </w:tblGrid>
      <w:tr w14:paraId="26032E9A">
        <w:trPr>
          <w:trHeight w:val="302" w:hRule="atLeast"/>
        </w:trPr>
        <w:tc>
          <w:tcPr>
            <w:tcW w:w="7466" w:type="dxa"/>
            <w:tcBorders>
              <w:bottom w:val="single" w:color="auto" w:sz="4" w:space="0"/>
            </w:tcBorders>
            <w:tcMar>
              <w:left w:w="0" w:type="dxa"/>
              <w:right w:w="28" w:type="dxa"/>
            </w:tcMar>
          </w:tcPr>
          <w:p w14:paraId="6176CF7F">
            <w:pPr>
              <w:rPr>
                <w:rFonts w:hint="default" w:ascii="Calibri" w:hAnsi="Calibri" w:eastAsia="楷体_GB2312" w:cs="Calibri"/>
                <w:b/>
                <w:sz w:val="20"/>
                <w:szCs w:val="20"/>
              </w:rPr>
            </w:pPr>
            <w:r>
              <w:rPr>
                <w:rFonts w:hint="default" w:ascii="Calibri" w:hAnsi="Calibri" w:eastAsia="楷体_GB2312" w:cs="Calibri"/>
                <w:b/>
                <w:sz w:val="20"/>
                <w:szCs w:val="20"/>
              </w:rPr>
              <w:t>Figure: Projected CAGR of Global Beauty Market by Price Tier, 2023–2028</w:t>
            </w:r>
          </w:p>
        </w:tc>
      </w:tr>
      <w:tr w14:paraId="4F540DC5">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1FA043">
            <w:pPr>
              <w:spacing w:before="48" w:beforeLines="20" w:after="48" w:afterLines="20"/>
              <w:jc w:val="center"/>
              <w:textAlignment w:val="center"/>
              <w:rPr>
                <w:rFonts w:hint="default" w:ascii="Calibri" w:hAnsi="Calibri" w:eastAsia="楷体_GB2312" w:cs="Calibri"/>
                <w:b/>
                <w:bCs/>
                <w:sz w:val="20"/>
                <w:szCs w:val="20"/>
              </w:rPr>
            </w:pPr>
            <w:r>
              <w:rPr>
                <w:rFonts w:hint="default" w:ascii="Calibri" w:hAnsi="Calibri" w:eastAsia="楷体_GB2312" w:cs="Calibri"/>
                <w:snapToGrid/>
              </w:rPr>
              <w:drawing>
                <wp:inline distT="0" distB="0" distL="0" distR="0">
                  <wp:extent cx="4274820" cy="1905000"/>
                  <wp:effectExtent l="0" t="0" r="7620" b="0"/>
                  <wp:docPr id="92809317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tc>
      </w:tr>
      <w:tr w14:paraId="4D68BCFF">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6A119D4">
            <w:pPr>
              <w:spacing w:line="240" w:lineRule="atLeast"/>
              <w:jc w:val="both"/>
              <w:textAlignment w:val="center"/>
              <w:rPr>
                <w:rFonts w:hint="default" w:ascii="Calibri" w:hAnsi="Calibri" w:eastAsia="楷体_GB2312" w:cs="Calibri"/>
                <w:b w:val="0"/>
                <w:bCs w:val="0"/>
                <w:sz w:val="20"/>
                <w:szCs w:val="20"/>
              </w:rPr>
            </w:pPr>
            <w:r>
              <w:rPr>
                <w:rFonts w:hint="default" w:ascii="Calibri" w:hAnsi="Calibri" w:eastAsia="楷体_GB2312" w:cs="Calibri"/>
                <w:b w:val="0"/>
                <w:bCs w:val="0"/>
                <w:sz w:val="20"/>
                <w:szCs w:val="20"/>
              </w:rPr>
              <w:t>Source: McKinsey，HFI</w:t>
            </w:r>
          </w:p>
        </w:tc>
      </w:tr>
    </w:tbl>
    <w:p w14:paraId="46275A74">
      <w:pPr>
        <w:pStyle w:val="149"/>
        <w:jc w:val="both"/>
        <w:rPr>
          <w:rFonts w:hint="default" w:ascii="Calibri" w:hAnsi="Calibri" w:eastAsia="楷体_GB2312" w:cs="Calibri"/>
          <w:color w:val="23558C"/>
          <w:sz w:val="24"/>
        </w:rPr>
      </w:pPr>
      <w:bookmarkStart w:id="17" w:name="_Toc223631781"/>
      <w:bookmarkStart w:id="18" w:name="_Toc22741"/>
      <w:r>
        <w:rPr>
          <w:rFonts w:hint="default" w:ascii="Calibri" w:hAnsi="Calibri" w:eastAsia="楷体_GB2312" w:cs="Calibri"/>
          <w:color w:val="23558C"/>
          <w:sz w:val="24"/>
        </w:rPr>
        <w:t xml:space="preserve">2.2 </w:t>
      </w:r>
      <w:bookmarkEnd w:id="17"/>
      <w:r>
        <w:rPr>
          <w:rFonts w:hint="default" w:ascii="Calibri" w:hAnsi="Calibri" w:eastAsia="楷体_GB2312" w:cs="Calibri"/>
          <w:color w:val="23558C"/>
          <w:sz w:val="24"/>
        </w:rPr>
        <w:t>Competitive Landscape: Significant Matthew Effect</w:t>
      </w:r>
      <w:bookmarkEnd w:id="18"/>
    </w:p>
    <w:p w14:paraId="6EC5E97B">
      <w:pPr>
        <w:jc w:val="both"/>
        <w:rPr>
          <w:rFonts w:hint="default" w:ascii="Calibri" w:hAnsi="Calibri" w:eastAsia="楷体_GB2312" w:cs="Calibri"/>
          <w:kern w:val="2"/>
          <w:sz w:val="22"/>
          <w:szCs w:val="22"/>
        </w:rPr>
      </w:pPr>
      <w:r>
        <w:rPr>
          <w:rFonts w:hint="default" w:ascii="Calibri" w:hAnsi="Calibri" w:eastAsia="楷体_GB2312" w:cs="Calibri"/>
          <w:b/>
          <w:bCs/>
          <w:kern w:val="2"/>
          <w:sz w:val="22"/>
          <w:szCs w:val="22"/>
        </w:rPr>
        <w:t xml:space="preserve">From a global perspective, the global beauty market has witnessed substantial structural divergence over the past five years, with a growing trend toward industry consolidation. </w:t>
      </w:r>
      <w:r>
        <w:rPr>
          <w:rFonts w:hint="default" w:ascii="Calibri" w:hAnsi="Calibri" w:eastAsia="楷体_GB2312" w:cs="Calibri"/>
          <w:kern w:val="2"/>
          <w:sz w:val="22"/>
          <w:szCs w:val="22"/>
        </w:rPr>
        <w:t>The top ten beauty companies account for approximately 38% of the global market share, representing an increase of 5.2 percentage points compared with 2020, as resources and growth continue to concentrate among leading enterprises. As the industry leader, L’Oréal Group has demonstrated remarkable growth resilience, with its global market share rising from 15.8% in 2020 to 18.0% in 2024, firmly ranking first worldwide.</w:t>
      </w:r>
    </w:p>
    <w:p w14:paraId="399B0F9E">
      <w:pPr>
        <w:rPr>
          <w:rFonts w:hint="default" w:ascii="Calibri" w:hAnsi="Calibri" w:eastAsia="楷体_GB2312" w:cs="Calibri"/>
          <w:b/>
          <w:bCs/>
          <w:kern w:val="2"/>
          <w:sz w:val="22"/>
          <w:szCs w:val="22"/>
        </w:rPr>
      </w:pPr>
    </w:p>
    <w:tbl>
      <w:tblPr>
        <w:tblStyle w:val="12"/>
        <w:tblW w:w="7466" w:type="dxa"/>
        <w:tblInd w:w="0" w:type="dxa"/>
        <w:tblLayout w:type="fixed"/>
        <w:tblCellMar>
          <w:top w:w="0" w:type="dxa"/>
          <w:left w:w="108" w:type="dxa"/>
          <w:bottom w:w="0" w:type="dxa"/>
          <w:right w:w="108" w:type="dxa"/>
        </w:tblCellMar>
      </w:tblPr>
      <w:tblGrid>
        <w:gridCol w:w="7466"/>
      </w:tblGrid>
      <w:tr w14:paraId="45FAED14">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0CB2E4A9">
            <w:pPr>
              <w:spacing w:before="48" w:beforeLines="20" w:after="48" w:afterLines="20"/>
              <w:jc w:val="both"/>
              <w:textAlignment w:val="center"/>
              <w:rPr>
                <w:rFonts w:hint="default" w:ascii="Calibri" w:hAnsi="Calibri" w:eastAsia="楷体_GB2312" w:cs="Calibri"/>
                <w:b/>
                <w:sz w:val="20"/>
                <w:szCs w:val="20"/>
              </w:rPr>
            </w:pPr>
            <w:r>
              <w:rPr>
                <w:rFonts w:hint="default" w:ascii="Calibri" w:hAnsi="Calibri" w:eastAsia="楷体_GB2312" w:cs="Calibri"/>
                <w:b/>
                <w:sz w:val="20"/>
                <w:szCs w:val="20"/>
              </w:rPr>
              <w:t>Figure: Market Share of Leading Global Beauty Companies, 2024 (%)</w:t>
            </w:r>
          </w:p>
        </w:tc>
      </w:tr>
      <w:tr w14:paraId="4F988C65">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4665EF42">
            <w:pPr>
              <w:spacing w:before="48" w:beforeLines="20" w:after="48" w:afterLines="20"/>
              <w:jc w:val="center"/>
              <w:textAlignment w:val="center"/>
              <w:rPr>
                <w:rFonts w:hint="default" w:ascii="Calibri" w:hAnsi="Calibri" w:eastAsia="楷体_GB2312" w:cs="Calibri"/>
                <w:b/>
                <w:bCs/>
                <w:sz w:val="20"/>
                <w:szCs w:val="20"/>
              </w:rPr>
            </w:pPr>
            <w:r>
              <w:rPr>
                <w:rFonts w:hint="default" w:ascii="Calibri" w:hAnsi="Calibri" w:eastAsia="楷体_GB2312" w:cs="Calibri"/>
                <w:snapToGrid/>
              </w:rPr>
              <w:drawing>
                <wp:inline distT="0" distB="0" distL="0" distR="0">
                  <wp:extent cx="4603750" cy="2654935"/>
                  <wp:effectExtent l="0" t="0" r="13970" b="12065"/>
                  <wp:docPr id="191681886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tc>
      </w:tr>
      <w:tr w14:paraId="2E3D266C">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2A4EDB3B">
            <w:pPr>
              <w:spacing w:line="240" w:lineRule="atLeast"/>
              <w:jc w:val="both"/>
              <w:textAlignment w:val="center"/>
              <w:rPr>
                <w:rFonts w:hint="default" w:ascii="Calibri" w:hAnsi="Calibri" w:eastAsia="楷体_GB2312" w:cs="Calibri"/>
                <w:b w:val="0"/>
                <w:bCs w:val="0"/>
                <w:sz w:val="20"/>
                <w:szCs w:val="20"/>
              </w:rPr>
            </w:pPr>
            <w:r>
              <w:rPr>
                <w:rFonts w:hint="default" w:ascii="Calibri" w:hAnsi="Calibri" w:eastAsia="楷体_GB2312" w:cs="Calibri"/>
                <w:b w:val="0"/>
                <w:bCs w:val="0"/>
                <w:sz w:val="20"/>
                <w:szCs w:val="20"/>
              </w:rPr>
              <w:t>Source: Euromonitor，HFI</w:t>
            </w:r>
          </w:p>
        </w:tc>
      </w:tr>
    </w:tbl>
    <w:p w14:paraId="505AB7B2">
      <w:pPr>
        <w:rPr>
          <w:rFonts w:hint="default" w:ascii="Calibri" w:hAnsi="Calibri" w:eastAsia="楷体_GB2312" w:cs="Calibri"/>
          <w:b/>
          <w:bCs/>
          <w:sz w:val="22"/>
          <w:szCs w:val="22"/>
        </w:rPr>
      </w:pPr>
      <w:r>
        <w:rPr>
          <w:rFonts w:hint="default" w:ascii="Calibri" w:hAnsi="Calibri" w:eastAsia="楷体_GB2312" w:cs="Calibri"/>
          <w:b/>
          <w:bCs/>
          <w:sz w:val="22"/>
          <w:szCs w:val="22"/>
        </w:rPr>
        <w:br w:type="page"/>
      </w:r>
    </w:p>
    <w:p w14:paraId="11B4FD8F">
      <w:pPr>
        <w:tabs>
          <w:tab w:val="left" w:pos="871"/>
        </w:tabs>
        <w:jc w:val="both"/>
        <w:rPr>
          <w:rFonts w:hint="default" w:ascii="Calibri" w:hAnsi="Calibri" w:eastAsia="楷体_GB2312" w:cs="Calibri"/>
          <w:b/>
          <w:bCs/>
          <w:sz w:val="22"/>
          <w:szCs w:val="22"/>
        </w:rPr>
      </w:pPr>
      <w:r>
        <w:rPr>
          <w:rFonts w:hint="default" w:ascii="Calibri" w:hAnsi="Calibri" w:eastAsia="楷体_GB2312" w:cs="Calibri"/>
          <w:b/>
          <w:bCs/>
          <w:sz w:val="22"/>
          <w:szCs w:val="22"/>
        </w:rPr>
        <w:t>L’Oréal’s brands have achieved outstanding market share performance across various segments:</w:t>
      </w:r>
    </w:p>
    <w:p w14:paraId="67701703">
      <w:pPr>
        <w:tabs>
          <w:tab w:val="left" w:pos="871"/>
        </w:tabs>
        <w:jc w:val="both"/>
        <w:rPr>
          <w:rFonts w:hint="default" w:ascii="Calibri" w:hAnsi="Calibri" w:eastAsia="楷体_GB2312" w:cs="Calibri"/>
          <w:b/>
          <w:bCs/>
          <w:sz w:val="22"/>
          <w:szCs w:val="22"/>
        </w:rPr>
      </w:pPr>
    </w:p>
    <w:p w14:paraId="522FB38B">
      <w:pPr>
        <w:tabs>
          <w:tab w:val="left" w:pos="871"/>
        </w:tabs>
        <w:jc w:val="both"/>
        <w:rPr>
          <w:rFonts w:hint="default" w:ascii="Calibri" w:hAnsi="Calibri" w:eastAsia="楷体_GB2312" w:cs="Calibri"/>
          <w:sz w:val="22"/>
          <w:szCs w:val="22"/>
        </w:rPr>
      </w:pPr>
      <w:r>
        <w:rPr>
          <w:rFonts w:hint="default" w:ascii="Calibri" w:hAnsi="Calibri" w:eastAsia="楷体_GB2312" w:cs="Calibri"/>
          <w:b/>
          <w:bCs/>
          <w:sz w:val="22"/>
          <w:szCs w:val="22"/>
        </w:rPr>
        <w:t xml:space="preserve">1）In the global mass beauty and personal care market, L’Oréal Group has continuously consolidated its leading position through a multi-brand portfolio. </w:t>
      </w:r>
      <w:r>
        <w:rPr>
          <w:rFonts w:hint="default" w:ascii="Calibri" w:hAnsi="Calibri" w:eastAsia="楷体_GB2312" w:cs="Calibri"/>
          <w:sz w:val="22"/>
          <w:szCs w:val="22"/>
        </w:rPr>
        <w:t>According to Euromonitor data, the Group’s aggregated corporate share in this segment rose steadily from approximately 8.1% in 2019 to about 9.4% in 2024, representing a cumulative increase of 1.3 percentage points over five years.</w:t>
      </w:r>
    </w:p>
    <w:p w14:paraId="0B07B317">
      <w:pPr>
        <w:tabs>
          <w:tab w:val="left" w:pos="871"/>
        </w:tabs>
        <w:jc w:val="both"/>
        <w:rPr>
          <w:rFonts w:hint="default" w:ascii="Calibri" w:hAnsi="Calibri" w:eastAsia="楷体_GB2312" w:cs="Calibri"/>
          <w:sz w:val="22"/>
          <w:szCs w:val="22"/>
        </w:rPr>
      </w:pPr>
      <w:r>
        <w:rPr>
          <w:rFonts w:hint="default" w:ascii="Calibri" w:hAnsi="Calibri" w:eastAsia="楷体_GB2312" w:cs="Calibri"/>
          <w:sz w:val="22"/>
          <w:szCs w:val="22"/>
        </w:rPr>
        <w:t>Among its brands, L’Oréal Paris, as the top mass-market brand, edged up from 4.3% to 4.6% and has ranked first for six consecutive years. Garnier grew from 2.0% to 2.2%, supported by the iteration of natural, affordable, and effective products. Maybelline New York remained stable at around 1.5%. Such steady growth in market share was mainly driven by L’Oréal’s deep penetration in digital channels, which significantly improved brand reach and conversion among young consumers.</w:t>
      </w:r>
    </w:p>
    <w:p w14:paraId="416E39CB">
      <w:pPr>
        <w:tabs>
          <w:tab w:val="left" w:pos="871"/>
        </w:tabs>
        <w:rPr>
          <w:rFonts w:hint="default" w:ascii="Calibri" w:hAnsi="Calibri" w:eastAsia="楷体_GB2312" w:cs="Calibri"/>
          <w:sz w:val="22"/>
          <w:szCs w:val="22"/>
        </w:rPr>
      </w:pPr>
    </w:p>
    <w:tbl>
      <w:tblPr>
        <w:tblStyle w:val="12"/>
        <w:tblW w:w="7466" w:type="dxa"/>
        <w:tblInd w:w="0" w:type="dxa"/>
        <w:tblLayout w:type="fixed"/>
        <w:tblCellMar>
          <w:top w:w="0" w:type="dxa"/>
          <w:left w:w="108" w:type="dxa"/>
          <w:bottom w:w="0" w:type="dxa"/>
          <w:right w:w="108" w:type="dxa"/>
        </w:tblCellMar>
      </w:tblPr>
      <w:tblGrid>
        <w:gridCol w:w="7466"/>
      </w:tblGrid>
      <w:tr w14:paraId="2DEF9033">
        <w:trPr>
          <w:trHeight w:val="302" w:hRule="atLeast"/>
        </w:trPr>
        <w:tc>
          <w:tcPr>
            <w:tcW w:w="7466" w:type="dxa"/>
            <w:tcBorders>
              <w:bottom w:val="single" w:color="auto" w:sz="4" w:space="0"/>
            </w:tcBorders>
            <w:tcMar>
              <w:left w:w="0" w:type="dxa"/>
              <w:right w:w="28" w:type="dxa"/>
            </w:tcMar>
          </w:tcPr>
          <w:p w14:paraId="3CAC02AE">
            <w:pPr>
              <w:spacing w:before="48" w:beforeLines="20" w:after="48" w:afterLines="20"/>
              <w:jc w:val="both"/>
              <w:textAlignment w:val="center"/>
              <w:rPr>
                <w:rFonts w:hint="default" w:ascii="Calibri" w:hAnsi="Calibri" w:eastAsia="楷体_GB2312" w:cs="Calibri"/>
                <w:b/>
                <w:sz w:val="20"/>
                <w:szCs w:val="20"/>
              </w:rPr>
            </w:pPr>
            <w:r>
              <w:rPr>
                <w:rFonts w:hint="default" w:ascii="Calibri" w:hAnsi="Calibri" w:eastAsia="楷体_GB2312" w:cs="Calibri"/>
                <w:b/>
                <w:sz w:val="20"/>
                <w:szCs w:val="20"/>
              </w:rPr>
              <w:t>Figure: Market Share of the Top 10 Brands in the Global Mass Beauty &amp; Personal Care Market, 2019–2024 (%)</w:t>
            </w:r>
          </w:p>
        </w:tc>
      </w:tr>
      <w:tr w14:paraId="63FC3ACD">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tbl>
            <w:tblPr>
              <w:tblStyle w:val="12"/>
              <w:tblW w:w="7186" w:type="dxa"/>
              <w:tblInd w:w="0" w:type="dxa"/>
              <w:tblLayout w:type="fixed"/>
              <w:tblCellMar>
                <w:top w:w="0" w:type="dxa"/>
                <w:left w:w="108" w:type="dxa"/>
                <w:bottom w:w="0" w:type="dxa"/>
                <w:right w:w="108" w:type="dxa"/>
              </w:tblCellMar>
            </w:tblPr>
            <w:tblGrid>
              <w:gridCol w:w="2151"/>
              <w:gridCol w:w="851"/>
              <w:gridCol w:w="850"/>
              <w:gridCol w:w="851"/>
              <w:gridCol w:w="850"/>
              <w:gridCol w:w="851"/>
              <w:gridCol w:w="782"/>
            </w:tblGrid>
            <w:tr w14:paraId="268D0344">
              <w:tblPrEx>
                <w:tblCellMar>
                  <w:top w:w="0" w:type="dxa"/>
                  <w:left w:w="108" w:type="dxa"/>
                  <w:bottom w:w="0" w:type="dxa"/>
                  <w:right w:w="108" w:type="dxa"/>
                </w:tblCellMar>
              </w:tblPrEx>
              <w:trPr>
                <w:trHeight w:val="320" w:hRule="atLeast"/>
              </w:trPr>
              <w:tc>
                <w:tcPr>
                  <w:tcW w:w="2151" w:type="dxa"/>
                  <w:tcBorders>
                    <w:top w:val="single" w:color="auto" w:sz="4" w:space="0"/>
                    <w:left w:val="single" w:color="auto" w:sz="4" w:space="0"/>
                    <w:bottom w:val="single" w:color="auto" w:sz="4" w:space="0"/>
                    <w:right w:val="single" w:color="auto" w:sz="4" w:space="0"/>
                  </w:tcBorders>
                  <w:shd w:val="clear" w:color="000000" w:fill="0070C0"/>
                  <w:vAlign w:val="center"/>
                </w:tcPr>
                <w:p w14:paraId="5A7BB6D6">
                  <w:pPr>
                    <w:jc w:val="center"/>
                    <w:rPr>
                      <w:rFonts w:hint="default" w:ascii="Calibri" w:hAnsi="Calibri" w:eastAsia="楷体_GB2312" w:cs="Calibri"/>
                      <w:b/>
                      <w:bCs/>
                      <w:color w:val="FFFFFF"/>
                      <w:sz w:val="22"/>
                      <w:szCs w:val="22"/>
                    </w:rPr>
                  </w:pPr>
                  <w:r>
                    <w:rPr>
                      <w:rFonts w:hint="default" w:ascii="Calibri" w:hAnsi="Calibri" w:eastAsia="楷体_GB2312" w:cs="Calibri"/>
                      <w:b/>
                      <w:bCs/>
                      <w:color w:val="FFFFFF"/>
                      <w:sz w:val="22"/>
                      <w:szCs w:val="22"/>
                    </w:rPr>
                    <w:t>Brand Name</w:t>
                  </w:r>
                </w:p>
              </w:tc>
              <w:tc>
                <w:tcPr>
                  <w:tcW w:w="851" w:type="dxa"/>
                  <w:tcBorders>
                    <w:top w:val="single" w:color="auto" w:sz="4" w:space="0"/>
                    <w:left w:val="single" w:color="auto" w:sz="4" w:space="0"/>
                    <w:bottom w:val="single" w:color="auto" w:sz="4" w:space="0"/>
                    <w:right w:val="single" w:color="auto" w:sz="4" w:space="0"/>
                  </w:tcBorders>
                  <w:shd w:val="clear" w:color="000000" w:fill="0070C0"/>
                  <w:noWrap/>
                  <w:vAlign w:val="center"/>
                </w:tcPr>
                <w:p w14:paraId="5722266D">
                  <w:pPr>
                    <w:jc w:val="center"/>
                    <w:rPr>
                      <w:rFonts w:hint="default" w:ascii="Calibri" w:hAnsi="Calibri" w:eastAsia="楷体_GB2312" w:cs="Calibri"/>
                      <w:b/>
                      <w:bCs/>
                      <w:color w:val="FFFFFF"/>
                      <w:sz w:val="22"/>
                      <w:szCs w:val="22"/>
                    </w:rPr>
                  </w:pPr>
                  <w:r>
                    <w:rPr>
                      <w:rFonts w:hint="default" w:ascii="Calibri" w:hAnsi="Calibri" w:eastAsia="楷体_GB2312" w:cs="Calibri"/>
                      <w:b/>
                      <w:bCs/>
                      <w:color w:val="FFFFFF"/>
                      <w:sz w:val="22"/>
                      <w:szCs w:val="22"/>
                    </w:rPr>
                    <w:t>2019</w:t>
                  </w:r>
                </w:p>
              </w:tc>
              <w:tc>
                <w:tcPr>
                  <w:tcW w:w="850" w:type="dxa"/>
                  <w:tcBorders>
                    <w:top w:val="single" w:color="auto" w:sz="4" w:space="0"/>
                    <w:left w:val="single" w:color="auto" w:sz="4" w:space="0"/>
                    <w:bottom w:val="single" w:color="auto" w:sz="4" w:space="0"/>
                    <w:right w:val="single" w:color="auto" w:sz="4" w:space="0"/>
                  </w:tcBorders>
                  <w:shd w:val="clear" w:color="000000" w:fill="0070C0"/>
                  <w:noWrap/>
                  <w:vAlign w:val="center"/>
                </w:tcPr>
                <w:p w14:paraId="54291902">
                  <w:pPr>
                    <w:jc w:val="center"/>
                    <w:rPr>
                      <w:rFonts w:hint="default" w:ascii="Calibri" w:hAnsi="Calibri" w:eastAsia="楷体_GB2312" w:cs="Calibri"/>
                      <w:b/>
                      <w:bCs/>
                      <w:color w:val="FFFFFF"/>
                      <w:sz w:val="22"/>
                      <w:szCs w:val="22"/>
                    </w:rPr>
                  </w:pPr>
                  <w:r>
                    <w:rPr>
                      <w:rFonts w:hint="default" w:ascii="Calibri" w:hAnsi="Calibri" w:eastAsia="楷体_GB2312" w:cs="Calibri"/>
                      <w:b/>
                      <w:bCs/>
                      <w:color w:val="FFFFFF"/>
                      <w:sz w:val="22"/>
                      <w:szCs w:val="22"/>
                    </w:rPr>
                    <w:t>2020</w:t>
                  </w:r>
                </w:p>
              </w:tc>
              <w:tc>
                <w:tcPr>
                  <w:tcW w:w="851" w:type="dxa"/>
                  <w:tcBorders>
                    <w:top w:val="single" w:color="auto" w:sz="4" w:space="0"/>
                    <w:left w:val="single" w:color="auto" w:sz="4" w:space="0"/>
                    <w:bottom w:val="single" w:color="auto" w:sz="4" w:space="0"/>
                    <w:right w:val="single" w:color="auto" w:sz="4" w:space="0"/>
                  </w:tcBorders>
                  <w:shd w:val="clear" w:color="000000" w:fill="0070C0"/>
                  <w:noWrap/>
                  <w:vAlign w:val="center"/>
                </w:tcPr>
                <w:p w14:paraId="47B153C4">
                  <w:pPr>
                    <w:jc w:val="center"/>
                    <w:rPr>
                      <w:rFonts w:hint="default" w:ascii="Calibri" w:hAnsi="Calibri" w:eastAsia="楷体_GB2312" w:cs="Calibri"/>
                      <w:b/>
                      <w:bCs/>
                      <w:color w:val="FFFFFF"/>
                      <w:sz w:val="22"/>
                      <w:szCs w:val="22"/>
                    </w:rPr>
                  </w:pPr>
                  <w:r>
                    <w:rPr>
                      <w:rFonts w:hint="default" w:ascii="Calibri" w:hAnsi="Calibri" w:eastAsia="楷体_GB2312" w:cs="Calibri"/>
                      <w:b/>
                      <w:bCs/>
                      <w:color w:val="FFFFFF"/>
                      <w:sz w:val="22"/>
                      <w:szCs w:val="22"/>
                    </w:rPr>
                    <w:t>2021</w:t>
                  </w:r>
                </w:p>
              </w:tc>
              <w:tc>
                <w:tcPr>
                  <w:tcW w:w="850" w:type="dxa"/>
                  <w:tcBorders>
                    <w:top w:val="single" w:color="auto" w:sz="4" w:space="0"/>
                    <w:left w:val="single" w:color="auto" w:sz="4" w:space="0"/>
                    <w:bottom w:val="single" w:color="auto" w:sz="4" w:space="0"/>
                    <w:right w:val="single" w:color="auto" w:sz="4" w:space="0"/>
                  </w:tcBorders>
                  <w:shd w:val="clear" w:color="000000" w:fill="0070C0"/>
                  <w:noWrap/>
                  <w:vAlign w:val="center"/>
                </w:tcPr>
                <w:p w14:paraId="78E77192">
                  <w:pPr>
                    <w:jc w:val="center"/>
                    <w:rPr>
                      <w:rFonts w:hint="default" w:ascii="Calibri" w:hAnsi="Calibri" w:eastAsia="楷体_GB2312" w:cs="Calibri"/>
                      <w:b/>
                      <w:bCs/>
                      <w:color w:val="FFFFFF"/>
                      <w:sz w:val="22"/>
                      <w:szCs w:val="22"/>
                    </w:rPr>
                  </w:pPr>
                  <w:r>
                    <w:rPr>
                      <w:rFonts w:hint="default" w:ascii="Calibri" w:hAnsi="Calibri" w:eastAsia="楷体_GB2312" w:cs="Calibri"/>
                      <w:b/>
                      <w:bCs/>
                      <w:color w:val="FFFFFF"/>
                      <w:sz w:val="22"/>
                      <w:szCs w:val="22"/>
                    </w:rPr>
                    <w:t>2022</w:t>
                  </w:r>
                </w:p>
              </w:tc>
              <w:tc>
                <w:tcPr>
                  <w:tcW w:w="851" w:type="dxa"/>
                  <w:tcBorders>
                    <w:top w:val="single" w:color="auto" w:sz="4" w:space="0"/>
                    <w:left w:val="single" w:color="auto" w:sz="4" w:space="0"/>
                    <w:bottom w:val="single" w:color="auto" w:sz="4" w:space="0"/>
                    <w:right w:val="single" w:color="auto" w:sz="4" w:space="0"/>
                  </w:tcBorders>
                  <w:shd w:val="clear" w:color="000000" w:fill="0070C0"/>
                  <w:vAlign w:val="center"/>
                </w:tcPr>
                <w:p w14:paraId="61FCF967">
                  <w:pPr>
                    <w:jc w:val="center"/>
                    <w:rPr>
                      <w:rFonts w:hint="default" w:ascii="Calibri" w:hAnsi="Calibri" w:eastAsia="楷体_GB2312" w:cs="Calibri"/>
                      <w:b/>
                      <w:bCs/>
                      <w:color w:val="FFFFFF"/>
                      <w:sz w:val="22"/>
                      <w:szCs w:val="22"/>
                    </w:rPr>
                  </w:pPr>
                  <w:r>
                    <w:rPr>
                      <w:rFonts w:hint="default" w:ascii="Calibri" w:hAnsi="Calibri" w:eastAsia="楷体_GB2312" w:cs="Calibri"/>
                      <w:b/>
                      <w:bCs/>
                      <w:color w:val="FFFFFF"/>
                      <w:sz w:val="22"/>
                      <w:szCs w:val="22"/>
                    </w:rPr>
                    <w:t>2023</w:t>
                  </w:r>
                </w:p>
              </w:tc>
              <w:tc>
                <w:tcPr>
                  <w:tcW w:w="782" w:type="dxa"/>
                  <w:tcBorders>
                    <w:top w:val="single" w:color="auto" w:sz="4" w:space="0"/>
                    <w:left w:val="single" w:color="auto" w:sz="4" w:space="0"/>
                    <w:bottom w:val="single" w:color="auto" w:sz="4" w:space="0"/>
                    <w:right w:val="single" w:color="auto" w:sz="4" w:space="0"/>
                  </w:tcBorders>
                  <w:shd w:val="clear" w:color="000000" w:fill="0070C0"/>
                  <w:vAlign w:val="center"/>
                </w:tcPr>
                <w:p w14:paraId="40F8DEED">
                  <w:pPr>
                    <w:jc w:val="center"/>
                    <w:rPr>
                      <w:rFonts w:hint="default" w:ascii="Calibri" w:hAnsi="Calibri" w:eastAsia="楷体_GB2312" w:cs="Calibri"/>
                      <w:b/>
                      <w:bCs/>
                      <w:color w:val="FFFFFF"/>
                      <w:sz w:val="22"/>
                      <w:szCs w:val="22"/>
                    </w:rPr>
                  </w:pPr>
                  <w:r>
                    <w:rPr>
                      <w:rFonts w:hint="default" w:ascii="Calibri" w:hAnsi="Calibri" w:eastAsia="楷体_GB2312" w:cs="Calibri"/>
                      <w:b/>
                      <w:bCs/>
                      <w:color w:val="FFFFFF"/>
                      <w:sz w:val="22"/>
                      <w:szCs w:val="22"/>
                    </w:rPr>
                    <w:t>2024</w:t>
                  </w:r>
                </w:p>
              </w:tc>
            </w:tr>
            <w:tr w14:paraId="41D9818D">
              <w:tblPrEx>
                <w:tblCellMar>
                  <w:top w:w="0" w:type="dxa"/>
                  <w:left w:w="108" w:type="dxa"/>
                  <w:bottom w:w="0" w:type="dxa"/>
                  <w:right w:w="108" w:type="dxa"/>
                </w:tblCellMar>
              </w:tblPrEx>
              <w:trPr>
                <w:trHeight w:val="320" w:hRule="atLeast"/>
              </w:trPr>
              <w:tc>
                <w:tcPr>
                  <w:tcW w:w="2151" w:type="dxa"/>
                  <w:tcBorders>
                    <w:top w:val="single" w:color="auto" w:sz="4" w:space="0"/>
                    <w:left w:val="single" w:color="auto" w:sz="4" w:space="0"/>
                    <w:bottom w:val="single" w:color="auto" w:sz="4" w:space="0"/>
                    <w:right w:val="single" w:color="auto" w:sz="4" w:space="0"/>
                  </w:tcBorders>
                  <w:vAlign w:val="center"/>
                </w:tcPr>
                <w:p w14:paraId="0AC30107">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L'Oréal Paris</w:t>
                  </w:r>
                </w:p>
              </w:tc>
              <w:tc>
                <w:tcPr>
                  <w:tcW w:w="851" w:type="dxa"/>
                  <w:tcBorders>
                    <w:top w:val="single" w:color="auto" w:sz="4" w:space="0"/>
                    <w:left w:val="single" w:color="auto" w:sz="4" w:space="0"/>
                    <w:bottom w:val="single" w:color="auto" w:sz="4" w:space="0"/>
                    <w:right w:val="single" w:color="auto" w:sz="4" w:space="0"/>
                  </w:tcBorders>
                  <w:noWrap/>
                  <w:vAlign w:val="center"/>
                </w:tcPr>
                <w:p w14:paraId="760B1B4B">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4.3</w:t>
                  </w:r>
                </w:p>
              </w:tc>
              <w:tc>
                <w:tcPr>
                  <w:tcW w:w="850" w:type="dxa"/>
                  <w:tcBorders>
                    <w:top w:val="single" w:color="auto" w:sz="4" w:space="0"/>
                    <w:left w:val="single" w:color="auto" w:sz="4" w:space="0"/>
                    <w:bottom w:val="single" w:color="auto" w:sz="4" w:space="0"/>
                    <w:right w:val="single" w:color="auto" w:sz="4" w:space="0"/>
                  </w:tcBorders>
                  <w:noWrap/>
                  <w:vAlign w:val="center"/>
                </w:tcPr>
                <w:p w14:paraId="2322FD77">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4.4</w:t>
                  </w:r>
                </w:p>
              </w:tc>
              <w:tc>
                <w:tcPr>
                  <w:tcW w:w="851" w:type="dxa"/>
                  <w:tcBorders>
                    <w:top w:val="single" w:color="auto" w:sz="4" w:space="0"/>
                    <w:left w:val="single" w:color="auto" w:sz="4" w:space="0"/>
                    <w:bottom w:val="single" w:color="auto" w:sz="4" w:space="0"/>
                    <w:right w:val="single" w:color="auto" w:sz="4" w:space="0"/>
                  </w:tcBorders>
                  <w:noWrap/>
                  <w:vAlign w:val="center"/>
                </w:tcPr>
                <w:p w14:paraId="10628364">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4.6</w:t>
                  </w:r>
                </w:p>
              </w:tc>
              <w:tc>
                <w:tcPr>
                  <w:tcW w:w="850" w:type="dxa"/>
                  <w:tcBorders>
                    <w:top w:val="single" w:color="auto" w:sz="4" w:space="0"/>
                    <w:left w:val="single" w:color="auto" w:sz="4" w:space="0"/>
                    <w:bottom w:val="single" w:color="auto" w:sz="4" w:space="0"/>
                    <w:right w:val="single" w:color="auto" w:sz="4" w:space="0"/>
                  </w:tcBorders>
                  <w:noWrap/>
                  <w:vAlign w:val="center"/>
                </w:tcPr>
                <w:p w14:paraId="2E575FE8">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4.5</w:t>
                  </w:r>
                </w:p>
              </w:tc>
              <w:tc>
                <w:tcPr>
                  <w:tcW w:w="851" w:type="dxa"/>
                  <w:tcBorders>
                    <w:top w:val="single" w:color="auto" w:sz="4" w:space="0"/>
                    <w:left w:val="single" w:color="auto" w:sz="4" w:space="0"/>
                    <w:bottom w:val="single" w:color="auto" w:sz="4" w:space="0"/>
                    <w:right w:val="single" w:color="auto" w:sz="4" w:space="0"/>
                  </w:tcBorders>
                  <w:vAlign w:val="center"/>
                </w:tcPr>
                <w:p w14:paraId="6907132E">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4.6</w:t>
                  </w:r>
                </w:p>
              </w:tc>
              <w:tc>
                <w:tcPr>
                  <w:tcW w:w="782" w:type="dxa"/>
                  <w:tcBorders>
                    <w:top w:val="single" w:color="auto" w:sz="4" w:space="0"/>
                    <w:left w:val="single" w:color="auto" w:sz="4" w:space="0"/>
                    <w:bottom w:val="single" w:color="auto" w:sz="4" w:space="0"/>
                    <w:right w:val="single" w:color="auto" w:sz="4" w:space="0"/>
                  </w:tcBorders>
                  <w:vAlign w:val="center"/>
                </w:tcPr>
                <w:p w14:paraId="4F77CBFD">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4.6</w:t>
                  </w:r>
                </w:p>
              </w:tc>
            </w:tr>
            <w:tr w14:paraId="0D19A26A">
              <w:tblPrEx>
                <w:tblCellMar>
                  <w:top w:w="0" w:type="dxa"/>
                  <w:left w:w="108" w:type="dxa"/>
                  <w:bottom w:w="0" w:type="dxa"/>
                  <w:right w:w="108" w:type="dxa"/>
                </w:tblCellMar>
              </w:tblPrEx>
              <w:trPr>
                <w:trHeight w:val="320" w:hRule="atLeast"/>
              </w:trPr>
              <w:tc>
                <w:tcPr>
                  <w:tcW w:w="2151" w:type="dxa"/>
                  <w:tcBorders>
                    <w:top w:val="single" w:color="auto" w:sz="4" w:space="0"/>
                    <w:left w:val="single" w:color="auto" w:sz="4" w:space="0"/>
                    <w:bottom w:val="single" w:color="auto" w:sz="4" w:space="0"/>
                    <w:right w:val="single" w:color="auto" w:sz="4" w:space="0"/>
                  </w:tcBorders>
                  <w:vAlign w:val="center"/>
                </w:tcPr>
                <w:p w14:paraId="504BD37E">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 xml:space="preserve">Nivea </w:t>
                  </w:r>
                </w:p>
              </w:tc>
              <w:tc>
                <w:tcPr>
                  <w:tcW w:w="851" w:type="dxa"/>
                  <w:tcBorders>
                    <w:top w:val="single" w:color="auto" w:sz="4" w:space="0"/>
                    <w:left w:val="single" w:color="auto" w:sz="4" w:space="0"/>
                    <w:bottom w:val="single" w:color="auto" w:sz="4" w:space="0"/>
                    <w:right w:val="single" w:color="auto" w:sz="4" w:space="0"/>
                  </w:tcBorders>
                  <w:noWrap/>
                  <w:vAlign w:val="center"/>
                </w:tcPr>
                <w:p w14:paraId="07FD5761">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3.3</w:t>
                  </w:r>
                </w:p>
              </w:tc>
              <w:tc>
                <w:tcPr>
                  <w:tcW w:w="850" w:type="dxa"/>
                  <w:tcBorders>
                    <w:top w:val="single" w:color="auto" w:sz="4" w:space="0"/>
                    <w:left w:val="single" w:color="auto" w:sz="4" w:space="0"/>
                    <w:bottom w:val="single" w:color="auto" w:sz="4" w:space="0"/>
                    <w:right w:val="single" w:color="auto" w:sz="4" w:space="0"/>
                  </w:tcBorders>
                  <w:noWrap/>
                  <w:vAlign w:val="center"/>
                </w:tcPr>
                <w:p w14:paraId="1D0DC61C">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3.2</w:t>
                  </w:r>
                </w:p>
              </w:tc>
              <w:tc>
                <w:tcPr>
                  <w:tcW w:w="851" w:type="dxa"/>
                  <w:tcBorders>
                    <w:top w:val="single" w:color="auto" w:sz="4" w:space="0"/>
                    <w:left w:val="single" w:color="auto" w:sz="4" w:space="0"/>
                    <w:bottom w:val="single" w:color="auto" w:sz="4" w:space="0"/>
                    <w:right w:val="single" w:color="auto" w:sz="4" w:space="0"/>
                  </w:tcBorders>
                  <w:noWrap/>
                  <w:vAlign w:val="center"/>
                </w:tcPr>
                <w:p w14:paraId="3475D78B">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3.3</w:t>
                  </w:r>
                </w:p>
              </w:tc>
              <w:tc>
                <w:tcPr>
                  <w:tcW w:w="850" w:type="dxa"/>
                  <w:tcBorders>
                    <w:top w:val="single" w:color="auto" w:sz="4" w:space="0"/>
                    <w:left w:val="single" w:color="auto" w:sz="4" w:space="0"/>
                    <w:bottom w:val="single" w:color="auto" w:sz="4" w:space="0"/>
                    <w:right w:val="single" w:color="auto" w:sz="4" w:space="0"/>
                  </w:tcBorders>
                  <w:noWrap/>
                  <w:vAlign w:val="center"/>
                </w:tcPr>
                <w:p w14:paraId="27DAD241">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3.2</w:t>
                  </w:r>
                </w:p>
              </w:tc>
              <w:tc>
                <w:tcPr>
                  <w:tcW w:w="851" w:type="dxa"/>
                  <w:tcBorders>
                    <w:top w:val="single" w:color="auto" w:sz="4" w:space="0"/>
                    <w:left w:val="single" w:color="auto" w:sz="4" w:space="0"/>
                    <w:bottom w:val="single" w:color="auto" w:sz="4" w:space="0"/>
                    <w:right w:val="single" w:color="auto" w:sz="4" w:space="0"/>
                  </w:tcBorders>
                  <w:vAlign w:val="center"/>
                </w:tcPr>
                <w:p w14:paraId="10C0CA87">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3.4</w:t>
                  </w:r>
                </w:p>
              </w:tc>
              <w:tc>
                <w:tcPr>
                  <w:tcW w:w="782" w:type="dxa"/>
                  <w:tcBorders>
                    <w:top w:val="single" w:color="auto" w:sz="4" w:space="0"/>
                    <w:left w:val="single" w:color="auto" w:sz="4" w:space="0"/>
                    <w:bottom w:val="single" w:color="auto" w:sz="4" w:space="0"/>
                    <w:right w:val="single" w:color="auto" w:sz="4" w:space="0"/>
                  </w:tcBorders>
                  <w:vAlign w:val="center"/>
                </w:tcPr>
                <w:p w14:paraId="4F265863">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3.5</w:t>
                  </w:r>
                </w:p>
              </w:tc>
            </w:tr>
            <w:tr w14:paraId="1BCD4F52">
              <w:tblPrEx>
                <w:tblCellMar>
                  <w:top w:w="0" w:type="dxa"/>
                  <w:left w:w="108" w:type="dxa"/>
                  <w:bottom w:w="0" w:type="dxa"/>
                  <w:right w:w="108" w:type="dxa"/>
                </w:tblCellMar>
              </w:tblPrEx>
              <w:trPr>
                <w:trHeight w:val="320" w:hRule="atLeast"/>
              </w:trPr>
              <w:tc>
                <w:tcPr>
                  <w:tcW w:w="2151" w:type="dxa"/>
                  <w:tcBorders>
                    <w:top w:val="single" w:color="auto" w:sz="4" w:space="0"/>
                    <w:left w:val="single" w:color="auto" w:sz="4" w:space="0"/>
                    <w:bottom w:val="single" w:color="auto" w:sz="4" w:space="0"/>
                    <w:right w:val="single" w:color="auto" w:sz="4" w:space="0"/>
                  </w:tcBorders>
                  <w:vAlign w:val="center"/>
                </w:tcPr>
                <w:p w14:paraId="2B7864D2">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Dove</w:t>
                  </w:r>
                </w:p>
              </w:tc>
              <w:tc>
                <w:tcPr>
                  <w:tcW w:w="851" w:type="dxa"/>
                  <w:tcBorders>
                    <w:top w:val="single" w:color="auto" w:sz="4" w:space="0"/>
                    <w:left w:val="single" w:color="auto" w:sz="4" w:space="0"/>
                    <w:bottom w:val="single" w:color="auto" w:sz="4" w:space="0"/>
                    <w:right w:val="single" w:color="auto" w:sz="4" w:space="0"/>
                  </w:tcBorders>
                  <w:noWrap/>
                  <w:vAlign w:val="center"/>
                </w:tcPr>
                <w:p w14:paraId="44C09B7D">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2.8</w:t>
                  </w:r>
                </w:p>
              </w:tc>
              <w:tc>
                <w:tcPr>
                  <w:tcW w:w="850" w:type="dxa"/>
                  <w:tcBorders>
                    <w:top w:val="single" w:color="auto" w:sz="4" w:space="0"/>
                    <w:left w:val="single" w:color="auto" w:sz="4" w:space="0"/>
                    <w:bottom w:val="single" w:color="auto" w:sz="4" w:space="0"/>
                    <w:right w:val="single" w:color="auto" w:sz="4" w:space="0"/>
                  </w:tcBorders>
                  <w:noWrap/>
                  <w:vAlign w:val="center"/>
                </w:tcPr>
                <w:p w14:paraId="2C19E407">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2.9</w:t>
                  </w:r>
                </w:p>
              </w:tc>
              <w:tc>
                <w:tcPr>
                  <w:tcW w:w="851" w:type="dxa"/>
                  <w:tcBorders>
                    <w:top w:val="single" w:color="auto" w:sz="4" w:space="0"/>
                    <w:left w:val="single" w:color="auto" w:sz="4" w:space="0"/>
                    <w:bottom w:val="single" w:color="auto" w:sz="4" w:space="0"/>
                    <w:right w:val="single" w:color="auto" w:sz="4" w:space="0"/>
                  </w:tcBorders>
                  <w:noWrap/>
                  <w:vAlign w:val="center"/>
                </w:tcPr>
                <w:p w14:paraId="784D9D4F">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2.9</w:t>
                  </w:r>
                </w:p>
              </w:tc>
              <w:tc>
                <w:tcPr>
                  <w:tcW w:w="850" w:type="dxa"/>
                  <w:tcBorders>
                    <w:top w:val="single" w:color="auto" w:sz="4" w:space="0"/>
                    <w:left w:val="single" w:color="auto" w:sz="4" w:space="0"/>
                    <w:bottom w:val="single" w:color="auto" w:sz="4" w:space="0"/>
                    <w:right w:val="single" w:color="auto" w:sz="4" w:space="0"/>
                  </w:tcBorders>
                  <w:noWrap/>
                  <w:vAlign w:val="center"/>
                </w:tcPr>
                <w:p w14:paraId="5498C573">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3</w:t>
                  </w:r>
                </w:p>
              </w:tc>
              <w:tc>
                <w:tcPr>
                  <w:tcW w:w="851" w:type="dxa"/>
                  <w:tcBorders>
                    <w:top w:val="single" w:color="auto" w:sz="4" w:space="0"/>
                    <w:left w:val="single" w:color="auto" w:sz="4" w:space="0"/>
                    <w:bottom w:val="single" w:color="auto" w:sz="4" w:space="0"/>
                    <w:right w:val="single" w:color="auto" w:sz="4" w:space="0"/>
                  </w:tcBorders>
                  <w:vAlign w:val="center"/>
                </w:tcPr>
                <w:p w14:paraId="03DBC065">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3</w:t>
                  </w:r>
                </w:p>
              </w:tc>
              <w:tc>
                <w:tcPr>
                  <w:tcW w:w="782" w:type="dxa"/>
                  <w:tcBorders>
                    <w:top w:val="single" w:color="auto" w:sz="4" w:space="0"/>
                    <w:left w:val="single" w:color="auto" w:sz="4" w:space="0"/>
                    <w:bottom w:val="single" w:color="auto" w:sz="4" w:space="0"/>
                    <w:right w:val="single" w:color="auto" w:sz="4" w:space="0"/>
                  </w:tcBorders>
                  <w:vAlign w:val="center"/>
                </w:tcPr>
                <w:p w14:paraId="2070A096">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3.1</w:t>
                  </w:r>
                </w:p>
              </w:tc>
            </w:tr>
            <w:tr w14:paraId="764E24D9">
              <w:tblPrEx>
                <w:tblCellMar>
                  <w:top w:w="0" w:type="dxa"/>
                  <w:left w:w="108" w:type="dxa"/>
                  <w:bottom w:w="0" w:type="dxa"/>
                  <w:right w:w="108" w:type="dxa"/>
                </w:tblCellMar>
              </w:tblPrEx>
              <w:trPr>
                <w:trHeight w:val="320" w:hRule="atLeast"/>
              </w:trPr>
              <w:tc>
                <w:tcPr>
                  <w:tcW w:w="2151" w:type="dxa"/>
                  <w:tcBorders>
                    <w:top w:val="single" w:color="auto" w:sz="4" w:space="0"/>
                    <w:left w:val="single" w:color="auto" w:sz="4" w:space="0"/>
                    <w:bottom w:val="single" w:color="auto" w:sz="4" w:space="0"/>
                    <w:right w:val="single" w:color="auto" w:sz="4" w:space="0"/>
                  </w:tcBorders>
                  <w:vAlign w:val="center"/>
                </w:tcPr>
                <w:p w14:paraId="2E68B270">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Garnier</w:t>
                  </w:r>
                </w:p>
              </w:tc>
              <w:tc>
                <w:tcPr>
                  <w:tcW w:w="851" w:type="dxa"/>
                  <w:tcBorders>
                    <w:top w:val="single" w:color="auto" w:sz="4" w:space="0"/>
                    <w:left w:val="single" w:color="auto" w:sz="4" w:space="0"/>
                    <w:bottom w:val="single" w:color="auto" w:sz="4" w:space="0"/>
                    <w:right w:val="single" w:color="auto" w:sz="4" w:space="0"/>
                  </w:tcBorders>
                  <w:noWrap/>
                  <w:vAlign w:val="center"/>
                </w:tcPr>
                <w:p w14:paraId="01924EA1">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2</w:t>
                  </w:r>
                </w:p>
              </w:tc>
              <w:tc>
                <w:tcPr>
                  <w:tcW w:w="850" w:type="dxa"/>
                  <w:tcBorders>
                    <w:top w:val="single" w:color="auto" w:sz="4" w:space="0"/>
                    <w:left w:val="single" w:color="auto" w:sz="4" w:space="0"/>
                    <w:bottom w:val="single" w:color="auto" w:sz="4" w:space="0"/>
                    <w:right w:val="single" w:color="auto" w:sz="4" w:space="0"/>
                  </w:tcBorders>
                  <w:noWrap/>
                  <w:vAlign w:val="center"/>
                </w:tcPr>
                <w:p w14:paraId="64DF2517">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2</w:t>
                  </w:r>
                </w:p>
              </w:tc>
              <w:tc>
                <w:tcPr>
                  <w:tcW w:w="851" w:type="dxa"/>
                  <w:tcBorders>
                    <w:top w:val="single" w:color="auto" w:sz="4" w:space="0"/>
                    <w:left w:val="single" w:color="auto" w:sz="4" w:space="0"/>
                    <w:bottom w:val="single" w:color="auto" w:sz="4" w:space="0"/>
                    <w:right w:val="single" w:color="auto" w:sz="4" w:space="0"/>
                  </w:tcBorders>
                  <w:noWrap/>
                  <w:vAlign w:val="center"/>
                </w:tcPr>
                <w:p w14:paraId="5F9EE2CF">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2</w:t>
                  </w:r>
                </w:p>
              </w:tc>
              <w:tc>
                <w:tcPr>
                  <w:tcW w:w="850" w:type="dxa"/>
                  <w:tcBorders>
                    <w:top w:val="single" w:color="auto" w:sz="4" w:space="0"/>
                    <w:left w:val="single" w:color="auto" w:sz="4" w:space="0"/>
                    <w:bottom w:val="single" w:color="auto" w:sz="4" w:space="0"/>
                    <w:right w:val="single" w:color="auto" w:sz="4" w:space="0"/>
                  </w:tcBorders>
                  <w:noWrap/>
                  <w:vAlign w:val="center"/>
                </w:tcPr>
                <w:p w14:paraId="6D700360">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2.1</w:t>
                  </w:r>
                </w:p>
              </w:tc>
              <w:tc>
                <w:tcPr>
                  <w:tcW w:w="851" w:type="dxa"/>
                  <w:tcBorders>
                    <w:top w:val="single" w:color="auto" w:sz="4" w:space="0"/>
                    <w:left w:val="single" w:color="auto" w:sz="4" w:space="0"/>
                    <w:bottom w:val="single" w:color="auto" w:sz="4" w:space="0"/>
                    <w:right w:val="single" w:color="auto" w:sz="4" w:space="0"/>
                  </w:tcBorders>
                  <w:vAlign w:val="center"/>
                </w:tcPr>
                <w:p w14:paraId="7D3E7474">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2.2</w:t>
                  </w:r>
                </w:p>
              </w:tc>
              <w:tc>
                <w:tcPr>
                  <w:tcW w:w="782" w:type="dxa"/>
                  <w:tcBorders>
                    <w:top w:val="single" w:color="auto" w:sz="4" w:space="0"/>
                    <w:left w:val="single" w:color="auto" w:sz="4" w:space="0"/>
                    <w:bottom w:val="single" w:color="auto" w:sz="4" w:space="0"/>
                    <w:right w:val="single" w:color="auto" w:sz="4" w:space="0"/>
                  </w:tcBorders>
                  <w:vAlign w:val="center"/>
                </w:tcPr>
                <w:p w14:paraId="60068CA3">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2.2</w:t>
                  </w:r>
                </w:p>
              </w:tc>
            </w:tr>
            <w:tr w14:paraId="63828B8E">
              <w:tblPrEx>
                <w:tblCellMar>
                  <w:top w:w="0" w:type="dxa"/>
                  <w:left w:w="108" w:type="dxa"/>
                  <w:bottom w:w="0" w:type="dxa"/>
                  <w:right w:w="108" w:type="dxa"/>
                </w:tblCellMar>
              </w:tblPrEx>
              <w:trPr>
                <w:trHeight w:val="320" w:hRule="atLeast"/>
              </w:trPr>
              <w:tc>
                <w:tcPr>
                  <w:tcW w:w="2151" w:type="dxa"/>
                  <w:tcBorders>
                    <w:top w:val="single" w:color="auto" w:sz="4" w:space="0"/>
                    <w:left w:val="single" w:color="auto" w:sz="4" w:space="0"/>
                    <w:bottom w:val="single" w:color="auto" w:sz="4" w:space="0"/>
                    <w:right w:val="single" w:color="auto" w:sz="4" w:space="0"/>
                  </w:tcBorders>
                  <w:vAlign w:val="center"/>
                </w:tcPr>
                <w:p w14:paraId="2EE89EA8">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 xml:space="preserve">Natura </w:t>
                  </w:r>
                </w:p>
              </w:tc>
              <w:tc>
                <w:tcPr>
                  <w:tcW w:w="851" w:type="dxa"/>
                  <w:tcBorders>
                    <w:top w:val="single" w:color="auto" w:sz="4" w:space="0"/>
                    <w:left w:val="single" w:color="auto" w:sz="4" w:space="0"/>
                    <w:bottom w:val="single" w:color="auto" w:sz="4" w:space="0"/>
                    <w:right w:val="single" w:color="auto" w:sz="4" w:space="0"/>
                  </w:tcBorders>
                  <w:noWrap/>
                  <w:vAlign w:val="center"/>
                </w:tcPr>
                <w:p w14:paraId="2D1B5665">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1.6</w:t>
                  </w:r>
                </w:p>
              </w:tc>
              <w:tc>
                <w:tcPr>
                  <w:tcW w:w="850" w:type="dxa"/>
                  <w:tcBorders>
                    <w:top w:val="single" w:color="auto" w:sz="4" w:space="0"/>
                    <w:left w:val="single" w:color="auto" w:sz="4" w:space="0"/>
                    <w:bottom w:val="single" w:color="auto" w:sz="4" w:space="0"/>
                    <w:right w:val="single" w:color="auto" w:sz="4" w:space="0"/>
                  </w:tcBorders>
                  <w:noWrap/>
                  <w:vAlign w:val="center"/>
                </w:tcPr>
                <w:p w14:paraId="0CCE1F7C">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1.5</w:t>
                  </w:r>
                </w:p>
              </w:tc>
              <w:tc>
                <w:tcPr>
                  <w:tcW w:w="851" w:type="dxa"/>
                  <w:tcBorders>
                    <w:top w:val="single" w:color="auto" w:sz="4" w:space="0"/>
                    <w:left w:val="single" w:color="auto" w:sz="4" w:space="0"/>
                    <w:bottom w:val="single" w:color="auto" w:sz="4" w:space="0"/>
                    <w:right w:val="single" w:color="auto" w:sz="4" w:space="0"/>
                  </w:tcBorders>
                  <w:noWrap/>
                  <w:vAlign w:val="center"/>
                </w:tcPr>
                <w:p w14:paraId="5A9A93C3">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1.5</w:t>
                  </w:r>
                </w:p>
              </w:tc>
              <w:tc>
                <w:tcPr>
                  <w:tcW w:w="850" w:type="dxa"/>
                  <w:tcBorders>
                    <w:top w:val="single" w:color="auto" w:sz="4" w:space="0"/>
                    <w:left w:val="single" w:color="auto" w:sz="4" w:space="0"/>
                    <w:bottom w:val="single" w:color="auto" w:sz="4" w:space="0"/>
                    <w:right w:val="single" w:color="auto" w:sz="4" w:space="0"/>
                  </w:tcBorders>
                  <w:noWrap/>
                  <w:vAlign w:val="center"/>
                </w:tcPr>
                <w:p w14:paraId="7723971F">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1.7</w:t>
                  </w:r>
                </w:p>
              </w:tc>
              <w:tc>
                <w:tcPr>
                  <w:tcW w:w="851" w:type="dxa"/>
                  <w:tcBorders>
                    <w:top w:val="single" w:color="auto" w:sz="4" w:space="0"/>
                    <w:left w:val="single" w:color="auto" w:sz="4" w:space="0"/>
                    <w:bottom w:val="single" w:color="auto" w:sz="4" w:space="0"/>
                    <w:right w:val="single" w:color="auto" w:sz="4" w:space="0"/>
                  </w:tcBorders>
                  <w:vAlign w:val="center"/>
                </w:tcPr>
                <w:p w14:paraId="2B69870F">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1.9</w:t>
                  </w:r>
                </w:p>
              </w:tc>
              <w:tc>
                <w:tcPr>
                  <w:tcW w:w="782" w:type="dxa"/>
                  <w:tcBorders>
                    <w:top w:val="single" w:color="auto" w:sz="4" w:space="0"/>
                    <w:left w:val="single" w:color="auto" w:sz="4" w:space="0"/>
                    <w:bottom w:val="single" w:color="auto" w:sz="4" w:space="0"/>
                    <w:right w:val="single" w:color="auto" w:sz="4" w:space="0"/>
                  </w:tcBorders>
                  <w:vAlign w:val="center"/>
                </w:tcPr>
                <w:p w14:paraId="0A6F1B9A">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2</w:t>
                  </w:r>
                </w:p>
              </w:tc>
            </w:tr>
            <w:tr w14:paraId="4B9CF624">
              <w:tblPrEx>
                <w:tblCellMar>
                  <w:top w:w="0" w:type="dxa"/>
                  <w:left w:w="108" w:type="dxa"/>
                  <w:bottom w:w="0" w:type="dxa"/>
                  <w:right w:w="108" w:type="dxa"/>
                </w:tblCellMar>
              </w:tblPrEx>
              <w:trPr>
                <w:trHeight w:val="320" w:hRule="atLeast"/>
              </w:trPr>
              <w:tc>
                <w:tcPr>
                  <w:tcW w:w="2151" w:type="dxa"/>
                  <w:tcBorders>
                    <w:top w:val="single" w:color="auto" w:sz="4" w:space="0"/>
                    <w:left w:val="single" w:color="auto" w:sz="4" w:space="0"/>
                    <w:bottom w:val="single" w:color="auto" w:sz="4" w:space="0"/>
                    <w:right w:val="single" w:color="auto" w:sz="4" w:space="0"/>
                  </w:tcBorders>
                  <w:vAlign w:val="center"/>
                </w:tcPr>
                <w:p w14:paraId="2230B1A9">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 xml:space="preserve">Pantene </w:t>
                  </w:r>
                </w:p>
              </w:tc>
              <w:tc>
                <w:tcPr>
                  <w:tcW w:w="851" w:type="dxa"/>
                  <w:tcBorders>
                    <w:top w:val="single" w:color="auto" w:sz="4" w:space="0"/>
                    <w:left w:val="single" w:color="auto" w:sz="4" w:space="0"/>
                    <w:bottom w:val="single" w:color="auto" w:sz="4" w:space="0"/>
                    <w:right w:val="single" w:color="auto" w:sz="4" w:space="0"/>
                  </w:tcBorders>
                  <w:noWrap/>
                  <w:vAlign w:val="center"/>
                </w:tcPr>
                <w:p w14:paraId="411C6986">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1.6</w:t>
                  </w:r>
                </w:p>
              </w:tc>
              <w:tc>
                <w:tcPr>
                  <w:tcW w:w="850" w:type="dxa"/>
                  <w:tcBorders>
                    <w:top w:val="single" w:color="auto" w:sz="4" w:space="0"/>
                    <w:left w:val="single" w:color="auto" w:sz="4" w:space="0"/>
                    <w:bottom w:val="single" w:color="auto" w:sz="4" w:space="0"/>
                    <w:right w:val="single" w:color="auto" w:sz="4" w:space="0"/>
                  </w:tcBorders>
                  <w:noWrap/>
                  <w:vAlign w:val="center"/>
                </w:tcPr>
                <w:p w14:paraId="7A091E4E">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1.7</w:t>
                  </w:r>
                </w:p>
              </w:tc>
              <w:tc>
                <w:tcPr>
                  <w:tcW w:w="851" w:type="dxa"/>
                  <w:tcBorders>
                    <w:top w:val="single" w:color="auto" w:sz="4" w:space="0"/>
                    <w:left w:val="single" w:color="auto" w:sz="4" w:space="0"/>
                    <w:bottom w:val="single" w:color="auto" w:sz="4" w:space="0"/>
                    <w:right w:val="single" w:color="auto" w:sz="4" w:space="0"/>
                  </w:tcBorders>
                  <w:noWrap/>
                  <w:vAlign w:val="center"/>
                </w:tcPr>
                <w:p w14:paraId="4ADC945D">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1.7</w:t>
                  </w:r>
                </w:p>
              </w:tc>
              <w:tc>
                <w:tcPr>
                  <w:tcW w:w="850" w:type="dxa"/>
                  <w:tcBorders>
                    <w:top w:val="single" w:color="auto" w:sz="4" w:space="0"/>
                    <w:left w:val="single" w:color="auto" w:sz="4" w:space="0"/>
                    <w:bottom w:val="single" w:color="auto" w:sz="4" w:space="0"/>
                    <w:right w:val="single" w:color="auto" w:sz="4" w:space="0"/>
                  </w:tcBorders>
                  <w:noWrap/>
                  <w:vAlign w:val="center"/>
                </w:tcPr>
                <w:p w14:paraId="0B34A1B5">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1.7</w:t>
                  </w:r>
                </w:p>
              </w:tc>
              <w:tc>
                <w:tcPr>
                  <w:tcW w:w="851" w:type="dxa"/>
                  <w:tcBorders>
                    <w:top w:val="single" w:color="auto" w:sz="4" w:space="0"/>
                    <w:left w:val="single" w:color="auto" w:sz="4" w:space="0"/>
                    <w:bottom w:val="single" w:color="auto" w:sz="4" w:space="0"/>
                    <w:right w:val="single" w:color="auto" w:sz="4" w:space="0"/>
                  </w:tcBorders>
                  <w:vAlign w:val="center"/>
                </w:tcPr>
                <w:p w14:paraId="7D2C6222">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1.7</w:t>
                  </w:r>
                </w:p>
              </w:tc>
              <w:tc>
                <w:tcPr>
                  <w:tcW w:w="782" w:type="dxa"/>
                  <w:tcBorders>
                    <w:top w:val="single" w:color="auto" w:sz="4" w:space="0"/>
                    <w:left w:val="single" w:color="auto" w:sz="4" w:space="0"/>
                    <w:bottom w:val="single" w:color="auto" w:sz="4" w:space="0"/>
                    <w:right w:val="single" w:color="auto" w:sz="4" w:space="0"/>
                  </w:tcBorders>
                  <w:vAlign w:val="center"/>
                </w:tcPr>
                <w:p w14:paraId="2ABDBA33">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1.7</w:t>
                  </w:r>
                </w:p>
              </w:tc>
            </w:tr>
            <w:tr w14:paraId="528EE10A">
              <w:tblPrEx>
                <w:tblCellMar>
                  <w:top w:w="0" w:type="dxa"/>
                  <w:left w:w="108" w:type="dxa"/>
                  <w:bottom w:w="0" w:type="dxa"/>
                  <w:right w:w="108" w:type="dxa"/>
                </w:tblCellMar>
              </w:tblPrEx>
              <w:trPr>
                <w:trHeight w:val="112" w:hRule="atLeast"/>
              </w:trPr>
              <w:tc>
                <w:tcPr>
                  <w:tcW w:w="2151" w:type="dxa"/>
                  <w:tcBorders>
                    <w:top w:val="single" w:color="auto" w:sz="4" w:space="0"/>
                    <w:left w:val="single" w:color="auto" w:sz="4" w:space="0"/>
                    <w:bottom w:val="single" w:color="auto" w:sz="4" w:space="0"/>
                    <w:right w:val="single" w:color="auto" w:sz="4" w:space="0"/>
                  </w:tcBorders>
                  <w:vAlign w:val="center"/>
                </w:tcPr>
                <w:p w14:paraId="5F9BA515">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 xml:space="preserve">Maybelline New York </w:t>
                  </w:r>
                </w:p>
              </w:tc>
              <w:tc>
                <w:tcPr>
                  <w:tcW w:w="851" w:type="dxa"/>
                  <w:tcBorders>
                    <w:top w:val="single" w:color="auto" w:sz="4" w:space="0"/>
                    <w:left w:val="single" w:color="auto" w:sz="4" w:space="0"/>
                    <w:bottom w:val="single" w:color="auto" w:sz="4" w:space="0"/>
                    <w:right w:val="single" w:color="auto" w:sz="4" w:space="0"/>
                  </w:tcBorders>
                  <w:noWrap/>
                  <w:vAlign w:val="center"/>
                </w:tcPr>
                <w:p w14:paraId="711906F2">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1.6</w:t>
                  </w:r>
                </w:p>
              </w:tc>
              <w:tc>
                <w:tcPr>
                  <w:tcW w:w="850" w:type="dxa"/>
                  <w:tcBorders>
                    <w:top w:val="single" w:color="auto" w:sz="4" w:space="0"/>
                    <w:left w:val="single" w:color="auto" w:sz="4" w:space="0"/>
                    <w:bottom w:val="single" w:color="auto" w:sz="4" w:space="0"/>
                    <w:right w:val="single" w:color="auto" w:sz="4" w:space="0"/>
                  </w:tcBorders>
                  <w:noWrap/>
                  <w:vAlign w:val="center"/>
                </w:tcPr>
                <w:p w14:paraId="682C5677">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1.3</w:t>
                  </w:r>
                </w:p>
              </w:tc>
              <w:tc>
                <w:tcPr>
                  <w:tcW w:w="851" w:type="dxa"/>
                  <w:tcBorders>
                    <w:top w:val="single" w:color="auto" w:sz="4" w:space="0"/>
                    <w:left w:val="single" w:color="auto" w:sz="4" w:space="0"/>
                    <w:bottom w:val="single" w:color="auto" w:sz="4" w:space="0"/>
                    <w:right w:val="single" w:color="auto" w:sz="4" w:space="0"/>
                  </w:tcBorders>
                  <w:noWrap/>
                  <w:vAlign w:val="center"/>
                </w:tcPr>
                <w:p w14:paraId="07FE0A72">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1.4</w:t>
                  </w:r>
                </w:p>
              </w:tc>
              <w:tc>
                <w:tcPr>
                  <w:tcW w:w="850" w:type="dxa"/>
                  <w:tcBorders>
                    <w:top w:val="single" w:color="auto" w:sz="4" w:space="0"/>
                    <w:left w:val="single" w:color="auto" w:sz="4" w:space="0"/>
                    <w:bottom w:val="single" w:color="auto" w:sz="4" w:space="0"/>
                    <w:right w:val="single" w:color="auto" w:sz="4" w:space="0"/>
                  </w:tcBorders>
                  <w:noWrap/>
                  <w:vAlign w:val="center"/>
                </w:tcPr>
                <w:p w14:paraId="37E36A84">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1.5</w:t>
                  </w:r>
                </w:p>
              </w:tc>
              <w:tc>
                <w:tcPr>
                  <w:tcW w:w="851" w:type="dxa"/>
                  <w:tcBorders>
                    <w:top w:val="single" w:color="auto" w:sz="4" w:space="0"/>
                    <w:left w:val="single" w:color="auto" w:sz="4" w:space="0"/>
                    <w:bottom w:val="single" w:color="auto" w:sz="4" w:space="0"/>
                    <w:right w:val="single" w:color="auto" w:sz="4" w:space="0"/>
                  </w:tcBorders>
                  <w:vAlign w:val="center"/>
                </w:tcPr>
                <w:p w14:paraId="2A7A1F26">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1.5</w:t>
                  </w:r>
                </w:p>
              </w:tc>
              <w:tc>
                <w:tcPr>
                  <w:tcW w:w="782" w:type="dxa"/>
                  <w:tcBorders>
                    <w:top w:val="single" w:color="auto" w:sz="4" w:space="0"/>
                    <w:left w:val="single" w:color="auto" w:sz="4" w:space="0"/>
                    <w:bottom w:val="single" w:color="auto" w:sz="4" w:space="0"/>
                    <w:right w:val="single" w:color="auto" w:sz="4" w:space="0"/>
                  </w:tcBorders>
                  <w:vAlign w:val="center"/>
                </w:tcPr>
                <w:p w14:paraId="2A09BC70">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1.5</w:t>
                  </w:r>
                </w:p>
              </w:tc>
            </w:tr>
            <w:tr w14:paraId="17CE1BB8">
              <w:tblPrEx>
                <w:tblCellMar>
                  <w:top w:w="0" w:type="dxa"/>
                  <w:left w:w="108" w:type="dxa"/>
                  <w:bottom w:w="0" w:type="dxa"/>
                  <w:right w:w="108" w:type="dxa"/>
                </w:tblCellMar>
              </w:tblPrEx>
              <w:trPr>
                <w:trHeight w:val="320" w:hRule="atLeast"/>
              </w:trPr>
              <w:tc>
                <w:tcPr>
                  <w:tcW w:w="2151" w:type="dxa"/>
                  <w:tcBorders>
                    <w:top w:val="single" w:color="auto" w:sz="4" w:space="0"/>
                    <w:left w:val="single" w:color="auto" w:sz="4" w:space="0"/>
                    <w:bottom w:val="single" w:color="auto" w:sz="4" w:space="0"/>
                    <w:right w:val="single" w:color="auto" w:sz="4" w:space="0"/>
                  </w:tcBorders>
                  <w:vAlign w:val="center"/>
                </w:tcPr>
                <w:p w14:paraId="4E5C19FE">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 xml:space="preserve">Head &amp; Shoulders </w:t>
                  </w:r>
                </w:p>
              </w:tc>
              <w:tc>
                <w:tcPr>
                  <w:tcW w:w="851" w:type="dxa"/>
                  <w:tcBorders>
                    <w:top w:val="single" w:color="auto" w:sz="4" w:space="0"/>
                    <w:left w:val="single" w:color="auto" w:sz="4" w:space="0"/>
                    <w:bottom w:val="single" w:color="auto" w:sz="4" w:space="0"/>
                    <w:right w:val="single" w:color="auto" w:sz="4" w:space="0"/>
                  </w:tcBorders>
                  <w:noWrap/>
                  <w:vAlign w:val="center"/>
                </w:tcPr>
                <w:p w14:paraId="3E5E0B8D">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1.4</w:t>
                  </w:r>
                </w:p>
              </w:tc>
              <w:tc>
                <w:tcPr>
                  <w:tcW w:w="850" w:type="dxa"/>
                  <w:tcBorders>
                    <w:top w:val="single" w:color="auto" w:sz="4" w:space="0"/>
                    <w:left w:val="single" w:color="auto" w:sz="4" w:space="0"/>
                    <w:bottom w:val="single" w:color="auto" w:sz="4" w:space="0"/>
                    <w:right w:val="single" w:color="auto" w:sz="4" w:space="0"/>
                  </w:tcBorders>
                  <w:noWrap/>
                  <w:vAlign w:val="center"/>
                </w:tcPr>
                <w:p w14:paraId="38EDF7BD">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1.4</w:t>
                  </w:r>
                </w:p>
              </w:tc>
              <w:tc>
                <w:tcPr>
                  <w:tcW w:w="851" w:type="dxa"/>
                  <w:tcBorders>
                    <w:top w:val="single" w:color="auto" w:sz="4" w:space="0"/>
                    <w:left w:val="single" w:color="auto" w:sz="4" w:space="0"/>
                    <w:bottom w:val="single" w:color="auto" w:sz="4" w:space="0"/>
                    <w:right w:val="single" w:color="auto" w:sz="4" w:space="0"/>
                  </w:tcBorders>
                  <w:noWrap/>
                  <w:vAlign w:val="center"/>
                </w:tcPr>
                <w:p w14:paraId="1C45ED7F">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1.4</w:t>
                  </w:r>
                </w:p>
              </w:tc>
              <w:tc>
                <w:tcPr>
                  <w:tcW w:w="850" w:type="dxa"/>
                  <w:tcBorders>
                    <w:top w:val="single" w:color="auto" w:sz="4" w:space="0"/>
                    <w:left w:val="single" w:color="auto" w:sz="4" w:space="0"/>
                    <w:bottom w:val="single" w:color="auto" w:sz="4" w:space="0"/>
                    <w:right w:val="single" w:color="auto" w:sz="4" w:space="0"/>
                  </w:tcBorders>
                  <w:noWrap/>
                  <w:vAlign w:val="center"/>
                </w:tcPr>
                <w:p w14:paraId="41B4E0D3">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1.4</w:t>
                  </w:r>
                </w:p>
              </w:tc>
              <w:tc>
                <w:tcPr>
                  <w:tcW w:w="851" w:type="dxa"/>
                  <w:tcBorders>
                    <w:top w:val="single" w:color="auto" w:sz="4" w:space="0"/>
                    <w:left w:val="single" w:color="auto" w:sz="4" w:space="0"/>
                    <w:bottom w:val="single" w:color="auto" w:sz="4" w:space="0"/>
                    <w:right w:val="single" w:color="auto" w:sz="4" w:space="0"/>
                  </w:tcBorders>
                  <w:vAlign w:val="center"/>
                </w:tcPr>
                <w:p w14:paraId="5321E7A0">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1.3</w:t>
                  </w:r>
                </w:p>
              </w:tc>
              <w:tc>
                <w:tcPr>
                  <w:tcW w:w="782" w:type="dxa"/>
                  <w:tcBorders>
                    <w:top w:val="single" w:color="auto" w:sz="4" w:space="0"/>
                    <w:left w:val="single" w:color="auto" w:sz="4" w:space="0"/>
                    <w:bottom w:val="single" w:color="auto" w:sz="4" w:space="0"/>
                    <w:right w:val="single" w:color="auto" w:sz="4" w:space="0"/>
                  </w:tcBorders>
                  <w:vAlign w:val="center"/>
                </w:tcPr>
                <w:p w14:paraId="56BFD152">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1.3</w:t>
                  </w:r>
                </w:p>
              </w:tc>
            </w:tr>
            <w:tr w14:paraId="24A53BF6">
              <w:tblPrEx>
                <w:tblCellMar>
                  <w:top w:w="0" w:type="dxa"/>
                  <w:left w:w="108" w:type="dxa"/>
                  <w:bottom w:w="0" w:type="dxa"/>
                  <w:right w:w="108" w:type="dxa"/>
                </w:tblCellMar>
              </w:tblPrEx>
              <w:trPr>
                <w:trHeight w:val="320" w:hRule="atLeast"/>
              </w:trPr>
              <w:tc>
                <w:tcPr>
                  <w:tcW w:w="2151" w:type="dxa"/>
                  <w:tcBorders>
                    <w:top w:val="single" w:color="auto" w:sz="4" w:space="0"/>
                    <w:left w:val="single" w:color="auto" w:sz="4" w:space="0"/>
                    <w:bottom w:val="single" w:color="auto" w:sz="4" w:space="0"/>
                    <w:right w:val="single" w:color="auto" w:sz="4" w:space="0"/>
                  </w:tcBorders>
                  <w:vAlign w:val="center"/>
                </w:tcPr>
                <w:p w14:paraId="590A2F05">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O Boticário</w:t>
                  </w:r>
                </w:p>
              </w:tc>
              <w:tc>
                <w:tcPr>
                  <w:tcW w:w="851" w:type="dxa"/>
                  <w:tcBorders>
                    <w:top w:val="single" w:color="auto" w:sz="4" w:space="0"/>
                    <w:left w:val="single" w:color="auto" w:sz="4" w:space="0"/>
                    <w:bottom w:val="single" w:color="auto" w:sz="4" w:space="0"/>
                    <w:right w:val="single" w:color="auto" w:sz="4" w:space="0"/>
                  </w:tcBorders>
                  <w:noWrap/>
                  <w:vAlign w:val="center"/>
                </w:tcPr>
                <w:p w14:paraId="76BAB019">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1</w:t>
                  </w:r>
                </w:p>
              </w:tc>
              <w:tc>
                <w:tcPr>
                  <w:tcW w:w="850" w:type="dxa"/>
                  <w:tcBorders>
                    <w:top w:val="single" w:color="auto" w:sz="4" w:space="0"/>
                    <w:left w:val="single" w:color="auto" w:sz="4" w:space="0"/>
                    <w:bottom w:val="single" w:color="auto" w:sz="4" w:space="0"/>
                    <w:right w:val="single" w:color="auto" w:sz="4" w:space="0"/>
                  </w:tcBorders>
                  <w:noWrap/>
                  <w:vAlign w:val="center"/>
                </w:tcPr>
                <w:p w14:paraId="7302B4C0">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0.8</w:t>
                  </w:r>
                </w:p>
              </w:tc>
              <w:tc>
                <w:tcPr>
                  <w:tcW w:w="851" w:type="dxa"/>
                  <w:tcBorders>
                    <w:top w:val="single" w:color="auto" w:sz="4" w:space="0"/>
                    <w:left w:val="single" w:color="auto" w:sz="4" w:space="0"/>
                    <w:bottom w:val="single" w:color="auto" w:sz="4" w:space="0"/>
                    <w:right w:val="single" w:color="auto" w:sz="4" w:space="0"/>
                  </w:tcBorders>
                  <w:noWrap/>
                  <w:vAlign w:val="center"/>
                </w:tcPr>
                <w:p w14:paraId="49DD2BC0">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0.7</w:t>
                  </w:r>
                </w:p>
              </w:tc>
              <w:tc>
                <w:tcPr>
                  <w:tcW w:w="850" w:type="dxa"/>
                  <w:tcBorders>
                    <w:top w:val="single" w:color="auto" w:sz="4" w:space="0"/>
                    <w:left w:val="single" w:color="auto" w:sz="4" w:space="0"/>
                    <w:bottom w:val="single" w:color="auto" w:sz="4" w:space="0"/>
                    <w:right w:val="single" w:color="auto" w:sz="4" w:space="0"/>
                  </w:tcBorders>
                  <w:noWrap/>
                  <w:vAlign w:val="center"/>
                </w:tcPr>
                <w:p w14:paraId="44E44449">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1</w:t>
                  </w:r>
                </w:p>
              </w:tc>
              <w:tc>
                <w:tcPr>
                  <w:tcW w:w="851" w:type="dxa"/>
                  <w:tcBorders>
                    <w:top w:val="single" w:color="auto" w:sz="4" w:space="0"/>
                    <w:left w:val="single" w:color="auto" w:sz="4" w:space="0"/>
                    <w:bottom w:val="single" w:color="auto" w:sz="4" w:space="0"/>
                    <w:right w:val="single" w:color="auto" w:sz="4" w:space="0"/>
                  </w:tcBorders>
                  <w:vAlign w:val="center"/>
                </w:tcPr>
                <w:p w14:paraId="041C6EB4">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1.2</w:t>
                  </w:r>
                </w:p>
              </w:tc>
              <w:tc>
                <w:tcPr>
                  <w:tcW w:w="782" w:type="dxa"/>
                  <w:tcBorders>
                    <w:top w:val="single" w:color="auto" w:sz="4" w:space="0"/>
                    <w:left w:val="single" w:color="auto" w:sz="4" w:space="0"/>
                    <w:bottom w:val="single" w:color="auto" w:sz="4" w:space="0"/>
                    <w:right w:val="single" w:color="auto" w:sz="4" w:space="0"/>
                  </w:tcBorders>
                  <w:vAlign w:val="center"/>
                </w:tcPr>
                <w:p w14:paraId="51CF9C1F">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1.2</w:t>
                  </w:r>
                </w:p>
              </w:tc>
            </w:tr>
            <w:tr w14:paraId="72C54E19">
              <w:tblPrEx>
                <w:tblCellMar>
                  <w:top w:w="0" w:type="dxa"/>
                  <w:left w:w="108" w:type="dxa"/>
                  <w:bottom w:w="0" w:type="dxa"/>
                  <w:right w:w="108" w:type="dxa"/>
                </w:tblCellMar>
              </w:tblPrEx>
              <w:trPr>
                <w:trHeight w:val="320" w:hRule="atLeast"/>
              </w:trPr>
              <w:tc>
                <w:tcPr>
                  <w:tcW w:w="2151" w:type="dxa"/>
                  <w:tcBorders>
                    <w:top w:val="single" w:color="auto" w:sz="4" w:space="0"/>
                    <w:left w:val="single" w:color="auto" w:sz="4" w:space="0"/>
                    <w:bottom w:val="single" w:color="auto" w:sz="4" w:space="0"/>
                    <w:right w:val="single" w:color="auto" w:sz="4" w:space="0"/>
                  </w:tcBorders>
                  <w:vAlign w:val="center"/>
                </w:tcPr>
                <w:p w14:paraId="71FA1904">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 xml:space="preserve">Olay </w:t>
                  </w:r>
                </w:p>
              </w:tc>
              <w:tc>
                <w:tcPr>
                  <w:tcW w:w="851" w:type="dxa"/>
                  <w:tcBorders>
                    <w:top w:val="single" w:color="auto" w:sz="4" w:space="0"/>
                    <w:left w:val="single" w:color="auto" w:sz="4" w:space="0"/>
                    <w:bottom w:val="single" w:color="auto" w:sz="4" w:space="0"/>
                    <w:right w:val="single" w:color="auto" w:sz="4" w:space="0"/>
                  </w:tcBorders>
                  <w:noWrap/>
                  <w:vAlign w:val="center"/>
                </w:tcPr>
                <w:p w14:paraId="229EA7B0">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1.2</w:t>
                  </w:r>
                </w:p>
              </w:tc>
              <w:tc>
                <w:tcPr>
                  <w:tcW w:w="850" w:type="dxa"/>
                  <w:tcBorders>
                    <w:top w:val="single" w:color="auto" w:sz="4" w:space="0"/>
                    <w:left w:val="single" w:color="auto" w:sz="4" w:space="0"/>
                    <w:bottom w:val="single" w:color="auto" w:sz="4" w:space="0"/>
                    <w:right w:val="single" w:color="auto" w:sz="4" w:space="0"/>
                  </w:tcBorders>
                  <w:noWrap/>
                  <w:vAlign w:val="center"/>
                </w:tcPr>
                <w:p w14:paraId="3B93E0E1">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1.3</w:t>
                  </w:r>
                </w:p>
              </w:tc>
              <w:tc>
                <w:tcPr>
                  <w:tcW w:w="851" w:type="dxa"/>
                  <w:tcBorders>
                    <w:top w:val="single" w:color="auto" w:sz="4" w:space="0"/>
                    <w:left w:val="single" w:color="auto" w:sz="4" w:space="0"/>
                    <w:bottom w:val="single" w:color="auto" w:sz="4" w:space="0"/>
                    <w:right w:val="single" w:color="auto" w:sz="4" w:space="0"/>
                  </w:tcBorders>
                  <w:noWrap/>
                  <w:vAlign w:val="center"/>
                </w:tcPr>
                <w:p w14:paraId="3326FEB1">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1.3</w:t>
                  </w:r>
                </w:p>
              </w:tc>
              <w:tc>
                <w:tcPr>
                  <w:tcW w:w="850" w:type="dxa"/>
                  <w:tcBorders>
                    <w:top w:val="single" w:color="auto" w:sz="4" w:space="0"/>
                    <w:left w:val="single" w:color="auto" w:sz="4" w:space="0"/>
                    <w:bottom w:val="single" w:color="auto" w:sz="4" w:space="0"/>
                    <w:right w:val="single" w:color="auto" w:sz="4" w:space="0"/>
                  </w:tcBorders>
                  <w:noWrap/>
                  <w:vAlign w:val="center"/>
                </w:tcPr>
                <w:p w14:paraId="7A0595CD">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1.3</w:t>
                  </w:r>
                </w:p>
              </w:tc>
              <w:tc>
                <w:tcPr>
                  <w:tcW w:w="851" w:type="dxa"/>
                  <w:tcBorders>
                    <w:top w:val="single" w:color="auto" w:sz="4" w:space="0"/>
                    <w:left w:val="single" w:color="auto" w:sz="4" w:space="0"/>
                    <w:bottom w:val="single" w:color="auto" w:sz="4" w:space="0"/>
                    <w:right w:val="single" w:color="auto" w:sz="4" w:space="0"/>
                  </w:tcBorders>
                  <w:vAlign w:val="center"/>
                </w:tcPr>
                <w:p w14:paraId="4350E0F1">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1.2</w:t>
                  </w:r>
                </w:p>
              </w:tc>
              <w:tc>
                <w:tcPr>
                  <w:tcW w:w="782" w:type="dxa"/>
                  <w:tcBorders>
                    <w:top w:val="single" w:color="auto" w:sz="4" w:space="0"/>
                    <w:left w:val="single" w:color="auto" w:sz="4" w:space="0"/>
                    <w:bottom w:val="single" w:color="auto" w:sz="4" w:space="0"/>
                    <w:right w:val="single" w:color="auto" w:sz="4" w:space="0"/>
                  </w:tcBorders>
                  <w:vAlign w:val="center"/>
                </w:tcPr>
                <w:p w14:paraId="10D266FA">
                  <w:pPr>
                    <w:jc w:val="center"/>
                    <w:rPr>
                      <w:rFonts w:hint="default" w:ascii="Calibri" w:hAnsi="Calibri" w:eastAsia="楷体_GB2312" w:cs="Calibri"/>
                      <w:color w:val="000000"/>
                      <w:sz w:val="22"/>
                      <w:szCs w:val="22"/>
                    </w:rPr>
                  </w:pPr>
                  <w:r>
                    <w:rPr>
                      <w:rFonts w:hint="default" w:ascii="Calibri" w:hAnsi="Calibri" w:eastAsia="楷体_GB2312" w:cs="Calibri"/>
                      <w:color w:val="000000"/>
                      <w:sz w:val="22"/>
                      <w:szCs w:val="22"/>
                    </w:rPr>
                    <w:t>1.2</w:t>
                  </w:r>
                </w:p>
              </w:tc>
            </w:tr>
          </w:tbl>
          <w:p w14:paraId="165207A6">
            <w:pPr>
              <w:spacing w:before="48" w:beforeLines="20" w:after="48" w:afterLines="20"/>
              <w:jc w:val="center"/>
              <w:textAlignment w:val="center"/>
              <w:rPr>
                <w:rFonts w:hint="default" w:ascii="Calibri" w:hAnsi="Calibri" w:eastAsia="楷体_GB2312" w:cs="Calibri"/>
                <w:b/>
                <w:bCs/>
                <w:sz w:val="20"/>
                <w:szCs w:val="20"/>
              </w:rPr>
            </w:pPr>
          </w:p>
        </w:tc>
      </w:tr>
      <w:tr w14:paraId="73991303">
        <w:tblPrEx>
          <w:tblCellMar>
            <w:top w:w="0" w:type="dxa"/>
            <w:left w:w="108" w:type="dxa"/>
            <w:bottom w:w="0" w:type="dxa"/>
            <w:right w:w="108" w:type="dxa"/>
          </w:tblCellMar>
        </w:tblPrEx>
        <w:trPr>
          <w:trHeight w:val="342" w:hRule="atLeast"/>
        </w:trPr>
        <w:tc>
          <w:tcPr>
            <w:tcW w:w="7466" w:type="dxa"/>
            <w:tcBorders>
              <w:top w:val="single" w:color="auto" w:sz="4" w:space="0"/>
            </w:tcBorders>
            <w:tcMar>
              <w:left w:w="0" w:type="dxa"/>
              <w:right w:w="28" w:type="dxa"/>
            </w:tcMar>
            <w:vAlign w:val="center"/>
          </w:tcPr>
          <w:p w14:paraId="5E68BFF5">
            <w:pPr>
              <w:spacing w:line="240" w:lineRule="atLeast"/>
              <w:jc w:val="both"/>
              <w:textAlignment w:val="center"/>
              <w:rPr>
                <w:rFonts w:hint="default" w:ascii="Calibri" w:hAnsi="Calibri" w:eastAsia="楷体_GB2312" w:cs="Calibri"/>
                <w:b w:val="0"/>
                <w:bCs w:val="0"/>
                <w:sz w:val="20"/>
                <w:szCs w:val="20"/>
              </w:rPr>
            </w:pPr>
            <w:r>
              <w:rPr>
                <w:rFonts w:hint="default" w:ascii="Calibri" w:hAnsi="Calibri" w:eastAsia="楷体_GB2312" w:cs="Calibri"/>
                <w:b w:val="0"/>
                <w:bCs w:val="0"/>
                <w:sz w:val="20"/>
                <w:szCs w:val="20"/>
              </w:rPr>
              <w:t>Source: Euromonitor，HFI</w:t>
            </w:r>
          </w:p>
        </w:tc>
      </w:tr>
    </w:tbl>
    <w:p w14:paraId="527B4157">
      <w:pPr>
        <w:rPr>
          <w:rFonts w:hint="default" w:ascii="Calibri" w:hAnsi="Calibri" w:eastAsia="楷体_GB2312" w:cs="Calibri"/>
        </w:rPr>
      </w:pPr>
    </w:p>
    <w:p w14:paraId="5D868C22">
      <w:pPr>
        <w:tabs>
          <w:tab w:val="left" w:pos="871"/>
        </w:tabs>
        <w:jc w:val="both"/>
        <w:rPr>
          <w:rFonts w:hint="default" w:ascii="Calibri" w:hAnsi="Calibri" w:eastAsia="楷体_GB2312" w:cs="Calibri"/>
          <w:sz w:val="22"/>
          <w:szCs w:val="22"/>
        </w:rPr>
      </w:pPr>
      <w:r>
        <w:rPr>
          <w:rFonts w:hint="default" w:ascii="Calibri" w:hAnsi="Calibri" w:eastAsia="楷体_GB2312" w:cs="Calibri"/>
          <w:b/>
          <w:bCs/>
          <w:sz w:val="22"/>
          <w:szCs w:val="22"/>
        </w:rPr>
        <w:t>2）In the global high-end beauty and personal care market, L’Oréal Group has maintained a steady and rising market share.</w:t>
      </w:r>
      <w:r>
        <w:rPr>
          <w:rFonts w:hint="default" w:ascii="Calibri" w:hAnsi="Calibri" w:eastAsia="楷体_GB2312" w:cs="Calibri"/>
          <w:sz w:val="22"/>
          <w:szCs w:val="22"/>
        </w:rPr>
        <w:t xml:space="preserve"> According to Euromonitor data, the combined share of the Group’s brands increased from 8.4% in 2019 to 10.0% in 2024, representing a rise of 1.6 percentage points over five years, and among the top five brands, Lancôme (owned by the Group) remained stable at 4.2% and retained its leading position, Chanel rose from 3.2% to 3.6%, Christian Dior edged up slightly from 3.0% to 3.1%, La Roche-Posay (owned by the Group) grew significantly from 1.6% to 2.8%, climbing to fourth place, and Estée Lauder declined from 3.5% to 2.8%, with two major brands of the Group together contributing approximately 7.0% of the market share, and the increase in L’Oréal’s share was mainly driven by the recovery of high-end consumption in the Asia-Pacific region and growing consumer preference for products combining luxury and efficacy.</w:t>
      </w:r>
    </w:p>
    <w:p w14:paraId="071F9F1F">
      <w:pPr>
        <w:rPr>
          <w:rFonts w:hint="default" w:ascii="Calibri" w:hAnsi="Calibri" w:eastAsia="楷体_GB2312" w:cs="Calibri"/>
        </w:rPr>
      </w:pPr>
      <w:r>
        <w:rPr>
          <w:rFonts w:hint="default" w:ascii="Calibri" w:hAnsi="Calibri" w:eastAsia="楷体_GB2312" w:cs="Calibri"/>
        </w:rPr>
        <w:br w:type="page"/>
      </w:r>
    </w:p>
    <w:tbl>
      <w:tblPr>
        <w:tblStyle w:val="12"/>
        <w:tblW w:w="7466" w:type="dxa"/>
        <w:tblInd w:w="0" w:type="dxa"/>
        <w:tblLayout w:type="fixed"/>
        <w:tblCellMar>
          <w:top w:w="0" w:type="dxa"/>
          <w:left w:w="108" w:type="dxa"/>
          <w:bottom w:w="0" w:type="dxa"/>
          <w:right w:w="108" w:type="dxa"/>
        </w:tblCellMar>
      </w:tblPr>
      <w:tblGrid>
        <w:gridCol w:w="7466"/>
      </w:tblGrid>
      <w:tr w14:paraId="769DAD75">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533A1753">
            <w:pPr>
              <w:spacing w:before="48" w:beforeLines="20" w:after="48" w:afterLines="20"/>
              <w:jc w:val="both"/>
              <w:textAlignment w:val="center"/>
              <w:rPr>
                <w:rFonts w:hint="default" w:ascii="Calibri" w:hAnsi="Calibri" w:eastAsia="楷体_GB2312" w:cs="Calibri"/>
                <w:b/>
                <w:sz w:val="20"/>
                <w:szCs w:val="20"/>
              </w:rPr>
            </w:pPr>
            <w:r>
              <w:rPr>
                <w:rFonts w:hint="default" w:ascii="Calibri" w:hAnsi="Calibri" w:eastAsia="楷体_GB2312" w:cs="Calibri"/>
                <w:b/>
                <w:sz w:val="20"/>
                <w:szCs w:val="20"/>
              </w:rPr>
              <w:t>Figure: Market Share of the Top 10 Brands in the Global High-End Beauty &amp; Personal Care Market, 2019–2024 (%)</w:t>
            </w:r>
          </w:p>
        </w:tc>
      </w:tr>
      <w:tr w14:paraId="4B408CE0">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tbl>
            <w:tblPr>
              <w:tblStyle w:val="12"/>
              <w:tblW w:w="7259" w:type="dxa"/>
              <w:tblInd w:w="0" w:type="dxa"/>
              <w:tblLayout w:type="fixed"/>
              <w:tblCellMar>
                <w:top w:w="0" w:type="dxa"/>
                <w:left w:w="108" w:type="dxa"/>
                <w:bottom w:w="0" w:type="dxa"/>
                <w:right w:w="108" w:type="dxa"/>
              </w:tblCellMar>
            </w:tblPr>
            <w:tblGrid>
              <w:gridCol w:w="1731"/>
              <w:gridCol w:w="987"/>
              <w:gridCol w:w="993"/>
              <w:gridCol w:w="992"/>
              <w:gridCol w:w="855"/>
              <w:gridCol w:w="851"/>
              <w:gridCol w:w="850"/>
            </w:tblGrid>
            <w:tr w14:paraId="64CA0779">
              <w:tblPrEx>
                <w:tblCellMar>
                  <w:top w:w="0" w:type="dxa"/>
                  <w:left w:w="108" w:type="dxa"/>
                  <w:bottom w:w="0" w:type="dxa"/>
                  <w:right w:w="108" w:type="dxa"/>
                </w:tblCellMar>
              </w:tblPrEx>
              <w:trPr>
                <w:trHeight w:val="280" w:hRule="atLeast"/>
              </w:trPr>
              <w:tc>
                <w:tcPr>
                  <w:tcW w:w="1731" w:type="dxa"/>
                  <w:tcBorders>
                    <w:top w:val="single" w:color="auto" w:sz="4" w:space="0"/>
                    <w:left w:val="single" w:color="auto" w:sz="4" w:space="0"/>
                    <w:bottom w:val="single" w:color="auto" w:sz="4" w:space="0"/>
                    <w:right w:val="single" w:color="auto" w:sz="4" w:space="0"/>
                  </w:tcBorders>
                  <w:shd w:val="clear" w:color="000000" w:fill="0070C0"/>
                  <w:noWrap/>
                  <w:vAlign w:val="center"/>
                </w:tcPr>
                <w:p w14:paraId="1A144756">
                  <w:pPr>
                    <w:jc w:val="center"/>
                    <w:rPr>
                      <w:rFonts w:hint="default" w:ascii="Calibri" w:hAnsi="Calibri" w:eastAsia="楷体_GB2312" w:cs="Calibri"/>
                      <w:b/>
                      <w:bCs/>
                      <w:color w:val="FFFFFF"/>
                      <w:sz w:val="20"/>
                      <w:szCs w:val="20"/>
                    </w:rPr>
                  </w:pPr>
                  <w:r>
                    <w:rPr>
                      <w:rFonts w:hint="default" w:ascii="Calibri" w:hAnsi="Calibri" w:eastAsia="楷体_GB2312" w:cs="Calibri"/>
                      <w:b/>
                      <w:bCs/>
                      <w:color w:val="FFFFFF"/>
                      <w:sz w:val="20"/>
                      <w:szCs w:val="20"/>
                    </w:rPr>
                    <w:t>Brand Name</w:t>
                  </w:r>
                </w:p>
              </w:tc>
              <w:tc>
                <w:tcPr>
                  <w:tcW w:w="987" w:type="dxa"/>
                  <w:tcBorders>
                    <w:top w:val="single" w:color="auto" w:sz="4" w:space="0"/>
                    <w:left w:val="single" w:color="auto" w:sz="4" w:space="0"/>
                    <w:bottom w:val="single" w:color="auto" w:sz="4" w:space="0"/>
                    <w:right w:val="single" w:color="auto" w:sz="4" w:space="0"/>
                  </w:tcBorders>
                  <w:shd w:val="clear" w:color="000000" w:fill="0070C0"/>
                  <w:noWrap/>
                  <w:vAlign w:val="center"/>
                </w:tcPr>
                <w:p w14:paraId="17015C07">
                  <w:pPr>
                    <w:jc w:val="center"/>
                    <w:rPr>
                      <w:rFonts w:hint="default" w:ascii="Calibri" w:hAnsi="Calibri" w:eastAsia="楷体_GB2312" w:cs="Calibri"/>
                      <w:b/>
                      <w:bCs/>
                      <w:color w:val="FFFFFF"/>
                      <w:sz w:val="20"/>
                      <w:szCs w:val="20"/>
                    </w:rPr>
                  </w:pPr>
                  <w:r>
                    <w:rPr>
                      <w:rFonts w:hint="default" w:ascii="Calibri" w:hAnsi="Calibri" w:eastAsia="楷体_GB2312" w:cs="Calibri"/>
                      <w:b/>
                      <w:bCs/>
                      <w:color w:val="FFFFFF"/>
                      <w:sz w:val="20"/>
                      <w:szCs w:val="20"/>
                    </w:rPr>
                    <w:t>2019</w:t>
                  </w:r>
                </w:p>
              </w:tc>
              <w:tc>
                <w:tcPr>
                  <w:tcW w:w="993" w:type="dxa"/>
                  <w:tcBorders>
                    <w:top w:val="single" w:color="auto" w:sz="4" w:space="0"/>
                    <w:left w:val="single" w:color="auto" w:sz="4" w:space="0"/>
                    <w:bottom w:val="single" w:color="auto" w:sz="4" w:space="0"/>
                    <w:right w:val="single" w:color="auto" w:sz="4" w:space="0"/>
                  </w:tcBorders>
                  <w:shd w:val="clear" w:color="000000" w:fill="0070C0"/>
                  <w:noWrap/>
                  <w:vAlign w:val="center"/>
                </w:tcPr>
                <w:p w14:paraId="2A342B59">
                  <w:pPr>
                    <w:jc w:val="center"/>
                    <w:rPr>
                      <w:rFonts w:hint="default" w:ascii="Calibri" w:hAnsi="Calibri" w:eastAsia="楷体_GB2312" w:cs="Calibri"/>
                      <w:b/>
                      <w:bCs/>
                      <w:color w:val="FFFFFF"/>
                      <w:sz w:val="20"/>
                      <w:szCs w:val="20"/>
                    </w:rPr>
                  </w:pPr>
                  <w:r>
                    <w:rPr>
                      <w:rFonts w:hint="default" w:ascii="Calibri" w:hAnsi="Calibri" w:eastAsia="楷体_GB2312" w:cs="Calibri"/>
                      <w:b/>
                      <w:bCs/>
                      <w:color w:val="FFFFFF"/>
                      <w:sz w:val="20"/>
                      <w:szCs w:val="20"/>
                    </w:rPr>
                    <w:t>2020</w:t>
                  </w:r>
                </w:p>
              </w:tc>
              <w:tc>
                <w:tcPr>
                  <w:tcW w:w="992" w:type="dxa"/>
                  <w:tcBorders>
                    <w:top w:val="single" w:color="auto" w:sz="4" w:space="0"/>
                    <w:left w:val="single" w:color="auto" w:sz="4" w:space="0"/>
                    <w:bottom w:val="single" w:color="auto" w:sz="4" w:space="0"/>
                    <w:right w:val="single" w:color="auto" w:sz="4" w:space="0"/>
                  </w:tcBorders>
                  <w:shd w:val="clear" w:color="000000" w:fill="0070C0"/>
                  <w:noWrap/>
                  <w:vAlign w:val="center"/>
                </w:tcPr>
                <w:p w14:paraId="2E6FAEA7">
                  <w:pPr>
                    <w:jc w:val="center"/>
                    <w:rPr>
                      <w:rFonts w:hint="default" w:ascii="Calibri" w:hAnsi="Calibri" w:eastAsia="楷体_GB2312" w:cs="Calibri"/>
                      <w:b/>
                      <w:bCs/>
                      <w:color w:val="FFFFFF"/>
                      <w:sz w:val="20"/>
                      <w:szCs w:val="20"/>
                    </w:rPr>
                  </w:pPr>
                  <w:r>
                    <w:rPr>
                      <w:rFonts w:hint="default" w:ascii="Calibri" w:hAnsi="Calibri" w:eastAsia="楷体_GB2312" w:cs="Calibri"/>
                      <w:b/>
                      <w:bCs/>
                      <w:color w:val="FFFFFF"/>
                      <w:sz w:val="20"/>
                      <w:szCs w:val="20"/>
                    </w:rPr>
                    <w:t>2021</w:t>
                  </w:r>
                </w:p>
              </w:tc>
              <w:tc>
                <w:tcPr>
                  <w:tcW w:w="855" w:type="dxa"/>
                  <w:tcBorders>
                    <w:top w:val="single" w:color="auto" w:sz="4" w:space="0"/>
                    <w:left w:val="single" w:color="auto" w:sz="4" w:space="0"/>
                    <w:bottom w:val="single" w:color="auto" w:sz="4" w:space="0"/>
                    <w:right w:val="single" w:color="auto" w:sz="4" w:space="0"/>
                  </w:tcBorders>
                  <w:shd w:val="clear" w:color="000000" w:fill="0070C0"/>
                  <w:noWrap/>
                  <w:vAlign w:val="center"/>
                </w:tcPr>
                <w:p w14:paraId="0D8C14C9">
                  <w:pPr>
                    <w:jc w:val="center"/>
                    <w:rPr>
                      <w:rFonts w:hint="default" w:ascii="Calibri" w:hAnsi="Calibri" w:eastAsia="楷体_GB2312" w:cs="Calibri"/>
                      <w:b/>
                      <w:bCs/>
                      <w:color w:val="FFFFFF"/>
                      <w:sz w:val="20"/>
                      <w:szCs w:val="20"/>
                    </w:rPr>
                  </w:pPr>
                  <w:r>
                    <w:rPr>
                      <w:rFonts w:hint="default" w:ascii="Calibri" w:hAnsi="Calibri" w:eastAsia="楷体_GB2312" w:cs="Calibri"/>
                      <w:b/>
                      <w:bCs/>
                      <w:color w:val="FFFFFF"/>
                      <w:sz w:val="20"/>
                      <w:szCs w:val="20"/>
                    </w:rPr>
                    <w:t>2022</w:t>
                  </w:r>
                </w:p>
              </w:tc>
              <w:tc>
                <w:tcPr>
                  <w:tcW w:w="851" w:type="dxa"/>
                  <w:tcBorders>
                    <w:top w:val="single" w:color="auto" w:sz="4" w:space="0"/>
                    <w:left w:val="single" w:color="auto" w:sz="4" w:space="0"/>
                    <w:bottom w:val="single" w:color="auto" w:sz="4" w:space="0"/>
                    <w:right w:val="single" w:color="auto" w:sz="4" w:space="0"/>
                  </w:tcBorders>
                  <w:shd w:val="clear" w:color="000000" w:fill="0070C0"/>
                  <w:vAlign w:val="center"/>
                </w:tcPr>
                <w:p w14:paraId="52062DDF">
                  <w:pPr>
                    <w:jc w:val="center"/>
                    <w:rPr>
                      <w:rFonts w:hint="default" w:ascii="Calibri" w:hAnsi="Calibri" w:eastAsia="楷体_GB2312" w:cs="Calibri"/>
                      <w:b/>
                      <w:bCs/>
                      <w:color w:val="FFFFFF"/>
                      <w:sz w:val="20"/>
                      <w:szCs w:val="20"/>
                    </w:rPr>
                  </w:pPr>
                  <w:r>
                    <w:rPr>
                      <w:rFonts w:hint="default" w:ascii="Calibri" w:hAnsi="Calibri" w:eastAsia="楷体_GB2312" w:cs="Calibri"/>
                      <w:b/>
                      <w:bCs/>
                      <w:color w:val="FFFFFF"/>
                      <w:sz w:val="20"/>
                      <w:szCs w:val="20"/>
                    </w:rPr>
                    <w:t>2023</w:t>
                  </w:r>
                </w:p>
              </w:tc>
              <w:tc>
                <w:tcPr>
                  <w:tcW w:w="850" w:type="dxa"/>
                  <w:tcBorders>
                    <w:top w:val="single" w:color="auto" w:sz="4" w:space="0"/>
                    <w:left w:val="single" w:color="auto" w:sz="4" w:space="0"/>
                    <w:bottom w:val="single" w:color="auto" w:sz="4" w:space="0"/>
                    <w:right w:val="single" w:color="auto" w:sz="4" w:space="0"/>
                  </w:tcBorders>
                  <w:shd w:val="clear" w:color="000000" w:fill="0070C0"/>
                  <w:noWrap/>
                  <w:vAlign w:val="center"/>
                </w:tcPr>
                <w:p w14:paraId="521AAF75">
                  <w:pPr>
                    <w:jc w:val="center"/>
                    <w:rPr>
                      <w:rFonts w:hint="default" w:ascii="Calibri" w:hAnsi="Calibri" w:eastAsia="楷体_GB2312" w:cs="Calibri"/>
                      <w:b/>
                      <w:bCs/>
                      <w:color w:val="FFFFFF"/>
                      <w:sz w:val="20"/>
                      <w:szCs w:val="20"/>
                    </w:rPr>
                  </w:pPr>
                  <w:r>
                    <w:rPr>
                      <w:rFonts w:hint="default" w:ascii="Calibri" w:hAnsi="Calibri" w:eastAsia="楷体_GB2312" w:cs="Calibri"/>
                      <w:b/>
                      <w:bCs/>
                      <w:color w:val="FFFFFF"/>
                      <w:sz w:val="20"/>
                      <w:szCs w:val="20"/>
                    </w:rPr>
                    <w:t>2024</w:t>
                  </w:r>
                </w:p>
              </w:tc>
            </w:tr>
            <w:tr w14:paraId="33798BD8">
              <w:tblPrEx>
                <w:tblCellMar>
                  <w:top w:w="0" w:type="dxa"/>
                  <w:left w:w="108" w:type="dxa"/>
                  <w:bottom w:w="0" w:type="dxa"/>
                  <w:right w:w="108" w:type="dxa"/>
                </w:tblCellMar>
              </w:tblPrEx>
              <w:trPr>
                <w:trHeight w:val="280" w:hRule="atLeast"/>
              </w:trPr>
              <w:tc>
                <w:tcPr>
                  <w:tcW w:w="1731" w:type="dxa"/>
                  <w:tcBorders>
                    <w:top w:val="single" w:color="auto" w:sz="4" w:space="0"/>
                    <w:left w:val="single" w:color="auto" w:sz="4" w:space="0"/>
                    <w:bottom w:val="single" w:color="auto" w:sz="4" w:space="0"/>
                    <w:right w:val="single" w:color="auto" w:sz="4" w:space="0"/>
                  </w:tcBorders>
                  <w:noWrap/>
                  <w:vAlign w:val="center"/>
                </w:tcPr>
                <w:p w14:paraId="358DA358">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 xml:space="preserve">Lancôme </w:t>
                  </w:r>
                </w:p>
              </w:tc>
              <w:tc>
                <w:tcPr>
                  <w:tcW w:w="987" w:type="dxa"/>
                  <w:tcBorders>
                    <w:top w:val="single" w:color="auto" w:sz="4" w:space="0"/>
                    <w:left w:val="single" w:color="auto" w:sz="4" w:space="0"/>
                    <w:bottom w:val="single" w:color="auto" w:sz="4" w:space="0"/>
                    <w:right w:val="single" w:color="auto" w:sz="4" w:space="0"/>
                  </w:tcBorders>
                  <w:noWrap/>
                  <w:vAlign w:val="center"/>
                </w:tcPr>
                <w:p w14:paraId="15C04083">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4.2</w:t>
                  </w:r>
                </w:p>
              </w:tc>
              <w:tc>
                <w:tcPr>
                  <w:tcW w:w="993" w:type="dxa"/>
                  <w:tcBorders>
                    <w:top w:val="single" w:color="auto" w:sz="4" w:space="0"/>
                    <w:left w:val="single" w:color="auto" w:sz="4" w:space="0"/>
                    <w:bottom w:val="single" w:color="auto" w:sz="4" w:space="0"/>
                    <w:right w:val="single" w:color="auto" w:sz="4" w:space="0"/>
                  </w:tcBorders>
                  <w:noWrap/>
                  <w:vAlign w:val="center"/>
                </w:tcPr>
                <w:p w14:paraId="0B779764">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4.5</w:t>
                  </w:r>
                </w:p>
              </w:tc>
              <w:tc>
                <w:tcPr>
                  <w:tcW w:w="992" w:type="dxa"/>
                  <w:tcBorders>
                    <w:top w:val="single" w:color="auto" w:sz="4" w:space="0"/>
                    <w:left w:val="single" w:color="auto" w:sz="4" w:space="0"/>
                    <w:bottom w:val="single" w:color="auto" w:sz="4" w:space="0"/>
                    <w:right w:val="single" w:color="auto" w:sz="4" w:space="0"/>
                  </w:tcBorders>
                  <w:noWrap/>
                  <w:vAlign w:val="center"/>
                </w:tcPr>
                <w:p w14:paraId="05F79AD8">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4.6</w:t>
                  </w:r>
                </w:p>
              </w:tc>
              <w:tc>
                <w:tcPr>
                  <w:tcW w:w="855" w:type="dxa"/>
                  <w:tcBorders>
                    <w:top w:val="single" w:color="auto" w:sz="4" w:space="0"/>
                    <w:left w:val="single" w:color="auto" w:sz="4" w:space="0"/>
                    <w:bottom w:val="single" w:color="auto" w:sz="4" w:space="0"/>
                    <w:right w:val="single" w:color="auto" w:sz="4" w:space="0"/>
                  </w:tcBorders>
                  <w:noWrap/>
                  <w:vAlign w:val="center"/>
                </w:tcPr>
                <w:p w14:paraId="06FBF6D6">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4.6</w:t>
                  </w:r>
                </w:p>
              </w:tc>
              <w:tc>
                <w:tcPr>
                  <w:tcW w:w="851" w:type="dxa"/>
                  <w:tcBorders>
                    <w:top w:val="single" w:color="auto" w:sz="4" w:space="0"/>
                    <w:left w:val="single" w:color="auto" w:sz="4" w:space="0"/>
                    <w:bottom w:val="single" w:color="auto" w:sz="4" w:space="0"/>
                    <w:right w:val="single" w:color="auto" w:sz="4" w:space="0"/>
                  </w:tcBorders>
                  <w:vAlign w:val="center"/>
                </w:tcPr>
                <w:p w14:paraId="0B392339">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4.4</w:t>
                  </w:r>
                </w:p>
              </w:tc>
              <w:tc>
                <w:tcPr>
                  <w:tcW w:w="850" w:type="dxa"/>
                  <w:tcBorders>
                    <w:top w:val="single" w:color="auto" w:sz="4" w:space="0"/>
                    <w:left w:val="single" w:color="auto" w:sz="4" w:space="0"/>
                    <w:bottom w:val="single" w:color="auto" w:sz="4" w:space="0"/>
                    <w:right w:val="single" w:color="auto" w:sz="4" w:space="0"/>
                  </w:tcBorders>
                  <w:noWrap/>
                  <w:vAlign w:val="center"/>
                </w:tcPr>
                <w:p w14:paraId="2A08ED04">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4.2</w:t>
                  </w:r>
                </w:p>
              </w:tc>
            </w:tr>
            <w:tr w14:paraId="24C3C4AE">
              <w:tblPrEx>
                <w:tblCellMar>
                  <w:top w:w="0" w:type="dxa"/>
                  <w:left w:w="108" w:type="dxa"/>
                  <w:bottom w:w="0" w:type="dxa"/>
                  <w:right w:w="108" w:type="dxa"/>
                </w:tblCellMar>
              </w:tblPrEx>
              <w:trPr>
                <w:trHeight w:val="280" w:hRule="atLeast"/>
              </w:trPr>
              <w:tc>
                <w:tcPr>
                  <w:tcW w:w="1731" w:type="dxa"/>
                  <w:tcBorders>
                    <w:top w:val="single" w:color="auto" w:sz="4" w:space="0"/>
                    <w:left w:val="single" w:color="auto" w:sz="4" w:space="0"/>
                    <w:bottom w:val="single" w:color="auto" w:sz="4" w:space="0"/>
                    <w:right w:val="single" w:color="auto" w:sz="4" w:space="0"/>
                  </w:tcBorders>
                  <w:noWrap/>
                  <w:vAlign w:val="center"/>
                </w:tcPr>
                <w:p w14:paraId="58F6ABB1">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Chanel</w:t>
                  </w:r>
                </w:p>
              </w:tc>
              <w:tc>
                <w:tcPr>
                  <w:tcW w:w="987" w:type="dxa"/>
                  <w:tcBorders>
                    <w:top w:val="single" w:color="auto" w:sz="4" w:space="0"/>
                    <w:left w:val="single" w:color="auto" w:sz="4" w:space="0"/>
                    <w:bottom w:val="single" w:color="auto" w:sz="4" w:space="0"/>
                    <w:right w:val="single" w:color="auto" w:sz="4" w:space="0"/>
                  </w:tcBorders>
                  <w:noWrap/>
                  <w:vAlign w:val="center"/>
                </w:tcPr>
                <w:p w14:paraId="0A25976C">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3.2</w:t>
                  </w:r>
                </w:p>
              </w:tc>
              <w:tc>
                <w:tcPr>
                  <w:tcW w:w="993" w:type="dxa"/>
                  <w:tcBorders>
                    <w:top w:val="single" w:color="auto" w:sz="4" w:space="0"/>
                    <w:left w:val="single" w:color="auto" w:sz="4" w:space="0"/>
                    <w:bottom w:val="single" w:color="auto" w:sz="4" w:space="0"/>
                    <w:right w:val="single" w:color="auto" w:sz="4" w:space="0"/>
                  </w:tcBorders>
                  <w:noWrap/>
                  <w:vAlign w:val="center"/>
                </w:tcPr>
                <w:p w14:paraId="5F2EAFD9">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3.1</w:t>
                  </w:r>
                </w:p>
              </w:tc>
              <w:tc>
                <w:tcPr>
                  <w:tcW w:w="992" w:type="dxa"/>
                  <w:tcBorders>
                    <w:top w:val="single" w:color="auto" w:sz="4" w:space="0"/>
                    <w:left w:val="single" w:color="auto" w:sz="4" w:space="0"/>
                    <w:bottom w:val="single" w:color="auto" w:sz="4" w:space="0"/>
                    <w:right w:val="single" w:color="auto" w:sz="4" w:space="0"/>
                  </w:tcBorders>
                  <w:noWrap/>
                  <w:vAlign w:val="center"/>
                </w:tcPr>
                <w:p w14:paraId="1D1CF8B7">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3.3</w:t>
                  </w:r>
                </w:p>
              </w:tc>
              <w:tc>
                <w:tcPr>
                  <w:tcW w:w="855" w:type="dxa"/>
                  <w:tcBorders>
                    <w:top w:val="single" w:color="auto" w:sz="4" w:space="0"/>
                    <w:left w:val="single" w:color="auto" w:sz="4" w:space="0"/>
                    <w:bottom w:val="single" w:color="auto" w:sz="4" w:space="0"/>
                    <w:right w:val="single" w:color="auto" w:sz="4" w:space="0"/>
                  </w:tcBorders>
                  <w:noWrap/>
                  <w:vAlign w:val="center"/>
                </w:tcPr>
                <w:p w14:paraId="7B7E58FF">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3.5</w:t>
                  </w:r>
                </w:p>
              </w:tc>
              <w:tc>
                <w:tcPr>
                  <w:tcW w:w="851" w:type="dxa"/>
                  <w:tcBorders>
                    <w:top w:val="single" w:color="auto" w:sz="4" w:space="0"/>
                    <w:left w:val="single" w:color="auto" w:sz="4" w:space="0"/>
                    <w:bottom w:val="single" w:color="auto" w:sz="4" w:space="0"/>
                    <w:right w:val="single" w:color="auto" w:sz="4" w:space="0"/>
                  </w:tcBorders>
                  <w:vAlign w:val="center"/>
                </w:tcPr>
                <w:p w14:paraId="39292AA5">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3.6</w:t>
                  </w:r>
                </w:p>
              </w:tc>
              <w:tc>
                <w:tcPr>
                  <w:tcW w:w="850" w:type="dxa"/>
                  <w:tcBorders>
                    <w:top w:val="single" w:color="auto" w:sz="4" w:space="0"/>
                    <w:left w:val="single" w:color="auto" w:sz="4" w:space="0"/>
                    <w:bottom w:val="single" w:color="auto" w:sz="4" w:space="0"/>
                    <w:right w:val="single" w:color="auto" w:sz="4" w:space="0"/>
                  </w:tcBorders>
                  <w:noWrap/>
                  <w:vAlign w:val="center"/>
                </w:tcPr>
                <w:p w14:paraId="7B55C717">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3.6</w:t>
                  </w:r>
                </w:p>
              </w:tc>
            </w:tr>
            <w:tr w14:paraId="757A8D6B">
              <w:tblPrEx>
                <w:tblCellMar>
                  <w:top w:w="0" w:type="dxa"/>
                  <w:left w:w="108" w:type="dxa"/>
                  <w:bottom w:w="0" w:type="dxa"/>
                  <w:right w:w="108" w:type="dxa"/>
                </w:tblCellMar>
              </w:tblPrEx>
              <w:trPr>
                <w:trHeight w:val="280" w:hRule="atLeast"/>
              </w:trPr>
              <w:tc>
                <w:tcPr>
                  <w:tcW w:w="1731" w:type="dxa"/>
                  <w:tcBorders>
                    <w:top w:val="single" w:color="auto" w:sz="4" w:space="0"/>
                    <w:left w:val="single" w:color="auto" w:sz="4" w:space="0"/>
                    <w:bottom w:val="single" w:color="auto" w:sz="4" w:space="0"/>
                    <w:right w:val="single" w:color="auto" w:sz="4" w:space="0"/>
                  </w:tcBorders>
                  <w:noWrap/>
                  <w:vAlign w:val="center"/>
                </w:tcPr>
                <w:p w14:paraId="055CFC7D">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Christian Dior</w:t>
                  </w:r>
                </w:p>
              </w:tc>
              <w:tc>
                <w:tcPr>
                  <w:tcW w:w="987" w:type="dxa"/>
                  <w:tcBorders>
                    <w:top w:val="single" w:color="auto" w:sz="4" w:space="0"/>
                    <w:left w:val="single" w:color="auto" w:sz="4" w:space="0"/>
                    <w:bottom w:val="single" w:color="auto" w:sz="4" w:space="0"/>
                    <w:right w:val="single" w:color="auto" w:sz="4" w:space="0"/>
                  </w:tcBorders>
                  <w:noWrap/>
                  <w:vAlign w:val="center"/>
                </w:tcPr>
                <w:p w14:paraId="5B4F0081">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3</w:t>
                  </w:r>
                </w:p>
              </w:tc>
              <w:tc>
                <w:tcPr>
                  <w:tcW w:w="993" w:type="dxa"/>
                  <w:tcBorders>
                    <w:top w:val="single" w:color="auto" w:sz="4" w:space="0"/>
                    <w:left w:val="single" w:color="auto" w:sz="4" w:space="0"/>
                    <w:bottom w:val="single" w:color="auto" w:sz="4" w:space="0"/>
                    <w:right w:val="single" w:color="auto" w:sz="4" w:space="0"/>
                  </w:tcBorders>
                  <w:noWrap/>
                  <w:vAlign w:val="center"/>
                </w:tcPr>
                <w:p w14:paraId="00D33E71">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2.9</w:t>
                  </w:r>
                </w:p>
              </w:tc>
              <w:tc>
                <w:tcPr>
                  <w:tcW w:w="992" w:type="dxa"/>
                  <w:tcBorders>
                    <w:top w:val="single" w:color="auto" w:sz="4" w:space="0"/>
                    <w:left w:val="single" w:color="auto" w:sz="4" w:space="0"/>
                    <w:bottom w:val="single" w:color="auto" w:sz="4" w:space="0"/>
                    <w:right w:val="single" w:color="auto" w:sz="4" w:space="0"/>
                  </w:tcBorders>
                  <w:noWrap/>
                  <w:vAlign w:val="center"/>
                </w:tcPr>
                <w:p w14:paraId="430F25E7">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3.1</w:t>
                  </w:r>
                </w:p>
              </w:tc>
              <w:tc>
                <w:tcPr>
                  <w:tcW w:w="855" w:type="dxa"/>
                  <w:tcBorders>
                    <w:top w:val="single" w:color="auto" w:sz="4" w:space="0"/>
                    <w:left w:val="single" w:color="auto" w:sz="4" w:space="0"/>
                    <w:bottom w:val="single" w:color="auto" w:sz="4" w:space="0"/>
                    <w:right w:val="single" w:color="auto" w:sz="4" w:space="0"/>
                  </w:tcBorders>
                  <w:noWrap/>
                  <w:vAlign w:val="center"/>
                </w:tcPr>
                <w:p w14:paraId="372DF93E">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3</w:t>
                  </w:r>
                </w:p>
              </w:tc>
              <w:tc>
                <w:tcPr>
                  <w:tcW w:w="851" w:type="dxa"/>
                  <w:tcBorders>
                    <w:top w:val="single" w:color="auto" w:sz="4" w:space="0"/>
                    <w:left w:val="single" w:color="auto" w:sz="4" w:space="0"/>
                    <w:bottom w:val="single" w:color="auto" w:sz="4" w:space="0"/>
                    <w:right w:val="single" w:color="auto" w:sz="4" w:space="0"/>
                  </w:tcBorders>
                  <w:vAlign w:val="center"/>
                </w:tcPr>
                <w:p w14:paraId="79BF9B28">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3.1</w:t>
                  </w:r>
                </w:p>
              </w:tc>
              <w:tc>
                <w:tcPr>
                  <w:tcW w:w="850" w:type="dxa"/>
                  <w:tcBorders>
                    <w:top w:val="single" w:color="auto" w:sz="4" w:space="0"/>
                    <w:left w:val="single" w:color="auto" w:sz="4" w:space="0"/>
                    <w:bottom w:val="single" w:color="auto" w:sz="4" w:space="0"/>
                    <w:right w:val="single" w:color="auto" w:sz="4" w:space="0"/>
                  </w:tcBorders>
                  <w:noWrap/>
                  <w:vAlign w:val="center"/>
                </w:tcPr>
                <w:p w14:paraId="46B0535A">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3.1</w:t>
                  </w:r>
                </w:p>
              </w:tc>
            </w:tr>
            <w:tr w14:paraId="45FD6A3C">
              <w:tblPrEx>
                <w:tblCellMar>
                  <w:top w:w="0" w:type="dxa"/>
                  <w:left w:w="108" w:type="dxa"/>
                  <w:bottom w:w="0" w:type="dxa"/>
                  <w:right w:w="108" w:type="dxa"/>
                </w:tblCellMar>
              </w:tblPrEx>
              <w:trPr>
                <w:trHeight w:val="280" w:hRule="atLeast"/>
              </w:trPr>
              <w:tc>
                <w:tcPr>
                  <w:tcW w:w="1731" w:type="dxa"/>
                  <w:tcBorders>
                    <w:top w:val="single" w:color="auto" w:sz="4" w:space="0"/>
                    <w:left w:val="single" w:color="auto" w:sz="4" w:space="0"/>
                    <w:bottom w:val="single" w:color="auto" w:sz="4" w:space="0"/>
                    <w:right w:val="single" w:color="auto" w:sz="4" w:space="0"/>
                  </w:tcBorders>
                  <w:noWrap/>
                  <w:vAlign w:val="center"/>
                </w:tcPr>
                <w:p w14:paraId="79902705">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La Roche-Posay</w:t>
                  </w:r>
                </w:p>
              </w:tc>
              <w:tc>
                <w:tcPr>
                  <w:tcW w:w="987" w:type="dxa"/>
                  <w:tcBorders>
                    <w:top w:val="single" w:color="auto" w:sz="4" w:space="0"/>
                    <w:left w:val="single" w:color="auto" w:sz="4" w:space="0"/>
                    <w:bottom w:val="single" w:color="auto" w:sz="4" w:space="0"/>
                    <w:right w:val="single" w:color="auto" w:sz="4" w:space="0"/>
                  </w:tcBorders>
                  <w:noWrap/>
                  <w:vAlign w:val="center"/>
                </w:tcPr>
                <w:p w14:paraId="2A35F36A">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1.6</w:t>
                  </w:r>
                </w:p>
              </w:tc>
              <w:tc>
                <w:tcPr>
                  <w:tcW w:w="993" w:type="dxa"/>
                  <w:tcBorders>
                    <w:top w:val="single" w:color="auto" w:sz="4" w:space="0"/>
                    <w:left w:val="single" w:color="auto" w:sz="4" w:space="0"/>
                    <w:bottom w:val="single" w:color="auto" w:sz="4" w:space="0"/>
                    <w:right w:val="single" w:color="auto" w:sz="4" w:space="0"/>
                  </w:tcBorders>
                  <w:noWrap/>
                  <w:vAlign w:val="center"/>
                </w:tcPr>
                <w:p w14:paraId="72C7E213">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1.8</w:t>
                  </w:r>
                </w:p>
              </w:tc>
              <w:tc>
                <w:tcPr>
                  <w:tcW w:w="992" w:type="dxa"/>
                  <w:tcBorders>
                    <w:top w:val="single" w:color="auto" w:sz="4" w:space="0"/>
                    <w:left w:val="single" w:color="auto" w:sz="4" w:space="0"/>
                    <w:bottom w:val="single" w:color="auto" w:sz="4" w:space="0"/>
                    <w:right w:val="single" w:color="auto" w:sz="4" w:space="0"/>
                  </w:tcBorders>
                  <w:noWrap/>
                  <w:vAlign w:val="center"/>
                </w:tcPr>
                <w:p w14:paraId="7938F86C">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1.9</w:t>
                  </w:r>
                </w:p>
              </w:tc>
              <w:tc>
                <w:tcPr>
                  <w:tcW w:w="855" w:type="dxa"/>
                  <w:tcBorders>
                    <w:top w:val="single" w:color="auto" w:sz="4" w:space="0"/>
                    <w:left w:val="single" w:color="auto" w:sz="4" w:space="0"/>
                    <w:bottom w:val="single" w:color="auto" w:sz="4" w:space="0"/>
                    <w:right w:val="single" w:color="auto" w:sz="4" w:space="0"/>
                  </w:tcBorders>
                  <w:noWrap/>
                  <w:vAlign w:val="center"/>
                </w:tcPr>
                <w:p w14:paraId="199F3B73">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2.1</w:t>
                  </w:r>
                </w:p>
              </w:tc>
              <w:tc>
                <w:tcPr>
                  <w:tcW w:w="851" w:type="dxa"/>
                  <w:tcBorders>
                    <w:top w:val="single" w:color="auto" w:sz="4" w:space="0"/>
                    <w:left w:val="single" w:color="auto" w:sz="4" w:space="0"/>
                    <w:bottom w:val="single" w:color="auto" w:sz="4" w:space="0"/>
                    <w:right w:val="single" w:color="auto" w:sz="4" w:space="0"/>
                  </w:tcBorders>
                  <w:vAlign w:val="center"/>
                </w:tcPr>
                <w:p w14:paraId="0CB87A21">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2.6</w:t>
                  </w:r>
                </w:p>
              </w:tc>
              <w:tc>
                <w:tcPr>
                  <w:tcW w:w="850" w:type="dxa"/>
                  <w:tcBorders>
                    <w:top w:val="single" w:color="auto" w:sz="4" w:space="0"/>
                    <w:left w:val="single" w:color="auto" w:sz="4" w:space="0"/>
                    <w:bottom w:val="single" w:color="auto" w:sz="4" w:space="0"/>
                    <w:right w:val="single" w:color="auto" w:sz="4" w:space="0"/>
                  </w:tcBorders>
                  <w:noWrap/>
                  <w:vAlign w:val="center"/>
                </w:tcPr>
                <w:p w14:paraId="1C32052E">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2.8</w:t>
                  </w:r>
                </w:p>
              </w:tc>
            </w:tr>
            <w:tr w14:paraId="79EEFCC7">
              <w:tblPrEx>
                <w:tblCellMar>
                  <w:top w:w="0" w:type="dxa"/>
                  <w:left w:w="108" w:type="dxa"/>
                  <w:bottom w:w="0" w:type="dxa"/>
                  <w:right w:w="108" w:type="dxa"/>
                </w:tblCellMar>
              </w:tblPrEx>
              <w:trPr>
                <w:trHeight w:val="280" w:hRule="atLeast"/>
              </w:trPr>
              <w:tc>
                <w:tcPr>
                  <w:tcW w:w="1731" w:type="dxa"/>
                  <w:tcBorders>
                    <w:top w:val="single" w:color="auto" w:sz="4" w:space="0"/>
                    <w:left w:val="single" w:color="auto" w:sz="4" w:space="0"/>
                    <w:bottom w:val="single" w:color="auto" w:sz="4" w:space="0"/>
                    <w:right w:val="single" w:color="auto" w:sz="4" w:space="0"/>
                  </w:tcBorders>
                  <w:noWrap/>
                  <w:vAlign w:val="center"/>
                </w:tcPr>
                <w:p w14:paraId="25E1664D">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Estée Lauder</w:t>
                  </w:r>
                </w:p>
              </w:tc>
              <w:tc>
                <w:tcPr>
                  <w:tcW w:w="987" w:type="dxa"/>
                  <w:tcBorders>
                    <w:top w:val="single" w:color="auto" w:sz="4" w:space="0"/>
                    <w:left w:val="single" w:color="auto" w:sz="4" w:space="0"/>
                    <w:bottom w:val="single" w:color="auto" w:sz="4" w:space="0"/>
                    <w:right w:val="single" w:color="auto" w:sz="4" w:space="0"/>
                  </w:tcBorders>
                  <w:noWrap/>
                  <w:vAlign w:val="center"/>
                </w:tcPr>
                <w:p w14:paraId="531E5E08">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3.5</w:t>
                  </w:r>
                </w:p>
              </w:tc>
              <w:tc>
                <w:tcPr>
                  <w:tcW w:w="993" w:type="dxa"/>
                  <w:tcBorders>
                    <w:top w:val="single" w:color="auto" w:sz="4" w:space="0"/>
                    <w:left w:val="single" w:color="auto" w:sz="4" w:space="0"/>
                    <w:bottom w:val="single" w:color="auto" w:sz="4" w:space="0"/>
                    <w:right w:val="single" w:color="auto" w:sz="4" w:space="0"/>
                  </w:tcBorders>
                  <w:noWrap/>
                  <w:vAlign w:val="center"/>
                </w:tcPr>
                <w:p w14:paraId="4F0A2C60">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3.7</w:t>
                  </w:r>
                </w:p>
              </w:tc>
              <w:tc>
                <w:tcPr>
                  <w:tcW w:w="992" w:type="dxa"/>
                  <w:tcBorders>
                    <w:top w:val="single" w:color="auto" w:sz="4" w:space="0"/>
                    <w:left w:val="single" w:color="auto" w:sz="4" w:space="0"/>
                    <w:bottom w:val="single" w:color="auto" w:sz="4" w:space="0"/>
                    <w:right w:val="single" w:color="auto" w:sz="4" w:space="0"/>
                  </w:tcBorders>
                  <w:noWrap/>
                  <w:vAlign w:val="center"/>
                </w:tcPr>
                <w:p w14:paraId="5455460D">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3.6</w:t>
                  </w:r>
                </w:p>
              </w:tc>
              <w:tc>
                <w:tcPr>
                  <w:tcW w:w="855" w:type="dxa"/>
                  <w:tcBorders>
                    <w:top w:val="single" w:color="auto" w:sz="4" w:space="0"/>
                    <w:left w:val="single" w:color="auto" w:sz="4" w:space="0"/>
                    <w:bottom w:val="single" w:color="auto" w:sz="4" w:space="0"/>
                    <w:right w:val="single" w:color="auto" w:sz="4" w:space="0"/>
                  </w:tcBorders>
                  <w:noWrap/>
                  <w:vAlign w:val="center"/>
                </w:tcPr>
                <w:p w14:paraId="666D3F21">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3.4</w:t>
                  </w:r>
                </w:p>
              </w:tc>
              <w:tc>
                <w:tcPr>
                  <w:tcW w:w="851" w:type="dxa"/>
                  <w:tcBorders>
                    <w:top w:val="single" w:color="auto" w:sz="4" w:space="0"/>
                    <w:left w:val="single" w:color="auto" w:sz="4" w:space="0"/>
                    <w:bottom w:val="single" w:color="auto" w:sz="4" w:space="0"/>
                    <w:right w:val="single" w:color="auto" w:sz="4" w:space="0"/>
                  </w:tcBorders>
                  <w:vAlign w:val="center"/>
                </w:tcPr>
                <w:p w14:paraId="081BD019">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3</w:t>
                  </w:r>
                </w:p>
              </w:tc>
              <w:tc>
                <w:tcPr>
                  <w:tcW w:w="850" w:type="dxa"/>
                  <w:tcBorders>
                    <w:top w:val="single" w:color="auto" w:sz="4" w:space="0"/>
                    <w:left w:val="single" w:color="auto" w:sz="4" w:space="0"/>
                    <w:bottom w:val="single" w:color="auto" w:sz="4" w:space="0"/>
                    <w:right w:val="single" w:color="auto" w:sz="4" w:space="0"/>
                  </w:tcBorders>
                  <w:noWrap/>
                  <w:vAlign w:val="center"/>
                </w:tcPr>
                <w:p w14:paraId="2E0B1345">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2.8</w:t>
                  </w:r>
                </w:p>
              </w:tc>
            </w:tr>
            <w:tr w14:paraId="512BEAB8">
              <w:tblPrEx>
                <w:tblCellMar>
                  <w:top w:w="0" w:type="dxa"/>
                  <w:left w:w="108" w:type="dxa"/>
                  <w:bottom w:w="0" w:type="dxa"/>
                  <w:right w:w="108" w:type="dxa"/>
                </w:tblCellMar>
              </w:tblPrEx>
              <w:trPr>
                <w:trHeight w:val="280" w:hRule="atLeast"/>
              </w:trPr>
              <w:tc>
                <w:tcPr>
                  <w:tcW w:w="1731" w:type="dxa"/>
                  <w:tcBorders>
                    <w:top w:val="single" w:color="auto" w:sz="4" w:space="0"/>
                    <w:left w:val="single" w:color="auto" w:sz="4" w:space="0"/>
                    <w:bottom w:val="single" w:color="auto" w:sz="4" w:space="0"/>
                    <w:right w:val="single" w:color="auto" w:sz="4" w:space="0"/>
                  </w:tcBorders>
                  <w:noWrap/>
                  <w:vAlign w:val="center"/>
                </w:tcPr>
                <w:p w14:paraId="60645FC4">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 xml:space="preserve">Clinique </w:t>
                  </w:r>
                </w:p>
              </w:tc>
              <w:tc>
                <w:tcPr>
                  <w:tcW w:w="987" w:type="dxa"/>
                  <w:tcBorders>
                    <w:top w:val="single" w:color="auto" w:sz="4" w:space="0"/>
                    <w:left w:val="single" w:color="auto" w:sz="4" w:space="0"/>
                    <w:bottom w:val="single" w:color="auto" w:sz="4" w:space="0"/>
                    <w:right w:val="single" w:color="auto" w:sz="4" w:space="0"/>
                  </w:tcBorders>
                  <w:noWrap/>
                  <w:vAlign w:val="center"/>
                </w:tcPr>
                <w:p w14:paraId="05BADD9D">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2.4</w:t>
                  </w:r>
                </w:p>
              </w:tc>
              <w:tc>
                <w:tcPr>
                  <w:tcW w:w="993" w:type="dxa"/>
                  <w:tcBorders>
                    <w:top w:val="single" w:color="auto" w:sz="4" w:space="0"/>
                    <w:left w:val="single" w:color="auto" w:sz="4" w:space="0"/>
                    <w:bottom w:val="single" w:color="auto" w:sz="4" w:space="0"/>
                    <w:right w:val="single" w:color="auto" w:sz="4" w:space="0"/>
                  </w:tcBorders>
                  <w:noWrap/>
                  <w:vAlign w:val="center"/>
                </w:tcPr>
                <w:p w14:paraId="6CD489BA">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2.2</w:t>
                  </w:r>
                </w:p>
              </w:tc>
              <w:tc>
                <w:tcPr>
                  <w:tcW w:w="992" w:type="dxa"/>
                  <w:tcBorders>
                    <w:top w:val="single" w:color="auto" w:sz="4" w:space="0"/>
                    <w:left w:val="single" w:color="auto" w:sz="4" w:space="0"/>
                    <w:bottom w:val="single" w:color="auto" w:sz="4" w:space="0"/>
                    <w:right w:val="single" w:color="auto" w:sz="4" w:space="0"/>
                  </w:tcBorders>
                  <w:noWrap/>
                  <w:vAlign w:val="center"/>
                </w:tcPr>
                <w:p w14:paraId="30B49F87">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2.1</w:t>
                  </w:r>
                </w:p>
              </w:tc>
              <w:tc>
                <w:tcPr>
                  <w:tcW w:w="855" w:type="dxa"/>
                  <w:tcBorders>
                    <w:top w:val="single" w:color="auto" w:sz="4" w:space="0"/>
                    <w:left w:val="single" w:color="auto" w:sz="4" w:space="0"/>
                    <w:bottom w:val="single" w:color="auto" w:sz="4" w:space="0"/>
                    <w:right w:val="single" w:color="auto" w:sz="4" w:space="0"/>
                  </w:tcBorders>
                  <w:noWrap/>
                  <w:vAlign w:val="center"/>
                </w:tcPr>
                <w:p w14:paraId="1C58DABB">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2.1</w:t>
                  </w:r>
                </w:p>
              </w:tc>
              <w:tc>
                <w:tcPr>
                  <w:tcW w:w="851" w:type="dxa"/>
                  <w:tcBorders>
                    <w:top w:val="single" w:color="auto" w:sz="4" w:space="0"/>
                    <w:left w:val="single" w:color="auto" w:sz="4" w:space="0"/>
                    <w:bottom w:val="single" w:color="auto" w:sz="4" w:space="0"/>
                    <w:right w:val="single" w:color="auto" w:sz="4" w:space="0"/>
                  </w:tcBorders>
                  <w:vAlign w:val="center"/>
                </w:tcPr>
                <w:p w14:paraId="17CC05DD">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2.1</w:t>
                  </w:r>
                </w:p>
              </w:tc>
              <w:tc>
                <w:tcPr>
                  <w:tcW w:w="850" w:type="dxa"/>
                  <w:tcBorders>
                    <w:top w:val="single" w:color="auto" w:sz="4" w:space="0"/>
                    <w:left w:val="single" w:color="auto" w:sz="4" w:space="0"/>
                    <w:bottom w:val="single" w:color="auto" w:sz="4" w:space="0"/>
                    <w:right w:val="single" w:color="auto" w:sz="4" w:space="0"/>
                  </w:tcBorders>
                  <w:noWrap/>
                  <w:vAlign w:val="center"/>
                </w:tcPr>
                <w:p w14:paraId="09099F2B">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2</w:t>
                  </w:r>
                </w:p>
              </w:tc>
            </w:tr>
            <w:tr w14:paraId="12E13F13">
              <w:tblPrEx>
                <w:tblCellMar>
                  <w:top w:w="0" w:type="dxa"/>
                  <w:left w:w="108" w:type="dxa"/>
                  <w:bottom w:w="0" w:type="dxa"/>
                  <w:right w:w="108" w:type="dxa"/>
                </w:tblCellMar>
              </w:tblPrEx>
              <w:trPr>
                <w:trHeight w:val="280" w:hRule="atLeast"/>
              </w:trPr>
              <w:tc>
                <w:tcPr>
                  <w:tcW w:w="1731" w:type="dxa"/>
                  <w:tcBorders>
                    <w:top w:val="single" w:color="auto" w:sz="4" w:space="0"/>
                    <w:left w:val="single" w:color="auto" w:sz="4" w:space="0"/>
                    <w:bottom w:val="single" w:color="auto" w:sz="4" w:space="0"/>
                    <w:right w:val="single" w:color="auto" w:sz="4" w:space="0"/>
                  </w:tcBorders>
                  <w:noWrap/>
                  <w:vAlign w:val="center"/>
                </w:tcPr>
                <w:p w14:paraId="1CD8743B">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 xml:space="preserve">Yves Saint Laurent </w:t>
                  </w:r>
                </w:p>
              </w:tc>
              <w:tc>
                <w:tcPr>
                  <w:tcW w:w="987" w:type="dxa"/>
                  <w:tcBorders>
                    <w:top w:val="single" w:color="auto" w:sz="4" w:space="0"/>
                    <w:left w:val="single" w:color="auto" w:sz="4" w:space="0"/>
                    <w:bottom w:val="single" w:color="auto" w:sz="4" w:space="0"/>
                    <w:right w:val="single" w:color="auto" w:sz="4" w:space="0"/>
                  </w:tcBorders>
                  <w:noWrap/>
                  <w:vAlign w:val="center"/>
                </w:tcPr>
                <w:p w14:paraId="36EFB7AD">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1.4</w:t>
                  </w:r>
                </w:p>
              </w:tc>
              <w:tc>
                <w:tcPr>
                  <w:tcW w:w="993" w:type="dxa"/>
                  <w:tcBorders>
                    <w:top w:val="single" w:color="auto" w:sz="4" w:space="0"/>
                    <w:left w:val="single" w:color="auto" w:sz="4" w:space="0"/>
                    <w:bottom w:val="single" w:color="auto" w:sz="4" w:space="0"/>
                    <w:right w:val="single" w:color="auto" w:sz="4" w:space="0"/>
                  </w:tcBorders>
                  <w:noWrap/>
                  <w:vAlign w:val="center"/>
                </w:tcPr>
                <w:p w14:paraId="25664330">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1.3</w:t>
                  </w:r>
                </w:p>
              </w:tc>
              <w:tc>
                <w:tcPr>
                  <w:tcW w:w="992" w:type="dxa"/>
                  <w:tcBorders>
                    <w:top w:val="single" w:color="auto" w:sz="4" w:space="0"/>
                    <w:left w:val="single" w:color="auto" w:sz="4" w:space="0"/>
                    <w:bottom w:val="single" w:color="auto" w:sz="4" w:space="0"/>
                    <w:right w:val="single" w:color="auto" w:sz="4" w:space="0"/>
                  </w:tcBorders>
                  <w:noWrap/>
                  <w:vAlign w:val="center"/>
                </w:tcPr>
                <w:p w14:paraId="5F2C4C05">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1.4</w:t>
                  </w:r>
                </w:p>
              </w:tc>
              <w:tc>
                <w:tcPr>
                  <w:tcW w:w="855" w:type="dxa"/>
                  <w:tcBorders>
                    <w:top w:val="single" w:color="auto" w:sz="4" w:space="0"/>
                    <w:left w:val="single" w:color="auto" w:sz="4" w:space="0"/>
                    <w:bottom w:val="single" w:color="auto" w:sz="4" w:space="0"/>
                    <w:right w:val="single" w:color="auto" w:sz="4" w:space="0"/>
                  </w:tcBorders>
                  <w:noWrap/>
                  <w:vAlign w:val="center"/>
                </w:tcPr>
                <w:p w14:paraId="416D55E0">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1.6</w:t>
                  </w:r>
                </w:p>
              </w:tc>
              <w:tc>
                <w:tcPr>
                  <w:tcW w:w="851" w:type="dxa"/>
                  <w:tcBorders>
                    <w:top w:val="single" w:color="auto" w:sz="4" w:space="0"/>
                    <w:left w:val="single" w:color="auto" w:sz="4" w:space="0"/>
                    <w:bottom w:val="single" w:color="auto" w:sz="4" w:space="0"/>
                    <w:right w:val="single" w:color="auto" w:sz="4" w:space="0"/>
                  </w:tcBorders>
                  <w:vAlign w:val="center"/>
                </w:tcPr>
                <w:p w14:paraId="1A844818">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1.7</w:t>
                  </w:r>
                </w:p>
              </w:tc>
              <w:tc>
                <w:tcPr>
                  <w:tcW w:w="850" w:type="dxa"/>
                  <w:tcBorders>
                    <w:top w:val="single" w:color="auto" w:sz="4" w:space="0"/>
                    <w:left w:val="single" w:color="auto" w:sz="4" w:space="0"/>
                    <w:bottom w:val="single" w:color="auto" w:sz="4" w:space="0"/>
                    <w:right w:val="single" w:color="auto" w:sz="4" w:space="0"/>
                  </w:tcBorders>
                  <w:noWrap/>
                  <w:vAlign w:val="center"/>
                </w:tcPr>
                <w:p w14:paraId="5FCE92C3">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1.7</w:t>
                  </w:r>
                </w:p>
              </w:tc>
            </w:tr>
            <w:tr w14:paraId="76DEA30E">
              <w:tblPrEx>
                <w:tblCellMar>
                  <w:top w:w="0" w:type="dxa"/>
                  <w:left w:w="108" w:type="dxa"/>
                  <w:bottom w:w="0" w:type="dxa"/>
                  <w:right w:w="108" w:type="dxa"/>
                </w:tblCellMar>
              </w:tblPrEx>
              <w:trPr>
                <w:trHeight w:val="280" w:hRule="atLeast"/>
              </w:trPr>
              <w:tc>
                <w:tcPr>
                  <w:tcW w:w="1731" w:type="dxa"/>
                  <w:tcBorders>
                    <w:top w:val="single" w:color="auto" w:sz="4" w:space="0"/>
                    <w:left w:val="single" w:color="auto" w:sz="4" w:space="0"/>
                    <w:bottom w:val="single" w:color="auto" w:sz="4" w:space="0"/>
                    <w:right w:val="single" w:color="auto" w:sz="4" w:space="0"/>
                  </w:tcBorders>
                  <w:noWrap/>
                  <w:vAlign w:val="center"/>
                </w:tcPr>
                <w:p w14:paraId="663D7585">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 xml:space="preserve">Mac </w:t>
                  </w:r>
                </w:p>
              </w:tc>
              <w:tc>
                <w:tcPr>
                  <w:tcW w:w="987" w:type="dxa"/>
                  <w:tcBorders>
                    <w:top w:val="single" w:color="auto" w:sz="4" w:space="0"/>
                    <w:left w:val="single" w:color="auto" w:sz="4" w:space="0"/>
                    <w:bottom w:val="single" w:color="auto" w:sz="4" w:space="0"/>
                    <w:right w:val="single" w:color="auto" w:sz="4" w:space="0"/>
                  </w:tcBorders>
                  <w:noWrap/>
                  <w:vAlign w:val="center"/>
                </w:tcPr>
                <w:p w14:paraId="5ED2634E">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2.1</w:t>
                  </w:r>
                </w:p>
              </w:tc>
              <w:tc>
                <w:tcPr>
                  <w:tcW w:w="993" w:type="dxa"/>
                  <w:tcBorders>
                    <w:top w:val="single" w:color="auto" w:sz="4" w:space="0"/>
                    <w:left w:val="single" w:color="auto" w:sz="4" w:space="0"/>
                    <w:bottom w:val="single" w:color="auto" w:sz="4" w:space="0"/>
                    <w:right w:val="single" w:color="auto" w:sz="4" w:space="0"/>
                  </w:tcBorders>
                  <w:noWrap/>
                  <w:vAlign w:val="center"/>
                </w:tcPr>
                <w:p w14:paraId="48388811">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1.7</w:t>
                  </w:r>
                </w:p>
              </w:tc>
              <w:tc>
                <w:tcPr>
                  <w:tcW w:w="992" w:type="dxa"/>
                  <w:tcBorders>
                    <w:top w:val="single" w:color="auto" w:sz="4" w:space="0"/>
                    <w:left w:val="single" w:color="auto" w:sz="4" w:space="0"/>
                    <w:bottom w:val="single" w:color="auto" w:sz="4" w:space="0"/>
                    <w:right w:val="single" w:color="auto" w:sz="4" w:space="0"/>
                  </w:tcBorders>
                  <w:noWrap/>
                  <w:vAlign w:val="center"/>
                </w:tcPr>
                <w:p w14:paraId="3BC8E11F">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1.6</w:t>
                  </w:r>
                </w:p>
              </w:tc>
              <w:tc>
                <w:tcPr>
                  <w:tcW w:w="855" w:type="dxa"/>
                  <w:tcBorders>
                    <w:top w:val="single" w:color="auto" w:sz="4" w:space="0"/>
                    <w:left w:val="single" w:color="auto" w:sz="4" w:space="0"/>
                    <w:bottom w:val="single" w:color="auto" w:sz="4" w:space="0"/>
                    <w:right w:val="single" w:color="auto" w:sz="4" w:space="0"/>
                  </w:tcBorders>
                  <w:noWrap/>
                  <w:vAlign w:val="center"/>
                </w:tcPr>
                <w:p w14:paraId="24714026">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1.7</w:t>
                  </w:r>
                </w:p>
              </w:tc>
              <w:tc>
                <w:tcPr>
                  <w:tcW w:w="851" w:type="dxa"/>
                  <w:tcBorders>
                    <w:top w:val="single" w:color="auto" w:sz="4" w:space="0"/>
                    <w:left w:val="single" w:color="auto" w:sz="4" w:space="0"/>
                    <w:bottom w:val="single" w:color="auto" w:sz="4" w:space="0"/>
                    <w:right w:val="single" w:color="auto" w:sz="4" w:space="0"/>
                  </w:tcBorders>
                  <w:vAlign w:val="center"/>
                </w:tcPr>
                <w:p w14:paraId="27B6BC23">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1.7</w:t>
                  </w:r>
                </w:p>
              </w:tc>
              <w:tc>
                <w:tcPr>
                  <w:tcW w:w="850" w:type="dxa"/>
                  <w:tcBorders>
                    <w:top w:val="single" w:color="auto" w:sz="4" w:space="0"/>
                    <w:left w:val="single" w:color="auto" w:sz="4" w:space="0"/>
                    <w:bottom w:val="single" w:color="auto" w:sz="4" w:space="0"/>
                    <w:right w:val="single" w:color="auto" w:sz="4" w:space="0"/>
                  </w:tcBorders>
                  <w:noWrap/>
                  <w:vAlign w:val="center"/>
                </w:tcPr>
                <w:p w14:paraId="285C4563">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1.6</w:t>
                  </w:r>
                </w:p>
              </w:tc>
            </w:tr>
            <w:tr w14:paraId="4F723865">
              <w:tblPrEx>
                <w:tblCellMar>
                  <w:top w:w="0" w:type="dxa"/>
                  <w:left w:w="108" w:type="dxa"/>
                  <w:bottom w:w="0" w:type="dxa"/>
                  <w:right w:w="108" w:type="dxa"/>
                </w:tblCellMar>
              </w:tblPrEx>
              <w:trPr>
                <w:trHeight w:val="280" w:hRule="atLeast"/>
              </w:trPr>
              <w:tc>
                <w:tcPr>
                  <w:tcW w:w="1731" w:type="dxa"/>
                  <w:tcBorders>
                    <w:top w:val="single" w:color="auto" w:sz="4" w:space="0"/>
                    <w:left w:val="single" w:color="auto" w:sz="4" w:space="0"/>
                    <w:bottom w:val="single" w:color="auto" w:sz="4" w:space="0"/>
                    <w:right w:val="single" w:color="auto" w:sz="4" w:space="0"/>
                  </w:tcBorders>
                  <w:noWrap/>
                  <w:vAlign w:val="center"/>
                </w:tcPr>
                <w:p w14:paraId="562243D9">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Shiseido</w:t>
                  </w:r>
                </w:p>
              </w:tc>
              <w:tc>
                <w:tcPr>
                  <w:tcW w:w="987" w:type="dxa"/>
                  <w:tcBorders>
                    <w:top w:val="single" w:color="auto" w:sz="4" w:space="0"/>
                    <w:left w:val="single" w:color="auto" w:sz="4" w:space="0"/>
                    <w:bottom w:val="single" w:color="auto" w:sz="4" w:space="0"/>
                    <w:right w:val="single" w:color="auto" w:sz="4" w:space="0"/>
                  </w:tcBorders>
                  <w:noWrap/>
                  <w:vAlign w:val="center"/>
                </w:tcPr>
                <w:p w14:paraId="7B91CE18">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1.8</w:t>
                  </w:r>
                </w:p>
              </w:tc>
              <w:tc>
                <w:tcPr>
                  <w:tcW w:w="993" w:type="dxa"/>
                  <w:tcBorders>
                    <w:top w:val="single" w:color="auto" w:sz="4" w:space="0"/>
                    <w:left w:val="single" w:color="auto" w:sz="4" w:space="0"/>
                    <w:bottom w:val="single" w:color="auto" w:sz="4" w:space="0"/>
                    <w:right w:val="single" w:color="auto" w:sz="4" w:space="0"/>
                  </w:tcBorders>
                  <w:noWrap/>
                  <w:vAlign w:val="center"/>
                </w:tcPr>
                <w:p w14:paraId="239C6EFF">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1.9</w:t>
                  </w:r>
                </w:p>
              </w:tc>
              <w:tc>
                <w:tcPr>
                  <w:tcW w:w="992" w:type="dxa"/>
                  <w:tcBorders>
                    <w:top w:val="single" w:color="auto" w:sz="4" w:space="0"/>
                    <w:left w:val="single" w:color="auto" w:sz="4" w:space="0"/>
                    <w:bottom w:val="single" w:color="auto" w:sz="4" w:space="0"/>
                    <w:right w:val="single" w:color="auto" w:sz="4" w:space="0"/>
                  </w:tcBorders>
                  <w:noWrap/>
                  <w:vAlign w:val="center"/>
                </w:tcPr>
                <w:p w14:paraId="435B0547">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1.9</w:t>
                  </w:r>
                </w:p>
              </w:tc>
              <w:tc>
                <w:tcPr>
                  <w:tcW w:w="855" w:type="dxa"/>
                  <w:tcBorders>
                    <w:top w:val="single" w:color="auto" w:sz="4" w:space="0"/>
                    <w:left w:val="single" w:color="auto" w:sz="4" w:space="0"/>
                    <w:bottom w:val="single" w:color="auto" w:sz="4" w:space="0"/>
                    <w:right w:val="single" w:color="auto" w:sz="4" w:space="0"/>
                  </w:tcBorders>
                  <w:noWrap/>
                  <w:vAlign w:val="center"/>
                </w:tcPr>
                <w:p w14:paraId="15E64A10">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1.8</w:t>
                  </w:r>
                </w:p>
              </w:tc>
              <w:tc>
                <w:tcPr>
                  <w:tcW w:w="851" w:type="dxa"/>
                  <w:tcBorders>
                    <w:top w:val="single" w:color="auto" w:sz="4" w:space="0"/>
                    <w:left w:val="single" w:color="auto" w:sz="4" w:space="0"/>
                    <w:bottom w:val="single" w:color="auto" w:sz="4" w:space="0"/>
                    <w:right w:val="single" w:color="auto" w:sz="4" w:space="0"/>
                  </w:tcBorders>
                  <w:vAlign w:val="center"/>
                </w:tcPr>
                <w:p w14:paraId="3EB4166A">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1.6</w:t>
                  </w:r>
                </w:p>
              </w:tc>
              <w:tc>
                <w:tcPr>
                  <w:tcW w:w="850" w:type="dxa"/>
                  <w:tcBorders>
                    <w:top w:val="single" w:color="auto" w:sz="4" w:space="0"/>
                    <w:left w:val="single" w:color="auto" w:sz="4" w:space="0"/>
                    <w:bottom w:val="single" w:color="auto" w:sz="4" w:space="0"/>
                    <w:right w:val="single" w:color="auto" w:sz="4" w:space="0"/>
                  </w:tcBorders>
                  <w:noWrap/>
                  <w:vAlign w:val="center"/>
                </w:tcPr>
                <w:p w14:paraId="1DCCA8BE">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1.6</w:t>
                  </w:r>
                </w:p>
              </w:tc>
            </w:tr>
            <w:tr w14:paraId="3CEEB952">
              <w:tblPrEx>
                <w:tblCellMar>
                  <w:top w:w="0" w:type="dxa"/>
                  <w:left w:w="108" w:type="dxa"/>
                  <w:bottom w:w="0" w:type="dxa"/>
                  <w:right w:w="108" w:type="dxa"/>
                </w:tblCellMar>
              </w:tblPrEx>
              <w:trPr>
                <w:trHeight w:val="280" w:hRule="atLeast"/>
              </w:trPr>
              <w:tc>
                <w:tcPr>
                  <w:tcW w:w="1731" w:type="dxa"/>
                  <w:tcBorders>
                    <w:top w:val="single" w:color="auto" w:sz="4" w:space="0"/>
                    <w:left w:val="single" w:color="auto" w:sz="4" w:space="0"/>
                    <w:bottom w:val="single" w:color="auto" w:sz="4" w:space="0"/>
                    <w:right w:val="single" w:color="auto" w:sz="4" w:space="0"/>
                  </w:tcBorders>
                  <w:noWrap/>
                  <w:vAlign w:val="center"/>
                </w:tcPr>
                <w:p w14:paraId="6BEA5D72">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Clarins</w:t>
                  </w:r>
                </w:p>
              </w:tc>
              <w:tc>
                <w:tcPr>
                  <w:tcW w:w="987" w:type="dxa"/>
                  <w:tcBorders>
                    <w:top w:val="single" w:color="auto" w:sz="4" w:space="0"/>
                    <w:left w:val="single" w:color="auto" w:sz="4" w:space="0"/>
                    <w:bottom w:val="single" w:color="auto" w:sz="4" w:space="0"/>
                    <w:right w:val="single" w:color="auto" w:sz="4" w:space="0"/>
                  </w:tcBorders>
                  <w:noWrap/>
                  <w:vAlign w:val="center"/>
                </w:tcPr>
                <w:p w14:paraId="190FC7B1">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1.5</w:t>
                  </w:r>
                </w:p>
              </w:tc>
              <w:tc>
                <w:tcPr>
                  <w:tcW w:w="993" w:type="dxa"/>
                  <w:tcBorders>
                    <w:top w:val="single" w:color="auto" w:sz="4" w:space="0"/>
                    <w:left w:val="single" w:color="auto" w:sz="4" w:space="0"/>
                    <w:bottom w:val="single" w:color="auto" w:sz="4" w:space="0"/>
                    <w:right w:val="single" w:color="auto" w:sz="4" w:space="0"/>
                  </w:tcBorders>
                  <w:noWrap/>
                  <w:vAlign w:val="center"/>
                </w:tcPr>
                <w:p w14:paraId="0D6C8CB9">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1.5</w:t>
                  </w:r>
                </w:p>
              </w:tc>
              <w:tc>
                <w:tcPr>
                  <w:tcW w:w="992" w:type="dxa"/>
                  <w:tcBorders>
                    <w:top w:val="single" w:color="auto" w:sz="4" w:space="0"/>
                    <w:left w:val="single" w:color="auto" w:sz="4" w:space="0"/>
                    <w:bottom w:val="single" w:color="auto" w:sz="4" w:space="0"/>
                    <w:right w:val="single" w:color="auto" w:sz="4" w:space="0"/>
                  </w:tcBorders>
                  <w:noWrap/>
                  <w:vAlign w:val="center"/>
                </w:tcPr>
                <w:p w14:paraId="185F4A42">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1.4</w:t>
                  </w:r>
                </w:p>
              </w:tc>
              <w:tc>
                <w:tcPr>
                  <w:tcW w:w="855" w:type="dxa"/>
                  <w:tcBorders>
                    <w:top w:val="single" w:color="auto" w:sz="4" w:space="0"/>
                    <w:left w:val="single" w:color="auto" w:sz="4" w:space="0"/>
                    <w:bottom w:val="single" w:color="auto" w:sz="4" w:space="0"/>
                    <w:right w:val="single" w:color="auto" w:sz="4" w:space="0"/>
                  </w:tcBorders>
                  <w:noWrap/>
                  <w:vAlign w:val="center"/>
                </w:tcPr>
                <w:p w14:paraId="1AB09088">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1.5</w:t>
                  </w:r>
                </w:p>
              </w:tc>
              <w:tc>
                <w:tcPr>
                  <w:tcW w:w="851" w:type="dxa"/>
                  <w:tcBorders>
                    <w:top w:val="single" w:color="auto" w:sz="4" w:space="0"/>
                    <w:left w:val="single" w:color="auto" w:sz="4" w:space="0"/>
                    <w:bottom w:val="single" w:color="auto" w:sz="4" w:space="0"/>
                    <w:right w:val="single" w:color="auto" w:sz="4" w:space="0"/>
                  </w:tcBorders>
                  <w:vAlign w:val="center"/>
                </w:tcPr>
                <w:p w14:paraId="02A580FC">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1.4</w:t>
                  </w:r>
                </w:p>
              </w:tc>
              <w:tc>
                <w:tcPr>
                  <w:tcW w:w="850" w:type="dxa"/>
                  <w:tcBorders>
                    <w:top w:val="single" w:color="auto" w:sz="4" w:space="0"/>
                    <w:left w:val="single" w:color="auto" w:sz="4" w:space="0"/>
                    <w:bottom w:val="single" w:color="auto" w:sz="4" w:space="0"/>
                    <w:right w:val="single" w:color="auto" w:sz="4" w:space="0"/>
                  </w:tcBorders>
                  <w:noWrap/>
                  <w:vAlign w:val="center"/>
                </w:tcPr>
                <w:p w14:paraId="2251F347">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1.4</w:t>
                  </w:r>
                </w:p>
              </w:tc>
            </w:tr>
          </w:tbl>
          <w:p w14:paraId="2D48570E">
            <w:pPr>
              <w:spacing w:before="48" w:beforeLines="20" w:after="48" w:afterLines="20"/>
              <w:jc w:val="center"/>
              <w:textAlignment w:val="center"/>
              <w:rPr>
                <w:rFonts w:hint="default" w:ascii="Calibri" w:hAnsi="Calibri" w:eastAsia="楷体_GB2312" w:cs="Calibri"/>
                <w:b/>
                <w:bCs/>
                <w:sz w:val="20"/>
                <w:szCs w:val="20"/>
              </w:rPr>
            </w:pPr>
          </w:p>
        </w:tc>
      </w:tr>
      <w:tr w14:paraId="11452A7D">
        <w:tblPrEx>
          <w:tblCellMar>
            <w:top w:w="0" w:type="dxa"/>
            <w:left w:w="108" w:type="dxa"/>
            <w:bottom w:w="0" w:type="dxa"/>
            <w:right w:w="108" w:type="dxa"/>
          </w:tblCellMar>
        </w:tblPrEx>
        <w:trPr>
          <w:trHeight w:val="342" w:hRule="atLeast"/>
        </w:trPr>
        <w:tc>
          <w:tcPr>
            <w:tcW w:w="7466" w:type="dxa"/>
            <w:tcBorders>
              <w:top w:val="single" w:color="auto" w:sz="4" w:space="0"/>
            </w:tcBorders>
            <w:tcMar>
              <w:left w:w="0" w:type="dxa"/>
              <w:right w:w="28" w:type="dxa"/>
            </w:tcMar>
            <w:vAlign w:val="center"/>
          </w:tcPr>
          <w:p w14:paraId="06695095">
            <w:pPr>
              <w:spacing w:line="240" w:lineRule="atLeast"/>
              <w:jc w:val="both"/>
              <w:textAlignment w:val="center"/>
              <w:rPr>
                <w:rFonts w:hint="default" w:ascii="Calibri" w:hAnsi="Calibri" w:eastAsia="楷体_GB2312" w:cs="Calibri"/>
                <w:b w:val="0"/>
                <w:bCs w:val="0"/>
                <w:sz w:val="20"/>
                <w:szCs w:val="20"/>
              </w:rPr>
            </w:pPr>
            <w:r>
              <w:rPr>
                <w:rFonts w:hint="default" w:ascii="Calibri" w:hAnsi="Calibri" w:eastAsia="楷体_GB2312" w:cs="Calibri"/>
                <w:b w:val="0"/>
                <w:bCs w:val="0"/>
                <w:sz w:val="20"/>
                <w:szCs w:val="20"/>
              </w:rPr>
              <w:t>Source: Euromonitor，HFI</w:t>
            </w:r>
          </w:p>
        </w:tc>
      </w:tr>
    </w:tbl>
    <w:p w14:paraId="257BC664">
      <w:pPr>
        <w:tabs>
          <w:tab w:val="left" w:pos="871"/>
        </w:tabs>
        <w:rPr>
          <w:rFonts w:hint="default" w:ascii="Calibri" w:hAnsi="Calibri" w:eastAsia="楷体_GB2312" w:cs="Calibri"/>
          <w:b/>
          <w:bCs/>
          <w:sz w:val="22"/>
          <w:szCs w:val="22"/>
        </w:rPr>
      </w:pPr>
    </w:p>
    <w:p w14:paraId="1876C106">
      <w:pPr>
        <w:tabs>
          <w:tab w:val="left" w:pos="871"/>
        </w:tabs>
        <w:jc w:val="both"/>
        <w:rPr>
          <w:rFonts w:hint="default" w:ascii="Calibri" w:hAnsi="Calibri" w:eastAsia="楷体_GB2312" w:cs="Calibri"/>
          <w:sz w:val="22"/>
          <w:szCs w:val="22"/>
        </w:rPr>
      </w:pPr>
      <w:r>
        <w:rPr>
          <w:rFonts w:hint="default" w:ascii="Calibri" w:hAnsi="Calibri" w:eastAsia="楷体_GB2312" w:cs="Calibri"/>
          <w:b/>
          <w:bCs/>
          <w:sz w:val="22"/>
          <w:szCs w:val="22"/>
        </w:rPr>
        <w:t>3）In the global high-efficacy skin care market, L’Oréal Group’s brands hold a significantly leading position</w:t>
      </w:r>
      <w:r>
        <w:rPr>
          <w:rFonts w:hint="default" w:ascii="Calibri" w:hAnsi="Calibri" w:eastAsia="楷体_GB2312" w:cs="Calibri"/>
          <w:sz w:val="22"/>
          <w:szCs w:val="22"/>
        </w:rPr>
        <w:t>. L’Oréal Group’s brands have shown rapid growth in market share, rising from approximately 19.9% in 2019 to about 31.5% in 2024, representing a cumulative increase of 11.6 percentage points over five years, with the combined share of its brands accounting for nearly one-third of the market. Among the top five brands, the Group’s brands performed prominently: La Roche-Posay rose from 11.1% to 15.0%, firmly maintaining its first position; CeraVe achieved explosive growth from 2.7% to 11.7%, jumping to second place; Vichy slightly decreased from 6.1% to 4.8% but remained in the top five. This performance is mainly attributed to CeraVe and La Roche-Posay accurately capturing young consumers through clinically proven ingredients and social media promotion, thereby consolidating and strengthening their market positions.</w:t>
      </w:r>
    </w:p>
    <w:p w14:paraId="1ED7BCBA">
      <w:pPr>
        <w:rPr>
          <w:rFonts w:hint="default" w:ascii="Calibri" w:hAnsi="Calibri" w:eastAsia="楷体_GB2312" w:cs="Calibri"/>
        </w:rPr>
      </w:pPr>
    </w:p>
    <w:tbl>
      <w:tblPr>
        <w:tblStyle w:val="12"/>
        <w:tblW w:w="7466" w:type="dxa"/>
        <w:tblInd w:w="0" w:type="dxa"/>
        <w:tblLayout w:type="fixed"/>
        <w:tblCellMar>
          <w:top w:w="0" w:type="dxa"/>
          <w:left w:w="108" w:type="dxa"/>
          <w:bottom w:w="0" w:type="dxa"/>
          <w:right w:w="108" w:type="dxa"/>
        </w:tblCellMar>
      </w:tblPr>
      <w:tblGrid>
        <w:gridCol w:w="7466"/>
      </w:tblGrid>
      <w:tr w14:paraId="42AC7FED">
        <w:trPr>
          <w:trHeight w:val="302" w:hRule="atLeast"/>
        </w:trPr>
        <w:tc>
          <w:tcPr>
            <w:tcW w:w="7466" w:type="dxa"/>
            <w:tcBorders>
              <w:bottom w:val="single" w:color="auto" w:sz="4" w:space="0"/>
            </w:tcBorders>
            <w:tcMar>
              <w:left w:w="0" w:type="dxa"/>
              <w:right w:w="28" w:type="dxa"/>
            </w:tcMar>
          </w:tcPr>
          <w:p w14:paraId="556FF23A">
            <w:pPr>
              <w:spacing w:before="48" w:beforeLines="20" w:after="48" w:afterLines="20"/>
              <w:jc w:val="both"/>
              <w:textAlignment w:val="center"/>
              <w:rPr>
                <w:rFonts w:hint="default" w:ascii="Calibri" w:hAnsi="Calibri" w:eastAsia="楷体_GB2312" w:cs="Calibri"/>
                <w:b/>
                <w:sz w:val="20"/>
                <w:szCs w:val="20"/>
              </w:rPr>
            </w:pPr>
            <w:r>
              <w:rPr>
                <w:rFonts w:hint="default" w:ascii="Calibri" w:hAnsi="Calibri" w:eastAsia="楷体_GB2312" w:cs="Calibri"/>
                <w:b/>
                <w:sz w:val="20"/>
                <w:szCs w:val="20"/>
              </w:rPr>
              <w:t>Figure: Market Share of the Top 10 Brands in the Global High-Efficacy Skin Care Market, 2019–2024 (%)</w:t>
            </w:r>
          </w:p>
        </w:tc>
      </w:tr>
      <w:tr w14:paraId="64D6295B">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tbl>
            <w:tblPr>
              <w:tblStyle w:val="12"/>
              <w:tblW w:w="72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8"/>
              <w:gridCol w:w="992"/>
              <w:gridCol w:w="992"/>
              <w:gridCol w:w="851"/>
              <w:gridCol w:w="850"/>
              <w:gridCol w:w="851"/>
              <w:gridCol w:w="821"/>
            </w:tblGrid>
            <w:tr w14:paraId="387DD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868" w:type="dxa"/>
                  <w:shd w:val="clear" w:color="000000" w:fill="0070C0"/>
                  <w:noWrap/>
                  <w:vAlign w:val="center"/>
                </w:tcPr>
                <w:p w14:paraId="6EB46D4E">
                  <w:pPr>
                    <w:jc w:val="center"/>
                    <w:rPr>
                      <w:rFonts w:hint="default" w:ascii="Calibri" w:hAnsi="Calibri" w:eastAsia="楷体_GB2312" w:cs="Calibri"/>
                      <w:b/>
                      <w:bCs/>
                      <w:color w:val="FFFFFF"/>
                      <w:sz w:val="20"/>
                      <w:szCs w:val="20"/>
                    </w:rPr>
                  </w:pPr>
                  <w:r>
                    <w:rPr>
                      <w:rFonts w:hint="default" w:ascii="Calibri" w:hAnsi="Calibri" w:eastAsia="楷体_GB2312" w:cs="Calibri"/>
                      <w:b/>
                      <w:bCs/>
                      <w:color w:val="FFFFFF"/>
                      <w:sz w:val="20"/>
                      <w:szCs w:val="20"/>
                    </w:rPr>
                    <w:t>Brand Name</w:t>
                  </w:r>
                </w:p>
              </w:tc>
              <w:tc>
                <w:tcPr>
                  <w:tcW w:w="992" w:type="dxa"/>
                  <w:shd w:val="clear" w:color="000000" w:fill="0070C0"/>
                  <w:noWrap/>
                  <w:vAlign w:val="center"/>
                </w:tcPr>
                <w:p w14:paraId="1AD22ABF">
                  <w:pPr>
                    <w:jc w:val="center"/>
                    <w:rPr>
                      <w:rFonts w:hint="default" w:ascii="Calibri" w:hAnsi="Calibri" w:eastAsia="楷体_GB2312" w:cs="Calibri"/>
                      <w:b/>
                      <w:bCs/>
                      <w:color w:val="FFFFFF"/>
                      <w:sz w:val="20"/>
                      <w:szCs w:val="20"/>
                    </w:rPr>
                  </w:pPr>
                  <w:r>
                    <w:rPr>
                      <w:rFonts w:hint="default" w:ascii="Calibri" w:hAnsi="Calibri" w:eastAsia="楷体_GB2312" w:cs="Calibri"/>
                      <w:b/>
                      <w:bCs/>
                      <w:color w:val="FFFFFF"/>
                      <w:sz w:val="20"/>
                      <w:szCs w:val="20"/>
                    </w:rPr>
                    <w:t>2019</w:t>
                  </w:r>
                </w:p>
              </w:tc>
              <w:tc>
                <w:tcPr>
                  <w:tcW w:w="992" w:type="dxa"/>
                  <w:shd w:val="clear" w:color="000000" w:fill="0070C0"/>
                  <w:noWrap/>
                  <w:vAlign w:val="center"/>
                </w:tcPr>
                <w:p w14:paraId="0BBE99F6">
                  <w:pPr>
                    <w:jc w:val="center"/>
                    <w:rPr>
                      <w:rFonts w:hint="default" w:ascii="Calibri" w:hAnsi="Calibri" w:eastAsia="楷体_GB2312" w:cs="Calibri"/>
                      <w:b/>
                      <w:bCs/>
                      <w:color w:val="FFFFFF"/>
                      <w:sz w:val="20"/>
                      <w:szCs w:val="20"/>
                    </w:rPr>
                  </w:pPr>
                  <w:r>
                    <w:rPr>
                      <w:rFonts w:hint="default" w:ascii="Calibri" w:hAnsi="Calibri" w:eastAsia="楷体_GB2312" w:cs="Calibri"/>
                      <w:b/>
                      <w:bCs/>
                      <w:color w:val="FFFFFF"/>
                      <w:sz w:val="20"/>
                      <w:szCs w:val="20"/>
                    </w:rPr>
                    <w:t>2020</w:t>
                  </w:r>
                </w:p>
              </w:tc>
              <w:tc>
                <w:tcPr>
                  <w:tcW w:w="851" w:type="dxa"/>
                  <w:shd w:val="clear" w:color="000000" w:fill="0070C0"/>
                  <w:noWrap/>
                  <w:vAlign w:val="center"/>
                </w:tcPr>
                <w:p w14:paraId="2A252B2A">
                  <w:pPr>
                    <w:jc w:val="center"/>
                    <w:rPr>
                      <w:rFonts w:hint="default" w:ascii="Calibri" w:hAnsi="Calibri" w:eastAsia="楷体_GB2312" w:cs="Calibri"/>
                      <w:b/>
                      <w:bCs/>
                      <w:color w:val="FFFFFF"/>
                      <w:sz w:val="20"/>
                      <w:szCs w:val="20"/>
                    </w:rPr>
                  </w:pPr>
                  <w:r>
                    <w:rPr>
                      <w:rFonts w:hint="default" w:ascii="Calibri" w:hAnsi="Calibri" w:eastAsia="楷体_GB2312" w:cs="Calibri"/>
                      <w:b/>
                      <w:bCs/>
                      <w:color w:val="FFFFFF"/>
                      <w:sz w:val="20"/>
                      <w:szCs w:val="20"/>
                    </w:rPr>
                    <w:t>2021</w:t>
                  </w:r>
                </w:p>
              </w:tc>
              <w:tc>
                <w:tcPr>
                  <w:tcW w:w="850" w:type="dxa"/>
                  <w:shd w:val="clear" w:color="000000" w:fill="0070C0"/>
                  <w:noWrap/>
                  <w:vAlign w:val="center"/>
                </w:tcPr>
                <w:p w14:paraId="6EF5B7F5">
                  <w:pPr>
                    <w:jc w:val="center"/>
                    <w:rPr>
                      <w:rFonts w:hint="default" w:ascii="Calibri" w:hAnsi="Calibri" w:eastAsia="楷体_GB2312" w:cs="Calibri"/>
                      <w:b/>
                      <w:bCs/>
                      <w:color w:val="FFFFFF"/>
                      <w:sz w:val="20"/>
                      <w:szCs w:val="20"/>
                    </w:rPr>
                  </w:pPr>
                  <w:r>
                    <w:rPr>
                      <w:rFonts w:hint="default" w:ascii="Calibri" w:hAnsi="Calibri" w:eastAsia="楷体_GB2312" w:cs="Calibri"/>
                      <w:b/>
                      <w:bCs/>
                      <w:color w:val="FFFFFF"/>
                      <w:sz w:val="20"/>
                      <w:szCs w:val="20"/>
                    </w:rPr>
                    <w:t>2022</w:t>
                  </w:r>
                </w:p>
              </w:tc>
              <w:tc>
                <w:tcPr>
                  <w:tcW w:w="851" w:type="dxa"/>
                  <w:shd w:val="clear" w:color="000000" w:fill="0070C0"/>
                  <w:vAlign w:val="center"/>
                </w:tcPr>
                <w:p w14:paraId="639F19B4">
                  <w:pPr>
                    <w:jc w:val="center"/>
                    <w:rPr>
                      <w:rFonts w:hint="default" w:ascii="Calibri" w:hAnsi="Calibri" w:eastAsia="楷体_GB2312" w:cs="Calibri"/>
                      <w:b/>
                      <w:bCs/>
                      <w:color w:val="FFFFFF"/>
                      <w:sz w:val="20"/>
                      <w:szCs w:val="20"/>
                    </w:rPr>
                  </w:pPr>
                  <w:r>
                    <w:rPr>
                      <w:rFonts w:hint="default" w:ascii="Calibri" w:hAnsi="Calibri" w:eastAsia="楷体_GB2312" w:cs="Calibri"/>
                      <w:b/>
                      <w:bCs/>
                      <w:color w:val="FFFFFF"/>
                      <w:sz w:val="20"/>
                      <w:szCs w:val="20"/>
                    </w:rPr>
                    <w:t>2023</w:t>
                  </w:r>
                </w:p>
              </w:tc>
              <w:tc>
                <w:tcPr>
                  <w:tcW w:w="821" w:type="dxa"/>
                  <w:shd w:val="clear" w:color="000000" w:fill="0070C0"/>
                  <w:noWrap/>
                  <w:vAlign w:val="center"/>
                </w:tcPr>
                <w:p w14:paraId="69A9F737">
                  <w:pPr>
                    <w:jc w:val="center"/>
                    <w:rPr>
                      <w:rFonts w:hint="default" w:ascii="Calibri" w:hAnsi="Calibri" w:eastAsia="楷体_GB2312" w:cs="Calibri"/>
                      <w:b/>
                      <w:bCs/>
                      <w:color w:val="FFFFFF"/>
                      <w:sz w:val="20"/>
                      <w:szCs w:val="20"/>
                    </w:rPr>
                  </w:pPr>
                  <w:r>
                    <w:rPr>
                      <w:rFonts w:hint="default" w:ascii="Calibri" w:hAnsi="Calibri" w:eastAsia="楷体_GB2312" w:cs="Calibri"/>
                      <w:b/>
                      <w:bCs/>
                      <w:color w:val="FFFFFF"/>
                      <w:sz w:val="20"/>
                      <w:szCs w:val="20"/>
                    </w:rPr>
                    <w:t>2024</w:t>
                  </w:r>
                </w:p>
              </w:tc>
            </w:tr>
            <w:tr w14:paraId="75788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868" w:type="dxa"/>
                  <w:noWrap/>
                  <w:vAlign w:val="center"/>
                </w:tcPr>
                <w:p w14:paraId="4EB72C55">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 xml:space="preserve">La Roche-Posay </w:t>
                  </w:r>
                </w:p>
              </w:tc>
              <w:tc>
                <w:tcPr>
                  <w:tcW w:w="992" w:type="dxa"/>
                  <w:noWrap/>
                  <w:vAlign w:val="center"/>
                </w:tcPr>
                <w:p w14:paraId="642C854E">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11.1</w:t>
                  </w:r>
                </w:p>
              </w:tc>
              <w:tc>
                <w:tcPr>
                  <w:tcW w:w="992" w:type="dxa"/>
                  <w:noWrap/>
                  <w:vAlign w:val="center"/>
                </w:tcPr>
                <w:p w14:paraId="1B02E5AB">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10.9</w:t>
                  </w:r>
                </w:p>
              </w:tc>
              <w:tc>
                <w:tcPr>
                  <w:tcW w:w="851" w:type="dxa"/>
                  <w:noWrap/>
                  <w:vAlign w:val="center"/>
                </w:tcPr>
                <w:p w14:paraId="59318CEA">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11.6</w:t>
                  </w:r>
                </w:p>
              </w:tc>
              <w:tc>
                <w:tcPr>
                  <w:tcW w:w="850" w:type="dxa"/>
                  <w:noWrap/>
                  <w:vAlign w:val="center"/>
                </w:tcPr>
                <w:p w14:paraId="5CF7C4E6">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12.2</w:t>
                  </w:r>
                </w:p>
              </w:tc>
              <w:tc>
                <w:tcPr>
                  <w:tcW w:w="851" w:type="dxa"/>
                  <w:vAlign w:val="center"/>
                </w:tcPr>
                <w:p w14:paraId="284987DE">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14.1</w:t>
                  </w:r>
                </w:p>
              </w:tc>
              <w:tc>
                <w:tcPr>
                  <w:tcW w:w="821" w:type="dxa"/>
                  <w:noWrap/>
                  <w:vAlign w:val="center"/>
                </w:tcPr>
                <w:p w14:paraId="27EE2119">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15</w:t>
                  </w:r>
                </w:p>
              </w:tc>
            </w:tr>
            <w:tr w14:paraId="78A1E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868" w:type="dxa"/>
                  <w:noWrap/>
                  <w:vAlign w:val="center"/>
                </w:tcPr>
                <w:p w14:paraId="2AE91544">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CeraVe</w:t>
                  </w:r>
                </w:p>
              </w:tc>
              <w:tc>
                <w:tcPr>
                  <w:tcW w:w="992" w:type="dxa"/>
                  <w:noWrap/>
                  <w:vAlign w:val="center"/>
                </w:tcPr>
                <w:p w14:paraId="4AE19C68">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2.7</w:t>
                  </w:r>
                </w:p>
              </w:tc>
              <w:tc>
                <w:tcPr>
                  <w:tcW w:w="992" w:type="dxa"/>
                  <w:noWrap/>
                  <w:vAlign w:val="center"/>
                </w:tcPr>
                <w:p w14:paraId="4C3A1F4B">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5.3</w:t>
                  </w:r>
                </w:p>
              </w:tc>
              <w:tc>
                <w:tcPr>
                  <w:tcW w:w="851" w:type="dxa"/>
                  <w:noWrap/>
                  <w:vAlign w:val="center"/>
                </w:tcPr>
                <w:p w14:paraId="6CCF4E18">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7.5</w:t>
                  </w:r>
                </w:p>
              </w:tc>
              <w:tc>
                <w:tcPr>
                  <w:tcW w:w="850" w:type="dxa"/>
                  <w:noWrap/>
                  <w:vAlign w:val="center"/>
                </w:tcPr>
                <w:p w14:paraId="67F3E45B">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9.4</w:t>
                  </w:r>
                </w:p>
              </w:tc>
              <w:tc>
                <w:tcPr>
                  <w:tcW w:w="851" w:type="dxa"/>
                  <w:vAlign w:val="center"/>
                </w:tcPr>
                <w:p w14:paraId="128C57CB">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11.4</w:t>
                  </w:r>
                </w:p>
              </w:tc>
              <w:tc>
                <w:tcPr>
                  <w:tcW w:w="821" w:type="dxa"/>
                  <w:noWrap/>
                  <w:vAlign w:val="center"/>
                </w:tcPr>
                <w:p w14:paraId="2D10CD54">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11.7</w:t>
                  </w:r>
                </w:p>
              </w:tc>
            </w:tr>
            <w:tr w14:paraId="00FDA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868" w:type="dxa"/>
                  <w:noWrap/>
                  <w:vAlign w:val="center"/>
                </w:tcPr>
                <w:p w14:paraId="771D52BE">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Neutrogena</w:t>
                  </w:r>
                </w:p>
              </w:tc>
              <w:tc>
                <w:tcPr>
                  <w:tcW w:w="992" w:type="dxa"/>
                  <w:noWrap/>
                  <w:vAlign w:val="center"/>
                </w:tcPr>
                <w:p w14:paraId="3AFC4A6B">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w:t>
                  </w:r>
                </w:p>
              </w:tc>
              <w:tc>
                <w:tcPr>
                  <w:tcW w:w="992" w:type="dxa"/>
                  <w:noWrap/>
                  <w:vAlign w:val="center"/>
                </w:tcPr>
                <w:p w14:paraId="7BBFCD66">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w:t>
                  </w:r>
                </w:p>
              </w:tc>
              <w:tc>
                <w:tcPr>
                  <w:tcW w:w="851" w:type="dxa"/>
                  <w:noWrap/>
                  <w:vAlign w:val="center"/>
                </w:tcPr>
                <w:p w14:paraId="0837BCCA">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w:t>
                  </w:r>
                </w:p>
              </w:tc>
              <w:tc>
                <w:tcPr>
                  <w:tcW w:w="850" w:type="dxa"/>
                  <w:noWrap/>
                  <w:vAlign w:val="center"/>
                </w:tcPr>
                <w:p w14:paraId="5D52593D">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w:t>
                  </w:r>
                </w:p>
              </w:tc>
              <w:tc>
                <w:tcPr>
                  <w:tcW w:w="851" w:type="dxa"/>
                  <w:vAlign w:val="center"/>
                </w:tcPr>
                <w:p w14:paraId="3B365A6B">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9.9</w:t>
                  </w:r>
                </w:p>
              </w:tc>
              <w:tc>
                <w:tcPr>
                  <w:tcW w:w="821" w:type="dxa"/>
                  <w:noWrap/>
                  <w:vAlign w:val="center"/>
                </w:tcPr>
                <w:p w14:paraId="2F378BDF">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9</w:t>
                  </w:r>
                </w:p>
              </w:tc>
            </w:tr>
            <w:tr w14:paraId="14314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868" w:type="dxa"/>
                  <w:noWrap/>
                  <w:vAlign w:val="center"/>
                </w:tcPr>
                <w:p w14:paraId="1E97DEAD">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Vichy</w:t>
                  </w:r>
                </w:p>
              </w:tc>
              <w:tc>
                <w:tcPr>
                  <w:tcW w:w="992" w:type="dxa"/>
                  <w:noWrap/>
                  <w:vAlign w:val="center"/>
                </w:tcPr>
                <w:p w14:paraId="43465B3B">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6.1</w:t>
                  </w:r>
                </w:p>
              </w:tc>
              <w:tc>
                <w:tcPr>
                  <w:tcW w:w="992" w:type="dxa"/>
                  <w:noWrap/>
                  <w:vAlign w:val="center"/>
                </w:tcPr>
                <w:p w14:paraId="7D26B73E">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5.6</w:t>
                  </w:r>
                </w:p>
              </w:tc>
              <w:tc>
                <w:tcPr>
                  <w:tcW w:w="851" w:type="dxa"/>
                  <w:noWrap/>
                  <w:vAlign w:val="center"/>
                </w:tcPr>
                <w:p w14:paraId="5150AEB9">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5.1</w:t>
                  </w:r>
                </w:p>
              </w:tc>
              <w:tc>
                <w:tcPr>
                  <w:tcW w:w="850" w:type="dxa"/>
                  <w:noWrap/>
                  <w:vAlign w:val="center"/>
                </w:tcPr>
                <w:p w14:paraId="1F4BC9F3">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4.7</w:t>
                  </w:r>
                </w:p>
              </w:tc>
              <w:tc>
                <w:tcPr>
                  <w:tcW w:w="851" w:type="dxa"/>
                  <w:vAlign w:val="center"/>
                </w:tcPr>
                <w:p w14:paraId="398F217B">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4.6</w:t>
                  </w:r>
                </w:p>
              </w:tc>
              <w:tc>
                <w:tcPr>
                  <w:tcW w:w="821" w:type="dxa"/>
                  <w:noWrap/>
                  <w:vAlign w:val="center"/>
                </w:tcPr>
                <w:p w14:paraId="430439FC">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4.8</w:t>
                  </w:r>
                </w:p>
              </w:tc>
            </w:tr>
            <w:tr w14:paraId="5584D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868" w:type="dxa"/>
                  <w:noWrap/>
                  <w:vAlign w:val="center"/>
                </w:tcPr>
                <w:p w14:paraId="42215DEC">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Avene</w:t>
                  </w:r>
                </w:p>
              </w:tc>
              <w:tc>
                <w:tcPr>
                  <w:tcW w:w="992" w:type="dxa"/>
                  <w:noWrap/>
                  <w:vAlign w:val="center"/>
                </w:tcPr>
                <w:p w14:paraId="151D07FF">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6.7</w:t>
                  </w:r>
                </w:p>
              </w:tc>
              <w:tc>
                <w:tcPr>
                  <w:tcW w:w="992" w:type="dxa"/>
                  <w:noWrap/>
                  <w:vAlign w:val="center"/>
                </w:tcPr>
                <w:p w14:paraId="15C86C46">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5.6</w:t>
                  </w:r>
                </w:p>
              </w:tc>
              <w:tc>
                <w:tcPr>
                  <w:tcW w:w="851" w:type="dxa"/>
                  <w:noWrap/>
                  <w:vAlign w:val="center"/>
                </w:tcPr>
                <w:p w14:paraId="44EE7A78">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6</w:t>
                  </w:r>
                </w:p>
              </w:tc>
              <w:tc>
                <w:tcPr>
                  <w:tcW w:w="850" w:type="dxa"/>
                  <w:noWrap/>
                  <w:vAlign w:val="center"/>
                </w:tcPr>
                <w:p w14:paraId="0BDD1A8C">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5.3</w:t>
                  </w:r>
                </w:p>
              </w:tc>
              <w:tc>
                <w:tcPr>
                  <w:tcW w:w="851" w:type="dxa"/>
                  <w:vAlign w:val="center"/>
                </w:tcPr>
                <w:p w14:paraId="3C50353E">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4.9</w:t>
                  </w:r>
                </w:p>
              </w:tc>
              <w:tc>
                <w:tcPr>
                  <w:tcW w:w="821" w:type="dxa"/>
                  <w:noWrap/>
                  <w:vAlign w:val="center"/>
                </w:tcPr>
                <w:p w14:paraId="6C1750D4">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4.8</w:t>
                  </w:r>
                </w:p>
              </w:tc>
            </w:tr>
            <w:tr w14:paraId="0E383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868" w:type="dxa"/>
                  <w:noWrap/>
                  <w:vAlign w:val="center"/>
                </w:tcPr>
                <w:p w14:paraId="640E75DA">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 xml:space="preserve">Eucerin </w:t>
                  </w:r>
                </w:p>
              </w:tc>
              <w:tc>
                <w:tcPr>
                  <w:tcW w:w="992" w:type="dxa"/>
                  <w:noWrap/>
                  <w:vAlign w:val="center"/>
                </w:tcPr>
                <w:p w14:paraId="19CC06DC">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4.1</w:t>
                  </w:r>
                </w:p>
              </w:tc>
              <w:tc>
                <w:tcPr>
                  <w:tcW w:w="992" w:type="dxa"/>
                  <w:noWrap/>
                  <w:vAlign w:val="center"/>
                </w:tcPr>
                <w:p w14:paraId="432FF785">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4.1</w:t>
                  </w:r>
                </w:p>
              </w:tc>
              <w:tc>
                <w:tcPr>
                  <w:tcW w:w="851" w:type="dxa"/>
                  <w:noWrap/>
                  <w:vAlign w:val="center"/>
                </w:tcPr>
                <w:p w14:paraId="22377BBD">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4</w:t>
                  </w:r>
                </w:p>
              </w:tc>
              <w:tc>
                <w:tcPr>
                  <w:tcW w:w="850" w:type="dxa"/>
                  <w:noWrap/>
                  <w:vAlign w:val="center"/>
                </w:tcPr>
                <w:p w14:paraId="4592D402">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4.3</w:t>
                  </w:r>
                </w:p>
              </w:tc>
              <w:tc>
                <w:tcPr>
                  <w:tcW w:w="851" w:type="dxa"/>
                  <w:vAlign w:val="center"/>
                </w:tcPr>
                <w:p w14:paraId="2CDC1C1B">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4.5</w:t>
                  </w:r>
                </w:p>
              </w:tc>
              <w:tc>
                <w:tcPr>
                  <w:tcW w:w="821" w:type="dxa"/>
                  <w:noWrap/>
                  <w:vAlign w:val="center"/>
                </w:tcPr>
                <w:p w14:paraId="132F0750">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4.5</w:t>
                  </w:r>
                </w:p>
              </w:tc>
            </w:tr>
            <w:tr w14:paraId="1EBA4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868" w:type="dxa"/>
                  <w:noWrap/>
                  <w:vAlign w:val="center"/>
                </w:tcPr>
                <w:p w14:paraId="1CB5E14D">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 xml:space="preserve">Cetaphil </w:t>
                  </w:r>
                </w:p>
              </w:tc>
              <w:tc>
                <w:tcPr>
                  <w:tcW w:w="992" w:type="dxa"/>
                  <w:noWrap/>
                  <w:vAlign w:val="center"/>
                </w:tcPr>
                <w:p w14:paraId="089107DD">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3.6</w:t>
                  </w:r>
                </w:p>
              </w:tc>
              <w:tc>
                <w:tcPr>
                  <w:tcW w:w="992" w:type="dxa"/>
                  <w:noWrap/>
                  <w:vAlign w:val="center"/>
                </w:tcPr>
                <w:p w14:paraId="3EE7684D">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4</w:t>
                  </w:r>
                </w:p>
              </w:tc>
              <w:tc>
                <w:tcPr>
                  <w:tcW w:w="851" w:type="dxa"/>
                  <w:noWrap/>
                  <w:vAlign w:val="center"/>
                </w:tcPr>
                <w:p w14:paraId="4E992298">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3.7</w:t>
                  </w:r>
                </w:p>
              </w:tc>
              <w:tc>
                <w:tcPr>
                  <w:tcW w:w="850" w:type="dxa"/>
                  <w:noWrap/>
                  <w:vAlign w:val="center"/>
                </w:tcPr>
                <w:p w14:paraId="63D10C24">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4.2</w:t>
                  </w:r>
                </w:p>
              </w:tc>
              <w:tc>
                <w:tcPr>
                  <w:tcW w:w="851" w:type="dxa"/>
                  <w:vAlign w:val="center"/>
                </w:tcPr>
                <w:p w14:paraId="65CBA2A2">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4.1</w:t>
                  </w:r>
                </w:p>
              </w:tc>
              <w:tc>
                <w:tcPr>
                  <w:tcW w:w="821" w:type="dxa"/>
                  <w:noWrap/>
                  <w:vAlign w:val="center"/>
                </w:tcPr>
                <w:p w14:paraId="502B0DB9">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4.3</w:t>
                  </w:r>
                </w:p>
              </w:tc>
            </w:tr>
            <w:tr w14:paraId="30303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868" w:type="dxa"/>
                  <w:noWrap/>
                  <w:vAlign w:val="center"/>
                </w:tcPr>
                <w:p w14:paraId="6B941F13">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 xml:space="preserve">Aveeno </w:t>
                  </w:r>
                </w:p>
              </w:tc>
              <w:tc>
                <w:tcPr>
                  <w:tcW w:w="992" w:type="dxa"/>
                  <w:noWrap/>
                  <w:vAlign w:val="center"/>
                </w:tcPr>
                <w:p w14:paraId="2C78FC90">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w:t>
                  </w:r>
                </w:p>
              </w:tc>
              <w:tc>
                <w:tcPr>
                  <w:tcW w:w="992" w:type="dxa"/>
                  <w:noWrap/>
                  <w:vAlign w:val="center"/>
                </w:tcPr>
                <w:p w14:paraId="387DE014">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w:t>
                  </w:r>
                </w:p>
              </w:tc>
              <w:tc>
                <w:tcPr>
                  <w:tcW w:w="851" w:type="dxa"/>
                  <w:noWrap/>
                  <w:vAlign w:val="center"/>
                </w:tcPr>
                <w:p w14:paraId="500A28D8">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w:t>
                  </w:r>
                </w:p>
              </w:tc>
              <w:tc>
                <w:tcPr>
                  <w:tcW w:w="850" w:type="dxa"/>
                  <w:noWrap/>
                  <w:vAlign w:val="center"/>
                </w:tcPr>
                <w:p w14:paraId="30CDCE8C">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w:t>
                  </w:r>
                </w:p>
              </w:tc>
              <w:tc>
                <w:tcPr>
                  <w:tcW w:w="851" w:type="dxa"/>
                  <w:vAlign w:val="center"/>
                </w:tcPr>
                <w:p w14:paraId="62798FCC">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3.5</w:t>
                  </w:r>
                </w:p>
              </w:tc>
              <w:tc>
                <w:tcPr>
                  <w:tcW w:w="821" w:type="dxa"/>
                  <w:noWrap/>
                  <w:vAlign w:val="center"/>
                </w:tcPr>
                <w:p w14:paraId="6C8E7520">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3.3</w:t>
                  </w:r>
                </w:p>
              </w:tc>
            </w:tr>
            <w:tr w14:paraId="29F7B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868" w:type="dxa"/>
                  <w:noWrap/>
                  <w:vAlign w:val="center"/>
                </w:tcPr>
                <w:p w14:paraId="456DF074">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Winona</w:t>
                  </w:r>
                </w:p>
              </w:tc>
              <w:tc>
                <w:tcPr>
                  <w:tcW w:w="992" w:type="dxa"/>
                  <w:noWrap/>
                  <w:vAlign w:val="center"/>
                </w:tcPr>
                <w:p w14:paraId="25AE6A1C">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2</w:t>
                  </w:r>
                </w:p>
              </w:tc>
              <w:tc>
                <w:tcPr>
                  <w:tcW w:w="992" w:type="dxa"/>
                  <w:noWrap/>
                  <w:vAlign w:val="center"/>
                </w:tcPr>
                <w:p w14:paraId="2F297117">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2.7</w:t>
                  </w:r>
                </w:p>
              </w:tc>
              <w:tc>
                <w:tcPr>
                  <w:tcW w:w="851" w:type="dxa"/>
                  <w:noWrap/>
                  <w:vAlign w:val="center"/>
                </w:tcPr>
                <w:p w14:paraId="63E44CAE">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3.3</w:t>
                  </w:r>
                </w:p>
              </w:tc>
              <w:tc>
                <w:tcPr>
                  <w:tcW w:w="850" w:type="dxa"/>
                  <w:noWrap/>
                  <w:vAlign w:val="center"/>
                </w:tcPr>
                <w:p w14:paraId="485E9A6F">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3.8</w:t>
                  </w:r>
                </w:p>
              </w:tc>
              <w:tc>
                <w:tcPr>
                  <w:tcW w:w="851" w:type="dxa"/>
                  <w:vAlign w:val="center"/>
                </w:tcPr>
                <w:p w14:paraId="70576B63">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3.5</w:t>
                  </w:r>
                </w:p>
              </w:tc>
              <w:tc>
                <w:tcPr>
                  <w:tcW w:w="821" w:type="dxa"/>
                  <w:noWrap/>
                  <w:vAlign w:val="center"/>
                </w:tcPr>
                <w:p w14:paraId="64BFB7B6">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3.3</w:t>
                  </w:r>
                </w:p>
              </w:tc>
            </w:tr>
            <w:tr w14:paraId="4AF26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868" w:type="dxa"/>
                  <w:noWrap/>
                  <w:vAlign w:val="center"/>
                </w:tcPr>
                <w:p w14:paraId="208C7ACA">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Bioderma</w:t>
                  </w:r>
                </w:p>
              </w:tc>
              <w:tc>
                <w:tcPr>
                  <w:tcW w:w="992" w:type="dxa"/>
                  <w:noWrap/>
                  <w:vAlign w:val="center"/>
                </w:tcPr>
                <w:p w14:paraId="484F6E39">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4</w:t>
                  </w:r>
                </w:p>
              </w:tc>
              <w:tc>
                <w:tcPr>
                  <w:tcW w:w="992" w:type="dxa"/>
                  <w:noWrap/>
                  <w:vAlign w:val="center"/>
                </w:tcPr>
                <w:p w14:paraId="2A446E8E">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3.7</w:t>
                  </w:r>
                </w:p>
              </w:tc>
              <w:tc>
                <w:tcPr>
                  <w:tcW w:w="851" w:type="dxa"/>
                  <w:noWrap/>
                  <w:vAlign w:val="center"/>
                </w:tcPr>
                <w:p w14:paraId="1E51FC01">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3.5</w:t>
                  </w:r>
                </w:p>
              </w:tc>
              <w:tc>
                <w:tcPr>
                  <w:tcW w:w="850" w:type="dxa"/>
                  <w:noWrap/>
                  <w:vAlign w:val="center"/>
                </w:tcPr>
                <w:p w14:paraId="4A3D719A">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3.4</w:t>
                  </w:r>
                </w:p>
              </w:tc>
              <w:tc>
                <w:tcPr>
                  <w:tcW w:w="851" w:type="dxa"/>
                  <w:vAlign w:val="center"/>
                </w:tcPr>
                <w:p w14:paraId="323C0679">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3.2</w:t>
                  </w:r>
                </w:p>
              </w:tc>
              <w:tc>
                <w:tcPr>
                  <w:tcW w:w="821" w:type="dxa"/>
                  <w:noWrap/>
                  <w:vAlign w:val="center"/>
                </w:tcPr>
                <w:p w14:paraId="43D12E84">
                  <w:pPr>
                    <w:jc w:val="center"/>
                    <w:rPr>
                      <w:rFonts w:hint="default" w:ascii="Calibri" w:hAnsi="Calibri" w:eastAsia="楷体_GB2312" w:cs="Calibri"/>
                      <w:color w:val="000000"/>
                      <w:sz w:val="20"/>
                      <w:szCs w:val="20"/>
                    </w:rPr>
                  </w:pPr>
                  <w:r>
                    <w:rPr>
                      <w:rFonts w:hint="default" w:ascii="Calibri" w:hAnsi="Calibri" w:eastAsia="楷体_GB2312" w:cs="Calibri"/>
                      <w:color w:val="000000"/>
                      <w:sz w:val="20"/>
                      <w:szCs w:val="20"/>
                    </w:rPr>
                    <w:t>3.1</w:t>
                  </w:r>
                </w:p>
              </w:tc>
            </w:tr>
          </w:tbl>
          <w:p w14:paraId="4F720928">
            <w:pPr>
              <w:spacing w:before="48" w:beforeLines="20" w:after="48" w:afterLines="20"/>
              <w:jc w:val="center"/>
              <w:textAlignment w:val="center"/>
              <w:rPr>
                <w:rFonts w:hint="default" w:ascii="Calibri" w:hAnsi="Calibri" w:eastAsia="楷体_GB2312" w:cs="Calibri"/>
                <w:b/>
                <w:bCs/>
                <w:sz w:val="20"/>
                <w:szCs w:val="20"/>
              </w:rPr>
            </w:pPr>
          </w:p>
        </w:tc>
      </w:tr>
      <w:tr w14:paraId="4683EDF8">
        <w:tblPrEx>
          <w:tblCellMar>
            <w:top w:w="0" w:type="dxa"/>
            <w:left w:w="108" w:type="dxa"/>
            <w:bottom w:w="0" w:type="dxa"/>
            <w:right w:w="108" w:type="dxa"/>
          </w:tblCellMar>
        </w:tblPrEx>
        <w:trPr>
          <w:trHeight w:val="342" w:hRule="atLeast"/>
        </w:trPr>
        <w:tc>
          <w:tcPr>
            <w:tcW w:w="7466" w:type="dxa"/>
            <w:tcBorders>
              <w:top w:val="single" w:color="auto" w:sz="4" w:space="0"/>
            </w:tcBorders>
            <w:tcMar>
              <w:left w:w="0" w:type="dxa"/>
              <w:right w:w="28" w:type="dxa"/>
            </w:tcMar>
            <w:vAlign w:val="center"/>
          </w:tcPr>
          <w:p w14:paraId="06FD827F">
            <w:pPr>
              <w:spacing w:line="240" w:lineRule="atLeast"/>
              <w:jc w:val="both"/>
              <w:textAlignment w:val="center"/>
              <w:rPr>
                <w:rFonts w:hint="default" w:ascii="Calibri" w:hAnsi="Calibri" w:eastAsia="楷体_GB2312" w:cs="Calibri"/>
                <w:b w:val="0"/>
                <w:bCs w:val="0"/>
                <w:sz w:val="20"/>
                <w:szCs w:val="20"/>
              </w:rPr>
            </w:pPr>
            <w:r>
              <w:rPr>
                <w:rFonts w:hint="default" w:ascii="Calibri" w:hAnsi="Calibri" w:eastAsia="楷体_GB2312" w:cs="Calibri"/>
                <w:b w:val="0"/>
                <w:bCs w:val="0"/>
                <w:sz w:val="20"/>
                <w:szCs w:val="20"/>
              </w:rPr>
              <w:t>Source: Euromonitor，HFI</w:t>
            </w:r>
          </w:p>
        </w:tc>
      </w:tr>
    </w:tbl>
    <w:p w14:paraId="596E67AA">
      <w:pPr>
        <w:pStyle w:val="2"/>
        <w:spacing w:before="240" w:beforeLines="100" w:after="240" w:afterLines="100"/>
        <w:jc w:val="both"/>
        <w:rPr>
          <w:rFonts w:hint="default" w:ascii="Calibri" w:hAnsi="Calibri" w:eastAsia="楷体_GB2312" w:cs="Calibri"/>
          <w:b/>
          <w:bCs/>
          <w:color w:val="23558C"/>
          <w:sz w:val="28"/>
          <w:szCs w:val="28"/>
        </w:rPr>
      </w:pPr>
      <w:bookmarkStart w:id="19" w:name="_Toc19006"/>
      <w:r>
        <w:rPr>
          <w:rFonts w:hint="default" w:ascii="Calibri" w:hAnsi="Calibri" w:eastAsia="楷体_GB2312" w:cs="Calibri"/>
          <w:b/>
          <w:bCs/>
          <w:color w:val="23558C"/>
          <w:sz w:val="28"/>
          <w:szCs w:val="28"/>
        </w:rPr>
        <w:t>3 Five Core Competitive Strengths Building a Corporate Moat</w:t>
      </w:r>
      <w:bookmarkEnd w:id="19"/>
    </w:p>
    <w:p w14:paraId="214A4BD7">
      <w:pPr>
        <w:jc w:val="both"/>
        <w:rPr>
          <w:rFonts w:hint="default" w:ascii="Calibri" w:hAnsi="Calibri" w:eastAsia="楷体_GB2312" w:cs="Calibri"/>
          <w:kern w:val="2"/>
          <w:sz w:val="22"/>
          <w:szCs w:val="22"/>
        </w:rPr>
      </w:pPr>
      <w:r>
        <w:rPr>
          <w:rFonts w:hint="default" w:ascii="Calibri" w:hAnsi="Calibri" w:eastAsia="楷体_GB2312" w:cs="Calibri"/>
          <w:b/>
          <w:bCs/>
          <w:kern w:val="2"/>
          <w:sz w:val="22"/>
          <w:szCs w:val="22"/>
        </w:rPr>
        <w:t xml:space="preserve">As the undisputed leader in the global beauty industry, L'Oréal Group has built five deep competitive barriers since its founding in 1909: </w:t>
      </w:r>
      <w:r>
        <w:rPr>
          <w:rFonts w:hint="default" w:ascii="Calibri" w:hAnsi="Calibri" w:eastAsia="楷体_GB2312" w:cs="Calibri"/>
          <w:kern w:val="2"/>
          <w:sz w:val="22"/>
          <w:szCs w:val="22"/>
        </w:rPr>
        <w:t>strong R&amp;D and innovation capabilities, brand portfolio and brand management, globalized operations and localization strategy, broad omnichannel coverage, and digital and data-driven capabilities. These five barriers mutually reinforce one another, creating a flywheel effect that has enabled the group to consistently outperform the global beauty market over the past fifteen years.</w:t>
      </w:r>
    </w:p>
    <w:p w14:paraId="7D6BEE26">
      <w:pPr>
        <w:jc w:val="both"/>
        <w:rPr>
          <w:rFonts w:hint="default" w:ascii="Calibri" w:hAnsi="Calibri" w:eastAsia="楷体_GB2312" w:cs="Calibri"/>
          <w:kern w:val="2"/>
          <w:sz w:val="22"/>
          <w:szCs w:val="22"/>
        </w:rPr>
      </w:pPr>
    </w:p>
    <w:p w14:paraId="1A5F3658">
      <w:pPr>
        <w:pStyle w:val="27"/>
        <w:numPr>
          <w:ilvl w:val="0"/>
          <w:numId w:val="9"/>
        </w:numPr>
        <w:jc w:val="both"/>
        <w:rPr>
          <w:rFonts w:hint="default" w:ascii="Calibri" w:hAnsi="Calibri" w:eastAsia="楷体_GB2312" w:cs="Calibri"/>
          <w:kern w:val="2"/>
          <w:sz w:val="22"/>
          <w:szCs w:val="22"/>
        </w:rPr>
      </w:pPr>
      <w:r>
        <w:rPr>
          <w:rFonts w:hint="default" w:ascii="Calibri" w:hAnsi="Calibri" w:eastAsia="楷体_GB2312" w:cs="Calibri"/>
          <w:b/>
          <w:bCs/>
          <w:kern w:val="2"/>
          <w:sz w:val="22"/>
          <w:szCs w:val="22"/>
        </w:rPr>
        <w:t>Strong R&amp;D and Innovation Capabilities</w:t>
      </w:r>
    </w:p>
    <w:p w14:paraId="51B48411">
      <w:pPr>
        <w:jc w:val="both"/>
        <w:rPr>
          <w:rFonts w:hint="default" w:ascii="Calibri" w:hAnsi="Calibri" w:eastAsia="楷体_GB2312" w:cs="Calibri"/>
          <w:kern w:val="2"/>
          <w:sz w:val="22"/>
          <w:szCs w:val="22"/>
        </w:rPr>
      </w:pPr>
      <w:r>
        <w:rPr>
          <w:rFonts w:hint="default" w:ascii="Calibri" w:hAnsi="Calibri" w:eastAsia="楷体_GB2312" w:cs="Calibri"/>
          <w:b/>
          <w:bCs/>
          <w:kern w:val="2"/>
          <w:sz w:val="22"/>
          <w:szCs w:val="22"/>
        </w:rPr>
        <w:t xml:space="preserve">L'Oréal is the highest R&amp;D investor in the global beauty industry, with R&amp;D expenditure exceeding EUR 1.3 billion in 2025 (approximately 3.1% of sales), far surpassing its major competitors. </w:t>
      </w:r>
      <w:r>
        <w:rPr>
          <w:rFonts w:hint="default" w:ascii="Calibri" w:hAnsi="Calibri" w:eastAsia="楷体_GB2312" w:cs="Calibri"/>
          <w:kern w:val="2"/>
          <w:sz w:val="22"/>
          <w:szCs w:val="22"/>
        </w:rPr>
        <w:t>The group operates 21 R&amp;D and innovation centres across 7 countries, employing over 4,000 scientists (85 nationalities, 70% women). In 2024, the group filed 694 patent applications (52% completed by female inventors) and launched over 3,600 new formulations, continuously introducing efficacy-driven active ingredients — from Pro-Xylane to the Melasyl anti-hyperpigmentation molecule, from UVMune 400 sunscreen technology to the Cell BioPrint proteomics-based skin analysis system.</w:t>
      </w:r>
    </w:p>
    <w:p w14:paraId="5FD81C0A">
      <w:pPr>
        <w:jc w:val="both"/>
        <w:rPr>
          <w:rFonts w:hint="default" w:ascii="Calibri" w:hAnsi="Calibri" w:eastAsia="楷体_GB2312" w:cs="Calibri"/>
          <w:kern w:val="2"/>
          <w:sz w:val="22"/>
          <w:szCs w:val="22"/>
        </w:rPr>
      </w:pPr>
    </w:p>
    <w:tbl>
      <w:tblPr>
        <w:tblStyle w:val="12"/>
        <w:tblW w:w="10490" w:type="dxa"/>
        <w:tblInd w:w="-2885" w:type="dxa"/>
        <w:tblLayout w:type="fixed"/>
        <w:tblCellMar>
          <w:top w:w="0" w:type="dxa"/>
          <w:left w:w="108" w:type="dxa"/>
          <w:bottom w:w="0" w:type="dxa"/>
          <w:right w:w="108" w:type="dxa"/>
        </w:tblCellMar>
      </w:tblPr>
      <w:tblGrid>
        <w:gridCol w:w="5100"/>
        <w:gridCol w:w="241"/>
        <w:gridCol w:w="5149"/>
      </w:tblGrid>
      <w:tr w14:paraId="3FFA6C5F">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6E10E9BE">
            <w:pPr>
              <w:spacing w:before="48" w:beforeLines="20" w:after="48" w:afterLines="20"/>
              <w:jc w:val="both"/>
              <w:textAlignment w:val="center"/>
              <w:rPr>
                <w:rFonts w:hint="default" w:ascii="Calibri" w:hAnsi="Calibri" w:eastAsia="楷体_GB2312" w:cs="Calibri"/>
                <w:b/>
                <w:sz w:val="20"/>
                <w:szCs w:val="20"/>
                <w:highlight w:val="yellow"/>
              </w:rPr>
            </w:pPr>
            <w:r>
              <w:rPr>
                <w:rFonts w:hint="default" w:ascii="Calibri" w:hAnsi="Calibri" w:eastAsia="楷体_GB2312" w:cs="Calibri"/>
                <w:b/>
                <w:sz w:val="20"/>
                <w:szCs w:val="20"/>
              </w:rPr>
              <w:t>Figure: L'Oréal R&amp;D Investment 2020–2025</w:t>
            </w:r>
          </w:p>
        </w:tc>
        <w:tc>
          <w:tcPr>
            <w:tcW w:w="241" w:type="dxa"/>
            <w:tcMar>
              <w:left w:w="0" w:type="dxa"/>
              <w:right w:w="28" w:type="dxa"/>
            </w:tcMar>
          </w:tcPr>
          <w:p w14:paraId="19E40F18">
            <w:pPr>
              <w:spacing w:before="48" w:beforeLines="20" w:after="48" w:afterLines="20"/>
              <w:jc w:val="both"/>
              <w:rPr>
                <w:rFonts w:hint="default" w:ascii="Calibri" w:hAnsi="Calibri" w:eastAsia="楷体_GB2312" w:cs="Calibri"/>
                <w:sz w:val="20"/>
                <w:szCs w:val="20"/>
                <w:highlight w:val="yellow"/>
              </w:rPr>
            </w:pPr>
          </w:p>
        </w:tc>
        <w:tc>
          <w:tcPr>
            <w:tcW w:w="5149" w:type="dxa"/>
            <w:tcBorders>
              <w:bottom w:val="single" w:color="auto" w:sz="4" w:space="0"/>
            </w:tcBorders>
            <w:tcMar>
              <w:left w:w="0" w:type="dxa"/>
              <w:right w:w="28" w:type="dxa"/>
            </w:tcMar>
          </w:tcPr>
          <w:p w14:paraId="5D23C2F0">
            <w:pPr>
              <w:spacing w:before="48" w:beforeLines="20" w:after="48" w:afterLines="20"/>
              <w:jc w:val="both"/>
              <w:rPr>
                <w:rFonts w:hint="default" w:ascii="Calibri" w:hAnsi="Calibri" w:eastAsia="楷体_GB2312" w:cs="Calibri"/>
                <w:b/>
                <w:sz w:val="20"/>
                <w:szCs w:val="20"/>
              </w:rPr>
            </w:pPr>
            <w:r>
              <w:rPr>
                <w:rFonts w:hint="default" w:ascii="Calibri" w:hAnsi="Calibri" w:eastAsia="楷体_GB2312" w:cs="Calibri"/>
                <w:b/>
                <w:sz w:val="20"/>
                <w:szCs w:val="20"/>
              </w:rPr>
              <w:t>Figure: Annual Patent Applications 2020–2025(units)</w:t>
            </w:r>
          </w:p>
        </w:tc>
      </w:tr>
      <w:tr w14:paraId="21D1BF9E">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051C43AB">
            <w:pPr>
              <w:spacing w:before="48" w:beforeLines="20" w:after="48" w:afterLines="20"/>
              <w:jc w:val="both"/>
              <w:textAlignment w:val="center"/>
              <w:rPr>
                <w:rFonts w:hint="default" w:ascii="Calibri" w:hAnsi="Calibri" w:eastAsia="楷体_GB2312" w:cs="Calibri"/>
                <w:b/>
                <w:color w:val="000000"/>
                <w:sz w:val="20"/>
                <w:szCs w:val="20"/>
                <w:lang w:bidi="ar"/>
              </w:rPr>
            </w:pPr>
            <w:r>
              <w:rPr>
                <w:rFonts w:hint="default" w:ascii="Calibri" w:hAnsi="Calibri" w:eastAsia="楷体_GB2312" w:cs="Calibri"/>
                <w:snapToGrid/>
              </w:rPr>
              <w:drawing>
                <wp:inline distT="0" distB="0" distL="0" distR="0">
                  <wp:extent cx="3101340" cy="1863725"/>
                  <wp:effectExtent l="0" t="0" r="7620" b="10795"/>
                  <wp:docPr id="48322948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tc>
        <w:tc>
          <w:tcPr>
            <w:tcW w:w="241" w:type="dxa"/>
          </w:tcPr>
          <w:p w14:paraId="285CB1B7">
            <w:pPr>
              <w:spacing w:before="48" w:beforeLines="20" w:after="48" w:afterLines="20"/>
              <w:jc w:val="both"/>
              <w:rPr>
                <w:rFonts w:hint="default" w:ascii="Calibri" w:hAnsi="Calibri" w:eastAsia="楷体_GB2312" w:cs="Calibri"/>
                <w:sz w:val="20"/>
                <w:szCs w:val="20"/>
              </w:rPr>
            </w:pPr>
          </w:p>
        </w:tc>
        <w:tc>
          <w:tcPr>
            <w:tcW w:w="5149" w:type="dxa"/>
            <w:tcBorders>
              <w:top w:val="single" w:color="auto" w:sz="4" w:space="0"/>
              <w:bottom w:val="single" w:color="auto" w:sz="4" w:space="0"/>
            </w:tcBorders>
          </w:tcPr>
          <w:p w14:paraId="071A94F9">
            <w:pPr>
              <w:spacing w:before="48" w:beforeLines="20" w:after="48" w:afterLines="20"/>
              <w:jc w:val="both"/>
              <w:rPr>
                <w:rFonts w:hint="default" w:ascii="Calibri" w:hAnsi="Calibri" w:eastAsia="楷体_GB2312" w:cs="Calibri"/>
                <w:b/>
                <w:sz w:val="14"/>
                <w:szCs w:val="14"/>
              </w:rPr>
            </w:pPr>
            <w:r>
              <w:rPr>
                <w:rFonts w:hint="default" w:ascii="Calibri" w:hAnsi="Calibri" w:eastAsia="楷体_GB2312" w:cs="Calibri"/>
                <w:snapToGrid/>
              </w:rPr>
              <w:drawing>
                <wp:inline distT="0" distB="0" distL="0" distR="0">
                  <wp:extent cx="3132455" cy="1868805"/>
                  <wp:effectExtent l="0" t="0" r="6985" b="5715"/>
                  <wp:docPr id="1538877698"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tc>
      </w:tr>
      <w:tr w14:paraId="21AC4FDD">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06B0DBDB">
            <w:pPr>
              <w:spacing w:before="48" w:beforeLines="20" w:after="48" w:afterLines="20"/>
              <w:jc w:val="both"/>
              <w:textAlignment w:val="center"/>
              <w:rPr>
                <w:rFonts w:hint="default" w:ascii="Calibri" w:hAnsi="Calibri" w:eastAsia="楷体_GB2312" w:cs="Calibri"/>
                <w:b w:val="0"/>
                <w:bCs w:val="0"/>
                <w:sz w:val="20"/>
                <w:szCs w:val="20"/>
              </w:rPr>
            </w:pPr>
            <w:r>
              <w:rPr>
                <w:rFonts w:hint="default" w:ascii="Calibri" w:hAnsi="Calibri" w:eastAsia="楷体_GB2312" w:cs="Calibri"/>
                <w:b w:val="0"/>
                <w:bCs w:val="0"/>
                <w:sz w:val="20"/>
                <w:szCs w:val="20"/>
              </w:rPr>
              <w:t>Source: Company Annual Reports, HFI</w:t>
            </w:r>
          </w:p>
        </w:tc>
        <w:tc>
          <w:tcPr>
            <w:tcW w:w="241" w:type="dxa"/>
            <w:tcMar>
              <w:left w:w="0" w:type="dxa"/>
              <w:right w:w="28" w:type="dxa"/>
            </w:tcMar>
          </w:tcPr>
          <w:p w14:paraId="49EF10AA">
            <w:pPr>
              <w:spacing w:before="48" w:beforeLines="20" w:after="48" w:afterLines="20"/>
              <w:jc w:val="both"/>
              <w:rPr>
                <w:rFonts w:hint="default" w:ascii="Calibri" w:hAnsi="Calibri" w:eastAsia="楷体_GB2312" w:cs="Calibri"/>
                <w:b w:val="0"/>
                <w:bCs w:val="0"/>
                <w:sz w:val="20"/>
                <w:szCs w:val="20"/>
              </w:rPr>
            </w:pPr>
          </w:p>
        </w:tc>
        <w:tc>
          <w:tcPr>
            <w:tcW w:w="5149" w:type="dxa"/>
            <w:tcBorders>
              <w:top w:val="single" w:color="auto" w:sz="4" w:space="0"/>
            </w:tcBorders>
            <w:tcMar>
              <w:left w:w="0" w:type="dxa"/>
              <w:right w:w="28" w:type="dxa"/>
            </w:tcMar>
          </w:tcPr>
          <w:p w14:paraId="735F14C2">
            <w:pPr>
              <w:spacing w:before="48" w:beforeLines="20" w:after="48" w:afterLines="20"/>
              <w:jc w:val="both"/>
              <w:rPr>
                <w:rFonts w:hint="default" w:ascii="Calibri" w:hAnsi="Calibri" w:eastAsia="楷体_GB2312" w:cs="Calibri"/>
                <w:b w:val="0"/>
                <w:bCs w:val="0"/>
                <w:sz w:val="20"/>
                <w:szCs w:val="20"/>
              </w:rPr>
            </w:pPr>
            <w:r>
              <w:rPr>
                <w:rFonts w:hint="default" w:ascii="Calibri" w:hAnsi="Calibri" w:eastAsia="楷体_GB2312" w:cs="Calibri"/>
                <w:b w:val="0"/>
                <w:bCs w:val="0"/>
                <w:sz w:val="20"/>
                <w:szCs w:val="20"/>
              </w:rPr>
              <w:t>Source: Company Annual Reports, HFI</w:t>
            </w:r>
          </w:p>
        </w:tc>
      </w:tr>
    </w:tbl>
    <w:p w14:paraId="43F90CB4">
      <w:pPr>
        <w:jc w:val="both"/>
        <w:rPr>
          <w:rFonts w:hint="default" w:ascii="Calibri" w:hAnsi="Calibri" w:eastAsia="楷体_GB2312" w:cs="Calibri"/>
          <w:kern w:val="2"/>
          <w:sz w:val="22"/>
          <w:szCs w:val="22"/>
        </w:rPr>
      </w:pPr>
    </w:p>
    <w:p w14:paraId="78A9A738">
      <w:pPr>
        <w:pStyle w:val="27"/>
        <w:numPr>
          <w:ilvl w:val="0"/>
          <w:numId w:val="9"/>
        </w:numPr>
        <w:jc w:val="both"/>
        <w:rPr>
          <w:rFonts w:hint="default" w:ascii="Calibri" w:hAnsi="Calibri" w:eastAsia="楷体_GB2312" w:cs="Calibri"/>
          <w:kern w:val="2"/>
          <w:sz w:val="22"/>
          <w:szCs w:val="22"/>
        </w:rPr>
      </w:pPr>
      <w:r>
        <w:rPr>
          <w:rFonts w:hint="default" w:ascii="Calibri" w:hAnsi="Calibri" w:eastAsia="楷体_GB2312" w:cs="Calibri"/>
          <w:b/>
          <w:bCs/>
          <w:kern w:val="2"/>
          <w:sz w:val="22"/>
          <w:szCs w:val="22"/>
        </w:rPr>
        <w:t>Rich Brand Portfolio and Strong Brand Management Capabilities</w:t>
      </w:r>
    </w:p>
    <w:p w14:paraId="1F810F53">
      <w:pPr>
        <w:jc w:val="both"/>
        <w:rPr>
          <w:rFonts w:hint="default" w:ascii="Calibri" w:hAnsi="Calibri" w:eastAsia="楷体_GB2312" w:cs="Calibri"/>
          <w:kern w:val="2"/>
          <w:sz w:val="22"/>
          <w:szCs w:val="22"/>
        </w:rPr>
      </w:pPr>
      <w:r>
        <w:rPr>
          <w:rFonts w:hint="default" w:ascii="Calibri" w:hAnsi="Calibri" w:eastAsia="楷体_GB2312" w:cs="Calibri"/>
          <w:b/>
          <w:bCs/>
          <w:kern w:val="2"/>
          <w:sz w:val="22"/>
          <w:szCs w:val="22"/>
        </w:rPr>
        <w:t>Through continuous acquisitions and disciplined brand management, the group has assembled a portfolio of 40 international brands spanning four divisions and covering the full price spectrum from mass to ultra-luxury.</w:t>
      </w:r>
      <w:r>
        <w:rPr>
          <w:rFonts w:hint="default" w:ascii="Calibri" w:hAnsi="Calibri" w:eastAsia="楷体_GB2312" w:cs="Calibri"/>
          <w:kern w:val="2"/>
          <w:sz w:val="22"/>
          <w:szCs w:val="22"/>
        </w:rPr>
        <w:t xml:space="preserve"> In 2024, Consumer Products (EUR 15.44 billion) and L'Oréal Luxe (EUR 14.92 billion) each accounted for approximately 35% of total revenue, with Dermatological Beauty (EUR 7.05 billion) and Professional Products (EUR 4.72 billion) providing effective complementary coverage. Of the approximately 40 brands in the group's portfolio, organic brands include L'Oréal Paris (1909), L'Oréal Professionnel, and Kérastase (1964), while the vast majority were acquired. Among organic brands, L'Oréal Paris has grown over 116 years to become the world's number-one beauty brand, and Kérastase became the Professional Products division's largest brand in 2024 while maintaining double-digit growth. In terms of acquisition and integration, the group has demonstrated outstanding capability in scaling regional brands into global leaders: Maybelline was acquired in 1996 for USD 758 million and, after approximately 25 years of global operations, became the world's number-one colour cosmetics brand; CeraVe was acquired in 2017 for USD 1.3 billion with annual revenue of approximately USD 168 million at the time, and just seven years later in 2024 surpassed EUR 2 billion in brand revenue — a more than 12-fold increase; La Roche-Posay has grown from a French regional dermo-cosmetics brand since its acquisition in 1989 into the world's third-largest skincare brand. This brand management flywheel of "acquire → empower with global distribution and R&amp;D platform → scale up" underscores the group's formidable platform-based operating capabilities.</w:t>
      </w:r>
    </w:p>
    <w:p w14:paraId="05559400">
      <w:pPr>
        <w:jc w:val="both"/>
        <w:rPr>
          <w:rFonts w:hint="default" w:ascii="Calibri" w:hAnsi="Calibri" w:eastAsia="楷体_GB2312" w:cs="Calibri"/>
          <w:kern w:val="2"/>
          <w:sz w:val="22"/>
          <w:szCs w:val="22"/>
        </w:rPr>
      </w:pPr>
    </w:p>
    <w:tbl>
      <w:tblPr>
        <w:tblStyle w:val="13"/>
        <w:tblW w:w="788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887"/>
      </w:tblGrid>
      <w:tr w14:paraId="093656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887" w:type="dxa"/>
            <w:tcBorders>
              <w:bottom w:val="single" w:color="auto" w:sz="4" w:space="0"/>
            </w:tcBorders>
          </w:tcPr>
          <w:p w14:paraId="7D4989BF">
            <w:pPr>
              <w:rPr>
                <w:rFonts w:hint="default" w:ascii="Calibri" w:hAnsi="Calibri" w:eastAsia="楷体_GB2312" w:cs="Calibri"/>
                <w:b/>
                <w:bCs/>
                <w:kern w:val="2"/>
                <w:sz w:val="22"/>
                <w:szCs w:val="22"/>
              </w:rPr>
            </w:pPr>
            <w:r>
              <w:rPr>
                <w:rFonts w:hint="default" w:ascii="Calibri" w:hAnsi="Calibri" w:eastAsia="楷体_GB2312" w:cs="Calibri"/>
                <w:b/>
                <w:bCs/>
                <w:kern w:val="2"/>
                <w:sz w:val="22"/>
                <w:szCs w:val="22"/>
              </w:rPr>
              <w:t>Figure: Key Acquisition Timeline and Growth Trajectories</w:t>
            </w:r>
          </w:p>
        </w:tc>
      </w:tr>
      <w:tr w14:paraId="76DCC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887" w:type="dxa"/>
            <w:tcBorders>
              <w:top w:val="single" w:color="auto" w:sz="4" w:space="0"/>
              <w:bottom w:val="single" w:color="auto" w:sz="4" w:space="0"/>
            </w:tcBorders>
          </w:tcPr>
          <w:tbl>
            <w:tblPr>
              <w:tblStyle w:val="12"/>
              <w:tblW w:w="7842" w:type="dxa"/>
              <w:jc w:val="center"/>
              <w:tblLayout w:type="fixed"/>
              <w:tblCellMar>
                <w:top w:w="0" w:type="dxa"/>
                <w:left w:w="108" w:type="dxa"/>
                <w:bottom w:w="0" w:type="dxa"/>
                <w:right w:w="108" w:type="dxa"/>
              </w:tblCellMar>
            </w:tblPr>
            <w:tblGrid>
              <w:gridCol w:w="1173"/>
              <w:gridCol w:w="1155"/>
              <w:gridCol w:w="1068"/>
              <w:gridCol w:w="1512"/>
              <w:gridCol w:w="1697"/>
              <w:gridCol w:w="1237"/>
            </w:tblGrid>
            <w:tr w14:paraId="1364D567">
              <w:tblPrEx>
                <w:tblCellMar>
                  <w:top w:w="0" w:type="dxa"/>
                  <w:left w:w="108" w:type="dxa"/>
                  <w:bottom w:w="0" w:type="dxa"/>
                  <w:right w:w="108" w:type="dxa"/>
                </w:tblCellMar>
              </w:tblPrEx>
              <w:trPr>
                <w:trHeight w:val="23" w:hRule="atLeast"/>
                <w:jc w:val="center"/>
              </w:trPr>
              <w:tc>
                <w:tcPr>
                  <w:tcW w:w="1173" w:type="dxa"/>
                  <w:tcBorders>
                    <w:top w:val="nil"/>
                    <w:left w:val="nil"/>
                    <w:bottom w:val="nil"/>
                    <w:right w:val="nil"/>
                  </w:tcBorders>
                  <w:shd w:val="clear" w:color="000000" w:fill="002060"/>
                  <w:vAlign w:val="center"/>
                </w:tcPr>
                <w:p w14:paraId="793ABED4">
                  <w:pPr>
                    <w:jc w:val="center"/>
                    <w:rPr>
                      <w:rFonts w:hint="default" w:ascii="Calibri" w:hAnsi="Calibri" w:eastAsia="楷体_GB2312" w:cs="Calibri"/>
                      <w:b/>
                      <w:bCs/>
                      <w:snapToGrid/>
                      <w:color w:val="FFFFFF"/>
                      <w:sz w:val="18"/>
                      <w:szCs w:val="18"/>
                    </w:rPr>
                  </w:pPr>
                  <w:r>
                    <w:rPr>
                      <w:rFonts w:hint="default" w:ascii="Calibri" w:hAnsi="Calibri" w:eastAsia="楷体_GB2312" w:cs="Calibri"/>
                      <w:b/>
                      <w:bCs/>
                      <w:snapToGrid/>
                      <w:color w:val="FFFFFF"/>
                      <w:sz w:val="18"/>
                      <w:szCs w:val="18"/>
                    </w:rPr>
                    <w:t>Brand</w:t>
                  </w:r>
                </w:p>
              </w:tc>
              <w:tc>
                <w:tcPr>
                  <w:tcW w:w="1155" w:type="dxa"/>
                  <w:tcBorders>
                    <w:top w:val="nil"/>
                    <w:left w:val="nil"/>
                    <w:bottom w:val="nil"/>
                    <w:right w:val="nil"/>
                  </w:tcBorders>
                  <w:shd w:val="clear" w:color="000000" w:fill="002060"/>
                  <w:vAlign w:val="center"/>
                </w:tcPr>
                <w:p w14:paraId="5DB7B32A">
                  <w:pPr>
                    <w:jc w:val="center"/>
                    <w:rPr>
                      <w:rFonts w:hint="default" w:ascii="Calibri" w:hAnsi="Calibri" w:eastAsia="楷体_GB2312" w:cs="Calibri"/>
                      <w:b/>
                      <w:bCs/>
                      <w:snapToGrid/>
                      <w:color w:val="FFFFFF"/>
                      <w:sz w:val="18"/>
                      <w:szCs w:val="18"/>
                    </w:rPr>
                  </w:pPr>
                  <w:r>
                    <w:rPr>
                      <w:rFonts w:hint="default" w:ascii="Calibri" w:hAnsi="Calibri" w:eastAsia="楷体_GB2312" w:cs="Calibri"/>
                      <w:b/>
                      <w:bCs/>
                      <w:snapToGrid/>
                      <w:color w:val="FFFFFF"/>
                      <w:sz w:val="18"/>
                      <w:szCs w:val="18"/>
                    </w:rPr>
                    <w:t>Acquisition Year</w:t>
                  </w:r>
                </w:p>
              </w:tc>
              <w:tc>
                <w:tcPr>
                  <w:tcW w:w="1068" w:type="dxa"/>
                  <w:tcBorders>
                    <w:top w:val="nil"/>
                    <w:left w:val="nil"/>
                    <w:bottom w:val="nil"/>
                    <w:right w:val="nil"/>
                  </w:tcBorders>
                  <w:shd w:val="clear" w:color="000000" w:fill="002060"/>
                  <w:vAlign w:val="center"/>
                </w:tcPr>
                <w:p w14:paraId="6B613EAD">
                  <w:pPr>
                    <w:jc w:val="center"/>
                    <w:rPr>
                      <w:rFonts w:hint="default" w:ascii="Calibri" w:hAnsi="Calibri" w:eastAsia="楷体_GB2312" w:cs="Calibri"/>
                      <w:b/>
                      <w:bCs/>
                      <w:snapToGrid/>
                      <w:color w:val="FFFFFF"/>
                      <w:sz w:val="18"/>
                      <w:szCs w:val="18"/>
                    </w:rPr>
                  </w:pPr>
                  <w:r>
                    <w:rPr>
                      <w:rFonts w:hint="default" w:ascii="Calibri" w:hAnsi="Calibri" w:eastAsia="楷体_GB2312" w:cs="Calibri"/>
                      <w:b/>
                      <w:bCs/>
                      <w:snapToGrid/>
                      <w:color w:val="FFFFFF"/>
                      <w:sz w:val="18"/>
                      <w:szCs w:val="18"/>
                    </w:rPr>
                    <w:t>Acquisition Price</w:t>
                  </w:r>
                </w:p>
              </w:tc>
              <w:tc>
                <w:tcPr>
                  <w:tcW w:w="1512" w:type="dxa"/>
                  <w:tcBorders>
                    <w:top w:val="nil"/>
                    <w:left w:val="nil"/>
                    <w:bottom w:val="nil"/>
                    <w:right w:val="nil"/>
                  </w:tcBorders>
                  <w:shd w:val="clear" w:color="000000" w:fill="002060"/>
                  <w:vAlign w:val="center"/>
                </w:tcPr>
                <w:p w14:paraId="0CAE6CAF">
                  <w:pPr>
                    <w:jc w:val="center"/>
                    <w:rPr>
                      <w:rFonts w:hint="default" w:ascii="Calibri" w:hAnsi="Calibri" w:eastAsia="楷体_GB2312" w:cs="Calibri"/>
                      <w:b/>
                      <w:bCs/>
                      <w:snapToGrid/>
                      <w:color w:val="FFFFFF"/>
                      <w:sz w:val="18"/>
                      <w:szCs w:val="18"/>
                    </w:rPr>
                  </w:pPr>
                  <w:r>
                    <w:rPr>
                      <w:rFonts w:hint="default" w:ascii="Calibri" w:hAnsi="Calibri" w:eastAsia="楷体_GB2312" w:cs="Calibri"/>
                      <w:b/>
                      <w:bCs/>
                      <w:snapToGrid/>
                      <w:color w:val="FFFFFF"/>
                      <w:sz w:val="18"/>
                      <w:szCs w:val="18"/>
                    </w:rPr>
                    <w:t>Strategic Rationale</w:t>
                  </w:r>
                </w:p>
              </w:tc>
              <w:tc>
                <w:tcPr>
                  <w:tcW w:w="1697" w:type="dxa"/>
                  <w:tcBorders>
                    <w:top w:val="nil"/>
                    <w:left w:val="nil"/>
                    <w:bottom w:val="nil"/>
                    <w:right w:val="nil"/>
                  </w:tcBorders>
                  <w:shd w:val="clear" w:color="000000" w:fill="002060"/>
                  <w:vAlign w:val="center"/>
                </w:tcPr>
                <w:p w14:paraId="1A8C368A">
                  <w:pPr>
                    <w:jc w:val="center"/>
                    <w:rPr>
                      <w:rFonts w:hint="default" w:ascii="Calibri" w:hAnsi="Calibri" w:eastAsia="楷体_GB2312" w:cs="Calibri"/>
                      <w:b/>
                      <w:bCs/>
                      <w:snapToGrid/>
                      <w:color w:val="FFFFFF"/>
                      <w:sz w:val="18"/>
                      <w:szCs w:val="18"/>
                    </w:rPr>
                  </w:pPr>
                  <w:r>
                    <w:rPr>
                      <w:rFonts w:hint="default" w:ascii="Calibri" w:hAnsi="Calibri" w:eastAsia="楷体_GB2312" w:cs="Calibri"/>
                      <w:b/>
                      <w:bCs/>
                      <w:snapToGrid/>
                      <w:color w:val="FFFFFF"/>
                      <w:sz w:val="18"/>
                      <w:szCs w:val="18"/>
                    </w:rPr>
                    <w:t>Current Market Position</w:t>
                  </w:r>
                </w:p>
              </w:tc>
              <w:tc>
                <w:tcPr>
                  <w:tcW w:w="1237" w:type="dxa"/>
                  <w:tcBorders>
                    <w:top w:val="nil"/>
                    <w:left w:val="nil"/>
                    <w:bottom w:val="nil"/>
                    <w:right w:val="nil"/>
                  </w:tcBorders>
                  <w:shd w:val="clear" w:color="000000" w:fill="002060"/>
                  <w:vAlign w:val="center"/>
                </w:tcPr>
                <w:p w14:paraId="1015121E">
                  <w:pPr>
                    <w:jc w:val="center"/>
                    <w:rPr>
                      <w:rFonts w:hint="default" w:ascii="Calibri" w:hAnsi="Calibri" w:eastAsia="楷体_GB2312" w:cs="Calibri"/>
                      <w:b/>
                      <w:bCs/>
                      <w:snapToGrid/>
                      <w:color w:val="FFFFFF"/>
                      <w:sz w:val="18"/>
                      <w:szCs w:val="18"/>
                    </w:rPr>
                  </w:pPr>
                  <w:r>
                    <w:rPr>
                      <w:rFonts w:hint="default" w:ascii="Calibri" w:hAnsi="Calibri" w:eastAsia="楷体_GB2312" w:cs="Calibri"/>
                      <w:b/>
                      <w:bCs/>
                      <w:snapToGrid/>
                      <w:color w:val="FFFFFF"/>
                      <w:sz w:val="18"/>
                      <w:szCs w:val="18"/>
                    </w:rPr>
                    <w:t>Growth Trajectory</w:t>
                  </w:r>
                </w:p>
              </w:tc>
            </w:tr>
            <w:tr w14:paraId="740F477C">
              <w:tblPrEx>
                <w:tblCellMar>
                  <w:top w:w="0" w:type="dxa"/>
                  <w:left w:w="108" w:type="dxa"/>
                  <w:bottom w:w="0" w:type="dxa"/>
                  <w:right w:w="108" w:type="dxa"/>
                </w:tblCellMar>
              </w:tblPrEx>
              <w:trPr>
                <w:trHeight w:val="23" w:hRule="atLeast"/>
                <w:jc w:val="center"/>
              </w:trPr>
              <w:tc>
                <w:tcPr>
                  <w:tcW w:w="1173" w:type="dxa"/>
                  <w:tcBorders>
                    <w:top w:val="nil"/>
                    <w:left w:val="nil"/>
                    <w:bottom w:val="nil"/>
                    <w:right w:val="nil"/>
                  </w:tcBorders>
                  <w:vAlign w:val="center"/>
                </w:tcPr>
                <w:p w14:paraId="1E5B955B">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Lancôme</w:t>
                  </w:r>
                </w:p>
              </w:tc>
              <w:tc>
                <w:tcPr>
                  <w:tcW w:w="1155" w:type="dxa"/>
                  <w:tcBorders>
                    <w:top w:val="nil"/>
                    <w:left w:val="nil"/>
                    <w:bottom w:val="nil"/>
                    <w:right w:val="nil"/>
                  </w:tcBorders>
                  <w:vAlign w:val="center"/>
                </w:tcPr>
                <w:p w14:paraId="3A7D7BBB">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1964</w:t>
                  </w:r>
                </w:p>
              </w:tc>
              <w:tc>
                <w:tcPr>
                  <w:tcW w:w="1068" w:type="dxa"/>
                  <w:tcBorders>
                    <w:top w:val="nil"/>
                    <w:left w:val="nil"/>
                    <w:bottom w:val="nil"/>
                    <w:right w:val="nil"/>
                  </w:tcBorders>
                  <w:vAlign w:val="center"/>
                </w:tcPr>
                <w:p w14:paraId="7B008D32">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w:t>
                  </w:r>
                </w:p>
              </w:tc>
              <w:tc>
                <w:tcPr>
                  <w:tcW w:w="1512" w:type="dxa"/>
                  <w:tcBorders>
                    <w:top w:val="nil"/>
                    <w:left w:val="nil"/>
                    <w:bottom w:val="nil"/>
                    <w:right w:val="nil"/>
                  </w:tcBorders>
                  <w:noWrap/>
                  <w:vAlign w:val="center"/>
                </w:tcPr>
                <w:p w14:paraId="5F35B651">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French Luxury Brand</w:t>
                  </w:r>
                </w:p>
              </w:tc>
              <w:tc>
                <w:tcPr>
                  <w:tcW w:w="1697" w:type="dxa"/>
                  <w:tcBorders>
                    <w:top w:val="nil"/>
                    <w:left w:val="nil"/>
                    <w:bottom w:val="nil"/>
                    <w:right w:val="nil"/>
                  </w:tcBorders>
                  <w:noWrap/>
                  <w:vAlign w:val="center"/>
                </w:tcPr>
                <w:p w14:paraId="2AA024B5">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Global Top-Tier Prestige Beauty Brand</w:t>
                  </w:r>
                </w:p>
              </w:tc>
              <w:tc>
                <w:tcPr>
                  <w:tcW w:w="1237" w:type="dxa"/>
                  <w:tcBorders>
                    <w:top w:val="nil"/>
                    <w:left w:val="nil"/>
                    <w:bottom w:val="nil"/>
                    <w:right w:val="nil"/>
                  </w:tcBorders>
                  <w:vAlign w:val="center"/>
                </w:tcPr>
                <w:p w14:paraId="5CAD0114">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60 Years of Sustained Leadership</w:t>
                  </w:r>
                </w:p>
              </w:tc>
            </w:tr>
            <w:tr w14:paraId="08632E99">
              <w:tblPrEx>
                <w:tblCellMar>
                  <w:top w:w="0" w:type="dxa"/>
                  <w:left w:w="108" w:type="dxa"/>
                  <w:bottom w:w="0" w:type="dxa"/>
                  <w:right w:w="108" w:type="dxa"/>
                </w:tblCellMar>
              </w:tblPrEx>
              <w:trPr>
                <w:trHeight w:val="23" w:hRule="atLeast"/>
                <w:jc w:val="center"/>
              </w:trPr>
              <w:tc>
                <w:tcPr>
                  <w:tcW w:w="1173" w:type="dxa"/>
                  <w:tcBorders>
                    <w:top w:val="nil"/>
                    <w:left w:val="nil"/>
                    <w:bottom w:val="nil"/>
                    <w:right w:val="nil"/>
                  </w:tcBorders>
                  <w:shd w:val="clear" w:color="000000" w:fill="F2F2F2"/>
                  <w:vAlign w:val="center"/>
                </w:tcPr>
                <w:p w14:paraId="09365D7B">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Garnier</w:t>
                  </w:r>
                </w:p>
              </w:tc>
              <w:tc>
                <w:tcPr>
                  <w:tcW w:w="1155" w:type="dxa"/>
                  <w:tcBorders>
                    <w:top w:val="nil"/>
                    <w:left w:val="nil"/>
                    <w:bottom w:val="nil"/>
                    <w:right w:val="nil"/>
                  </w:tcBorders>
                  <w:shd w:val="clear" w:color="000000" w:fill="F2F2F2"/>
                  <w:vAlign w:val="center"/>
                </w:tcPr>
                <w:p w14:paraId="05ACEDDC">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1965</w:t>
                  </w:r>
                </w:p>
              </w:tc>
              <w:tc>
                <w:tcPr>
                  <w:tcW w:w="1068" w:type="dxa"/>
                  <w:tcBorders>
                    <w:top w:val="nil"/>
                    <w:left w:val="nil"/>
                    <w:bottom w:val="nil"/>
                    <w:right w:val="nil"/>
                  </w:tcBorders>
                  <w:shd w:val="clear" w:color="000000" w:fill="F2F2F2"/>
                  <w:vAlign w:val="center"/>
                </w:tcPr>
                <w:p w14:paraId="562DD0E9">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w:t>
                  </w:r>
                </w:p>
              </w:tc>
              <w:tc>
                <w:tcPr>
                  <w:tcW w:w="1512" w:type="dxa"/>
                  <w:tcBorders>
                    <w:top w:val="nil"/>
                    <w:left w:val="nil"/>
                    <w:bottom w:val="nil"/>
                    <w:right w:val="nil"/>
                  </w:tcBorders>
                  <w:shd w:val="clear" w:color="000000" w:fill="F2F2F2"/>
                  <w:vAlign w:val="center"/>
                </w:tcPr>
                <w:p w14:paraId="36B45921">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French Haircare Brand</w:t>
                  </w:r>
                </w:p>
              </w:tc>
              <w:tc>
                <w:tcPr>
                  <w:tcW w:w="1697" w:type="dxa"/>
                  <w:tcBorders>
                    <w:top w:val="nil"/>
                    <w:left w:val="nil"/>
                    <w:bottom w:val="nil"/>
                    <w:right w:val="nil"/>
                  </w:tcBorders>
                  <w:shd w:val="clear" w:color="000000" w:fill="F2F2F2"/>
                  <w:vAlign w:val="center"/>
                </w:tcPr>
                <w:p w14:paraId="3FCC22B3">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Global Leading Mass Beauty Brand</w:t>
                  </w:r>
                </w:p>
              </w:tc>
              <w:tc>
                <w:tcPr>
                  <w:tcW w:w="1237" w:type="dxa"/>
                  <w:tcBorders>
                    <w:top w:val="nil"/>
                    <w:left w:val="nil"/>
                    <w:bottom w:val="nil"/>
                    <w:right w:val="nil"/>
                  </w:tcBorders>
                  <w:shd w:val="clear" w:color="000000" w:fill="F2F2F2"/>
                  <w:vAlign w:val="center"/>
                </w:tcPr>
                <w:p w14:paraId="155C1375">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60 Years</w:t>
                  </w:r>
                </w:p>
              </w:tc>
            </w:tr>
            <w:tr w14:paraId="44DB3414">
              <w:tblPrEx>
                <w:tblCellMar>
                  <w:top w:w="0" w:type="dxa"/>
                  <w:left w:w="108" w:type="dxa"/>
                  <w:bottom w:w="0" w:type="dxa"/>
                  <w:right w:w="108" w:type="dxa"/>
                </w:tblCellMar>
              </w:tblPrEx>
              <w:trPr>
                <w:trHeight w:val="23" w:hRule="atLeast"/>
                <w:jc w:val="center"/>
              </w:trPr>
              <w:tc>
                <w:tcPr>
                  <w:tcW w:w="1173" w:type="dxa"/>
                  <w:tcBorders>
                    <w:top w:val="nil"/>
                    <w:left w:val="nil"/>
                    <w:bottom w:val="nil"/>
                    <w:right w:val="nil"/>
                  </w:tcBorders>
                  <w:vAlign w:val="center"/>
                </w:tcPr>
                <w:p w14:paraId="5FFF54CF">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Helena Rubinstein</w:t>
                  </w:r>
                </w:p>
              </w:tc>
              <w:tc>
                <w:tcPr>
                  <w:tcW w:w="1155" w:type="dxa"/>
                  <w:tcBorders>
                    <w:top w:val="nil"/>
                    <w:left w:val="nil"/>
                    <w:bottom w:val="nil"/>
                    <w:right w:val="nil"/>
                  </w:tcBorders>
                  <w:vAlign w:val="center"/>
                </w:tcPr>
                <w:p w14:paraId="61657000">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1988</w:t>
                  </w:r>
                </w:p>
              </w:tc>
              <w:tc>
                <w:tcPr>
                  <w:tcW w:w="1068" w:type="dxa"/>
                  <w:tcBorders>
                    <w:top w:val="nil"/>
                    <w:left w:val="nil"/>
                    <w:bottom w:val="nil"/>
                    <w:right w:val="nil"/>
                  </w:tcBorders>
                  <w:vAlign w:val="center"/>
                </w:tcPr>
                <w:p w14:paraId="0B8691EF">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w:t>
                  </w:r>
                </w:p>
              </w:tc>
              <w:tc>
                <w:tcPr>
                  <w:tcW w:w="1512" w:type="dxa"/>
                  <w:tcBorders>
                    <w:top w:val="nil"/>
                    <w:left w:val="nil"/>
                    <w:bottom w:val="nil"/>
                    <w:right w:val="nil"/>
                  </w:tcBorders>
                  <w:vAlign w:val="center"/>
                </w:tcPr>
                <w:p w14:paraId="449940CF">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American Prestige Brand</w:t>
                  </w:r>
                </w:p>
              </w:tc>
              <w:tc>
                <w:tcPr>
                  <w:tcW w:w="1697" w:type="dxa"/>
                  <w:tcBorders>
                    <w:top w:val="nil"/>
                    <w:left w:val="nil"/>
                    <w:bottom w:val="nil"/>
                    <w:right w:val="nil"/>
                  </w:tcBorders>
                  <w:vAlign w:val="center"/>
                </w:tcPr>
                <w:p w14:paraId="46582DE0">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Ultra-Premium Skincare Positioning</w:t>
                  </w:r>
                </w:p>
              </w:tc>
              <w:tc>
                <w:tcPr>
                  <w:tcW w:w="1237" w:type="dxa"/>
                  <w:tcBorders>
                    <w:top w:val="nil"/>
                    <w:left w:val="nil"/>
                    <w:bottom w:val="nil"/>
                    <w:right w:val="nil"/>
                  </w:tcBorders>
                  <w:vAlign w:val="center"/>
                </w:tcPr>
                <w:p w14:paraId="3FE4BAB3">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37 Years</w:t>
                  </w:r>
                </w:p>
              </w:tc>
            </w:tr>
            <w:tr w14:paraId="6C875281">
              <w:tblPrEx>
                <w:tblCellMar>
                  <w:top w:w="0" w:type="dxa"/>
                  <w:left w:w="108" w:type="dxa"/>
                  <w:bottom w:w="0" w:type="dxa"/>
                  <w:right w:w="108" w:type="dxa"/>
                </w:tblCellMar>
              </w:tblPrEx>
              <w:trPr>
                <w:trHeight w:val="23" w:hRule="atLeast"/>
                <w:jc w:val="center"/>
              </w:trPr>
              <w:tc>
                <w:tcPr>
                  <w:tcW w:w="1173" w:type="dxa"/>
                  <w:tcBorders>
                    <w:top w:val="nil"/>
                    <w:left w:val="nil"/>
                    <w:bottom w:val="nil"/>
                    <w:right w:val="nil"/>
                  </w:tcBorders>
                  <w:shd w:val="clear" w:color="000000" w:fill="F2F2F2"/>
                  <w:vAlign w:val="center"/>
                </w:tcPr>
                <w:p w14:paraId="2869AEF2">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La Roche-Posay</w:t>
                  </w:r>
                </w:p>
              </w:tc>
              <w:tc>
                <w:tcPr>
                  <w:tcW w:w="1155" w:type="dxa"/>
                  <w:tcBorders>
                    <w:top w:val="nil"/>
                    <w:left w:val="nil"/>
                    <w:bottom w:val="nil"/>
                    <w:right w:val="nil"/>
                  </w:tcBorders>
                  <w:shd w:val="clear" w:color="000000" w:fill="F2F2F2"/>
                  <w:vAlign w:val="center"/>
                </w:tcPr>
                <w:p w14:paraId="79693EEB">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1989</w:t>
                  </w:r>
                </w:p>
              </w:tc>
              <w:tc>
                <w:tcPr>
                  <w:tcW w:w="1068" w:type="dxa"/>
                  <w:tcBorders>
                    <w:top w:val="nil"/>
                    <w:left w:val="nil"/>
                    <w:bottom w:val="nil"/>
                    <w:right w:val="nil"/>
                  </w:tcBorders>
                  <w:shd w:val="clear" w:color="000000" w:fill="F2F2F2"/>
                  <w:vAlign w:val="center"/>
                </w:tcPr>
                <w:p w14:paraId="559FC8BD">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w:t>
                  </w:r>
                </w:p>
              </w:tc>
              <w:tc>
                <w:tcPr>
                  <w:tcW w:w="1512" w:type="dxa"/>
                  <w:tcBorders>
                    <w:top w:val="nil"/>
                    <w:left w:val="nil"/>
                    <w:bottom w:val="nil"/>
                    <w:right w:val="nil"/>
                  </w:tcBorders>
                  <w:shd w:val="clear" w:color="000000" w:fill="F2F2F2"/>
                  <w:vAlign w:val="center"/>
                </w:tcPr>
                <w:p w14:paraId="6DE4CECD">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French Dermo-Cosmetic Brand</w:t>
                  </w:r>
                </w:p>
              </w:tc>
              <w:tc>
                <w:tcPr>
                  <w:tcW w:w="1697" w:type="dxa"/>
                  <w:tcBorders>
                    <w:top w:val="nil"/>
                    <w:left w:val="nil"/>
                    <w:bottom w:val="nil"/>
                    <w:right w:val="nil"/>
                  </w:tcBorders>
                  <w:shd w:val="clear" w:color="000000" w:fill="F2F2F2"/>
                  <w:vAlign w:val="center"/>
                </w:tcPr>
                <w:p w14:paraId="7DDE8DFF">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World's #3 Skincare Brand</w:t>
                  </w:r>
                </w:p>
              </w:tc>
              <w:tc>
                <w:tcPr>
                  <w:tcW w:w="1237" w:type="dxa"/>
                  <w:tcBorders>
                    <w:top w:val="nil"/>
                    <w:left w:val="nil"/>
                    <w:bottom w:val="nil"/>
                    <w:right w:val="nil"/>
                  </w:tcBorders>
                  <w:shd w:val="clear" w:color="000000" w:fill="F2F2F2"/>
                  <w:vAlign w:val="center"/>
                </w:tcPr>
                <w:p w14:paraId="5DFA75D5">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36 Years</w:t>
                  </w:r>
                </w:p>
              </w:tc>
            </w:tr>
            <w:tr w14:paraId="3A8B8534">
              <w:tblPrEx>
                <w:tblCellMar>
                  <w:top w:w="0" w:type="dxa"/>
                  <w:left w:w="108" w:type="dxa"/>
                  <w:bottom w:w="0" w:type="dxa"/>
                  <w:right w:w="108" w:type="dxa"/>
                </w:tblCellMar>
              </w:tblPrEx>
              <w:trPr>
                <w:trHeight w:val="23" w:hRule="atLeast"/>
                <w:jc w:val="center"/>
              </w:trPr>
              <w:tc>
                <w:tcPr>
                  <w:tcW w:w="1173" w:type="dxa"/>
                  <w:tcBorders>
                    <w:top w:val="nil"/>
                    <w:left w:val="nil"/>
                    <w:bottom w:val="nil"/>
                    <w:right w:val="nil"/>
                  </w:tcBorders>
                  <w:vAlign w:val="center"/>
                </w:tcPr>
                <w:p w14:paraId="1E750ECF">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Redken</w:t>
                  </w:r>
                </w:p>
              </w:tc>
              <w:tc>
                <w:tcPr>
                  <w:tcW w:w="1155" w:type="dxa"/>
                  <w:tcBorders>
                    <w:top w:val="nil"/>
                    <w:left w:val="nil"/>
                    <w:bottom w:val="nil"/>
                    <w:right w:val="nil"/>
                  </w:tcBorders>
                  <w:vAlign w:val="center"/>
                </w:tcPr>
                <w:p w14:paraId="0BC5DD11">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1993</w:t>
                  </w:r>
                </w:p>
              </w:tc>
              <w:tc>
                <w:tcPr>
                  <w:tcW w:w="1068" w:type="dxa"/>
                  <w:tcBorders>
                    <w:top w:val="nil"/>
                    <w:left w:val="nil"/>
                    <w:bottom w:val="nil"/>
                    <w:right w:val="nil"/>
                  </w:tcBorders>
                  <w:vAlign w:val="center"/>
                </w:tcPr>
                <w:p w14:paraId="40BE7BB0">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w:t>
                  </w:r>
                </w:p>
              </w:tc>
              <w:tc>
                <w:tcPr>
                  <w:tcW w:w="1512" w:type="dxa"/>
                  <w:tcBorders>
                    <w:top w:val="nil"/>
                    <w:left w:val="nil"/>
                    <w:bottom w:val="nil"/>
                    <w:right w:val="nil"/>
                  </w:tcBorders>
                  <w:vAlign w:val="center"/>
                </w:tcPr>
                <w:p w14:paraId="669BF6B6">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American Professional Haircare</w:t>
                  </w:r>
                </w:p>
              </w:tc>
              <w:tc>
                <w:tcPr>
                  <w:tcW w:w="1697" w:type="dxa"/>
                  <w:tcBorders>
                    <w:top w:val="nil"/>
                    <w:left w:val="nil"/>
                    <w:bottom w:val="nil"/>
                    <w:right w:val="nil"/>
                  </w:tcBorders>
                  <w:vAlign w:val="center"/>
                </w:tcPr>
                <w:p w14:paraId="085493EA">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#1 Professional Haircare Brand in the US</w:t>
                  </w:r>
                </w:p>
              </w:tc>
              <w:tc>
                <w:tcPr>
                  <w:tcW w:w="1237" w:type="dxa"/>
                  <w:tcBorders>
                    <w:top w:val="nil"/>
                    <w:left w:val="nil"/>
                    <w:bottom w:val="nil"/>
                    <w:right w:val="nil"/>
                  </w:tcBorders>
                  <w:vAlign w:val="center"/>
                </w:tcPr>
                <w:p w14:paraId="2FBB2BC9">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32 Years</w:t>
                  </w:r>
                </w:p>
              </w:tc>
            </w:tr>
            <w:tr w14:paraId="63015499">
              <w:tblPrEx>
                <w:tblCellMar>
                  <w:top w:w="0" w:type="dxa"/>
                  <w:left w:w="108" w:type="dxa"/>
                  <w:bottom w:w="0" w:type="dxa"/>
                  <w:right w:w="108" w:type="dxa"/>
                </w:tblCellMar>
              </w:tblPrEx>
              <w:trPr>
                <w:trHeight w:val="23" w:hRule="atLeast"/>
                <w:jc w:val="center"/>
              </w:trPr>
              <w:tc>
                <w:tcPr>
                  <w:tcW w:w="1173" w:type="dxa"/>
                  <w:tcBorders>
                    <w:top w:val="nil"/>
                    <w:left w:val="nil"/>
                    <w:bottom w:val="nil"/>
                    <w:right w:val="nil"/>
                  </w:tcBorders>
                  <w:shd w:val="clear" w:color="000000" w:fill="F2F2F2"/>
                  <w:vAlign w:val="center"/>
                </w:tcPr>
                <w:p w14:paraId="1581E4CC">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Maybelline</w:t>
                  </w:r>
                </w:p>
              </w:tc>
              <w:tc>
                <w:tcPr>
                  <w:tcW w:w="1155" w:type="dxa"/>
                  <w:tcBorders>
                    <w:top w:val="nil"/>
                    <w:left w:val="nil"/>
                    <w:bottom w:val="nil"/>
                    <w:right w:val="nil"/>
                  </w:tcBorders>
                  <w:shd w:val="clear" w:color="000000" w:fill="F2F2F2"/>
                  <w:vAlign w:val="center"/>
                </w:tcPr>
                <w:p w14:paraId="333335D6">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1996</w:t>
                  </w:r>
                </w:p>
              </w:tc>
              <w:tc>
                <w:tcPr>
                  <w:tcW w:w="1068" w:type="dxa"/>
                  <w:tcBorders>
                    <w:top w:val="nil"/>
                    <w:left w:val="nil"/>
                    <w:bottom w:val="nil"/>
                    <w:right w:val="nil"/>
                  </w:tcBorders>
                  <w:shd w:val="clear" w:color="000000" w:fill="F2F2F2"/>
                  <w:vAlign w:val="center"/>
                </w:tcPr>
                <w:p w14:paraId="4EA51068">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$758M</w:t>
                  </w:r>
                </w:p>
              </w:tc>
              <w:tc>
                <w:tcPr>
                  <w:tcW w:w="1512" w:type="dxa"/>
                  <w:tcBorders>
                    <w:top w:val="nil"/>
                    <w:left w:val="nil"/>
                    <w:bottom w:val="nil"/>
                    <w:right w:val="nil"/>
                  </w:tcBorders>
                  <w:shd w:val="clear" w:color="000000" w:fill="F2F2F2"/>
                  <w:vAlign w:val="center"/>
                </w:tcPr>
                <w:p w14:paraId="2D73526E">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American Mass-Market Makeup</w:t>
                  </w:r>
                </w:p>
              </w:tc>
              <w:tc>
                <w:tcPr>
                  <w:tcW w:w="1697" w:type="dxa"/>
                  <w:tcBorders>
                    <w:top w:val="nil"/>
                    <w:left w:val="nil"/>
                    <w:bottom w:val="nil"/>
                    <w:right w:val="nil"/>
                  </w:tcBorders>
                  <w:shd w:val="clear" w:color="000000" w:fill="F2F2F2"/>
                  <w:vAlign w:val="center"/>
                </w:tcPr>
                <w:p w14:paraId="3C2E07F9">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World's #1 Makeup Brand</w:t>
                  </w:r>
                </w:p>
              </w:tc>
              <w:tc>
                <w:tcPr>
                  <w:tcW w:w="1237" w:type="dxa"/>
                  <w:tcBorders>
                    <w:top w:val="nil"/>
                    <w:left w:val="nil"/>
                    <w:bottom w:val="nil"/>
                    <w:right w:val="nil"/>
                  </w:tcBorders>
                  <w:shd w:val="clear" w:color="000000" w:fill="F2F2F2"/>
                  <w:vAlign w:val="center"/>
                </w:tcPr>
                <w:p w14:paraId="4CF4B645">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28 Years to #1</w:t>
                  </w:r>
                </w:p>
              </w:tc>
            </w:tr>
            <w:tr w14:paraId="450C9498">
              <w:tblPrEx>
                <w:tblCellMar>
                  <w:top w:w="0" w:type="dxa"/>
                  <w:left w:w="108" w:type="dxa"/>
                  <w:bottom w:w="0" w:type="dxa"/>
                  <w:right w:w="108" w:type="dxa"/>
                </w:tblCellMar>
              </w:tblPrEx>
              <w:trPr>
                <w:trHeight w:val="23" w:hRule="atLeast"/>
                <w:jc w:val="center"/>
              </w:trPr>
              <w:tc>
                <w:tcPr>
                  <w:tcW w:w="1173" w:type="dxa"/>
                  <w:tcBorders>
                    <w:top w:val="nil"/>
                    <w:left w:val="nil"/>
                    <w:bottom w:val="nil"/>
                    <w:right w:val="nil"/>
                  </w:tcBorders>
                  <w:vAlign w:val="center"/>
                </w:tcPr>
                <w:p w14:paraId="45176220">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Kiehl's</w:t>
                  </w:r>
                </w:p>
              </w:tc>
              <w:tc>
                <w:tcPr>
                  <w:tcW w:w="1155" w:type="dxa"/>
                  <w:tcBorders>
                    <w:top w:val="nil"/>
                    <w:left w:val="nil"/>
                    <w:bottom w:val="nil"/>
                    <w:right w:val="nil"/>
                  </w:tcBorders>
                  <w:vAlign w:val="center"/>
                </w:tcPr>
                <w:p w14:paraId="2D1C38B9">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2000</w:t>
                  </w:r>
                </w:p>
              </w:tc>
              <w:tc>
                <w:tcPr>
                  <w:tcW w:w="1068" w:type="dxa"/>
                  <w:tcBorders>
                    <w:top w:val="nil"/>
                    <w:left w:val="nil"/>
                    <w:bottom w:val="nil"/>
                    <w:right w:val="nil"/>
                  </w:tcBorders>
                  <w:vAlign w:val="center"/>
                </w:tcPr>
                <w:p w14:paraId="2EB8D58B">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w:t>
                  </w:r>
                </w:p>
              </w:tc>
              <w:tc>
                <w:tcPr>
                  <w:tcW w:w="1512" w:type="dxa"/>
                  <w:tcBorders>
                    <w:top w:val="nil"/>
                    <w:left w:val="nil"/>
                    <w:bottom w:val="nil"/>
                    <w:right w:val="nil"/>
                  </w:tcBorders>
                  <w:vAlign w:val="center"/>
                </w:tcPr>
                <w:p w14:paraId="03E50227">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NYC Niche Apothecary</w:t>
                  </w:r>
                </w:p>
              </w:tc>
              <w:tc>
                <w:tcPr>
                  <w:tcW w:w="1697" w:type="dxa"/>
                  <w:tcBorders>
                    <w:top w:val="nil"/>
                    <w:left w:val="nil"/>
                    <w:bottom w:val="nil"/>
                    <w:right w:val="nil"/>
                  </w:tcBorders>
                  <w:vAlign w:val="center"/>
                </w:tcPr>
                <w:p w14:paraId="03903EAE">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Globally Recognized Prestige Skincare Brand</w:t>
                  </w:r>
                </w:p>
              </w:tc>
              <w:tc>
                <w:tcPr>
                  <w:tcW w:w="1237" w:type="dxa"/>
                  <w:tcBorders>
                    <w:top w:val="nil"/>
                    <w:left w:val="nil"/>
                    <w:bottom w:val="nil"/>
                    <w:right w:val="nil"/>
                  </w:tcBorders>
                  <w:vAlign w:val="center"/>
                </w:tcPr>
                <w:p w14:paraId="4FC148A4">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25 Years</w:t>
                  </w:r>
                </w:p>
              </w:tc>
            </w:tr>
            <w:tr w14:paraId="04E80608">
              <w:tblPrEx>
                <w:tblCellMar>
                  <w:top w:w="0" w:type="dxa"/>
                  <w:left w:w="108" w:type="dxa"/>
                  <w:bottom w:w="0" w:type="dxa"/>
                  <w:right w:w="108" w:type="dxa"/>
                </w:tblCellMar>
              </w:tblPrEx>
              <w:trPr>
                <w:trHeight w:val="23" w:hRule="atLeast"/>
                <w:jc w:val="center"/>
              </w:trPr>
              <w:tc>
                <w:tcPr>
                  <w:tcW w:w="1173" w:type="dxa"/>
                  <w:tcBorders>
                    <w:top w:val="nil"/>
                    <w:left w:val="nil"/>
                    <w:bottom w:val="nil"/>
                    <w:right w:val="nil"/>
                  </w:tcBorders>
                  <w:shd w:val="clear" w:color="000000" w:fill="F2F2F2"/>
                  <w:vAlign w:val="center"/>
                </w:tcPr>
                <w:p w14:paraId="0EAD5CF8">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SkinCeuticals</w:t>
                  </w:r>
                </w:p>
              </w:tc>
              <w:tc>
                <w:tcPr>
                  <w:tcW w:w="1155" w:type="dxa"/>
                  <w:tcBorders>
                    <w:top w:val="nil"/>
                    <w:left w:val="nil"/>
                    <w:bottom w:val="nil"/>
                    <w:right w:val="nil"/>
                  </w:tcBorders>
                  <w:shd w:val="clear" w:color="000000" w:fill="F2F2F2"/>
                  <w:vAlign w:val="center"/>
                </w:tcPr>
                <w:p w14:paraId="2BD45017">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2005</w:t>
                  </w:r>
                </w:p>
              </w:tc>
              <w:tc>
                <w:tcPr>
                  <w:tcW w:w="1068" w:type="dxa"/>
                  <w:tcBorders>
                    <w:top w:val="nil"/>
                    <w:left w:val="nil"/>
                    <w:bottom w:val="nil"/>
                    <w:right w:val="nil"/>
                  </w:tcBorders>
                  <w:shd w:val="clear" w:color="000000" w:fill="F2F2F2"/>
                  <w:vAlign w:val="center"/>
                </w:tcPr>
                <w:p w14:paraId="0B114C77">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w:t>
                  </w:r>
                </w:p>
              </w:tc>
              <w:tc>
                <w:tcPr>
                  <w:tcW w:w="1512" w:type="dxa"/>
                  <w:tcBorders>
                    <w:top w:val="nil"/>
                    <w:left w:val="nil"/>
                    <w:bottom w:val="nil"/>
                    <w:right w:val="nil"/>
                  </w:tcBorders>
                  <w:shd w:val="clear" w:color="000000" w:fill="F2F2F2"/>
                  <w:vAlign w:val="center"/>
                </w:tcPr>
                <w:p w14:paraId="31AF16FF">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American Medical-Grade Skincare</w:t>
                  </w:r>
                </w:p>
              </w:tc>
              <w:tc>
                <w:tcPr>
                  <w:tcW w:w="1697" w:type="dxa"/>
                  <w:tcBorders>
                    <w:top w:val="nil"/>
                    <w:left w:val="nil"/>
                    <w:bottom w:val="nil"/>
                    <w:right w:val="nil"/>
                  </w:tcBorders>
                  <w:shd w:val="clear" w:color="000000" w:fill="F2F2F2"/>
                  <w:vAlign w:val="center"/>
                </w:tcPr>
                <w:p w14:paraId="2511FD18">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Leader in Medical-Grade Vitamin C Serums</w:t>
                  </w:r>
                </w:p>
              </w:tc>
              <w:tc>
                <w:tcPr>
                  <w:tcW w:w="1237" w:type="dxa"/>
                  <w:tcBorders>
                    <w:top w:val="nil"/>
                    <w:left w:val="nil"/>
                    <w:bottom w:val="nil"/>
                    <w:right w:val="nil"/>
                  </w:tcBorders>
                  <w:shd w:val="clear" w:color="000000" w:fill="F2F2F2"/>
                  <w:vAlign w:val="center"/>
                </w:tcPr>
                <w:p w14:paraId="3E274DFF">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20 Years</w:t>
                  </w:r>
                </w:p>
              </w:tc>
            </w:tr>
            <w:tr w14:paraId="261487F4">
              <w:tblPrEx>
                <w:tblCellMar>
                  <w:top w:w="0" w:type="dxa"/>
                  <w:left w:w="108" w:type="dxa"/>
                  <w:bottom w:w="0" w:type="dxa"/>
                  <w:right w:w="108" w:type="dxa"/>
                </w:tblCellMar>
              </w:tblPrEx>
              <w:trPr>
                <w:trHeight w:val="23" w:hRule="atLeast"/>
                <w:jc w:val="center"/>
              </w:trPr>
              <w:tc>
                <w:tcPr>
                  <w:tcW w:w="1173" w:type="dxa"/>
                  <w:tcBorders>
                    <w:top w:val="nil"/>
                    <w:left w:val="nil"/>
                    <w:bottom w:val="nil"/>
                    <w:right w:val="nil"/>
                  </w:tcBorders>
                  <w:vAlign w:val="center"/>
                </w:tcPr>
                <w:p w14:paraId="543C24F1">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YSL Beauté</w:t>
                  </w:r>
                </w:p>
              </w:tc>
              <w:tc>
                <w:tcPr>
                  <w:tcW w:w="1155" w:type="dxa"/>
                  <w:tcBorders>
                    <w:top w:val="nil"/>
                    <w:left w:val="nil"/>
                    <w:bottom w:val="nil"/>
                    <w:right w:val="nil"/>
                  </w:tcBorders>
                  <w:vAlign w:val="center"/>
                </w:tcPr>
                <w:p w14:paraId="226208B2">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2008</w:t>
                  </w:r>
                </w:p>
              </w:tc>
              <w:tc>
                <w:tcPr>
                  <w:tcW w:w="1068" w:type="dxa"/>
                  <w:tcBorders>
                    <w:top w:val="nil"/>
                    <w:left w:val="nil"/>
                    <w:bottom w:val="nil"/>
                    <w:right w:val="nil"/>
                  </w:tcBorders>
                  <w:vAlign w:val="center"/>
                </w:tcPr>
                <w:p w14:paraId="25F451A8">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$1.8B</w:t>
                  </w:r>
                </w:p>
              </w:tc>
              <w:tc>
                <w:tcPr>
                  <w:tcW w:w="1512" w:type="dxa"/>
                  <w:tcBorders>
                    <w:top w:val="nil"/>
                    <w:left w:val="nil"/>
                    <w:bottom w:val="nil"/>
                    <w:right w:val="nil"/>
                  </w:tcBorders>
                  <w:vAlign w:val="center"/>
                </w:tcPr>
                <w:p w14:paraId="28ED6E54">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Fashion House Beauty License</w:t>
                  </w:r>
                </w:p>
              </w:tc>
              <w:tc>
                <w:tcPr>
                  <w:tcW w:w="1697" w:type="dxa"/>
                  <w:tcBorders>
                    <w:top w:val="nil"/>
                    <w:left w:val="nil"/>
                    <w:bottom w:val="nil"/>
                    <w:right w:val="nil"/>
                  </w:tcBorders>
                  <w:vAlign w:val="center"/>
                </w:tcPr>
                <w:p w14:paraId="37AE4D41">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Core of Couture Brand Portfolio; MYSLF Men's Fragrance Global Hit</w:t>
                  </w:r>
                </w:p>
              </w:tc>
              <w:tc>
                <w:tcPr>
                  <w:tcW w:w="1237" w:type="dxa"/>
                  <w:tcBorders>
                    <w:top w:val="nil"/>
                    <w:left w:val="nil"/>
                    <w:bottom w:val="nil"/>
                    <w:right w:val="nil"/>
                  </w:tcBorders>
                  <w:vAlign w:val="center"/>
                </w:tcPr>
                <w:p w14:paraId="34D68E0E">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17 Years</w:t>
                  </w:r>
                </w:p>
              </w:tc>
            </w:tr>
            <w:tr w14:paraId="48247780">
              <w:tblPrEx>
                <w:tblCellMar>
                  <w:top w:w="0" w:type="dxa"/>
                  <w:left w:w="108" w:type="dxa"/>
                  <w:bottom w:w="0" w:type="dxa"/>
                  <w:right w:w="108" w:type="dxa"/>
                </w:tblCellMar>
              </w:tblPrEx>
              <w:trPr>
                <w:trHeight w:val="23" w:hRule="atLeast"/>
                <w:jc w:val="center"/>
              </w:trPr>
              <w:tc>
                <w:tcPr>
                  <w:tcW w:w="1173" w:type="dxa"/>
                  <w:tcBorders>
                    <w:top w:val="nil"/>
                    <w:left w:val="nil"/>
                    <w:bottom w:val="nil"/>
                    <w:right w:val="nil"/>
                  </w:tcBorders>
                  <w:shd w:val="clear" w:color="000000" w:fill="F2F2F2"/>
                  <w:vAlign w:val="center"/>
                </w:tcPr>
                <w:p w14:paraId="7CB05F73">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Essie</w:t>
                  </w:r>
                </w:p>
              </w:tc>
              <w:tc>
                <w:tcPr>
                  <w:tcW w:w="1155" w:type="dxa"/>
                  <w:tcBorders>
                    <w:top w:val="nil"/>
                    <w:left w:val="nil"/>
                    <w:bottom w:val="nil"/>
                    <w:right w:val="nil"/>
                  </w:tcBorders>
                  <w:shd w:val="clear" w:color="000000" w:fill="F2F2F2"/>
                  <w:vAlign w:val="center"/>
                </w:tcPr>
                <w:p w14:paraId="154AA761">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2010</w:t>
                  </w:r>
                </w:p>
              </w:tc>
              <w:tc>
                <w:tcPr>
                  <w:tcW w:w="1068" w:type="dxa"/>
                  <w:tcBorders>
                    <w:top w:val="nil"/>
                    <w:left w:val="nil"/>
                    <w:bottom w:val="nil"/>
                    <w:right w:val="nil"/>
                  </w:tcBorders>
                  <w:shd w:val="clear" w:color="000000" w:fill="F2F2F2"/>
                  <w:vAlign w:val="center"/>
                </w:tcPr>
                <w:p w14:paraId="6C03FD97">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w:t>
                  </w:r>
                </w:p>
              </w:tc>
              <w:tc>
                <w:tcPr>
                  <w:tcW w:w="1512" w:type="dxa"/>
                  <w:tcBorders>
                    <w:top w:val="nil"/>
                    <w:left w:val="nil"/>
                    <w:bottom w:val="nil"/>
                    <w:right w:val="nil"/>
                  </w:tcBorders>
                  <w:shd w:val="clear" w:color="000000" w:fill="F2F2F2"/>
                  <w:vAlign w:val="center"/>
                </w:tcPr>
                <w:p w14:paraId="70248363">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American Nail Polish Brand</w:t>
                  </w:r>
                </w:p>
              </w:tc>
              <w:tc>
                <w:tcPr>
                  <w:tcW w:w="1697" w:type="dxa"/>
                  <w:tcBorders>
                    <w:top w:val="nil"/>
                    <w:left w:val="nil"/>
                    <w:bottom w:val="nil"/>
                    <w:right w:val="nil"/>
                  </w:tcBorders>
                  <w:shd w:val="clear" w:color="000000" w:fill="F2F2F2"/>
                  <w:vAlign w:val="center"/>
                </w:tcPr>
                <w:p w14:paraId="43D15EC8">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Category Leader in Nail Color</w:t>
                  </w:r>
                </w:p>
              </w:tc>
              <w:tc>
                <w:tcPr>
                  <w:tcW w:w="1237" w:type="dxa"/>
                  <w:tcBorders>
                    <w:top w:val="nil"/>
                    <w:left w:val="nil"/>
                    <w:bottom w:val="nil"/>
                    <w:right w:val="nil"/>
                  </w:tcBorders>
                  <w:shd w:val="clear" w:color="000000" w:fill="F2F2F2"/>
                  <w:vAlign w:val="center"/>
                </w:tcPr>
                <w:p w14:paraId="522DF533">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15 Years</w:t>
                  </w:r>
                </w:p>
              </w:tc>
            </w:tr>
            <w:tr w14:paraId="7BCEB530">
              <w:tblPrEx>
                <w:tblCellMar>
                  <w:top w:w="0" w:type="dxa"/>
                  <w:left w:w="108" w:type="dxa"/>
                  <w:bottom w:w="0" w:type="dxa"/>
                  <w:right w:w="108" w:type="dxa"/>
                </w:tblCellMar>
              </w:tblPrEx>
              <w:trPr>
                <w:trHeight w:val="23" w:hRule="atLeast"/>
                <w:jc w:val="center"/>
              </w:trPr>
              <w:tc>
                <w:tcPr>
                  <w:tcW w:w="1173" w:type="dxa"/>
                  <w:tcBorders>
                    <w:top w:val="nil"/>
                    <w:left w:val="nil"/>
                    <w:bottom w:val="nil"/>
                    <w:right w:val="nil"/>
                  </w:tcBorders>
                  <w:vAlign w:val="center"/>
                </w:tcPr>
                <w:p w14:paraId="3A093866">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NYX</w:t>
                  </w:r>
                </w:p>
              </w:tc>
              <w:tc>
                <w:tcPr>
                  <w:tcW w:w="1155" w:type="dxa"/>
                  <w:tcBorders>
                    <w:top w:val="nil"/>
                    <w:left w:val="nil"/>
                    <w:bottom w:val="nil"/>
                    <w:right w:val="nil"/>
                  </w:tcBorders>
                  <w:vAlign w:val="center"/>
                </w:tcPr>
                <w:p w14:paraId="0EC5852A">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2014</w:t>
                  </w:r>
                </w:p>
              </w:tc>
              <w:tc>
                <w:tcPr>
                  <w:tcW w:w="1068" w:type="dxa"/>
                  <w:tcBorders>
                    <w:top w:val="nil"/>
                    <w:left w:val="nil"/>
                    <w:bottom w:val="nil"/>
                    <w:right w:val="nil"/>
                  </w:tcBorders>
                  <w:vAlign w:val="center"/>
                </w:tcPr>
                <w:p w14:paraId="4A924325">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w:t>
                  </w:r>
                </w:p>
              </w:tc>
              <w:tc>
                <w:tcPr>
                  <w:tcW w:w="1512" w:type="dxa"/>
                  <w:tcBorders>
                    <w:top w:val="nil"/>
                    <w:left w:val="nil"/>
                    <w:bottom w:val="nil"/>
                    <w:right w:val="nil"/>
                  </w:tcBorders>
                  <w:vAlign w:val="center"/>
                </w:tcPr>
                <w:p w14:paraId="6826C6B1">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American Indie Makeup Brand</w:t>
                  </w:r>
                </w:p>
              </w:tc>
              <w:tc>
                <w:tcPr>
                  <w:tcW w:w="1697" w:type="dxa"/>
                  <w:tcBorders>
                    <w:top w:val="nil"/>
                    <w:left w:val="nil"/>
                    <w:bottom w:val="nil"/>
                    <w:right w:val="nil"/>
                  </w:tcBorders>
                  <w:vAlign w:val="center"/>
                </w:tcPr>
                <w:p w14:paraId="32A175DA">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Global Leading Professional Makeup Brand</w:t>
                  </w:r>
                </w:p>
              </w:tc>
              <w:tc>
                <w:tcPr>
                  <w:tcW w:w="1237" w:type="dxa"/>
                  <w:tcBorders>
                    <w:top w:val="nil"/>
                    <w:left w:val="nil"/>
                    <w:bottom w:val="nil"/>
                    <w:right w:val="nil"/>
                  </w:tcBorders>
                  <w:vAlign w:val="center"/>
                </w:tcPr>
                <w:p w14:paraId="77330834">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11 Years</w:t>
                  </w:r>
                </w:p>
              </w:tc>
            </w:tr>
            <w:tr w14:paraId="285B3349">
              <w:tblPrEx>
                <w:tblCellMar>
                  <w:top w:w="0" w:type="dxa"/>
                  <w:left w:w="108" w:type="dxa"/>
                  <w:bottom w:w="0" w:type="dxa"/>
                  <w:right w:w="108" w:type="dxa"/>
                </w:tblCellMar>
              </w:tblPrEx>
              <w:trPr>
                <w:trHeight w:val="23" w:hRule="atLeast"/>
                <w:jc w:val="center"/>
              </w:trPr>
              <w:tc>
                <w:tcPr>
                  <w:tcW w:w="1173" w:type="dxa"/>
                  <w:tcBorders>
                    <w:top w:val="nil"/>
                    <w:left w:val="nil"/>
                    <w:bottom w:val="nil"/>
                    <w:right w:val="nil"/>
                  </w:tcBorders>
                  <w:shd w:val="clear" w:color="000000" w:fill="F2F2F2"/>
                  <w:vAlign w:val="center"/>
                </w:tcPr>
                <w:p w14:paraId="4409EDD8">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CeraVe</w:t>
                  </w:r>
                </w:p>
              </w:tc>
              <w:tc>
                <w:tcPr>
                  <w:tcW w:w="1155" w:type="dxa"/>
                  <w:tcBorders>
                    <w:top w:val="nil"/>
                    <w:left w:val="nil"/>
                    <w:bottom w:val="nil"/>
                    <w:right w:val="nil"/>
                  </w:tcBorders>
                  <w:shd w:val="clear" w:color="000000" w:fill="F2F2F2"/>
                  <w:vAlign w:val="center"/>
                </w:tcPr>
                <w:p w14:paraId="4BF6579A">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2017</w:t>
                  </w:r>
                </w:p>
              </w:tc>
              <w:tc>
                <w:tcPr>
                  <w:tcW w:w="1068" w:type="dxa"/>
                  <w:tcBorders>
                    <w:top w:val="nil"/>
                    <w:left w:val="nil"/>
                    <w:bottom w:val="nil"/>
                    <w:right w:val="nil"/>
                  </w:tcBorders>
                  <w:shd w:val="clear" w:color="000000" w:fill="F2F2F2"/>
                  <w:vAlign w:val="center"/>
                </w:tcPr>
                <w:p w14:paraId="448B8A82">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$1.3B</w:t>
                  </w:r>
                </w:p>
              </w:tc>
              <w:tc>
                <w:tcPr>
                  <w:tcW w:w="1512" w:type="dxa"/>
                  <w:tcBorders>
                    <w:top w:val="nil"/>
                    <w:left w:val="nil"/>
                    <w:bottom w:val="nil"/>
                    <w:right w:val="nil"/>
                  </w:tcBorders>
                  <w:shd w:val="clear" w:color="000000" w:fill="F2F2F2"/>
                  <w:vAlign w:val="center"/>
                </w:tcPr>
                <w:p w14:paraId="384D75B8">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Revenue ~$168M at Acquisition</w:t>
                  </w:r>
                </w:p>
              </w:tc>
              <w:tc>
                <w:tcPr>
                  <w:tcW w:w="1697" w:type="dxa"/>
                  <w:tcBorders>
                    <w:top w:val="nil"/>
                    <w:left w:val="nil"/>
                    <w:bottom w:val="nil"/>
                    <w:right w:val="nil"/>
                  </w:tcBorders>
                  <w:shd w:val="clear" w:color="000000" w:fill="F2F2F2"/>
                  <w:vAlign w:val="center"/>
                </w:tcPr>
                <w:p w14:paraId="0EA9DB2E">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Gen Z's #1 Skincare Brand</w:t>
                  </w:r>
                </w:p>
              </w:tc>
              <w:tc>
                <w:tcPr>
                  <w:tcW w:w="1237" w:type="dxa"/>
                  <w:tcBorders>
                    <w:top w:val="nil"/>
                    <w:left w:val="nil"/>
                    <w:bottom w:val="nil"/>
                    <w:right w:val="nil"/>
                  </w:tcBorders>
                  <w:shd w:val="clear" w:color="000000" w:fill="F2F2F2"/>
                  <w:vAlign w:val="center"/>
                </w:tcPr>
                <w:p w14:paraId="254A2431">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12x Revenue Growth in 7 Years</w:t>
                  </w:r>
                </w:p>
              </w:tc>
            </w:tr>
            <w:tr w14:paraId="13EA01B4">
              <w:tblPrEx>
                <w:tblCellMar>
                  <w:top w:w="0" w:type="dxa"/>
                  <w:left w:w="108" w:type="dxa"/>
                  <w:bottom w:w="0" w:type="dxa"/>
                  <w:right w:w="108" w:type="dxa"/>
                </w:tblCellMar>
              </w:tblPrEx>
              <w:trPr>
                <w:trHeight w:val="23" w:hRule="atLeast"/>
                <w:jc w:val="center"/>
              </w:trPr>
              <w:tc>
                <w:tcPr>
                  <w:tcW w:w="1173" w:type="dxa"/>
                  <w:tcBorders>
                    <w:top w:val="nil"/>
                    <w:left w:val="nil"/>
                    <w:bottom w:val="nil"/>
                    <w:right w:val="nil"/>
                  </w:tcBorders>
                  <w:vAlign w:val="center"/>
                </w:tcPr>
                <w:p w14:paraId="4DCB35EF">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Aēsop</w:t>
                  </w:r>
                </w:p>
              </w:tc>
              <w:tc>
                <w:tcPr>
                  <w:tcW w:w="1155" w:type="dxa"/>
                  <w:tcBorders>
                    <w:top w:val="nil"/>
                    <w:left w:val="nil"/>
                    <w:bottom w:val="nil"/>
                    <w:right w:val="nil"/>
                  </w:tcBorders>
                  <w:vAlign w:val="center"/>
                </w:tcPr>
                <w:p w14:paraId="07E0F76E">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2023</w:t>
                  </w:r>
                </w:p>
              </w:tc>
              <w:tc>
                <w:tcPr>
                  <w:tcW w:w="1068" w:type="dxa"/>
                  <w:tcBorders>
                    <w:top w:val="nil"/>
                    <w:left w:val="nil"/>
                    <w:bottom w:val="nil"/>
                    <w:right w:val="nil"/>
                  </w:tcBorders>
                  <w:vAlign w:val="center"/>
                </w:tcPr>
                <w:p w14:paraId="5C80F620">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$2.53B</w:t>
                  </w:r>
                </w:p>
              </w:tc>
              <w:tc>
                <w:tcPr>
                  <w:tcW w:w="1512" w:type="dxa"/>
                  <w:tcBorders>
                    <w:top w:val="nil"/>
                    <w:left w:val="nil"/>
                    <w:bottom w:val="nil"/>
                    <w:right w:val="nil"/>
                  </w:tcBorders>
                  <w:vAlign w:val="center"/>
                </w:tcPr>
                <w:p w14:paraId="5A6F082F">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Australian Ultra-Luxury Brand</w:t>
                  </w:r>
                </w:p>
              </w:tc>
              <w:tc>
                <w:tcPr>
                  <w:tcW w:w="1697" w:type="dxa"/>
                  <w:tcBorders>
                    <w:top w:val="nil"/>
                    <w:left w:val="nil"/>
                    <w:bottom w:val="nil"/>
                    <w:right w:val="nil"/>
                  </w:tcBorders>
                  <w:vAlign w:val="center"/>
                </w:tcPr>
                <w:p w14:paraId="7099D5C1">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Rapid Global Expansion Underway</w:t>
                  </w:r>
                </w:p>
              </w:tc>
              <w:tc>
                <w:tcPr>
                  <w:tcW w:w="1237" w:type="dxa"/>
                  <w:tcBorders>
                    <w:top w:val="nil"/>
                    <w:left w:val="nil"/>
                    <w:bottom w:val="nil"/>
                    <w:right w:val="nil"/>
                  </w:tcBorders>
                  <w:vAlign w:val="center"/>
                </w:tcPr>
                <w:p w14:paraId="58AA2F6B">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2 Years (Integration Ongoing)</w:t>
                  </w:r>
                </w:p>
              </w:tc>
            </w:tr>
          </w:tbl>
          <w:p w14:paraId="04ACDE67">
            <w:pPr>
              <w:rPr>
                <w:rFonts w:hint="default" w:ascii="Calibri" w:hAnsi="Calibri" w:eastAsia="楷体_GB2312" w:cs="Calibri"/>
                <w:kern w:val="2"/>
                <w:sz w:val="18"/>
                <w:szCs w:val="18"/>
              </w:rPr>
            </w:pPr>
          </w:p>
        </w:tc>
      </w:tr>
      <w:tr w14:paraId="4E46B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887" w:type="dxa"/>
            <w:tcBorders>
              <w:top w:val="single" w:color="auto" w:sz="4" w:space="0"/>
            </w:tcBorders>
          </w:tcPr>
          <w:p w14:paraId="0EB4EF22">
            <w:pPr>
              <w:rPr>
                <w:rFonts w:hint="default" w:ascii="Calibri" w:hAnsi="Calibri" w:eastAsia="楷体_GB2312" w:cs="Calibri"/>
                <w:b w:val="0"/>
                <w:bCs w:val="0"/>
                <w:kern w:val="2"/>
                <w:sz w:val="20"/>
                <w:szCs w:val="20"/>
              </w:rPr>
            </w:pPr>
            <w:r>
              <w:rPr>
                <w:rFonts w:hint="default" w:ascii="Calibri" w:hAnsi="Calibri" w:eastAsia="楷体_GB2312" w:cs="Calibri"/>
                <w:b w:val="0"/>
                <w:bCs w:val="0"/>
                <w:kern w:val="2"/>
                <w:sz w:val="20"/>
                <w:szCs w:val="20"/>
              </w:rPr>
              <w:t>Source: Company Annual Reports, HFI</w:t>
            </w:r>
          </w:p>
        </w:tc>
      </w:tr>
    </w:tbl>
    <w:p w14:paraId="63138325">
      <w:pPr>
        <w:rPr>
          <w:rFonts w:hint="default" w:ascii="Calibri" w:hAnsi="Calibri" w:eastAsia="楷体_GB2312" w:cs="Calibri"/>
          <w:kern w:val="2"/>
          <w:sz w:val="22"/>
          <w:szCs w:val="22"/>
        </w:rPr>
      </w:pPr>
      <w:r>
        <w:rPr>
          <w:rFonts w:hint="default" w:ascii="Calibri" w:hAnsi="Calibri" w:eastAsia="楷体_GB2312" w:cs="Calibri"/>
          <w:kern w:val="2"/>
          <w:sz w:val="22"/>
          <w:szCs w:val="22"/>
        </w:rPr>
        <w:br w:type="page"/>
      </w:r>
    </w:p>
    <w:p w14:paraId="48E147A1">
      <w:pPr>
        <w:pStyle w:val="27"/>
        <w:numPr>
          <w:ilvl w:val="0"/>
          <w:numId w:val="9"/>
        </w:numPr>
        <w:jc w:val="both"/>
        <w:rPr>
          <w:rFonts w:hint="default" w:ascii="Calibri" w:hAnsi="Calibri" w:eastAsia="楷体_GB2312" w:cs="Calibri"/>
          <w:kern w:val="2"/>
          <w:sz w:val="22"/>
          <w:szCs w:val="22"/>
        </w:rPr>
      </w:pPr>
      <w:r>
        <w:rPr>
          <w:rFonts w:hint="default" w:ascii="Calibri" w:hAnsi="Calibri" w:eastAsia="楷体_GB2312" w:cs="Calibri"/>
          <w:b/>
          <w:bCs/>
          <w:kern w:val="2"/>
          <w:sz w:val="22"/>
          <w:szCs w:val="22"/>
        </w:rPr>
        <w:t>Globalized Operations and Localization Strategy</w:t>
      </w:r>
    </w:p>
    <w:p w14:paraId="0585C5A2">
      <w:pPr>
        <w:jc w:val="both"/>
        <w:rPr>
          <w:rFonts w:hint="default" w:ascii="Calibri" w:hAnsi="Calibri" w:eastAsia="楷体_GB2312" w:cs="Calibri"/>
          <w:kern w:val="2"/>
          <w:sz w:val="22"/>
          <w:szCs w:val="22"/>
        </w:rPr>
      </w:pPr>
      <w:r>
        <w:rPr>
          <w:rFonts w:hint="default" w:ascii="Calibri" w:hAnsi="Calibri" w:eastAsia="楷体_GB2312" w:cs="Calibri"/>
          <w:kern w:val="2"/>
          <w:sz w:val="22"/>
          <w:szCs w:val="22"/>
        </w:rPr>
        <w:t>The group operates in more than 150 countries, with 36 manufacturing facilities and 21 R&amp;D centers. It has a dedicated R&amp;D center in China and manufacturing plants in Suzhou and Yichang, established a new R&amp;D and innovation center in India in August 2024, and develops dedicated products for Brazil's diverse hair types.</w:t>
      </w:r>
    </w:p>
    <w:p w14:paraId="6BB1472D">
      <w:pPr>
        <w:jc w:val="both"/>
        <w:rPr>
          <w:rFonts w:hint="default" w:ascii="Calibri" w:hAnsi="Calibri" w:eastAsia="楷体_GB2312" w:cs="Calibri"/>
          <w:kern w:val="2"/>
          <w:sz w:val="22"/>
          <w:szCs w:val="22"/>
        </w:rPr>
      </w:pPr>
    </w:p>
    <w:tbl>
      <w:tblPr>
        <w:tblStyle w:val="12"/>
        <w:tblW w:w="10490" w:type="dxa"/>
        <w:tblInd w:w="-2885" w:type="dxa"/>
        <w:tblLayout w:type="fixed"/>
        <w:tblCellMar>
          <w:top w:w="0" w:type="dxa"/>
          <w:left w:w="108" w:type="dxa"/>
          <w:bottom w:w="0" w:type="dxa"/>
          <w:right w:w="108" w:type="dxa"/>
        </w:tblCellMar>
      </w:tblPr>
      <w:tblGrid>
        <w:gridCol w:w="5100"/>
        <w:gridCol w:w="241"/>
        <w:gridCol w:w="5149"/>
      </w:tblGrid>
      <w:tr w14:paraId="207E9A93">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20A73059">
            <w:pPr>
              <w:spacing w:before="48" w:beforeLines="20" w:after="48" w:afterLines="20"/>
              <w:jc w:val="both"/>
              <w:textAlignment w:val="center"/>
              <w:rPr>
                <w:rFonts w:hint="default" w:ascii="Calibri" w:hAnsi="Calibri" w:eastAsia="楷体_GB2312" w:cs="Calibri"/>
                <w:b/>
                <w:sz w:val="20"/>
                <w:szCs w:val="20"/>
                <w:highlight w:val="yellow"/>
              </w:rPr>
            </w:pPr>
            <w:r>
              <w:rPr>
                <w:rFonts w:hint="default" w:ascii="Calibri" w:hAnsi="Calibri" w:eastAsia="楷体_GB2312" w:cs="Calibri"/>
                <w:b/>
                <w:sz w:val="20"/>
                <w:szCs w:val="20"/>
              </w:rPr>
              <w:t>Figure: Distribution of L'Oréal Research Centres 2020–2025</w:t>
            </w:r>
          </w:p>
        </w:tc>
        <w:tc>
          <w:tcPr>
            <w:tcW w:w="241" w:type="dxa"/>
            <w:tcMar>
              <w:left w:w="0" w:type="dxa"/>
              <w:right w:w="28" w:type="dxa"/>
            </w:tcMar>
          </w:tcPr>
          <w:p w14:paraId="48F69887">
            <w:pPr>
              <w:spacing w:before="48" w:beforeLines="20" w:after="48" w:afterLines="20"/>
              <w:jc w:val="both"/>
              <w:rPr>
                <w:rFonts w:hint="default" w:ascii="Calibri" w:hAnsi="Calibri" w:eastAsia="楷体_GB2312" w:cs="Calibri"/>
                <w:sz w:val="20"/>
                <w:szCs w:val="20"/>
                <w:highlight w:val="yellow"/>
              </w:rPr>
            </w:pPr>
          </w:p>
        </w:tc>
        <w:tc>
          <w:tcPr>
            <w:tcW w:w="5149" w:type="dxa"/>
            <w:tcBorders>
              <w:bottom w:val="single" w:color="auto" w:sz="4" w:space="0"/>
            </w:tcBorders>
            <w:tcMar>
              <w:left w:w="0" w:type="dxa"/>
              <w:right w:w="28" w:type="dxa"/>
            </w:tcMar>
          </w:tcPr>
          <w:p w14:paraId="374656D9">
            <w:pPr>
              <w:spacing w:before="48" w:beforeLines="20" w:after="48" w:afterLines="20"/>
              <w:jc w:val="both"/>
              <w:rPr>
                <w:rFonts w:hint="default" w:ascii="Calibri" w:hAnsi="Calibri" w:eastAsia="楷体_GB2312" w:cs="Calibri"/>
                <w:b/>
                <w:sz w:val="20"/>
                <w:szCs w:val="20"/>
              </w:rPr>
            </w:pPr>
            <w:r>
              <w:rPr>
                <w:rFonts w:hint="default" w:ascii="Calibri" w:hAnsi="Calibri" w:eastAsia="楷体_GB2312" w:cs="Calibri"/>
                <w:b/>
                <w:sz w:val="20"/>
                <w:szCs w:val="20"/>
              </w:rPr>
              <w:t>Figure: Distribution of L'Oréal Manufacturing Facilities 2020–2025</w:t>
            </w:r>
          </w:p>
        </w:tc>
      </w:tr>
      <w:tr w14:paraId="6AA3DCC9">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33FCC7C7">
            <w:pPr>
              <w:spacing w:before="48" w:beforeLines="20" w:after="48" w:afterLines="20"/>
              <w:ind w:firstLine="160" w:firstLineChars="100"/>
              <w:jc w:val="both"/>
              <w:textAlignment w:val="center"/>
              <w:rPr>
                <w:rFonts w:hint="default" w:ascii="Calibri" w:hAnsi="Calibri" w:eastAsia="楷体_GB2312" w:cs="Calibri"/>
                <w:b/>
                <w:color w:val="000000"/>
                <w:sz w:val="20"/>
                <w:szCs w:val="20"/>
                <w:lang w:bidi="ar"/>
              </w:rPr>
            </w:pPr>
            <w:r>
              <w:rPr>
                <w:rFonts w:hint="default" w:ascii="Calibri" w:hAnsi="Calibri" w:eastAsia="楷体_GB2312" w:cs="Calibri"/>
                <w:snapToGrid/>
              </w:rPr>
              <w:drawing>
                <wp:inline distT="0" distB="0" distL="0" distR="0">
                  <wp:extent cx="2698750" cy="2245360"/>
                  <wp:effectExtent l="0" t="0" r="13970" b="10160"/>
                  <wp:docPr id="65503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3107" name="图片 1"/>
                          <pic:cNvPicPr>
                            <a:picLocks noChangeAspect="1"/>
                          </pic:cNvPicPr>
                        </pic:nvPicPr>
                        <pic:blipFill>
                          <a:blip r:embed="rId41"/>
                          <a:stretch>
                            <a:fillRect/>
                          </a:stretch>
                        </pic:blipFill>
                        <pic:spPr>
                          <a:xfrm>
                            <a:off x="0" y="0"/>
                            <a:ext cx="2731141" cy="2272440"/>
                          </a:xfrm>
                          <a:prstGeom prst="rect">
                            <a:avLst/>
                          </a:prstGeom>
                        </pic:spPr>
                      </pic:pic>
                    </a:graphicData>
                  </a:graphic>
                </wp:inline>
              </w:drawing>
            </w:r>
          </w:p>
        </w:tc>
        <w:tc>
          <w:tcPr>
            <w:tcW w:w="241" w:type="dxa"/>
          </w:tcPr>
          <w:p w14:paraId="0388F6FC">
            <w:pPr>
              <w:spacing w:before="48" w:beforeLines="20" w:after="48" w:afterLines="20"/>
              <w:jc w:val="both"/>
              <w:rPr>
                <w:rFonts w:hint="default" w:ascii="Calibri" w:hAnsi="Calibri" w:eastAsia="楷体_GB2312" w:cs="Calibri"/>
                <w:sz w:val="20"/>
                <w:szCs w:val="20"/>
              </w:rPr>
            </w:pPr>
            <w:r>
              <w:rPr>
                <w:rFonts w:hint="default" w:ascii="Calibri" w:hAnsi="Calibri" w:eastAsia="楷体_GB2312" w:cs="Calibri"/>
                <w:sz w:val="20"/>
                <w:szCs w:val="20"/>
              </w:rPr>
              <w:t xml:space="preserve">    </w:t>
            </w:r>
          </w:p>
        </w:tc>
        <w:tc>
          <w:tcPr>
            <w:tcW w:w="5149" w:type="dxa"/>
            <w:tcBorders>
              <w:top w:val="single" w:color="auto" w:sz="4" w:space="0"/>
              <w:bottom w:val="single" w:color="auto" w:sz="4" w:space="0"/>
            </w:tcBorders>
          </w:tcPr>
          <w:p w14:paraId="3877E548">
            <w:pPr>
              <w:spacing w:before="48" w:beforeLines="20" w:after="48" w:afterLines="20"/>
              <w:ind w:firstLine="160" w:firstLineChars="100"/>
              <w:jc w:val="both"/>
              <w:rPr>
                <w:rFonts w:hint="default" w:ascii="Calibri" w:hAnsi="Calibri" w:eastAsia="楷体_GB2312" w:cs="Calibri"/>
                <w:b/>
                <w:sz w:val="14"/>
                <w:szCs w:val="14"/>
              </w:rPr>
            </w:pPr>
            <w:r>
              <w:rPr>
                <w:rFonts w:hint="default" w:ascii="Calibri" w:hAnsi="Calibri" w:eastAsia="楷体_GB2312" w:cs="Calibri"/>
                <w:snapToGrid/>
              </w:rPr>
              <w:drawing>
                <wp:inline distT="0" distB="0" distL="0" distR="0">
                  <wp:extent cx="2929890" cy="2026285"/>
                  <wp:effectExtent l="0" t="0" r="11430" b="635"/>
                  <wp:docPr id="13021983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98382" name="图片 1"/>
                          <pic:cNvPicPr>
                            <a:picLocks noChangeAspect="1"/>
                          </pic:cNvPicPr>
                        </pic:nvPicPr>
                        <pic:blipFill>
                          <a:blip r:embed="rId42"/>
                          <a:stretch>
                            <a:fillRect/>
                          </a:stretch>
                        </pic:blipFill>
                        <pic:spPr>
                          <a:xfrm>
                            <a:off x="0" y="0"/>
                            <a:ext cx="2954492" cy="2043323"/>
                          </a:xfrm>
                          <a:prstGeom prst="rect">
                            <a:avLst/>
                          </a:prstGeom>
                        </pic:spPr>
                      </pic:pic>
                    </a:graphicData>
                  </a:graphic>
                </wp:inline>
              </w:drawing>
            </w:r>
          </w:p>
        </w:tc>
      </w:tr>
      <w:tr w14:paraId="537F4A42">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2B59FEDC">
            <w:pPr>
              <w:spacing w:before="48" w:beforeLines="20" w:after="48" w:afterLines="20"/>
              <w:jc w:val="both"/>
              <w:textAlignment w:val="center"/>
              <w:rPr>
                <w:rFonts w:hint="default" w:ascii="Calibri" w:hAnsi="Calibri" w:eastAsia="楷体_GB2312" w:cs="Calibri"/>
                <w:b w:val="0"/>
                <w:bCs w:val="0"/>
                <w:sz w:val="20"/>
                <w:szCs w:val="20"/>
              </w:rPr>
            </w:pPr>
            <w:r>
              <w:rPr>
                <w:rFonts w:hint="default" w:ascii="Calibri" w:hAnsi="Calibri" w:eastAsia="楷体_GB2312" w:cs="Calibri"/>
                <w:b w:val="0"/>
                <w:bCs w:val="0"/>
                <w:sz w:val="20"/>
                <w:szCs w:val="20"/>
              </w:rPr>
              <w:t>Source: Company Annual Reports, HFI</w:t>
            </w:r>
          </w:p>
        </w:tc>
        <w:tc>
          <w:tcPr>
            <w:tcW w:w="241" w:type="dxa"/>
            <w:tcMar>
              <w:left w:w="0" w:type="dxa"/>
              <w:right w:w="28" w:type="dxa"/>
            </w:tcMar>
          </w:tcPr>
          <w:p w14:paraId="369310B8">
            <w:pPr>
              <w:spacing w:before="48" w:beforeLines="20" w:after="48" w:afterLines="20"/>
              <w:jc w:val="both"/>
              <w:rPr>
                <w:rFonts w:hint="default" w:ascii="Calibri" w:hAnsi="Calibri" w:eastAsia="楷体_GB2312" w:cs="Calibri"/>
                <w:b w:val="0"/>
                <w:bCs w:val="0"/>
                <w:sz w:val="20"/>
                <w:szCs w:val="20"/>
              </w:rPr>
            </w:pPr>
          </w:p>
        </w:tc>
        <w:tc>
          <w:tcPr>
            <w:tcW w:w="5149" w:type="dxa"/>
            <w:tcBorders>
              <w:top w:val="single" w:color="auto" w:sz="4" w:space="0"/>
            </w:tcBorders>
            <w:tcMar>
              <w:left w:w="0" w:type="dxa"/>
              <w:right w:w="28" w:type="dxa"/>
            </w:tcMar>
          </w:tcPr>
          <w:p w14:paraId="42F531AB">
            <w:pPr>
              <w:spacing w:before="48" w:beforeLines="20" w:after="48" w:afterLines="20"/>
              <w:jc w:val="both"/>
              <w:rPr>
                <w:rFonts w:hint="default" w:ascii="Calibri" w:hAnsi="Calibri" w:eastAsia="楷体_GB2312" w:cs="Calibri"/>
                <w:b w:val="0"/>
                <w:bCs w:val="0"/>
                <w:sz w:val="20"/>
                <w:szCs w:val="20"/>
              </w:rPr>
            </w:pPr>
            <w:r>
              <w:rPr>
                <w:rFonts w:hint="default" w:ascii="Calibri" w:hAnsi="Calibri" w:eastAsia="楷体_GB2312" w:cs="Calibri"/>
                <w:b w:val="0"/>
                <w:bCs w:val="0"/>
                <w:sz w:val="20"/>
                <w:szCs w:val="20"/>
              </w:rPr>
              <w:t>Source: Company Annual Reports, HFI</w:t>
            </w:r>
          </w:p>
        </w:tc>
      </w:tr>
    </w:tbl>
    <w:p w14:paraId="257712FC">
      <w:pPr>
        <w:pStyle w:val="27"/>
        <w:numPr>
          <w:ilvl w:val="0"/>
          <w:numId w:val="0"/>
        </w:numPr>
        <w:ind w:leftChars="0"/>
        <w:jc w:val="both"/>
        <w:rPr>
          <w:rFonts w:hint="default" w:ascii="Calibri" w:hAnsi="Calibri" w:eastAsia="楷体_GB2312" w:cs="Calibri"/>
          <w:b/>
          <w:bCs/>
          <w:kern w:val="2"/>
          <w:sz w:val="22"/>
          <w:szCs w:val="22"/>
        </w:rPr>
      </w:pPr>
    </w:p>
    <w:p w14:paraId="7A8633B2">
      <w:pPr>
        <w:pStyle w:val="27"/>
        <w:numPr>
          <w:ilvl w:val="0"/>
          <w:numId w:val="0"/>
        </w:numPr>
        <w:ind w:leftChars="0"/>
        <w:jc w:val="both"/>
        <w:rPr>
          <w:rFonts w:hint="default" w:ascii="Calibri" w:hAnsi="Calibri" w:eastAsia="楷体_GB2312" w:cs="Calibri"/>
          <w:b/>
          <w:bCs/>
          <w:kern w:val="2"/>
          <w:sz w:val="22"/>
          <w:szCs w:val="22"/>
        </w:rPr>
      </w:pPr>
    </w:p>
    <w:p w14:paraId="524C6CD3">
      <w:pPr>
        <w:pStyle w:val="27"/>
        <w:numPr>
          <w:ilvl w:val="0"/>
          <w:numId w:val="9"/>
        </w:numPr>
        <w:jc w:val="both"/>
        <w:rPr>
          <w:rFonts w:hint="default" w:ascii="Calibri" w:hAnsi="Calibri" w:eastAsia="楷体_GB2312" w:cs="Calibri"/>
          <w:b/>
          <w:bCs/>
          <w:kern w:val="2"/>
          <w:sz w:val="22"/>
          <w:szCs w:val="22"/>
        </w:rPr>
      </w:pPr>
      <w:r>
        <w:rPr>
          <w:rFonts w:hint="default" w:ascii="Calibri" w:hAnsi="Calibri" w:eastAsia="楷体_GB2312" w:cs="Calibri"/>
          <w:b/>
          <w:bCs/>
          <w:kern w:val="2"/>
          <w:sz w:val="22"/>
          <w:szCs w:val="22"/>
        </w:rPr>
        <w:t>Broad Channel Coverage</w:t>
      </w:r>
    </w:p>
    <w:p w14:paraId="5B653D38">
      <w:pPr>
        <w:jc w:val="both"/>
        <w:rPr>
          <w:rFonts w:hint="default" w:ascii="Calibri" w:hAnsi="Calibri" w:eastAsia="楷体_GB2312" w:cs="Calibri"/>
          <w:kern w:val="2"/>
          <w:sz w:val="22"/>
          <w:szCs w:val="22"/>
        </w:rPr>
      </w:pPr>
      <w:r>
        <w:rPr>
          <w:rFonts w:hint="default" w:ascii="Calibri" w:hAnsi="Calibri" w:eastAsia="楷体_GB2312" w:cs="Calibri"/>
          <w:b/>
          <w:bCs/>
          <w:kern w:val="2"/>
          <w:sz w:val="22"/>
          <w:szCs w:val="22"/>
        </w:rPr>
        <w:t>L'Oréal is one of the very few beauty companies with deep coverage across all six major channels: pharmacies, department stores, supermarkets, professional hair salons, e-commerce platforms, and proprietary DTC channels.</w:t>
      </w:r>
      <w:r>
        <w:rPr>
          <w:rFonts w:hint="default" w:ascii="Calibri" w:hAnsi="Calibri" w:eastAsia="楷体_GB2312" w:cs="Calibri"/>
          <w:kern w:val="2"/>
          <w:sz w:val="22"/>
          <w:szCs w:val="22"/>
        </w:rPr>
        <w:t xml:space="preserve"> Different divisions precisely match channels to their core customer segments: Consumer Products targets supermarkets, drugstores, and e-commerce platforms; L'Oréal Luxe controls brand positioning through department store counters, brand boutiques, and travel retail; Professional Products uses approximately 400,000 hair salons as its core base while expanding into e-commerce and selective retail; and Dermatological Beauty anchors in pharmacies and drugstores as its core prescription channel, extending into e-commerce. In the Professional Products division, Kérastase's "salon experience → online repurchase" consumer loop drives double-digit growth, with the division's market share reaching a record 26% in 2024; in Dermatological Beauty, CeraVe leveraged a combination of TikTok social media marketing and drugstore distribution to grow from under USD 200 million at acquisition to over EUR 2 billion within seven years. The quantified evidence of channel capability is that e-commerce's share of group revenue rose from 15.6% in 2019 to 28.2% (EUR 12.3 billion) in 2024, surpassing 30% in 2025.</w:t>
      </w:r>
    </w:p>
    <w:p w14:paraId="374F2774">
      <w:pPr>
        <w:rPr>
          <w:rFonts w:hint="default" w:ascii="Calibri" w:hAnsi="Calibri" w:eastAsia="楷体_GB2312" w:cs="Calibri"/>
          <w:kern w:val="2"/>
          <w:sz w:val="22"/>
          <w:szCs w:val="22"/>
        </w:rPr>
      </w:pPr>
      <w:r>
        <w:rPr>
          <w:rFonts w:hint="default" w:ascii="Calibri" w:hAnsi="Calibri" w:eastAsia="楷体_GB2312" w:cs="Calibri"/>
          <w:kern w:val="2"/>
          <w:sz w:val="22"/>
          <w:szCs w:val="22"/>
        </w:rPr>
        <w:br w:type="page"/>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74"/>
      </w:tblGrid>
      <w:tr w14:paraId="6B634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bottom w:val="single" w:color="auto" w:sz="4" w:space="0"/>
            </w:tcBorders>
          </w:tcPr>
          <w:p w14:paraId="1F8278DC">
            <w:pPr>
              <w:rPr>
                <w:rFonts w:hint="default" w:ascii="Calibri" w:hAnsi="Calibri" w:eastAsia="楷体_GB2312" w:cs="Calibri"/>
                <w:b/>
                <w:bCs/>
                <w:kern w:val="2"/>
                <w:sz w:val="22"/>
                <w:szCs w:val="22"/>
              </w:rPr>
            </w:pPr>
            <w:r>
              <w:rPr>
                <w:rFonts w:hint="default" w:ascii="Calibri" w:hAnsi="Calibri" w:eastAsia="楷体_GB2312" w:cs="Calibri"/>
                <w:b/>
                <w:bCs/>
                <w:kern w:val="2"/>
                <w:sz w:val="22"/>
                <w:szCs w:val="22"/>
              </w:rPr>
              <w:t>Figure: L'Oréal E-Commerce Revenue as a Percentage of Total Sales</w:t>
            </w:r>
          </w:p>
        </w:tc>
      </w:tr>
      <w:tr w14:paraId="40809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59F253AA">
            <w:pPr>
              <w:rPr>
                <w:rFonts w:hint="default" w:ascii="Calibri" w:hAnsi="Calibri" w:eastAsia="楷体_GB2312" w:cs="Calibri"/>
                <w:kern w:val="2"/>
                <w:sz w:val="22"/>
                <w:szCs w:val="22"/>
              </w:rPr>
            </w:pPr>
            <w:r>
              <w:rPr>
                <w:rFonts w:hint="default" w:ascii="Calibri" w:hAnsi="Calibri" w:eastAsia="楷体_GB2312" w:cs="Calibri"/>
                <w:snapToGrid/>
              </w:rPr>
              <w:drawing>
                <wp:inline distT="0" distB="0" distL="0" distR="0">
                  <wp:extent cx="4572000" cy="2438400"/>
                  <wp:effectExtent l="0" t="0" r="0" b="0"/>
                  <wp:docPr id="1437004568"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tc>
      </w:tr>
      <w:tr w14:paraId="77162A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1F61696C">
            <w:pPr>
              <w:rPr>
                <w:rFonts w:hint="default" w:ascii="Calibri" w:hAnsi="Calibri" w:eastAsia="楷体_GB2312" w:cs="Calibri"/>
                <w:b w:val="0"/>
                <w:bCs w:val="0"/>
                <w:kern w:val="2"/>
                <w:sz w:val="20"/>
                <w:szCs w:val="20"/>
              </w:rPr>
            </w:pPr>
            <w:r>
              <w:rPr>
                <w:rFonts w:hint="default" w:ascii="Calibri" w:hAnsi="Calibri" w:eastAsia="楷体_GB2312" w:cs="Calibri"/>
                <w:b w:val="0"/>
                <w:bCs w:val="0"/>
                <w:kern w:val="2"/>
                <w:sz w:val="20"/>
                <w:szCs w:val="20"/>
              </w:rPr>
              <w:t>Source: Company Annual Reports, HFI</w:t>
            </w:r>
          </w:p>
        </w:tc>
      </w:tr>
    </w:tbl>
    <w:p w14:paraId="50AACB23">
      <w:pPr>
        <w:jc w:val="both"/>
        <w:rPr>
          <w:rFonts w:hint="default" w:ascii="Calibri" w:hAnsi="Calibri" w:eastAsia="楷体_GB2312" w:cs="Calibri"/>
          <w:kern w:val="2"/>
          <w:sz w:val="22"/>
          <w:szCs w:val="22"/>
        </w:rPr>
      </w:pPr>
    </w:p>
    <w:p w14:paraId="6B684BDB">
      <w:pPr>
        <w:pStyle w:val="27"/>
        <w:numPr>
          <w:ilvl w:val="0"/>
          <w:numId w:val="9"/>
        </w:numPr>
        <w:jc w:val="both"/>
        <w:rPr>
          <w:rFonts w:hint="default" w:ascii="Calibri" w:hAnsi="Calibri" w:eastAsia="楷体_GB2312" w:cs="Calibri"/>
          <w:kern w:val="2"/>
          <w:sz w:val="22"/>
          <w:szCs w:val="22"/>
        </w:rPr>
      </w:pPr>
      <w:r>
        <w:rPr>
          <w:rFonts w:hint="default" w:ascii="Calibri" w:hAnsi="Calibri" w:eastAsia="楷体_GB2312" w:cs="Calibri"/>
          <w:b/>
          <w:bCs/>
          <w:kern w:val="2"/>
          <w:sz w:val="22"/>
          <w:szCs w:val="22"/>
        </w:rPr>
        <w:t>Digital and Data-Driven Capabilities</w:t>
      </w:r>
    </w:p>
    <w:p w14:paraId="1B33018E">
      <w:pPr>
        <w:jc w:val="both"/>
        <w:rPr>
          <w:rFonts w:hint="default" w:ascii="Calibri" w:hAnsi="Calibri" w:eastAsia="楷体_GB2312" w:cs="Calibri"/>
          <w:kern w:val="2"/>
          <w:sz w:val="22"/>
          <w:szCs w:val="22"/>
        </w:rPr>
      </w:pPr>
      <w:r>
        <w:rPr>
          <w:rFonts w:hint="default" w:ascii="Calibri" w:hAnsi="Calibri" w:eastAsia="楷体_GB2312" w:cs="Calibri"/>
          <w:b/>
          <w:bCs/>
          <w:kern w:val="2"/>
          <w:sz w:val="22"/>
          <w:szCs w:val="22"/>
        </w:rPr>
        <w:t xml:space="preserve">In 2018, the group acquired AR/AI company ModiFace, formally launching its Beauty Tech strategy and evolving its ambition from "beauty for all" to "beauty for each". </w:t>
      </w:r>
      <w:r>
        <w:rPr>
          <w:rFonts w:hint="default" w:ascii="Calibri" w:hAnsi="Calibri" w:eastAsia="楷体_GB2312" w:cs="Calibri"/>
          <w:kern w:val="2"/>
          <w:sz w:val="22"/>
          <w:szCs w:val="22"/>
        </w:rPr>
        <w:t>The group now employs over 8,000 digital and technology specialists and has accumulated 14,500 TB of data assets. On the consumer side, ModiFace's virtual try-on was used more than 110 million times in 2024. On the R&amp;D side, the group unveiled the Cell BioPrint proteomics-based skin diagnostic device at CES 2025 and partnered with IBM to develop AI-powered formulation models. The Beauty Tech strategy has directly driven e-commerce's share of total sales from approximately 11% in 2018 to over 30% in 2025, with digital capabilities having evolved from a marketing tool into a core competitive barrier.</w:t>
      </w:r>
    </w:p>
    <w:p w14:paraId="1E51D481">
      <w:pPr>
        <w:jc w:val="both"/>
        <w:rPr>
          <w:rFonts w:hint="default" w:ascii="Calibri" w:hAnsi="Calibri" w:eastAsia="楷体_GB2312" w:cs="Calibri"/>
          <w:kern w:val="2"/>
          <w:sz w:val="22"/>
          <w:szCs w:val="22"/>
        </w:rPr>
      </w:pPr>
    </w:p>
    <w:p w14:paraId="139D4C0C">
      <w:pPr>
        <w:pStyle w:val="149"/>
        <w:jc w:val="both"/>
        <w:rPr>
          <w:rFonts w:hint="default" w:ascii="Calibri" w:hAnsi="Calibri" w:eastAsia="楷体_GB2312" w:cs="Calibri"/>
          <w:color w:val="23558C"/>
          <w:sz w:val="24"/>
        </w:rPr>
      </w:pPr>
      <w:bookmarkStart w:id="20" w:name="_Toc7385"/>
      <w:r>
        <w:rPr>
          <w:rFonts w:hint="default" w:ascii="Calibri" w:hAnsi="Calibri" w:eastAsia="楷体_GB2312" w:cs="Calibri"/>
          <w:color w:val="23558C"/>
          <w:sz w:val="24"/>
        </w:rPr>
        <w:t>3.1 Consumer Products Division: Premium Technology at Accessible Prices, Deep Channel Penetration</w:t>
      </w:r>
      <w:bookmarkEnd w:id="20"/>
    </w:p>
    <w:p w14:paraId="0C361C71">
      <w:pPr>
        <w:jc w:val="both"/>
        <w:rPr>
          <w:rFonts w:hint="default" w:ascii="Calibri" w:hAnsi="Calibri" w:eastAsia="楷体_GB2312" w:cs="Calibri"/>
          <w:kern w:val="2"/>
          <w:sz w:val="22"/>
          <w:szCs w:val="22"/>
        </w:rPr>
      </w:pPr>
      <w:r>
        <w:rPr>
          <w:rFonts w:hint="default" w:ascii="Calibri" w:hAnsi="Calibri" w:eastAsia="楷体_GB2312" w:cs="Calibri"/>
          <w:b/>
          <w:bCs/>
          <w:kern w:val="2"/>
          <w:sz w:val="22"/>
          <w:szCs w:val="22"/>
        </w:rPr>
        <w:t>The global mass beauty market reached approximately USD 360 billion in 2025, with sustained growth over the past five years.</w:t>
      </w:r>
      <w:r>
        <w:rPr>
          <w:rFonts w:hint="default" w:ascii="Calibri" w:hAnsi="Calibri" w:eastAsia="楷体_GB2312" w:cs="Calibri"/>
          <w:kern w:val="2"/>
          <w:sz w:val="22"/>
          <w:szCs w:val="22"/>
        </w:rPr>
        <w:t xml:space="preserve"> It is the largest sub-segment in the beauty industry by volume and breadth of consumer reach. Key market characteristics include relatively high price sensitivity (core price points of €5–30), low consumer switching costs, high e-commerce penetration (over 40% in the US market), and significant influence of social media and KOLs on purchasing decisions.</w:t>
      </w:r>
    </w:p>
    <w:p w14:paraId="183AB19F">
      <w:pPr>
        <w:rPr>
          <w:rFonts w:hint="default" w:ascii="Calibri" w:hAnsi="Calibri" w:eastAsia="楷体_GB2312" w:cs="Calibri"/>
          <w:kern w:val="2"/>
          <w:sz w:val="22"/>
          <w:szCs w:val="22"/>
        </w:rPr>
      </w:pPr>
      <w:r>
        <w:rPr>
          <w:rFonts w:hint="default" w:ascii="Calibri" w:hAnsi="Calibri" w:eastAsia="楷体_GB2312" w:cs="Calibri"/>
          <w:kern w:val="2"/>
          <w:sz w:val="22"/>
          <w:szCs w:val="22"/>
        </w:rPr>
        <w:br w:type="page"/>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74"/>
      </w:tblGrid>
      <w:tr w14:paraId="7F6C2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bottom w:val="single" w:color="auto" w:sz="4" w:space="0"/>
            </w:tcBorders>
          </w:tcPr>
          <w:p w14:paraId="4782C92A">
            <w:pPr>
              <w:rPr>
                <w:rFonts w:hint="default" w:ascii="Calibri" w:hAnsi="Calibri" w:eastAsia="楷体_GB2312" w:cs="Calibri"/>
                <w:b/>
                <w:bCs/>
                <w:kern w:val="2"/>
                <w:sz w:val="22"/>
                <w:szCs w:val="22"/>
              </w:rPr>
            </w:pPr>
            <w:r>
              <w:rPr>
                <w:rFonts w:hint="default" w:ascii="Calibri" w:hAnsi="Calibri" w:eastAsia="楷体_GB2312" w:cs="Calibri"/>
                <w:b/>
                <w:bCs/>
                <w:kern w:val="2"/>
                <w:sz w:val="22"/>
                <w:szCs w:val="22"/>
              </w:rPr>
              <w:t>Figure: Global Mass Beauty Market Size 2019–2025 (USD million)</w:t>
            </w:r>
          </w:p>
        </w:tc>
      </w:tr>
      <w:tr w14:paraId="4DCA0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73BA5133">
            <w:pPr>
              <w:rPr>
                <w:rFonts w:hint="default" w:ascii="Calibri" w:hAnsi="Calibri" w:eastAsia="楷体_GB2312" w:cs="Calibri"/>
                <w:kern w:val="2"/>
                <w:sz w:val="22"/>
                <w:szCs w:val="22"/>
              </w:rPr>
            </w:pPr>
            <w:r>
              <w:rPr>
                <w:rFonts w:hint="default" w:ascii="Calibri" w:hAnsi="Calibri" w:eastAsia="楷体_GB2312" w:cs="Calibri"/>
                <w:snapToGrid/>
              </w:rPr>
              <w:drawing>
                <wp:inline distT="0" distB="0" distL="0" distR="0">
                  <wp:extent cx="4572000" cy="2743200"/>
                  <wp:effectExtent l="0" t="0" r="0" b="0"/>
                  <wp:docPr id="131134330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tc>
      </w:tr>
      <w:tr w14:paraId="004C8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733" w:type="dxa"/>
            <w:tcBorders>
              <w:top w:val="single" w:color="auto" w:sz="4" w:space="0"/>
            </w:tcBorders>
          </w:tcPr>
          <w:p w14:paraId="5A621856">
            <w:pPr>
              <w:rPr>
                <w:rFonts w:hint="default" w:ascii="Calibri" w:hAnsi="Calibri" w:eastAsia="楷体_GB2312" w:cs="Calibri"/>
                <w:b w:val="0"/>
                <w:bCs w:val="0"/>
                <w:kern w:val="2"/>
                <w:sz w:val="20"/>
                <w:szCs w:val="20"/>
              </w:rPr>
            </w:pPr>
            <w:r>
              <w:rPr>
                <w:rFonts w:hint="default" w:ascii="Calibri" w:hAnsi="Calibri" w:eastAsia="楷体_GB2312" w:cs="Calibri"/>
                <w:b w:val="0"/>
                <w:bCs w:val="0"/>
                <w:kern w:val="2"/>
                <w:sz w:val="20"/>
                <w:szCs w:val="20"/>
              </w:rPr>
              <w:t>Source: Company Annual Reports, HFI</w:t>
            </w:r>
          </w:p>
        </w:tc>
      </w:tr>
    </w:tbl>
    <w:p w14:paraId="41B05ABA">
      <w:pPr>
        <w:jc w:val="both"/>
        <w:rPr>
          <w:rFonts w:hint="default" w:ascii="Calibri" w:hAnsi="Calibri" w:eastAsia="楷体_GB2312" w:cs="Calibri"/>
          <w:kern w:val="2"/>
          <w:sz w:val="22"/>
          <w:szCs w:val="22"/>
        </w:rPr>
      </w:pPr>
    </w:p>
    <w:p w14:paraId="341F0F9F">
      <w:pPr>
        <w:jc w:val="both"/>
        <w:rPr>
          <w:rFonts w:hint="default" w:ascii="Calibri" w:hAnsi="Calibri" w:eastAsia="楷体_GB2312" w:cs="Calibri"/>
          <w:kern w:val="2"/>
          <w:sz w:val="22"/>
          <w:szCs w:val="22"/>
        </w:rPr>
      </w:pPr>
      <w:r>
        <w:rPr>
          <w:rFonts w:hint="default" w:ascii="Calibri" w:hAnsi="Calibri" w:eastAsia="楷体_GB2312" w:cs="Calibri"/>
          <w:b/>
          <w:bCs/>
          <w:kern w:val="2"/>
          <w:sz w:val="22"/>
          <w:szCs w:val="22"/>
        </w:rPr>
        <w:t xml:space="preserve">The Consumer Products Division manages a portfolio of more than ten international brands. </w:t>
      </w:r>
      <w:r>
        <w:rPr>
          <w:rFonts w:hint="default" w:ascii="Calibri" w:hAnsi="Calibri" w:eastAsia="楷体_GB2312" w:cs="Calibri"/>
          <w:kern w:val="2"/>
          <w:sz w:val="22"/>
          <w:szCs w:val="22"/>
        </w:rPr>
        <w:t>Core brands include: L'Oréal Paris (founded in 1909, the world's number-one beauty brand, covering skincare, colour cosmetics, haircare, and hair colouring); Maybelline New York (acquired in 1996, the world's number-one colour cosmetics brand); Garnier (acquired in 1965, focused on natural plant-based skincare and haircare); NYX Professional Makeup (acquired in 2014, democratising professional makeup); Essie (acquired in 2010, the leading nail colour brand); and Mixa (the fastest-growing brand in 2024, expanding in the European market). In December 2024, the division also acquired Korean dermatological brand Dr.G, entering the K-Beauty segment.</w:t>
      </w:r>
    </w:p>
    <w:p w14:paraId="2758FD05">
      <w:pPr>
        <w:jc w:val="both"/>
        <w:rPr>
          <w:rFonts w:hint="default" w:ascii="Calibri" w:hAnsi="Calibri" w:eastAsia="楷体_GB2312" w:cs="Calibri"/>
          <w:kern w:val="2"/>
          <w:sz w:val="22"/>
          <w:szCs w:val="22"/>
        </w:rPr>
      </w:pP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74"/>
      </w:tblGrid>
      <w:tr w14:paraId="7B7D42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733" w:type="dxa"/>
            <w:tcBorders>
              <w:bottom w:val="single" w:color="auto" w:sz="4" w:space="0"/>
            </w:tcBorders>
          </w:tcPr>
          <w:p w14:paraId="68C8D416">
            <w:pPr>
              <w:rPr>
                <w:rFonts w:hint="default" w:ascii="Calibri" w:hAnsi="Calibri" w:eastAsia="楷体_GB2312" w:cs="Calibri"/>
                <w:b/>
                <w:bCs/>
                <w:kern w:val="2"/>
                <w:sz w:val="22"/>
                <w:szCs w:val="22"/>
              </w:rPr>
            </w:pPr>
            <w:r>
              <w:rPr>
                <w:rFonts w:hint="default" w:ascii="Calibri" w:hAnsi="Calibri" w:eastAsia="楷体_GB2312" w:cs="Calibri"/>
                <w:b/>
                <w:bCs/>
                <w:kern w:val="2"/>
                <w:sz w:val="22"/>
                <w:szCs w:val="22"/>
              </w:rPr>
              <w:t>Figure: Consumer Products Division Brand Portfolio</w:t>
            </w:r>
          </w:p>
        </w:tc>
      </w:tr>
      <w:tr w14:paraId="5C1F52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tbl>
            <w:tblPr>
              <w:tblStyle w:val="12"/>
              <w:tblW w:w="7632" w:type="dxa"/>
              <w:tblInd w:w="0" w:type="dxa"/>
              <w:tblLayout w:type="autofit"/>
              <w:tblCellMar>
                <w:top w:w="0" w:type="dxa"/>
                <w:left w:w="108" w:type="dxa"/>
                <w:bottom w:w="0" w:type="dxa"/>
                <w:right w:w="108" w:type="dxa"/>
              </w:tblCellMar>
            </w:tblPr>
            <w:tblGrid>
              <w:gridCol w:w="1210"/>
              <w:gridCol w:w="1236"/>
              <w:gridCol w:w="1559"/>
              <w:gridCol w:w="1701"/>
              <w:gridCol w:w="1926"/>
            </w:tblGrid>
            <w:tr w14:paraId="18ED007B">
              <w:tblPrEx>
                <w:tblCellMar>
                  <w:top w:w="0" w:type="dxa"/>
                  <w:left w:w="108" w:type="dxa"/>
                  <w:bottom w:w="0" w:type="dxa"/>
                  <w:right w:w="108" w:type="dxa"/>
                </w:tblCellMar>
              </w:tblPrEx>
              <w:trPr>
                <w:trHeight w:val="23" w:hRule="atLeast"/>
              </w:trPr>
              <w:tc>
                <w:tcPr>
                  <w:tcW w:w="1210" w:type="dxa"/>
                  <w:tcBorders>
                    <w:top w:val="nil"/>
                    <w:left w:val="nil"/>
                    <w:bottom w:val="nil"/>
                    <w:right w:val="nil"/>
                  </w:tcBorders>
                  <w:shd w:val="clear" w:color="000000" w:fill="002060"/>
                  <w:vAlign w:val="center"/>
                </w:tcPr>
                <w:p w14:paraId="57129B29">
                  <w:pPr>
                    <w:jc w:val="center"/>
                    <w:rPr>
                      <w:rFonts w:hint="default" w:ascii="Calibri" w:hAnsi="Calibri" w:eastAsia="楷体_GB2312" w:cs="Calibri"/>
                      <w:b/>
                      <w:bCs/>
                      <w:snapToGrid/>
                      <w:color w:val="FFFFFF"/>
                      <w:sz w:val="18"/>
                      <w:szCs w:val="18"/>
                    </w:rPr>
                  </w:pPr>
                  <w:r>
                    <w:rPr>
                      <w:rFonts w:hint="default" w:ascii="Calibri" w:hAnsi="Calibri" w:eastAsia="楷体_GB2312" w:cs="Calibri"/>
                      <w:b/>
                      <w:bCs/>
                      <w:snapToGrid/>
                      <w:color w:val="FFFFFF"/>
                      <w:sz w:val="18"/>
                      <w:szCs w:val="18"/>
                    </w:rPr>
                    <w:t>Brand</w:t>
                  </w:r>
                </w:p>
              </w:tc>
              <w:tc>
                <w:tcPr>
                  <w:tcW w:w="1236" w:type="dxa"/>
                  <w:tcBorders>
                    <w:top w:val="nil"/>
                    <w:left w:val="nil"/>
                    <w:bottom w:val="nil"/>
                    <w:right w:val="nil"/>
                  </w:tcBorders>
                  <w:shd w:val="clear" w:color="000000" w:fill="002060"/>
                  <w:vAlign w:val="center"/>
                </w:tcPr>
                <w:p w14:paraId="7FD75FDD">
                  <w:pPr>
                    <w:jc w:val="center"/>
                    <w:rPr>
                      <w:rFonts w:hint="default" w:ascii="Calibri" w:hAnsi="Calibri" w:eastAsia="楷体_GB2312" w:cs="Calibri"/>
                      <w:b/>
                      <w:bCs/>
                      <w:snapToGrid/>
                      <w:color w:val="FFFFFF"/>
                      <w:sz w:val="18"/>
                      <w:szCs w:val="18"/>
                    </w:rPr>
                  </w:pPr>
                  <w:r>
                    <w:rPr>
                      <w:rFonts w:hint="default" w:ascii="Calibri" w:hAnsi="Calibri" w:eastAsia="楷体_GB2312" w:cs="Calibri"/>
                      <w:b/>
                      <w:bCs/>
                      <w:snapToGrid/>
                      <w:color w:val="FFFFFF"/>
                      <w:sz w:val="18"/>
                      <w:szCs w:val="18"/>
                    </w:rPr>
                    <w:t>Founded / Acquired</w:t>
                  </w:r>
                </w:p>
              </w:tc>
              <w:tc>
                <w:tcPr>
                  <w:tcW w:w="1559" w:type="dxa"/>
                  <w:tcBorders>
                    <w:top w:val="nil"/>
                    <w:left w:val="nil"/>
                    <w:bottom w:val="nil"/>
                    <w:right w:val="nil"/>
                  </w:tcBorders>
                  <w:shd w:val="clear" w:color="000000" w:fill="002060"/>
                  <w:vAlign w:val="center"/>
                </w:tcPr>
                <w:p w14:paraId="048597AD">
                  <w:pPr>
                    <w:jc w:val="center"/>
                    <w:rPr>
                      <w:rFonts w:hint="default" w:ascii="Calibri" w:hAnsi="Calibri" w:eastAsia="楷体_GB2312" w:cs="Calibri"/>
                      <w:b/>
                      <w:bCs/>
                      <w:snapToGrid/>
                      <w:color w:val="FFFFFF"/>
                      <w:sz w:val="18"/>
                      <w:szCs w:val="18"/>
                    </w:rPr>
                  </w:pPr>
                  <w:r>
                    <w:rPr>
                      <w:rFonts w:hint="default" w:ascii="Calibri" w:hAnsi="Calibri" w:eastAsia="楷体_GB2312" w:cs="Calibri"/>
                      <w:b/>
                      <w:bCs/>
                      <w:snapToGrid/>
                      <w:color w:val="FFFFFF"/>
                      <w:sz w:val="18"/>
                      <w:szCs w:val="18"/>
                    </w:rPr>
                    <w:t>Positioning</w:t>
                  </w:r>
                </w:p>
              </w:tc>
              <w:tc>
                <w:tcPr>
                  <w:tcW w:w="1701" w:type="dxa"/>
                  <w:tcBorders>
                    <w:top w:val="nil"/>
                    <w:left w:val="nil"/>
                    <w:bottom w:val="nil"/>
                    <w:right w:val="nil"/>
                  </w:tcBorders>
                  <w:shd w:val="clear" w:color="000000" w:fill="002060"/>
                  <w:vAlign w:val="center"/>
                </w:tcPr>
                <w:p w14:paraId="14187B07">
                  <w:pPr>
                    <w:jc w:val="center"/>
                    <w:rPr>
                      <w:rFonts w:hint="default" w:ascii="Calibri" w:hAnsi="Calibri" w:eastAsia="楷体_GB2312" w:cs="Calibri"/>
                      <w:b/>
                      <w:bCs/>
                      <w:snapToGrid/>
                      <w:color w:val="FFFFFF"/>
                      <w:sz w:val="18"/>
                      <w:szCs w:val="18"/>
                    </w:rPr>
                  </w:pPr>
                  <w:r>
                    <w:rPr>
                      <w:rFonts w:hint="default" w:ascii="Calibri" w:hAnsi="Calibri" w:eastAsia="楷体_GB2312" w:cs="Calibri"/>
                      <w:b/>
                      <w:bCs/>
                      <w:snapToGrid/>
                      <w:color w:val="FFFFFF"/>
                      <w:sz w:val="18"/>
                      <w:szCs w:val="18"/>
                    </w:rPr>
                    <w:t>2024 Key Highlights</w:t>
                  </w:r>
                </w:p>
              </w:tc>
              <w:tc>
                <w:tcPr>
                  <w:tcW w:w="1926" w:type="dxa"/>
                  <w:tcBorders>
                    <w:top w:val="nil"/>
                    <w:left w:val="nil"/>
                    <w:bottom w:val="nil"/>
                    <w:right w:val="nil"/>
                  </w:tcBorders>
                  <w:shd w:val="clear" w:color="000000" w:fill="002060"/>
                  <w:vAlign w:val="center"/>
                </w:tcPr>
                <w:p w14:paraId="0A347158">
                  <w:pPr>
                    <w:jc w:val="center"/>
                    <w:rPr>
                      <w:rFonts w:hint="default" w:ascii="Calibri" w:hAnsi="Calibri" w:eastAsia="楷体_GB2312" w:cs="Calibri"/>
                      <w:b/>
                      <w:bCs/>
                      <w:snapToGrid/>
                      <w:color w:val="FFFFFF"/>
                      <w:sz w:val="18"/>
                      <w:szCs w:val="18"/>
                    </w:rPr>
                  </w:pPr>
                  <w:r>
                    <w:rPr>
                      <w:rFonts w:hint="default" w:ascii="Calibri" w:hAnsi="Calibri" w:eastAsia="楷体_GB2312" w:cs="Calibri"/>
                      <w:b/>
                      <w:bCs/>
                      <w:snapToGrid/>
                      <w:color w:val="FFFFFF"/>
                      <w:sz w:val="18"/>
                      <w:szCs w:val="18"/>
                    </w:rPr>
                    <w:t>Hero Products</w:t>
                  </w:r>
                </w:p>
              </w:tc>
            </w:tr>
            <w:tr w14:paraId="44E5C46F">
              <w:tblPrEx>
                <w:tblCellMar>
                  <w:top w:w="0" w:type="dxa"/>
                  <w:left w:w="108" w:type="dxa"/>
                  <w:bottom w:w="0" w:type="dxa"/>
                  <w:right w:w="108" w:type="dxa"/>
                </w:tblCellMar>
              </w:tblPrEx>
              <w:trPr>
                <w:trHeight w:val="23" w:hRule="atLeast"/>
              </w:trPr>
              <w:tc>
                <w:tcPr>
                  <w:tcW w:w="1210" w:type="dxa"/>
                  <w:tcBorders>
                    <w:top w:val="nil"/>
                    <w:left w:val="nil"/>
                    <w:bottom w:val="nil"/>
                    <w:right w:val="nil"/>
                  </w:tcBorders>
                  <w:vAlign w:val="center"/>
                </w:tcPr>
                <w:p w14:paraId="57383B69">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L'Oréal Paris</w:t>
                  </w:r>
                </w:p>
              </w:tc>
              <w:tc>
                <w:tcPr>
                  <w:tcW w:w="1236" w:type="dxa"/>
                  <w:tcBorders>
                    <w:top w:val="nil"/>
                    <w:left w:val="nil"/>
                    <w:bottom w:val="nil"/>
                    <w:right w:val="nil"/>
                  </w:tcBorders>
                  <w:vAlign w:val="center"/>
                </w:tcPr>
                <w:p w14:paraId="234C04FC">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Founded 1909</w:t>
                  </w:r>
                </w:p>
              </w:tc>
              <w:tc>
                <w:tcPr>
                  <w:tcW w:w="1559" w:type="dxa"/>
                  <w:tcBorders>
                    <w:top w:val="nil"/>
                    <w:left w:val="nil"/>
                    <w:bottom w:val="nil"/>
                    <w:right w:val="nil"/>
                  </w:tcBorders>
                  <w:vAlign w:val="center"/>
                </w:tcPr>
                <w:p w14:paraId="36680938">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World's #1 Beauty Brand; Full Category Coverage</w:t>
                  </w:r>
                </w:p>
              </w:tc>
              <w:tc>
                <w:tcPr>
                  <w:tcW w:w="1701" w:type="dxa"/>
                  <w:tcBorders>
                    <w:top w:val="nil"/>
                    <w:left w:val="nil"/>
                    <w:bottom w:val="nil"/>
                    <w:right w:val="nil"/>
                  </w:tcBorders>
                  <w:vAlign w:val="center"/>
                </w:tcPr>
                <w:p w14:paraId="503682BC">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Outstanding Year Across All Categories</w:t>
                  </w:r>
                </w:p>
              </w:tc>
              <w:tc>
                <w:tcPr>
                  <w:tcW w:w="1926" w:type="dxa"/>
                  <w:tcBorders>
                    <w:top w:val="nil"/>
                    <w:left w:val="nil"/>
                    <w:bottom w:val="nil"/>
                    <w:right w:val="nil"/>
                  </w:tcBorders>
                  <w:vAlign w:val="center"/>
                </w:tcPr>
                <w:p w14:paraId="56423485">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Revitalift, Panorama Mascara, Elvive Glycolic Gloss</w:t>
                  </w:r>
                </w:p>
              </w:tc>
            </w:tr>
            <w:tr w14:paraId="192C8A33">
              <w:tblPrEx>
                <w:tblCellMar>
                  <w:top w:w="0" w:type="dxa"/>
                  <w:left w:w="108" w:type="dxa"/>
                  <w:bottom w:w="0" w:type="dxa"/>
                  <w:right w:w="108" w:type="dxa"/>
                </w:tblCellMar>
              </w:tblPrEx>
              <w:trPr>
                <w:trHeight w:val="23" w:hRule="atLeast"/>
              </w:trPr>
              <w:tc>
                <w:tcPr>
                  <w:tcW w:w="1210" w:type="dxa"/>
                  <w:tcBorders>
                    <w:top w:val="nil"/>
                    <w:left w:val="nil"/>
                    <w:bottom w:val="nil"/>
                    <w:right w:val="nil"/>
                  </w:tcBorders>
                  <w:shd w:val="clear" w:color="000000" w:fill="F2F2F2"/>
                  <w:vAlign w:val="center"/>
                </w:tcPr>
                <w:p w14:paraId="3DADA24D">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Maybelline New York</w:t>
                  </w:r>
                </w:p>
              </w:tc>
              <w:tc>
                <w:tcPr>
                  <w:tcW w:w="1236" w:type="dxa"/>
                  <w:tcBorders>
                    <w:top w:val="nil"/>
                    <w:left w:val="nil"/>
                    <w:bottom w:val="nil"/>
                    <w:right w:val="nil"/>
                  </w:tcBorders>
                  <w:shd w:val="clear" w:color="000000" w:fill="F2F2F2"/>
                  <w:vAlign w:val="center"/>
                </w:tcPr>
                <w:p w14:paraId="493844DB">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Acquired 1996</w:t>
                  </w:r>
                </w:p>
              </w:tc>
              <w:tc>
                <w:tcPr>
                  <w:tcW w:w="1559" w:type="dxa"/>
                  <w:tcBorders>
                    <w:top w:val="nil"/>
                    <w:left w:val="nil"/>
                    <w:bottom w:val="nil"/>
                    <w:right w:val="nil"/>
                  </w:tcBorders>
                  <w:shd w:val="clear" w:color="000000" w:fill="F2F2F2"/>
                  <w:vAlign w:val="center"/>
                </w:tcPr>
                <w:p w14:paraId="0EB65A15">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World's #1 Makeup Brand</w:t>
                  </w:r>
                </w:p>
              </w:tc>
              <w:tc>
                <w:tcPr>
                  <w:tcW w:w="1701" w:type="dxa"/>
                  <w:tcBorders>
                    <w:top w:val="nil"/>
                    <w:left w:val="nil"/>
                    <w:bottom w:val="nil"/>
                    <w:right w:val="nil"/>
                  </w:tcBorders>
                  <w:shd w:val="clear" w:color="000000" w:fill="F2F2F2"/>
                  <w:vAlign w:val="center"/>
                </w:tcPr>
                <w:p w14:paraId="04AA86EA">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Teddy Tint Breakout Success</w:t>
                  </w:r>
                </w:p>
              </w:tc>
              <w:tc>
                <w:tcPr>
                  <w:tcW w:w="1926" w:type="dxa"/>
                  <w:tcBorders>
                    <w:top w:val="nil"/>
                    <w:left w:val="nil"/>
                    <w:bottom w:val="nil"/>
                    <w:right w:val="nil"/>
                  </w:tcBorders>
                  <w:shd w:val="clear" w:color="000000" w:fill="F2F2F2"/>
                  <w:vAlign w:val="center"/>
                </w:tcPr>
                <w:p w14:paraId="1D0663BA">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Lash Sensational, Superstay, Fit Me</w:t>
                  </w:r>
                </w:p>
              </w:tc>
            </w:tr>
            <w:tr w14:paraId="0FBEA39A">
              <w:tblPrEx>
                <w:tblCellMar>
                  <w:top w:w="0" w:type="dxa"/>
                  <w:left w:w="108" w:type="dxa"/>
                  <w:bottom w:w="0" w:type="dxa"/>
                  <w:right w:w="108" w:type="dxa"/>
                </w:tblCellMar>
              </w:tblPrEx>
              <w:trPr>
                <w:trHeight w:val="23" w:hRule="atLeast"/>
              </w:trPr>
              <w:tc>
                <w:tcPr>
                  <w:tcW w:w="1210" w:type="dxa"/>
                  <w:tcBorders>
                    <w:top w:val="nil"/>
                    <w:left w:val="nil"/>
                    <w:bottom w:val="nil"/>
                    <w:right w:val="nil"/>
                  </w:tcBorders>
                  <w:vAlign w:val="center"/>
                </w:tcPr>
                <w:p w14:paraId="5CBE7FC5">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Garnier</w:t>
                  </w:r>
                </w:p>
              </w:tc>
              <w:tc>
                <w:tcPr>
                  <w:tcW w:w="1236" w:type="dxa"/>
                  <w:tcBorders>
                    <w:top w:val="nil"/>
                    <w:left w:val="nil"/>
                    <w:bottom w:val="nil"/>
                    <w:right w:val="nil"/>
                  </w:tcBorders>
                  <w:vAlign w:val="center"/>
                </w:tcPr>
                <w:p w14:paraId="1338A015">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Acquired 1965</w:t>
                  </w:r>
                </w:p>
              </w:tc>
              <w:tc>
                <w:tcPr>
                  <w:tcW w:w="1559" w:type="dxa"/>
                  <w:tcBorders>
                    <w:top w:val="nil"/>
                    <w:left w:val="nil"/>
                    <w:bottom w:val="nil"/>
                    <w:right w:val="nil"/>
                  </w:tcBorders>
                  <w:vAlign w:val="center"/>
                </w:tcPr>
                <w:p w14:paraId="7E61EE3D">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Natural &amp; Plant-Based Skincare and Haircare</w:t>
                  </w:r>
                </w:p>
              </w:tc>
              <w:tc>
                <w:tcPr>
                  <w:tcW w:w="1701" w:type="dxa"/>
                  <w:tcBorders>
                    <w:top w:val="nil"/>
                    <w:left w:val="nil"/>
                    <w:bottom w:val="nil"/>
                    <w:right w:val="nil"/>
                  </w:tcBorders>
                  <w:vAlign w:val="center"/>
                </w:tcPr>
                <w:p w14:paraId="0DFD853C">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Vitamin C UV Sunscreen Mass Adoption</w:t>
                  </w:r>
                </w:p>
              </w:tc>
              <w:tc>
                <w:tcPr>
                  <w:tcW w:w="1926" w:type="dxa"/>
                  <w:tcBorders>
                    <w:top w:val="nil"/>
                    <w:left w:val="nil"/>
                    <w:bottom w:val="nil"/>
                    <w:right w:val="nil"/>
                  </w:tcBorders>
                  <w:vAlign w:val="center"/>
                </w:tcPr>
                <w:p w14:paraId="51ED1800">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Fructis, Good Hair Color</w:t>
                  </w:r>
                </w:p>
              </w:tc>
            </w:tr>
            <w:tr w14:paraId="051D44BE">
              <w:tblPrEx>
                <w:tblCellMar>
                  <w:top w:w="0" w:type="dxa"/>
                  <w:left w:w="108" w:type="dxa"/>
                  <w:bottom w:w="0" w:type="dxa"/>
                  <w:right w:w="108" w:type="dxa"/>
                </w:tblCellMar>
              </w:tblPrEx>
              <w:trPr>
                <w:trHeight w:val="23" w:hRule="atLeast"/>
              </w:trPr>
              <w:tc>
                <w:tcPr>
                  <w:tcW w:w="1210" w:type="dxa"/>
                  <w:tcBorders>
                    <w:top w:val="nil"/>
                    <w:left w:val="nil"/>
                    <w:bottom w:val="nil"/>
                    <w:right w:val="nil"/>
                  </w:tcBorders>
                  <w:shd w:val="clear" w:color="000000" w:fill="F2F2F2"/>
                  <w:vAlign w:val="center"/>
                </w:tcPr>
                <w:p w14:paraId="1F96F821">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NYX Professional Makeup</w:t>
                  </w:r>
                </w:p>
              </w:tc>
              <w:tc>
                <w:tcPr>
                  <w:tcW w:w="1236" w:type="dxa"/>
                  <w:tcBorders>
                    <w:top w:val="nil"/>
                    <w:left w:val="nil"/>
                    <w:bottom w:val="nil"/>
                    <w:right w:val="nil"/>
                  </w:tcBorders>
                  <w:shd w:val="clear" w:color="000000" w:fill="F2F2F2"/>
                  <w:vAlign w:val="center"/>
                </w:tcPr>
                <w:p w14:paraId="7DB9D1C4">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Acquired 2014</w:t>
                  </w:r>
                </w:p>
              </w:tc>
              <w:tc>
                <w:tcPr>
                  <w:tcW w:w="1559" w:type="dxa"/>
                  <w:tcBorders>
                    <w:top w:val="nil"/>
                    <w:left w:val="nil"/>
                    <w:bottom w:val="nil"/>
                    <w:right w:val="nil"/>
                  </w:tcBorders>
                  <w:shd w:val="clear" w:color="000000" w:fill="F2F2F2"/>
                  <w:vAlign w:val="center"/>
                </w:tcPr>
                <w:p w14:paraId="5CB14CDB">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Democratizing Professional Makeup</w:t>
                  </w:r>
                </w:p>
              </w:tc>
              <w:tc>
                <w:tcPr>
                  <w:tcW w:w="1701" w:type="dxa"/>
                  <w:tcBorders>
                    <w:top w:val="nil"/>
                    <w:left w:val="nil"/>
                    <w:bottom w:val="nil"/>
                    <w:right w:val="nil"/>
                  </w:tcBorders>
                  <w:shd w:val="clear" w:color="000000" w:fill="F2F2F2"/>
                  <w:vAlign w:val="center"/>
                </w:tcPr>
                <w:p w14:paraId="18DE42C1">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Outperformed Broader Makeup Market</w:t>
                  </w:r>
                </w:p>
              </w:tc>
              <w:tc>
                <w:tcPr>
                  <w:tcW w:w="1926" w:type="dxa"/>
                  <w:tcBorders>
                    <w:top w:val="nil"/>
                    <w:left w:val="nil"/>
                    <w:bottom w:val="nil"/>
                    <w:right w:val="nil"/>
                  </w:tcBorders>
                  <w:shd w:val="clear" w:color="000000" w:fill="F2F2F2"/>
                  <w:vAlign w:val="center"/>
                </w:tcPr>
                <w:p w14:paraId="21B3ADBF">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Fat Oil, Duck Plump, Butter Melt</w:t>
                  </w:r>
                </w:p>
              </w:tc>
            </w:tr>
            <w:tr w14:paraId="640A141B">
              <w:tblPrEx>
                <w:tblCellMar>
                  <w:top w:w="0" w:type="dxa"/>
                  <w:left w:w="108" w:type="dxa"/>
                  <w:bottom w:w="0" w:type="dxa"/>
                  <w:right w:w="108" w:type="dxa"/>
                </w:tblCellMar>
              </w:tblPrEx>
              <w:trPr>
                <w:trHeight w:val="23" w:hRule="atLeast"/>
              </w:trPr>
              <w:tc>
                <w:tcPr>
                  <w:tcW w:w="1210" w:type="dxa"/>
                  <w:tcBorders>
                    <w:top w:val="nil"/>
                    <w:left w:val="nil"/>
                    <w:bottom w:val="nil"/>
                    <w:right w:val="nil"/>
                  </w:tcBorders>
                  <w:vAlign w:val="center"/>
                </w:tcPr>
                <w:p w14:paraId="4EE2E405">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Mixa</w:t>
                  </w:r>
                </w:p>
              </w:tc>
              <w:tc>
                <w:tcPr>
                  <w:tcW w:w="1236" w:type="dxa"/>
                  <w:tcBorders>
                    <w:top w:val="nil"/>
                    <w:left w:val="nil"/>
                    <w:bottom w:val="nil"/>
                    <w:right w:val="nil"/>
                  </w:tcBorders>
                  <w:vAlign w:val="center"/>
                </w:tcPr>
                <w:p w14:paraId="71527A17">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Proprietary Brand</w:t>
                  </w:r>
                </w:p>
              </w:tc>
              <w:tc>
                <w:tcPr>
                  <w:tcW w:w="1559" w:type="dxa"/>
                  <w:tcBorders>
                    <w:top w:val="nil"/>
                    <w:left w:val="nil"/>
                    <w:bottom w:val="nil"/>
                    <w:right w:val="nil"/>
                  </w:tcBorders>
                  <w:vAlign w:val="center"/>
                </w:tcPr>
                <w:p w14:paraId="0422C23D">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Baby / Body / Facial Care</w:t>
                  </w:r>
                </w:p>
              </w:tc>
              <w:tc>
                <w:tcPr>
                  <w:tcW w:w="1701" w:type="dxa"/>
                  <w:tcBorders>
                    <w:top w:val="nil"/>
                    <w:left w:val="nil"/>
                    <w:bottom w:val="nil"/>
                    <w:right w:val="nil"/>
                  </w:tcBorders>
                  <w:vAlign w:val="center"/>
                </w:tcPr>
                <w:p w14:paraId="448257A1">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Fastest-Growing Brand in the Division</w:t>
                  </w:r>
                </w:p>
              </w:tc>
              <w:tc>
                <w:tcPr>
                  <w:tcW w:w="1926" w:type="dxa"/>
                  <w:tcBorders>
                    <w:top w:val="nil"/>
                    <w:left w:val="nil"/>
                    <w:bottom w:val="nil"/>
                    <w:right w:val="nil"/>
                  </w:tcBorders>
                  <w:vAlign w:val="center"/>
                </w:tcPr>
                <w:p w14:paraId="5768A18A">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Hyalurogel, Sensitive Skin Range</w:t>
                  </w:r>
                </w:p>
              </w:tc>
            </w:tr>
            <w:tr w14:paraId="37E683B6">
              <w:tblPrEx>
                <w:tblCellMar>
                  <w:top w:w="0" w:type="dxa"/>
                  <w:left w:w="108" w:type="dxa"/>
                  <w:bottom w:w="0" w:type="dxa"/>
                  <w:right w:w="108" w:type="dxa"/>
                </w:tblCellMar>
              </w:tblPrEx>
              <w:trPr>
                <w:trHeight w:val="23" w:hRule="atLeast"/>
              </w:trPr>
              <w:tc>
                <w:tcPr>
                  <w:tcW w:w="1210" w:type="dxa"/>
                  <w:tcBorders>
                    <w:top w:val="nil"/>
                    <w:left w:val="nil"/>
                    <w:bottom w:val="nil"/>
                    <w:right w:val="nil"/>
                  </w:tcBorders>
                  <w:shd w:val="clear" w:color="000000" w:fill="F2F2F2"/>
                  <w:vAlign w:val="center"/>
                </w:tcPr>
                <w:p w14:paraId="71B23C01">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Essie</w:t>
                  </w:r>
                </w:p>
              </w:tc>
              <w:tc>
                <w:tcPr>
                  <w:tcW w:w="1236" w:type="dxa"/>
                  <w:tcBorders>
                    <w:top w:val="nil"/>
                    <w:left w:val="nil"/>
                    <w:bottom w:val="nil"/>
                    <w:right w:val="nil"/>
                  </w:tcBorders>
                  <w:shd w:val="clear" w:color="000000" w:fill="F2F2F2"/>
                  <w:vAlign w:val="center"/>
                </w:tcPr>
                <w:p w14:paraId="5DB4D74A">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Acquired 2010</w:t>
                  </w:r>
                </w:p>
              </w:tc>
              <w:tc>
                <w:tcPr>
                  <w:tcW w:w="1559" w:type="dxa"/>
                  <w:tcBorders>
                    <w:top w:val="nil"/>
                    <w:left w:val="nil"/>
                    <w:bottom w:val="nil"/>
                    <w:right w:val="nil"/>
                  </w:tcBorders>
                  <w:shd w:val="clear" w:color="000000" w:fill="F2F2F2"/>
                  <w:vAlign w:val="center"/>
                </w:tcPr>
                <w:p w14:paraId="7DB4257E">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Category Leader in Nail Color</w:t>
                  </w:r>
                </w:p>
              </w:tc>
              <w:tc>
                <w:tcPr>
                  <w:tcW w:w="1701" w:type="dxa"/>
                  <w:tcBorders>
                    <w:top w:val="nil"/>
                    <w:left w:val="nil"/>
                    <w:bottom w:val="nil"/>
                    <w:right w:val="nil"/>
                  </w:tcBorders>
                  <w:shd w:val="clear" w:color="000000" w:fill="F2F2F2"/>
                  <w:vAlign w:val="center"/>
                </w:tcPr>
                <w:p w14:paraId="030F5D65">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w:t>
                  </w:r>
                </w:p>
              </w:tc>
              <w:tc>
                <w:tcPr>
                  <w:tcW w:w="1926" w:type="dxa"/>
                  <w:tcBorders>
                    <w:top w:val="nil"/>
                    <w:left w:val="nil"/>
                    <w:bottom w:val="nil"/>
                    <w:right w:val="nil"/>
                  </w:tcBorders>
                  <w:shd w:val="clear" w:color="000000" w:fill="F2F2F2"/>
                  <w:vAlign w:val="center"/>
                </w:tcPr>
                <w:p w14:paraId="7F7EA0AA">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Gel Couture, Expressie</w:t>
                  </w:r>
                </w:p>
              </w:tc>
            </w:tr>
            <w:tr w14:paraId="53338294">
              <w:tblPrEx>
                <w:tblCellMar>
                  <w:top w:w="0" w:type="dxa"/>
                  <w:left w:w="108" w:type="dxa"/>
                  <w:bottom w:w="0" w:type="dxa"/>
                  <w:right w:w="108" w:type="dxa"/>
                </w:tblCellMar>
              </w:tblPrEx>
              <w:trPr>
                <w:trHeight w:val="23" w:hRule="atLeast"/>
              </w:trPr>
              <w:tc>
                <w:tcPr>
                  <w:tcW w:w="1210" w:type="dxa"/>
                  <w:tcBorders>
                    <w:top w:val="nil"/>
                    <w:left w:val="nil"/>
                    <w:bottom w:val="nil"/>
                    <w:right w:val="nil"/>
                  </w:tcBorders>
                  <w:vAlign w:val="center"/>
                </w:tcPr>
                <w:p w14:paraId="2157A187">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Dr.G</w:t>
                  </w:r>
                </w:p>
              </w:tc>
              <w:tc>
                <w:tcPr>
                  <w:tcW w:w="1236" w:type="dxa"/>
                  <w:tcBorders>
                    <w:top w:val="nil"/>
                    <w:left w:val="nil"/>
                    <w:bottom w:val="nil"/>
                    <w:right w:val="nil"/>
                  </w:tcBorders>
                  <w:vAlign w:val="center"/>
                </w:tcPr>
                <w:p w14:paraId="39DC8BAA">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Acquired 2024</w:t>
                  </w:r>
                </w:p>
              </w:tc>
              <w:tc>
                <w:tcPr>
                  <w:tcW w:w="1559" w:type="dxa"/>
                  <w:tcBorders>
                    <w:top w:val="nil"/>
                    <w:left w:val="nil"/>
                    <w:bottom w:val="nil"/>
                    <w:right w:val="nil"/>
                  </w:tcBorders>
                  <w:vAlign w:val="center"/>
                </w:tcPr>
                <w:p w14:paraId="5CE6C782">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Korean Dermo-Mass</w:t>
                  </w:r>
                </w:p>
              </w:tc>
              <w:tc>
                <w:tcPr>
                  <w:tcW w:w="1701" w:type="dxa"/>
                  <w:tcBorders>
                    <w:top w:val="nil"/>
                    <w:left w:val="nil"/>
                    <w:bottom w:val="nil"/>
                    <w:right w:val="nil"/>
                  </w:tcBorders>
                  <w:vAlign w:val="center"/>
                </w:tcPr>
                <w:p w14:paraId="1C809C66">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Entry into K-Beauty Segment</w:t>
                  </w:r>
                </w:p>
              </w:tc>
              <w:tc>
                <w:tcPr>
                  <w:tcW w:w="1926" w:type="dxa"/>
                  <w:tcBorders>
                    <w:top w:val="nil"/>
                    <w:left w:val="nil"/>
                    <w:bottom w:val="nil"/>
                    <w:right w:val="nil"/>
                  </w:tcBorders>
                  <w:vAlign w:val="center"/>
                </w:tcPr>
                <w:p w14:paraId="0CFCA430">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K-Beauty Skincare</w:t>
                  </w:r>
                </w:p>
              </w:tc>
            </w:tr>
          </w:tbl>
          <w:p w14:paraId="0F6977A3">
            <w:pPr>
              <w:jc w:val="center"/>
              <w:rPr>
                <w:rFonts w:hint="default" w:ascii="Calibri" w:hAnsi="Calibri" w:eastAsia="楷体_GB2312" w:cs="Calibri"/>
                <w:kern w:val="2"/>
                <w:sz w:val="18"/>
                <w:szCs w:val="18"/>
              </w:rPr>
            </w:pPr>
          </w:p>
        </w:tc>
      </w:tr>
      <w:tr w14:paraId="4518ED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38A8F703">
            <w:pPr>
              <w:rPr>
                <w:rFonts w:hint="default" w:ascii="Calibri" w:hAnsi="Calibri" w:eastAsia="楷体_GB2312" w:cs="Calibri"/>
                <w:b w:val="0"/>
                <w:bCs w:val="0"/>
                <w:kern w:val="2"/>
                <w:sz w:val="20"/>
                <w:szCs w:val="20"/>
              </w:rPr>
            </w:pPr>
            <w:r>
              <w:rPr>
                <w:rFonts w:hint="default" w:ascii="Calibri" w:hAnsi="Calibri" w:eastAsia="楷体_GB2312" w:cs="Calibri"/>
                <w:b w:val="0"/>
                <w:bCs w:val="0"/>
                <w:kern w:val="2"/>
                <w:sz w:val="20"/>
                <w:szCs w:val="20"/>
              </w:rPr>
              <w:t>Source: Company Annual Reports, HFI</w:t>
            </w:r>
          </w:p>
        </w:tc>
      </w:tr>
    </w:tbl>
    <w:p w14:paraId="72A2896F">
      <w:pPr>
        <w:jc w:val="both"/>
        <w:rPr>
          <w:rFonts w:hint="default" w:ascii="Calibri" w:hAnsi="Calibri" w:eastAsia="楷体_GB2312" w:cs="Calibri"/>
          <w:kern w:val="2"/>
          <w:sz w:val="22"/>
          <w:szCs w:val="22"/>
        </w:rPr>
      </w:pPr>
      <w:r>
        <w:rPr>
          <w:rFonts w:hint="default" w:ascii="Calibri" w:hAnsi="Calibri" w:eastAsia="楷体_GB2312" w:cs="Calibri"/>
          <w:b/>
          <w:bCs/>
          <w:kern w:val="2"/>
          <w:sz w:val="22"/>
          <w:szCs w:val="22"/>
        </w:rPr>
        <w:t xml:space="preserve">Using L'Oréal Paris as an example, the brand penetrates the market through deep channel investment and premium technology at accessible price points, combining tailored channel and product strategies suited to consumer purchasing habits in different regions. </w:t>
      </w:r>
      <w:r>
        <w:rPr>
          <w:rFonts w:hint="default" w:ascii="Calibri" w:hAnsi="Calibri" w:eastAsia="楷体_GB2312" w:cs="Calibri"/>
          <w:kern w:val="2"/>
          <w:sz w:val="22"/>
          <w:szCs w:val="22"/>
        </w:rPr>
        <w:t>L'Oréal Paris is positioned as "high-quality beauty made accessible through science", targeting women across all age groups (and an increasingly significant male audience), with distinct product lines for each consumer sub-segment. In skincare, the Revitalift range (featuring hyaluronic acid, retinol, and other active ingredients) serves as the flagship; the Bright Reveal range launched in 2024 was the first to bring the group's proprietary Melasyl molecule to the mass market. In haircare, Elvive Glycolic Gloss, with its proprietary glycolic acid technology, has become the number-one haircare brand in Brazil. In China, the division has stepped up investment in online channels through collaborations with leading KOLs; in India, the Glycolic Bright affordable brightening range has been launched; in Brazil, sachet single-use packaging is used to penetrate lower-tier markets; and Garnier Vitamin C Daily UV promotes daily sun protection habits at accessible price points.</w:t>
      </w:r>
    </w:p>
    <w:p w14:paraId="367F3552">
      <w:pPr>
        <w:jc w:val="both"/>
        <w:rPr>
          <w:rFonts w:hint="default" w:ascii="Calibri" w:hAnsi="Calibri" w:eastAsia="楷体_GB2312" w:cs="Calibri"/>
          <w:kern w:val="2"/>
          <w:sz w:val="22"/>
          <w:szCs w:val="22"/>
        </w:rPr>
      </w:pP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74"/>
      </w:tblGrid>
      <w:tr w14:paraId="22C60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733" w:type="dxa"/>
            <w:tcBorders>
              <w:bottom w:val="single" w:color="auto" w:sz="4" w:space="0"/>
            </w:tcBorders>
          </w:tcPr>
          <w:p w14:paraId="607FD2C7">
            <w:pPr>
              <w:rPr>
                <w:rFonts w:hint="default" w:ascii="Calibri" w:hAnsi="Calibri" w:eastAsia="楷体_GB2312" w:cs="Calibri"/>
                <w:b/>
                <w:bCs/>
                <w:kern w:val="2"/>
                <w:sz w:val="22"/>
                <w:szCs w:val="22"/>
              </w:rPr>
            </w:pPr>
            <w:r>
              <w:rPr>
                <w:rFonts w:hint="default" w:ascii="Calibri" w:hAnsi="Calibri" w:eastAsia="楷体_GB2312" w:cs="Calibri"/>
                <w:b/>
                <w:bCs/>
                <w:kern w:val="2"/>
                <w:sz w:val="22"/>
                <w:szCs w:val="22"/>
              </w:rPr>
              <w:t>Figure: L'Oréal Paris Brand Overview</w:t>
            </w:r>
          </w:p>
        </w:tc>
      </w:tr>
      <w:tr w14:paraId="0CFBA7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tbl>
            <w:tblPr>
              <w:tblStyle w:val="12"/>
              <w:tblW w:w="7622" w:type="dxa"/>
              <w:tblInd w:w="0" w:type="dxa"/>
              <w:tblLayout w:type="autofit"/>
              <w:tblCellMar>
                <w:top w:w="0" w:type="dxa"/>
                <w:left w:w="108" w:type="dxa"/>
                <w:bottom w:w="0" w:type="dxa"/>
                <w:right w:w="108" w:type="dxa"/>
              </w:tblCellMar>
            </w:tblPr>
            <w:tblGrid>
              <w:gridCol w:w="1034"/>
              <w:gridCol w:w="2701"/>
              <w:gridCol w:w="2344"/>
              <w:gridCol w:w="1543"/>
            </w:tblGrid>
            <w:tr w14:paraId="7BF3462C">
              <w:tblPrEx>
                <w:tblCellMar>
                  <w:top w:w="0" w:type="dxa"/>
                  <w:left w:w="108" w:type="dxa"/>
                  <w:bottom w:w="0" w:type="dxa"/>
                  <w:right w:w="108" w:type="dxa"/>
                </w:tblCellMar>
              </w:tblPrEx>
              <w:trPr>
                <w:trHeight w:val="544" w:hRule="atLeast"/>
              </w:trPr>
              <w:tc>
                <w:tcPr>
                  <w:tcW w:w="809" w:type="dxa"/>
                  <w:tcBorders>
                    <w:top w:val="nil"/>
                    <w:left w:val="nil"/>
                    <w:bottom w:val="nil"/>
                    <w:right w:val="nil"/>
                  </w:tcBorders>
                  <w:shd w:val="clear" w:color="000000" w:fill="002060"/>
                  <w:vAlign w:val="center"/>
                </w:tcPr>
                <w:p w14:paraId="2413D650">
                  <w:pPr>
                    <w:jc w:val="center"/>
                    <w:rPr>
                      <w:rFonts w:hint="default" w:ascii="Calibri" w:hAnsi="Calibri" w:eastAsia="楷体_GB2312" w:cs="Calibri"/>
                      <w:b/>
                      <w:bCs/>
                      <w:snapToGrid/>
                      <w:color w:val="FFFFFF"/>
                      <w:sz w:val="22"/>
                      <w:szCs w:val="22"/>
                    </w:rPr>
                  </w:pPr>
                  <w:r>
                    <w:rPr>
                      <w:rFonts w:hint="default" w:ascii="Calibri" w:hAnsi="Calibri" w:eastAsia="楷体_GB2312" w:cs="Calibri"/>
                      <w:b/>
                      <w:bCs/>
                      <w:snapToGrid/>
                      <w:color w:val="FFFFFF"/>
                      <w:sz w:val="22"/>
                      <w:szCs w:val="22"/>
                    </w:rPr>
                    <w:t>Category</w:t>
                  </w:r>
                </w:p>
              </w:tc>
              <w:tc>
                <w:tcPr>
                  <w:tcW w:w="2813" w:type="dxa"/>
                  <w:tcBorders>
                    <w:top w:val="nil"/>
                    <w:left w:val="nil"/>
                    <w:bottom w:val="nil"/>
                    <w:right w:val="nil"/>
                  </w:tcBorders>
                  <w:shd w:val="clear" w:color="000000" w:fill="002060"/>
                  <w:vAlign w:val="center"/>
                </w:tcPr>
                <w:p w14:paraId="281180F9">
                  <w:pPr>
                    <w:jc w:val="center"/>
                    <w:rPr>
                      <w:rFonts w:hint="default" w:ascii="Calibri" w:hAnsi="Calibri" w:eastAsia="楷体_GB2312" w:cs="Calibri"/>
                      <w:b/>
                      <w:bCs/>
                      <w:snapToGrid/>
                      <w:color w:val="FFFFFF"/>
                      <w:sz w:val="22"/>
                      <w:szCs w:val="22"/>
                    </w:rPr>
                  </w:pPr>
                  <w:r>
                    <w:rPr>
                      <w:rFonts w:hint="default" w:ascii="Calibri" w:hAnsi="Calibri" w:eastAsia="楷体_GB2312" w:cs="Calibri"/>
                      <w:b/>
                      <w:bCs/>
                      <w:snapToGrid/>
                      <w:color w:val="FFFFFF"/>
                      <w:sz w:val="22"/>
                      <w:szCs w:val="22"/>
                    </w:rPr>
                    <w:t>Hero Products</w:t>
                  </w:r>
                </w:p>
              </w:tc>
              <w:tc>
                <w:tcPr>
                  <w:tcW w:w="2421" w:type="dxa"/>
                  <w:tcBorders>
                    <w:top w:val="nil"/>
                    <w:left w:val="nil"/>
                    <w:bottom w:val="nil"/>
                    <w:right w:val="nil"/>
                  </w:tcBorders>
                  <w:shd w:val="clear" w:color="000000" w:fill="002060"/>
                  <w:vAlign w:val="center"/>
                </w:tcPr>
                <w:p w14:paraId="428D95FE">
                  <w:pPr>
                    <w:jc w:val="center"/>
                    <w:rPr>
                      <w:rFonts w:hint="default" w:ascii="Calibri" w:hAnsi="Calibri" w:eastAsia="楷体_GB2312" w:cs="Calibri"/>
                      <w:b/>
                      <w:bCs/>
                      <w:snapToGrid/>
                      <w:color w:val="FFFFFF"/>
                      <w:sz w:val="22"/>
                      <w:szCs w:val="22"/>
                    </w:rPr>
                  </w:pPr>
                  <w:r>
                    <w:rPr>
                      <w:rFonts w:hint="default" w:ascii="Calibri" w:hAnsi="Calibri" w:eastAsia="楷体_GB2312" w:cs="Calibri"/>
                      <w:b/>
                      <w:bCs/>
                      <w:snapToGrid/>
                      <w:color w:val="FFFFFF"/>
                      <w:sz w:val="22"/>
                      <w:szCs w:val="22"/>
                    </w:rPr>
                    <w:t>2024 Innovation Highlights</w:t>
                  </w:r>
                </w:p>
              </w:tc>
              <w:tc>
                <w:tcPr>
                  <w:tcW w:w="1579" w:type="dxa"/>
                  <w:tcBorders>
                    <w:top w:val="nil"/>
                    <w:left w:val="nil"/>
                    <w:bottom w:val="nil"/>
                    <w:right w:val="nil"/>
                  </w:tcBorders>
                  <w:shd w:val="clear" w:color="000000" w:fill="002060"/>
                  <w:vAlign w:val="center"/>
                </w:tcPr>
                <w:p w14:paraId="4CBFFA54">
                  <w:pPr>
                    <w:jc w:val="center"/>
                    <w:rPr>
                      <w:rFonts w:hint="default" w:ascii="Calibri" w:hAnsi="Calibri" w:eastAsia="楷体_GB2312" w:cs="Calibri"/>
                      <w:b/>
                      <w:bCs/>
                      <w:snapToGrid/>
                      <w:color w:val="FFFFFF"/>
                      <w:sz w:val="22"/>
                      <w:szCs w:val="22"/>
                    </w:rPr>
                  </w:pPr>
                  <w:r>
                    <w:rPr>
                      <w:rFonts w:hint="default" w:ascii="Calibri" w:hAnsi="Calibri" w:eastAsia="楷体_GB2312" w:cs="Calibri"/>
                      <w:b/>
                      <w:bCs/>
                      <w:snapToGrid/>
                      <w:color w:val="FFFFFF"/>
                      <w:sz w:val="22"/>
                      <w:szCs w:val="22"/>
                    </w:rPr>
                    <w:t>Channel Mix</w:t>
                  </w:r>
                </w:p>
              </w:tc>
            </w:tr>
            <w:tr w14:paraId="66D0E74B">
              <w:tblPrEx>
                <w:tblCellMar>
                  <w:top w:w="0" w:type="dxa"/>
                  <w:left w:w="108" w:type="dxa"/>
                  <w:bottom w:w="0" w:type="dxa"/>
                  <w:right w:w="108" w:type="dxa"/>
                </w:tblCellMar>
              </w:tblPrEx>
              <w:trPr>
                <w:trHeight w:val="484" w:hRule="atLeast"/>
              </w:trPr>
              <w:tc>
                <w:tcPr>
                  <w:tcW w:w="809" w:type="dxa"/>
                  <w:tcBorders>
                    <w:top w:val="nil"/>
                    <w:left w:val="nil"/>
                    <w:bottom w:val="nil"/>
                    <w:right w:val="nil"/>
                  </w:tcBorders>
                  <w:vAlign w:val="center"/>
                </w:tcPr>
                <w:p w14:paraId="3ED80823">
                  <w:pPr>
                    <w:jc w:val="center"/>
                    <w:rPr>
                      <w:rFonts w:hint="default" w:ascii="Calibri" w:hAnsi="Calibri" w:eastAsia="楷体_GB2312" w:cs="Calibri"/>
                      <w:snapToGrid/>
                      <w:sz w:val="18"/>
                      <w:szCs w:val="18"/>
                    </w:rPr>
                  </w:pPr>
                  <w:r>
                    <w:rPr>
                      <w:rFonts w:hint="default" w:ascii="Calibri" w:hAnsi="Calibri" w:eastAsia="楷体_GB2312" w:cs="Calibri"/>
                      <w:snapToGrid/>
                      <w:sz w:val="18"/>
                      <w:szCs w:val="18"/>
                    </w:rPr>
                    <w:t>Skincare</w:t>
                  </w:r>
                </w:p>
              </w:tc>
              <w:tc>
                <w:tcPr>
                  <w:tcW w:w="2813" w:type="dxa"/>
                  <w:tcBorders>
                    <w:top w:val="nil"/>
                    <w:left w:val="nil"/>
                    <w:bottom w:val="nil"/>
                    <w:right w:val="nil"/>
                  </w:tcBorders>
                  <w:vAlign w:val="center"/>
                </w:tcPr>
                <w:p w14:paraId="00BCEDD3">
                  <w:pPr>
                    <w:jc w:val="center"/>
                    <w:rPr>
                      <w:rFonts w:hint="default" w:ascii="Calibri" w:hAnsi="Calibri" w:eastAsia="楷体_GB2312" w:cs="Calibri"/>
                      <w:snapToGrid/>
                      <w:sz w:val="18"/>
                      <w:szCs w:val="18"/>
                    </w:rPr>
                  </w:pPr>
                  <w:r>
                    <w:rPr>
                      <w:rFonts w:hint="default" w:ascii="Calibri" w:hAnsi="Calibri" w:eastAsia="楷体_GB2312" w:cs="Calibri"/>
                      <w:snapToGrid/>
                      <w:sz w:val="18"/>
                      <w:szCs w:val="18"/>
                    </w:rPr>
                    <w:t>Revitalift HA, Glycolic Bright Serum, UV Defender</w:t>
                  </w:r>
                </w:p>
              </w:tc>
              <w:tc>
                <w:tcPr>
                  <w:tcW w:w="2421" w:type="dxa"/>
                  <w:tcBorders>
                    <w:top w:val="nil"/>
                    <w:left w:val="nil"/>
                    <w:bottom w:val="nil"/>
                    <w:right w:val="nil"/>
                  </w:tcBorders>
                  <w:vAlign w:val="center"/>
                </w:tcPr>
                <w:p w14:paraId="6AFC7996">
                  <w:pPr>
                    <w:jc w:val="center"/>
                    <w:rPr>
                      <w:rFonts w:hint="default" w:ascii="Calibri" w:hAnsi="Calibri" w:eastAsia="楷体_GB2312" w:cs="Calibri"/>
                      <w:snapToGrid/>
                      <w:sz w:val="18"/>
                      <w:szCs w:val="18"/>
                    </w:rPr>
                  </w:pPr>
                  <w:r>
                    <w:rPr>
                      <w:rFonts w:hint="default" w:ascii="Calibri" w:hAnsi="Calibri" w:eastAsia="楷体_GB2312" w:cs="Calibri"/>
                      <w:snapToGrid/>
                      <w:sz w:val="18"/>
                      <w:szCs w:val="18"/>
                    </w:rPr>
                    <w:t>Glycolic Bright Range (Melanin-targeting molecule)</w:t>
                  </w:r>
                </w:p>
              </w:tc>
              <w:tc>
                <w:tcPr>
                  <w:tcW w:w="1579" w:type="dxa"/>
                  <w:tcBorders>
                    <w:top w:val="nil"/>
                    <w:left w:val="nil"/>
                    <w:bottom w:val="nil"/>
                    <w:right w:val="nil"/>
                  </w:tcBorders>
                  <w:vAlign w:val="center"/>
                </w:tcPr>
                <w:p w14:paraId="72D169B3">
                  <w:pPr>
                    <w:jc w:val="center"/>
                    <w:rPr>
                      <w:rFonts w:hint="default" w:ascii="Calibri" w:hAnsi="Calibri" w:eastAsia="楷体_GB2312" w:cs="Calibri"/>
                      <w:snapToGrid/>
                      <w:sz w:val="18"/>
                      <w:szCs w:val="18"/>
                    </w:rPr>
                  </w:pPr>
                  <w:r>
                    <w:rPr>
                      <w:rFonts w:hint="default" w:ascii="Calibri" w:hAnsi="Calibri" w:eastAsia="楷体_GB2312" w:cs="Calibri"/>
                      <w:snapToGrid/>
                      <w:sz w:val="18"/>
                      <w:szCs w:val="18"/>
                    </w:rPr>
                    <w:t>Mass Retail + E-Commerce</w:t>
                  </w:r>
                </w:p>
              </w:tc>
            </w:tr>
            <w:tr w14:paraId="5290DE4A">
              <w:tblPrEx>
                <w:tblCellMar>
                  <w:top w:w="0" w:type="dxa"/>
                  <w:left w:w="108" w:type="dxa"/>
                  <w:bottom w:w="0" w:type="dxa"/>
                  <w:right w:w="108" w:type="dxa"/>
                </w:tblCellMar>
              </w:tblPrEx>
              <w:trPr>
                <w:trHeight w:val="484" w:hRule="atLeast"/>
              </w:trPr>
              <w:tc>
                <w:tcPr>
                  <w:tcW w:w="809" w:type="dxa"/>
                  <w:tcBorders>
                    <w:top w:val="nil"/>
                    <w:left w:val="nil"/>
                    <w:bottom w:val="nil"/>
                    <w:right w:val="nil"/>
                  </w:tcBorders>
                  <w:shd w:val="clear" w:color="000000" w:fill="F2F2F2"/>
                  <w:vAlign w:val="center"/>
                </w:tcPr>
                <w:p w14:paraId="77461E68">
                  <w:pPr>
                    <w:jc w:val="center"/>
                    <w:rPr>
                      <w:rFonts w:hint="default" w:ascii="Calibri" w:hAnsi="Calibri" w:eastAsia="楷体_GB2312" w:cs="Calibri"/>
                      <w:snapToGrid/>
                      <w:sz w:val="18"/>
                      <w:szCs w:val="18"/>
                    </w:rPr>
                  </w:pPr>
                  <w:r>
                    <w:rPr>
                      <w:rFonts w:hint="default" w:ascii="Calibri" w:hAnsi="Calibri" w:eastAsia="楷体_GB2312" w:cs="Calibri"/>
                      <w:snapToGrid/>
                      <w:sz w:val="18"/>
                      <w:szCs w:val="18"/>
                    </w:rPr>
                    <w:t>Makeup</w:t>
                  </w:r>
                </w:p>
              </w:tc>
              <w:tc>
                <w:tcPr>
                  <w:tcW w:w="2813" w:type="dxa"/>
                  <w:tcBorders>
                    <w:top w:val="nil"/>
                    <w:left w:val="nil"/>
                    <w:bottom w:val="nil"/>
                    <w:right w:val="nil"/>
                  </w:tcBorders>
                  <w:shd w:val="clear" w:color="000000" w:fill="F2F2F2"/>
                  <w:vAlign w:val="center"/>
                </w:tcPr>
                <w:p w14:paraId="580966C7">
                  <w:pPr>
                    <w:jc w:val="center"/>
                    <w:rPr>
                      <w:rFonts w:hint="default" w:ascii="Calibri" w:hAnsi="Calibri" w:eastAsia="楷体_GB2312" w:cs="Calibri"/>
                      <w:snapToGrid/>
                      <w:sz w:val="18"/>
                      <w:szCs w:val="18"/>
                    </w:rPr>
                  </w:pPr>
                  <w:r>
                    <w:rPr>
                      <w:rFonts w:hint="default" w:ascii="Calibri" w:hAnsi="Calibri" w:eastAsia="楷体_GB2312" w:cs="Calibri"/>
                      <w:snapToGrid/>
                      <w:sz w:val="18"/>
                      <w:szCs w:val="18"/>
                    </w:rPr>
                    <w:t>Panorama Mascara, Infallible Series, Color Riche</w:t>
                  </w:r>
                </w:p>
              </w:tc>
              <w:tc>
                <w:tcPr>
                  <w:tcW w:w="2421" w:type="dxa"/>
                  <w:tcBorders>
                    <w:top w:val="nil"/>
                    <w:left w:val="nil"/>
                    <w:bottom w:val="nil"/>
                    <w:right w:val="nil"/>
                  </w:tcBorders>
                  <w:shd w:val="clear" w:color="000000" w:fill="F2F2F2"/>
                  <w:vAlign w:val="center"/>
                </w:tcPr>
                <w:p w14:paraId="7BB8C8D1">
                  <w:pPr>
                    <w:jc w:val="center"/>
                    <w:rPr>
                      <w:rFonts w:hint="default" w:ascii="Calibri" w:hAnsi="Calibri" w:eastAsia="楷体_GB2312" w:cs="Calibri"/>
                      <w:snapToGrid/>
                      <w:sz w:val="18"/>
                      <w:szCs w:val="18"/>
                    </w:rPr>
                  </w:pPr>
                  <w:r>
                    <w:rPr>
                      <w:rFonts w:hint="default" w:ascii="Calibri" w:hAnsi="Calibri" w:eastAsia="楷体_GB2312" w:cs="Calibri"/>
                      <w:snapToGrid/>
                      <w:sz w:val="18"/>
                      <w:szCs w:val="18"/>
                    </w:rPr>
                    <w:t>Panorama Mascara: #1 Global New Product Launch by Sales</w:t>
                  </w:r>
                </w:p>
              </w:tc>
              <w:tc>
                <w:tcPr>
                  <w:tcW w:w="1579" w:type="dxa"/>
                  <w:tcBorders>
                    <w:top w:val="nil"/>
                    <w:left w:val="nil"/>
                    <w:bottom w:val="nil"/>
                    <w:right w:val="nil"/>
                  </w:tcBorders>
                  <w:shd w:val="clear" w:color="000000" w:fill="F2F2F2"/>
                  <w:vAlign w:val="center"/>
                </w:tcPr>
                <w:p w14:paraId="7AFCE2AC">
                  <w:pPr>
                    <w:jc w:val="center"/>
                    <w:rPr>
                      <w:rFonts w:hint="default" w:ascii="Calibri" w:hAnsi="Calibri" w:eastAsia="楷体_GB2312" w:cs="Calibri"/>
                      <w:snapToGrid/>
                      <w:sz w:val="18"/>
                      <w:szCs w:val="18"/>
                    </w:rPr>
                  </w:pPr>
                  <w:r>
                    <w:rPr>
                      <w:rFonts w:hint="default" w:ascii="Calibri" w:hAnsi="Calibri" w:eastAsia="楷体_GB2312" w:cs="Calibri"/>
                      <w:snapToGrid/>
                      <w:sz w:val="18"/>
                      <w:szCs w:val="18"/>
                    </w:rPr>
                    <w:t>Mass Retail + E-Commerce</w:t>
                  </w:r>
                </w:p>
              </w:tc>
            </w:tr>
            <w:tr w14:paraId="13F5B24F">
              <w:tblPrEx>
                <w:tblCellMar>
                  <w:top w:w="0" w:type="dxa"/>
                  <w:left w:w="108" w:type="dxa"/>
                  <w:bottom w:w="0" w:type="dxa"/>
                  <w:right w:w="108" w:type="dxa"/>
                </w:tblCellMar>
              </w:tblPrEx>
              <w:trPr>
                <w:trHeight w:val="484" w:hRule="atLeast"/>
              </w:trPr>
              <w:tc>
                <w:tcPr>
                  <w:tcW w:w="809" w:type="dxa"/>
                  <w:tcBorders>
                    <w:top w:val="nil"/>
                    <w:left w:val="nil"/>
                    <w:bottom w:val="nil"/>
                    <w:right w:val="nil"/>
                  </w:tcBorders>
                  <w:vAlign w:val="center"/>
                </w:tcPr>
                <w:p w14:paraId="1AAC95D3">
                  <w:pPr>
                    <w:jc w:val="center"/>
                    <w:rPr>
                      <w:rFonts w:hint="default" w:ascii="Calibri" w:hAnsi="Calibri" w:eastAsia="楷体_GB2312" w:cs="Calibri"/>
                      <w:snapToGrid/>
                      <w:sz w:val="18"/>
                      <w:szCs w:val="18"/>
                    </w:rPr>
                  </w:pPr>
                  <w:r>
                    <w:rPr>
                      <w:rFonts w:hint="default" w:ascii="Calibri" w:hAnsi="Calibri" w:eastAsia="楷体_GB2312" w:cs="Calibri"/>
                      <w:snapToGrid/>
                      <w:sz w:val="18"/>
                      <w:szCs w:val="18"/>
                    </w:rPr>
                    <w:t>Haircare</w:t>
                  </w:r>
                </w:p>
              </w:tc>
              <w:tc>
                <w:tcPr>
                  <w:tcW w:w="2813" w:type="dxa"/>
                  <w:tcBorders>
                    <w:top w:val="nil"/>
                    <w:left w:val="nil"/>
                    <w:bottom w:val="nil"/>
                    <w:right w:val="nil"/>
                  </w:tcBorders>
                  <w:vAlign w:val="center"/>
                </w:tcPr>
                <w:p w14:paraId="69FC8A6E">
                  <w:pPr>
                    <w:jc w:val="center"/>
                    <w:rPr>
                      <w:rFonts w:hint="default" w:ascii="Calibri" w:hAnsi="Calibri" w:eastAsia="楷体_GB2312" w:cs="Calibri"/>
                      <w:snapToGrid/>
                      <w:sz w:val="18"/>
                      <w:szCs w:val="18"/>
                    </w:rPr>
                  </w:pPr>
                  <w:r>
                    <w:rPr>
                      <w:rFonts w:hint="default" w:ascii="Calibri" w:hAnsi="Calibri" w:eastAsia="楷体_GB2312" w:cs="Calibri"/>
                      <w:snapToGrid/>
                      <w:sz w:val="18"/>
                      <w:szCs w:val="18"/>
                    </w:rPr>
                    <w:t>Elvive Glycolic Bright, Hyaluronic Acid Series, Dream Sleek</w:t>
                  </w:r>
                </w:p>
              </w:tc>
              <w:tc>
                <w:tcPr>
                  <w:tcW w:w="2421" w:type="dxa"/>
                  <w:tcBorders>
                    <w:top w:val="nil"/>
                    <w:left w:val="nil"/>
                    <w:bottom w:val="nil"/>
                    <w:right w:val="nil"/>
                  </w:tcBorders>
                  <w:vAlign w:val="center"/>
                </w:tcPr>
                <w:p w14:paraId="18578271">
                  <w:pPr>
                    <w:jc w:val="center"/>
                    <w:rPr>
                      <w:rFonts w:hint="default" w:ascii="Calibri" w:hAnsi="Calibri" w:eastAsia="楷体_GB2312" w:cs="Calibri"/>
                      <w:snapToGrid/>
                      <w:sz w:val="18"/>
                      <w:szCs w:val="18"/>
                    </w:rPr>
                  </w:pPr>
                  <w:r>
                    <w:rPr>
                      <w:rFonts w:hint="default" w:ascii="Calibri" w:hAnsi="Calibri" w:eastAsia="楷体_GB2312" w:cs="Calibri"/>
                      <w:snapToGrid/>
                      <w:sz w:val="18"/>
                      <w:szCs w:val="18"/>
                    </w:rPr>
                    <w:t>Elvive: #1 Haircare Brand by Sales in Brazil</w:t>
                  </w:r>
                </w:p>
              </w:tc>
              <w:tc>
                <w:tcPr>
                  <w:tcW w:w="1579" w:type="dxa"/>
                  <w:tcBorders>
                    <w:top w:val="nil"/>
                    <w:left w:val="nil"/>
                    <w:bottom w:val="nil"/>
                    <w:right w:val="nil"/>
                  </w:tcBorders>
                  <w:vAlign w:val="center"/>
                </w:tcPr>
                <w:p w14:paraId="7033F2C7">
                  <w:pPr>
                    <w:jc w:val="center"/>
                    <w:rPr>
                      <w:rFonts w:hint="default" w:ascii="Calibri" w:hAnsi="Calibri" w:eastAsia="楷体_GB2312" w:cs="Calibri"/>
                      <w:snapToGrid/>
                      <w:sz w:val="18"/>
                      <w:szCs w:val="18"/>
                    </w:rPr>
                  </w:pPr>
                  <w:r>
                    <w:rPr>
                      <w:rFonts w:hint="default" w:ascii="Calibri" w:hAnsi="Calibri" w:eastAsia="楷体_GB2312" w:cs="Calibri"/>
                      <w:snapToGrid/>
                      <w:sz w:val="18"/>
                      <w:szCs w:val="18"/>
                    </w:rPr>
                    <w:t>Mass Retail + E-Commerce</w:t>
                  </w:r>
                </w:p>
              </w:tc>
            </w:tr>
            <w:tr w14:paraId="3BEAE68B">
              <w:tblPrEx>
                <w:tblCellMar>
                  <w:top w:w="0" w:type="dxa"/>
                  <w:left w:w="108" w:type="dxa"/>
                  <w:bottom w:w="0" w:type="dxa"/>
                  <w:right w:w="108" w:type="dxa"/>
                </w:tblCellMar>
              </w:tblPrEx>
              <w:trPr>
                <w:trHeight w:val="484" w:hRule="atLeast"/>
              </w:trPr>
              <w:tc>
                <w:tcPr>
                  <w:tcW w:w="809" w:type="dxa"/>
                  <w:tcBorders>
                    <w:top w:val="nil"/>
                    <w:left w:val="nil"/>
                    <w:bottom w:val="nil"/>
                    <w:right w:val="nil"/>
                  </w:tcBorders>
                  <w:shd w:val="clear" w:color="000000" w:fill="F2F2F2"/>
                  <w:vAlign w:val="center"/>
                </w:tcPr>
                <w:p w14:paraId="53C63779">
                  <w:pPr>
                    <w:jc w:val="center"/>
                    <w:rPr>
                      <w:rFonts w:hint="default" w:ascii="Calibri" w:hAnsi="Calibri" w:eastAsia="楷体_GB2312" w:cs="Calibri"/>
                      <w:snapToGrid/>
                      <w:sz w:val="18"/>
                      <w:szCs w:val="18"/>
                    </w:rPr>
                  </w:pPr>
                  <w:r>
                    <w:rPr>
                      <w:rFonts w:hint="default" w:ascii="Calibri" w:hAnsi="Calibri" w:eastAsia="楷体_GB2312" w:cs="Calibri"/>
                      <w:snapToGrid/>
                      <w:sz w:val="18"/>
                      <w:szCs w:val="18"/>
                    </w:rPr>
                    <w:t>Hair Color</w:t>
                  </w:r>
                </w:p>
              </w:tc>
              <w:tc>
                <w:tcPr>
                  <w:tcW w:w="2813" w:type="dxa"/>
                  <w:tcBorders>
                    <w:top w:val="nil"/>
                    <w:left w:val="nil"/>
                    <w:bottom w:val="nil"/>
                    <w:right w:val="nil"/>
                  </w:tcBorders>
                  <w:shd w:val="clear" w:color="000000" w:fill="F2F2F2"/>
                  <w:vAlign w:val="center"/>
                </w:tcPr>
                <w:p w14:paraId="764AEE53">
                  <w:pPr>
                    <w:jc w:val="center"/>
                    <w:rPr>
                      <w:rFonts w:hint="default" w:ascii="Calibri" w:hAnsi="Calibri" w:eastAsia="楷体_GB2312" w:cs="Calibri"/>
                      <w:snapToGrid/>
                      <w:sz w:val="18"/>
                      <w:szCs w:val="18"/>
                    </w:rPr>
                  </w:pPr>
                  <w:r>
                    <w:rPr>
                      <w:rFonts w:hint="default" w:ascii="Calibri" w:hAnsi="Calibri" w:eastAsia="楷体_GB2312" w:cs="Calibri"/>
                      <w:snapToGrid/>
                      <w:sz w:val="18"/>
                      <w:szCs w:val="18"/>
                    </w:rPr>
                    <w:t>Excellence Créme, Préférence, Colorsonic</w:t>
                  </w:r>
                </w:p>
              </w:tc>
              <w:tc>
                <w:tcPr>
                  <w:tcW w:w="2421" w:type="dxa"/>
                  <w:tcBorders>
                    <w:top w:val="nil"/>
                    <w:left w:val="nil"/>
                    <w:bottom w:val="nil"/>
                    <w:right w:val="nil"/>
                  </w:tcBorders>
                  <w:shd w:val="clear" w:color="000000" w:fill="F2F2F2"/>
                  <w:vAlign w:val="center"/>
                </w:tcPr>
                <w:p w14:paraId="33A5F065">
                  <w:pPr>
                    <w:jc w:val="center"/>
                    <w:rPr>
                      <w:rFonts w:hint="default" w:ascii="Calibri" w:hAnsi="Calibri" w:eastAsia="楷体_GB2312" w:cs="Calibri"/>
                      <w:snapToGrid/>
                      <w:sz w:val="18"/>
                      <w:szCs w:val="18"/>
                    </w:rPr>
                  </w:pPr>
                  <w:r>
                    <w:rPr>
                      <w:rFonts w:hint="default" w:ascii="Calibri" w:hAnsi="Calibri" w:eastAsia="楷体_GB2312" w:cs="Calibri"/>
                      <w:snapToGrid/>
                      <w:sz w:val="18"/>
                      <w:szCs w:val="18"/>
                    </w:rPr>
                    <w:t>Colorsonic: AI-Powered At-Home Hair Color Device</w:t>
                  </w:r>
                </w:p>
              </w:tc>
              <w:tc>
                <w:tcPr>
                  <w:tcW w:w="1579" w:type="dxa"/>
                  <w:tcBorders>
                    <w:top w:val="nil"/>
                    <w:left w:val="nil"/>
                    <w:bottom w:val="nil"/>
                    <w:right w:val="nil"/>
                  </w:tcBorders>
                  <w:shd w:val="clear" w:color="000000" w:fill="F2F2F2"/>
                  <w:vAlign w:val="center"/>
                </w:tcPr>
                <w:p w14:paraId="0004317B">
                  <w:pPr>
                    <w:jc w:val="center"/>
                    <w:rPr>
                      <w:rFonts w:hint="default" w:ascii="Calibri" w:hAnsi="Calibri" w:eastAsia="楷体_GB2312" w:cs="Calibri"/>
                      <w:snapToGrid/>
                      <w:sz w:val="18"/>
                      <w:szCs w:val="18"/>
                    </w:rPr>
                  </w:pPr>
                  <w:r>
                    <w:rPr>
                      <w:rFonts w:hint="default" w:ascii="Calibri" w:hAnsi="Calibri" w:eastAsia="楷体_GB2312" w:cs="Calibri"/>
                      <w:snapToGrid/>
                      <w:sz w:val="18"/>
                      <w:szCs w:val="18"/>
                    </w:rPr>
                    <w:t>Mass Retail + DTC</w:t>
                  </w:r>
                </w:p>
              </w:tc>
            </w:tr>
            <w:tr w14:paraId="3091613C">
              <w:tblPrEx>
                <w:tblCellMar>
                  <w:top w:w="0" w:type="dxa"/>
                  <w:left w:w="108" w:type="dxa"/>
                  <w:bottom w:w="0" w:type="dxa"/>
                  <w:right w:w="108" w:type="dxa"/>
                </w:tblCellMar>
              </w:tblPrEx>
              <w:trPr>
                <w:trHeight w:val="484" w:hRule="atLeast"/>
              </w:trPr>
              <w:tc>
                <w:tcPr>
                  <w:tcW w:w="809" w:type="dxa"/>
                  <w:tcBorders>
                    <w:top w:val="nil"/>
                    <w:left w:val="nil"/>
                    <w:bottom w:val="nil"/>
                    <w:right w:val="nil"/>
                  </w:tcBorders>
                  <w:vAlign w:val="center"/>
                </w:tcPr>
                <w:p w14:paraId="3D9B3871">
                  <w:pPr>
                    <w:jc w:val="center"/>
                    <w:rPr>
                      <w:rFonts w:hint="default" w:ascii="Calibri" w:hAnsi="Calibri" w:eastAsia="楷体_GB2312" w:cs="Calibri"/>
                      <w:snapToGrid/>
                      <w:sz w:val="18"/>
                      <w:szCs w:val="18"/>
                    </w:rPr>
                  </w:pPr>
                  <w:r>
                    <w:rPr>
                      <w:rFonts w:hint="default" w:ascii="Calibri" w:hAnsi="Calibri" w:eastAsia="楷体_GB2312" w:cs="Calibri"/>
                      <w:snapToGrid/>
                      <w:sz w:val="18"/>
                      <w:szCs w:val="18"/>
                    </w:rPr>
                    <w:t>Men's</w:t>
                  </w:r>
                </w:p>
              </w:tc>
              <w:tc>
                <w:tcPr>
                  <w:tcW w:w="2813" w:type="dxa"/>
                  <w:tcBorders>
                    <w:top w:val="nil"/>
                    <w:left w:val="nil"/>
                    <w:bottom w:val="nil"/>
                    <w:right w:val="nil"/>
                  </w:tcBorders>
                  <w:vAlign w:val="center"/>
                </w:tcPr>
                <w:p w14:paraId="06D11581">
                  <w:pPr>
                    <w:jc w:val="center"/>
                    <w:rPr>
                      <w:rFonts w:hint="default" w:ascii="Calibri" w:hAnsi="Calibri" w:eastAsia="楷体_GB2312" w:cs="Calibri"/>
                      <w:snapToGrid/>
                      <w:sz w:val="18"/>
                      <w:szCs w:val="18"/>
                    </w:rPr>
                  </w:pPr>
                  <w:r>
                    <w:rPr>
                      <w:rFonts w:hint="default" w:ascii="Calibri" w:hAnsi="Calibri" w:eastAsia="楷体_GB2312" w:cs="Calibri"/>
                      <w:snapToGrid/>
                      <w:sz w:val="18"/>
                      <w:szCs w:val="18"/>
                    </w:rPr>
                    <w:t>Men Expert</w:t>
                  </w:r>
                </w:p>
              </w:tc>
              <w:tc>
                <w:tcPr>
                  <w:tcW w:w="2421" w:type="dxa"/>
                  <w:tcBorders>
                    <w:top w:val="nil"/>
                    <w:left w:val="nil"/>
                    <w:bottom w:val="nil"/>
                    <w:right w:val="nil"/>
                  </w:tcBorders>
                  <w:vAlign w:val="center"/>
                </w:tcPr>
                <w:p w14:paraId="1E32B029">
                  <w:pPr>
                    <w:jc w:val="center"/>
                    <w:rPr>
                      <w:rFonts w:hint="default" w:ascii="Calibri" w:hAnsi="Calibri" w:eastAsia="楷体_GB2312" w:cs="Calibri"/>
                      <w:snapToGrid/>
                      <w:sz w:val="18"/>
                      <w:szCs w:val="18"/>
                    </w:rPr>
                  </w:pPr>
                  <w:r>
                    <w:rPr>
                      <w:rFonts w:hint="default" w:ascii="Calibri" w:hAnsi="Calibri" w:eastAsia="楷体_GB2312" w:cs="Calibri"/>
                      <w:snapToGrid/>
                      <w:sz w:val="18"/>
                      <w:szCs w:val="18"/>
                    </w:rPr>
                    <w:t>Continued Expansion of Men's Grooming Portfolio</w:t>
                  </w:r>
                </w:p>
              </w:tc>
              <w:tc>
                <w:tcPr>
                  <w:tcW w:w="1579" w:type="dxa"/>
                  <w:tcBorders>
                    <w:top w:val="nil"/>
                    <w:left w:val="nil"/>
                    <w:bottom w:val="nil"/>
                    <w:right w:val="nil"/>
                  </w:tcBorders>
                  <w:vAlign w:val="center"/>
                </w:tcPr>
                <w:p w14:paraId="199CD483">
                  <w:pPr>
                    <w:jc w:val="center"/>
                    <w:rPr>
                      <w:rFonts w:hint="default" w:ascii="Calibri" w:hAnsi="Calibri" w:eastAsia="楷体_GB2312" w:cs="Calibri"/>
                      <w:snapToGrid/>
                      <w:sz w:val="18"/>
                      <w:szCs w:val="18"/>
                    </w:rPr>
                  </w:pPr>
                  <w:r>
                    <w:rPr>
                      <w:rFonts w:hint="default" w:ascii="Calibri" w:hAnsi="Calibri" w:eastAsia="楷体_GB2312" w:cs="Calibri"/>
                      <w:snapToGrid/>
                      <w:sz w:val="18"/>
                      <w:szCs w:val="18"/>
                    </w:rPr>
                    <w:t>Mass Retail + E-Commerce</w:t>
                  </w:r>
                </w:p>
              </w:tc>
            </w:tr>
          </w:tbl>
          <w:p w14:paraId="2296C476">
            <w:pPr>
              <w:rPr>
                <w:rFonts w:hint="default" w:ascii="Calibri" w:hAnsi="Calibri" w:eastAsia="楷体_GB2312" w:cs="Calibri"/>
                <w:kern w:val="2"/>
                <w:sz w:val="22"/>
                <w:szCs w:val="22"/>
              </w:rPr>
            </w:pPr>
          </w:p>
        </w:tc>
      </w:tr>
      <w:tr w14:paraId="4E0148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2D55C207">
            <w:pPr>
              <w:rPr>
                <w:rFonts w:hint="default" w:ascii="Calibri" w:hAnsi="Calibri" w:eastAsia="楷体_GB2312" w:cs="Calibri"/>
                <w:b w:val="0"/>
                <w:bCs w:val="0"/>
                <w:kern w:val="2"/>
                <w:sz w:val="20"/>
                <w:szCs w:val="20"/>
              </w:rPr>
            </w:pPr>
            <w:r>
              <w:rPr>
                <w:rFonts w:hint="default" w:ascii="Calibri" w:hAnsi="Calibri" w:eastAsia="楷体_GB2312" w:cs="Calibri"/>
                <w:b w:val="0"/>
                <w:bCs w:val="0"/>
                <w:kern w:val="2"/>
                <w:sz w:val="20"/>
                <w:szCs w:val="20"/>
              </w:rPr>
              <w:t>Source: Company Annual Reports, HFI</w:t>
            </w:r>
          </w:p>
        </w:tc>
      </w:tr>
    </w:tbl>
    <w:p w14:paraId="117D05C3">
      <w:pPr>
        <w:jc w:val="both"/>
        <w:rPr>
          <w:rFonts w:hint="default" w:ascii="Calibri" w:hAnsi="Calibri" w:eastAsia="楷体_GB2312" w:cs="Calibri"/>
          <w:kern w:val="2"/>
          <w:sz w:val="22"/>
          <w:szCs w:val="22"/>
        </w:rPr>
      </w:pPr>
    </w:p>
    <w:p w14:paraId="4E3B200B">
      <w:pPr>
        <w:pStyle w:val="149"/>
        <w:ind w:right="42"/>
        <w:jc w:val="both"/>
        <w:rPr>
          <w:rFonts w:hint="default" w:ascii="Calibri" w:hAnsi="Calibri" w:eastAsia="楷体_GB2312" w:cs="Calibri"/>
          <w:color w:val="23558C"/>
          <w:sz w:val="24"/>
        </w:rPr>
      </w:pPr>
      <w:bookmarkStart w:id="21" w:name="_Toc12212"/>
      <w:r>
        <w:rPr>
          <w:rFonts w:hint="default" w:ascii="Calibri" w:hAnsi="Calibri" w:eastAsia="楷体_GB2312" w:cs="Calibri"/>
          <w:color w:val="23558C"/>
          <w:sz w:val="24"/>
        </w:rPr>
        <w:t>3.2 L'Oréal Luxe Division: Strong Brand-Building Capabilities Establish Brand Premium</w:t>
      </w:r>
      <w:bookmarkEnd w:id="21"/>
    </w:p>
    <w:p w14:paraId="40191C2D">
      <w:pPr>
        <w:jc w:val="both"/>
        <w:rPr>
          <w:rFonts w:hint="default" w:ascii="Calibri" w:hAnsi="Calibri" w:eastAsia="楷体_GB2312" w:cs="Calibri"/>
          <w:kern w:val="2"/>
          <w:sz w:val="22"/>
          <w:szCs w:val="22"/>
        </w:rPr>
      </w:pPr>
      <w:r>
        <w:rPr>
          <w:rFonts w:hint="default" w:ascii="Calibri" w:hAnsi="Calibri" w:eastAsia="楷体_GB2312" w:cs="Calibri"/>
          <w:b/>
          <w:bCs/>
          <w:kern w:val="2"/>
          <w:sz w:val="22"/>
          <w:szCs w:val="22"/>
        </w:rPr>
        <w:t>The global luxury beauty market reached approximately USD 160 billion in 2024, maintaining growth over the past four years.</w:t>
      </w:r>
      <w:r>
        <w:rPr>
          <w:rFonts w:hint="default" w:ascii="Calibri" w:hAnsi="Calibri" w:eastAsia="楷体_GB2312" w:cs="Calibri"/>
          <w:kern w:val="2"/>
          <w:sz w:val="22"/>
          <w:szCs w:val="22"/>
        </w:rPr>
        <w:t xml:space="preserve"> Core consumers in this market place high value on brand narrative, brand heritage, and experience, with brand loyalty significantly higher than in the mass market and relatively lower price elasticity. The premiumization trend has been the most important structural variable in the global beauty market over the past five years, particularly pronounced in the fragrances category.</w:t>
      </w:r>
    </w:p>
    <w:p w14:paraId="23C51ADC">
      <w:pPr>
        <w:rPr>
          <w:rFonts w:hint="default" w:ascii="Calibri" w:hAnsi="Calibri" w:eastAsia="楷体_GB2312" w:cs="Calibri"/>
          <w:kern w:val="2"/>
          <w:sz w:val="22"/>
          <w:szCs w:val="22"/>
        </w:rPr>
      </w:pPr>
      <w:r>
        <w:rPr>
          <w:rFonts w:hint="default" w:ascii="Calibri" w:hAnsi="Calibri" w:eastAsia="楷体_GB2312" w:cs="Calibri"/>
          <w:kern w:val="2"/>
          <w:sz w:val="22"/>
          <w:szCs w:val="22"/>
        </w:rPr>
        <w:br w:type="page"/>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74"/>
      </w:tblGrid>
      <w:tr w14:paraId="27482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733" w:type="dxa"/>
            <w:tcBorders>
              <w:bottom w:val="single" w:color="auto" w:sz="4" w:space="0"/>
            </w:tcBorders>
          </w:tcPr>
          <w:p w14:paraId="6934BD1F">
            <w:pPr>
              <w:rPr>
                <w:rFonts w:hint="default" w:ascii="Calibri" w:hAnsi="Calibri" w:eastAsia="楷体_GB2312" w:cs="Calibri"/>
                <w:b/>
                <w:bCs/>
                <w:kern w:val="2"/>
                <w:sz w:val="22"/>
                <w:szCs w:val="22"/>
              </w:rPr>
            </w:pPr>
            <w:r>
              <w:rPr>
                <w:rFonts w:hint="default" w:ascii="Calibri" w:hAnsi="Calibri" w:eastAsia="楷体_GB2312" w:cs="Calibri"/>
                <w:b/>
                <w:bCs/>
                <w:kern w:val="2"/>
                <w:sz w:val="22"/>
                <w:szCs w:val="22"/>
              </w:rPr>
              <w:t>Figure: Global Luxury Beauty Market Size 2019–2024 (USD million)</w:t>
            </w:r>
          </w:p>
        </w:tc>
      </w:tr>
      <w:tr w14:paraId="605E1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16F216B7">
            <w:pPr>
              <w:rPr>
                <w:rFonts w:hint="default" w:ascii="Calibri" w:hAnsi="Calibri" w:eastAsia="楷体_GB2312" w:cs="Calibri"/>
                <w:kern w:val="2"/>
                <w:sz w:val="22"/>
                <w:szCs w:val="22"/>
              </w:rPr>
            </w:pPr>
            <w:r>
              <w:rPr>
                <w:rFonts w:hint="default" w:ascii="Calibri" w:hAnsi="Calibri" w:eastAsia="楷体_GB2312" w:cs="Calibri"/>
                <w:snapToGrid/>
              </w:rPr>
              <w:drawing>
                <wp:inline distT="0" distB="0" distL="0" distR="0">
                  <wp:extent cx="4572000" cy="2367915"/>
                  <wp:effectExtent l="0" t="0" r="0" b="9525"/>
                  <wp:docPr id="144582387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tc>
      </w:tr>
      <w:tr w14:paraId="69763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15B8B14A">
            <w:pPr>
              <w:rPr>
                <w:rFonts w:hint="default" w:ascii="Calibri" w:hAnsi="Calibri" w:eastAsia="楷体_GB2312" w:cs="Calibri"/>
                <w:b w:val="0"/>
                <w:bCs w:val="0"/>
                <w:kern w:val="2"/>
                <w:sz w:val="20"/>
                <w:szCs w:val="20"/>
              </w:rPr>
            </w:pPr>
            <w:r>
              <w:rPr>
                <w:rFonts w:hint="default" w:ascii="Calibri" w:hAnsi="Calibri" w:eastAsia="楷体_GB2312" w:cs="Calibri"/>
                <w:b w:val="0"/>
                <w:bCs w:val="0"/>
                <w:kern w:val="2"/>
                <w:sz w:val="20"/>
                <w:szCs w:val="20"/>
              </w:rPr>
              <w:t>Source: Company Annual Reports, HFI</w:t>
            </w:r>
          </w:p>
        </w:tc>
      </w:tr>
    </w:tbl>
    <w:p w14:paraId="62BC64BB">
      <w:pPr>
        <w:jc w:val="both"/>
        <w:rPr>
          <w:rFonts w:hint="default" w:ascii="Calibri" w:hAnsi="Calibri" w:eastAsia="楷体_GB2312" w:cs="Calibri"/>
          <w:kern w:val="2"/>
          <w:sz w:val="22"/>
          <w:szCs w:val="22"/>
        </w:rPr>
      </w:pPr>
    </w:p>
    <w:p w14:paraId="43836EEF">
      <w:pPr>
        <w:jc w:val="both"/>
        <w:rPr>
          <w:rFonts w:hint="default" w:ascii="Calibri" w:hAnsi="Calibri" w:eastAsia="楷体_GB2312" w:cs="Calibri"/>
          <w:kern w:val="2"/>
          <w:sz w:val="22"/>
          <w:szCs w:val="22"/>
        </w:rPr>
      </w:pPr>
      <w:r>
        <w:rPr>
          <w:rFonts w:hint="default" w:ascii="Calibri" w:hAnsi="Calibri" w:eastAsia="楷体_GB2312" w:cs="Calibri"/>
          <w:b/>
          <w:bCs/>
          <w:kern w:val="2"/>
          <w:sz w:val="22"/>
          <w:szCs w:val="22"/>
        </w:rPr>
        <w:t>L'Oréal Luxe manages the most recognizable portfolio of luxury beauty brands globally.</w:t>
      </w:r>
      <w:r>
        <w:rPr>
          <w:rFonts w:hint="default" w:ascii="Calibri" w:hAnsi="Calibri" w:eastAsia="楷体_GB2312" w:cs="Calibri"/>
          <w:kern w:val="2"/>
          <w:sz w:val="22"/>
          <w:szCs w:val="22"/>
        </w:rPr>
        <w:t xml:space="preserve"> By brand type: Lifestyle brands include Lancôme (acquired in 1964, the division's flagship) and Kiehl's (acquired in 2000). Couture brands include YSL Beauté (acquired in 2008), Giorgio Armani (licensed since 1988), Prada Beauty (licensed since 2019), Valentino Beauty (licensed since 2019), Maison Margiela, and Miu Miu (licensed since 2024). The ultra-luxury tier includes Aēsop (acquired in 2023 for USD 2.53 billion). Efficacy skincare brands include Medik8 (acquired in 2025) and Takami (acquired in 2023). Furthermore, the acquisition of Kering Beauté, completed in October 2025, added Creed and brands including Gucci and Balenciaga to the portfolio.</w:t>
      </w:r>
    </w:p>
    <w:p w14:paraId="7E486C8E">
      <w:pPr>
        <w:jc w:val="both"/>
        <w:rPr>
          <w:rFonts w:hint="default" w:ascii="Calibri" w:hAnsi="Calibri" w:eastAsia="楷体_GB2312" w:cs="Calibri"/>
          <w:kern w:val="2"/>
          <w:sz w:val="22"/>
          <w:szCs w:val="22"/>
        </w:rPr>
      </w:pP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74"/>
      </w:tblGrid>
      <w:tr w14:paraId="3D5338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bottom w:val="single" w:color="auto" w:sz="4" w:space="0"/>
            </w:tcBorders>
          </w:tcPr>
          <w:p w14:paraId="25C2CD85">
            <w:pPr>
              <w:rPr>
                <w:rFonts w:hint="default" w:ascii="Calibri" w:hAnsi="Calibri" w:eastAsia="楷体_GB2312" w:cs="Calibri"/>
                <w:b/>
                <w:bCs/>
                <w:kern w:val="2"/>
                <w:sz w:val="22"/>
                <w:szCs w:val="22"/>
              </w:rPr>
            </w:pPr>
            <w:r>
              <w:rPr>
                <w:rFonts w:hint="default" w:ascii="Calibri" w:hAnsi="Calibri" w:eastAsia="楷体_GB2312" w:cs="Calibri"/>
                <w:b/>
                <w:bCs/>
                <w:kern w:val="2"/>
                <w:sz w:val="22"/>
                <w:szCs w:val="22"/>
              </w:rPr>
              <w:t>Figure: L'Oréal Luxe Brand Portfolio</w:t>
            </w:r>
          </w:p>
        </w:tc>
      </w:tr>
      <w:tr w14:paraId="27239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tbl>
            <w:tblPr>
              <w:tblStyle w:val="12"/>
              <w:tblW w:w="7627" w:type="dxa"/>
              <w:tblInd w:w="0" w:type="dxa"/>
              <w:tblLayout w:type="autofit"/>
              <w:tblCellMar>
                <w:top w:w="0" w:type="dxa"/>
                <w:left w:w="108" w:type="dxa"/>
                <w:bottom w:w="0" w:type="dxa"/>
                <w:right w:w="108" w:type="dxa"/>
              </w:tblCellMar>
            </w:tblPr>
            <w:tblGrid>
              <w:gridCol w:w="1168"/>
              <w:gridCol w:w="968"/>
              <w:gridCol w:w="1020"/>
              <w:gridCol w:w="1977"/>
              <w:gridCol w:w="2494"/>
            </w:tblGrid>
            <w:tr w14:paraId="685EEB42">
              <w:tblPrEx>
                <w:tblCellMar>
                  <w:top w:w="0" w:type="dxa"/>
                  <w:left w:w="108" w:type="dxa"/>
                  <w:bottom w:w="0" w:type="dxa"/>
                  <w:right w:w="108" w:type="dxa"/>
                </w:tblCellMar>
              </w:tblPrEx>
              <w:trPr>
                <w:trHeight w:val="23" w:hRule="atLeast"/>
              </w:trPr>
              <w:tc>
                <w:tcPr>
                  <w:tcW w:w="1168" w:type="dxa"/>
                  <w:tcBorders>
                    <w:top w:val="nil"/>
                    <w:left w:val="nil"/>
                    <w:bottom w:val="nil"/>
                    <w:right w:val="nil"/>
                  </w:tcBorders>
                  <w:shd w:val="clear" w:color="000000" w:fill="002060"/>
                  <w:vAlign w:val="center"/>
                </w:tcPr>
                <w:p w14:paraId="19B7892F">
                  <w:pPr>
                    <w:jc w:val="center"/>
                    <w:rPr>
                      <w:rFonts w:hint="default" w:ascii="Calibri" w:hAnsi="Calibri" w:eastAsia="楷体_GB2312" w:cs="Calibri"/>
                      <w:b/>
                      <w:bCs/>
                      <w:snapToGrid/>
                      <w:color w:val="FFFFFF"/>
                      <w:sz w:val="22"/>
                      <w:szCs w:val="22"/>
                    </w:rPr>
                  </w:pPr>
                  <w:r>
                    <w:rPr>
                      <w:rFonts w:hint="default" w:ascii="Calibri" w:hAnsi="Calibri" w:eastAsia="楷体_GB2312" w:cs="Calibri"/>
                      <w:b/>
                      <w:bCs/>
                      <w:snapToGrid/>
                      <w:color w:val="FFFFFF"/>
                      <w:sz w:val="22"/>
                      <w:szCs w:val="22"/>
                    </w:rPr>
                    <w:t>Brand</w:t>
                  </w:r>
                </w:p>
              </w:tc>
              <w:tc>
                <w:tcPr>
                  <w:tcW w:w="968" w:type="dxa"/>
                  <w:tcBorders>
                    <w:top w:val="nil"/>
                    <w:left w:val="nil"/>
                    <w:bottom w:val="nil"/>
                    <w:right w:val="nil"/>
                  </w:tcBorders>
                  <w:shd w:val="clear" w:color="000000" w:fill="002060"/>
                  <w:vAlign w:val="center"/>
                </w:tcPr>
                <w:p w14:paraId="31169FA6">
                  <w:pPr>
                    <w:jc w:val="center"/>
                    <w:rPr>
                      <w:rFonts w:hint="default" w:ascii="Calibri" w:hAnsi="Calibri" w:eastAsia="楷体_GB2312" w:cs="Calibri"/>
                      <w:b/>
                      <w:bCs/>
                      <w:snapToGrid/>
                      <w:color w:val="FFFFFF"/>
                      <w:sz w:val="22"/>
                      <w:szCs w:val="22"/>
                    </w:rPr>
                  </w:pPr>
                  <w:r>
                    <w:rPr>
                      <w:rFonts w:hint="default" w:ascii="Calibri" w:hAnsi="Calibri" w:eastAsia="楷体_GB2312" w:cs="Calibri"/>
                      <w:b/>
                      <w:bCs/>
                      <w:snapToGrid/>
                      <w:color w:val="FFFFFF"/>
                      <w:sz w:val="22"/>
                      <w:szCs w:val="22"/>
                    </w:rPr>
                    <w:t>Type</w:t>
                  </w:r>
                </w:p>
              </w:tc>
              <w:tc>
                <w:tcPr>
                  <w:tcW w:w="1020" w:type="dxa"/>
                  <w:tcBorders>
                    <w:top w:val="nil"/>
                    <w:left w:val="nil"/>
                    <w:bottom w:val="nil"/>
                    <w:right w:val="nil"/>
                  </w:tcBorders>
                  <w:shd w:val="clear" w:color="000000" w:fill="002060"/>
                  <w:vAlign w:val="center"/>
                </w:tcPr>
                <w:p w14:paraId="4BF77966">
                  <w:pPr>
                    <w:jc w:val="center"/>
                    <w:rPr>
                      <w:rFonts w:hint="default" w:ascii="Calibri" w:hAnsi="Calibri" w:eastAsia="楷体_GB2312" w:cs="Calibri"/>
                      <w:b/>
                      <w:bCs/>
                      <w:snapToGrid/>
                      <w:color w:val="FFFFFF"/>
                      <w:sz w:val="22"/>
                      <w:szCs w:val="22"/>
                    </w:rPr>
                  </w:pPr>
                  <w:r>
                    <w:rPr>
                      <w:rFonts w:hint="default" w:ascii="Calibri" w:hAnsi="Calibri" w:eastAsia="楷体_GB2312" w:cs="Calibri"/>
                      <w:b/>
                      <w:bCs/>
                      <w:snapToGrid/>
                      <w:color w:val="FFFFFF"/>
                      <w:sz w:val="22"/>
                      <w:szCs w:val="22"/>
                    </w:rPr>
                    <w:t>Year</w:t>
                  </w:r>
                </w:p>
              </w:tc>
              <w:tc>
                <w:tcPr>
                  <w:tcW w:w="1977" w:type="dxa"/>
                  <w:tcBorders>
                    <w:top w:val="nil"/>
                    <w:left w:val="nil"/>
                    <w:bottom w:val="nil"/>
                    <w:right w:val="nil"/>
                  </w:tcBorders>
                  <w:shd w:val="clear" w:color="000000" w:fill="002060"/>
                  <w:vAlign w:val="center"/>
                </w:tcPr>
                <w:p w14:paraId="6FF90C94">
                  <w:pPr>
                    <w:jc w:val="center"/>
                    <w:rPr>
                      <w:rFonts w:hint="default" w:ascii="Calibri" w:hAnsi="Calibri" w:eastAsia="楷体_GB2312" w:cs="Calibri"/>
                      <w:b/>
                      <w:bCs/>
                      <w:snapToGrid/>
                      <w:color w:val="FFFFFF"/>
                      <w:sz w:val="22"/>
                      <w:szCs w:val="22"/>
                    </w:rPr>
                  </w:pPr>
                  <w:r>
                    <w:rPr>
                      <w:rFonts w:hint="default" w:ascii="Calibri" w:hAnsi="Calibri" w:eastAsia="楷体_GB2312" w:cs="Calibri"/>
                      <w:b/>
                      <w:bCs/>
                      <w:snapToGrid/>
                      <w:color w:val="FFFFFF"/>
                      <w:sz w:val="22"/>
                      <w:szCs w:val="22"/>
                    </w:rPr>
                    <w:t>Hero Products</w:t>
                  </w:r>
                </w:p>
              </w:tc>
              <w:tc>
                <w:tcPr>
                  <w:tcW w:w="2494" w:type="dxa"/>
                  <w:tcBorders>
                    <w:top w:val="nil"/>
                    <w:left w:val="nil"/>
                    <w:bottom w:val="nil"/>
                    <w:right w:val="nil"/>
                  </w:tcBorders>
                  <w:shd w:val="clear" w:color="000000" w:fill="002060"/>
                  <w:vAlign w:val="center"/>
                </w:tcPr>
                <w:p w14:paraId="40647164">
                  <w:pPr>
                    <w:jc w:val="center"/>
                    <w:rPr>
                      <w:rFonts w:hint="default" w:ascii="Calibri" w:hAnsi="Calibri" w:eastAsia="楷体_GB2312" w:cs="Calibri"/>
                      <w:b/>
                      <w:bCs/>
                      <w:snapToGrid/>
                      <w:color w:val="FFFFFF"/>
                      <w:sz w:val="22"/>
                      <w:szCs w:val="22"/>
                    </w:rPr>
                  </w:pPr>
                  <w:r>
                    <w:rPr>
                      <w:rFonts w:hint="default" w:ascii="Calibri" w:hAnsi="Calibri" w:eastAsia="楷体_GB2312" w:cs="Calibri"/>
                      <w:b/>
                      <w:bCs/>
                      <w:snapToGrid/>
                      <w:color w:val="FFFFFF"/>
                      <w:sz w:val="22"/>
                      <w:szCs w:val="22"/>
                    </w:rPr>
                    <w:t>2024 Key Highlights</w:t>
                  </w:r>
                </w:p>
              </w:tc>
            </w:tr>
            <w:tr w14:paraId="2BC23821">
              <w:tblPrEx>
                <w:tblCellMar>
                  <w:top w:w="0" w:type="dxa"/>
                  <w:left w:w="108" w:type="dxa"/>
                  <w:bottom w:w="0" w:type="dxa"/>
                  <w:right w:w="108" w:type="dxa"/>
                </w:tblCellMar>
              </w:tblPrEx>
              <w:trPr>
                <w:trHeight w:val="23" w:hRule="atLeast"/>
              </w:trPr>
              <w:tc>
                <w:tcPr>
                  <w:tcW w:w="1168" w:type="dxa"/>
                  <w:tcBorders>
                    <w:top w:val="nil"/>
                    <w:left w:val="nil"/>
                    <w:bottom w:val="nil"/>
                    <w:right w:val="nil"/>
                  </w:tcBorders>
                  <w:vAlign w:val="center"/>
                </w:tcPr>
                <w:p w14:paraId="1C742C54">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Lancôme</w:t>
                  </w:r>
                </w:p>
              </w:tc>
              <w:tc>
                <w:tcPr>
                  <w:tcW w:w="968" w:type="dxa"/>
                  <w:tcBorders>
                    <w:top w:val="nil"/>
                    <w:left w:val="nil"/>
                    <w:bottom w:val="nil"/>
                    <w:right w:val="nil"/>
                  </w:tcBorders>
                  <w:vAlign w:val="center"/>
                </w:tcPr>
                <w:p w14:paraId="2FD554D4">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Lifestyle</w:t>
                  </w:r>
                </w:p>
              </w:tc>
              <w:tc>
                <w:tcPr>
                  <w:tcW w:w="1020" w:type="dxa"/>
                  <w:tcBorders>
                    <w:top w:val="nil"/>
                    <w:left w:val="nil"/>
                    <w:bottom w:val="nil"/>
                    <w:right w:val="nil"/>
                  </w:tcBorders>
                  <w:vAlign w:val="center"/>
                </w:tcPr>
                <w:p w14:paraId="26241957">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Acquired 1964</w:t>
                  </w:r>
                </w:p>
              </w:tc>
              <w:tc>
                <w:tcPr>
                  <w:tcW w:w="1977" w:type="dxa"/>
                  <w:tcBorders>
                    <w:top w:val="nil"/>
                    <w:left w:val="nil"/>
                    <w:bottom w:val="nil"/>
                    <w:right w:val="nil"/>
                  </w:tcBorders>
                  <w:vAlign w:val="center"/>
                </w:tcPr>
                <w:p w14:paraId="51ECEDA7">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Absolue, Teint Idole, La Vie est Belle</w:t>
                  </w:r>
                </w:p>
              </w:tc>
              <w:tc>
                <w:tcPr>
                  <w:tcW w:w="2494" w:type="dxa"/>
                  <w:tcBorders>
                    <w:top w:val="nil"/>
                    <w:left w:val="nil"/>
                    <w:bottom w:val="nil"/>
                    <w:right w:val="nil"/>
                  </w:tcBorders>
                  <w:vAlign w:val="center"/>
                </w:tcPr>
                <w:p w14:paraId="096611B6">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Flagship Brand; Top 3 Prestige in China</w:t>
                  </w:r>
                </w:p>
              </w:tc>
            </w:tr>
            <w:tr w14:paraId="5F13F13B">
              <w:tblPrEx>
                <w:tblCellMar>
                  <w:top w:w="0" w:type="dxa"/>
                  <w:left w:w="108" w:type="dxa"/>
                  <w:bottom w:w="0" w:type="dxa"/>
                  <w:right w:w="108" w:type="dxa"/>
                </w:tblCellMar>
              </w:tblPrEx>
              <w:trPr>
                <w:trHeight w:val="23" w:hRule="atLeast"/>
              </w:trPr>
              <w:tc>
                <w:tcPr>
                  <w:tcW w:w="1168" w:type="dxa"/>
                  <w:tcBorders>
                    <w:top w:val="nil"/>
                    <w:left w:val="nil"/>
                    <w:bottom w:val="nil"/>
                    <w:right w:val="nil"/>
                  </w:tcBorders>
                  <w:shd w:val="clear" w:color="000000" w:fill="F2F2F2"/>
                  <w:vAlign w:val="center"/>
                </w:tcPr>
                <w:p w14:paraId="54F008A1">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Giorgio Armani Beauty</w:t>
                  </w:r>
                </w:p>
              </w:tc>
              <w:tc>
                <w:tcPr>
                  <w:tcW w:w="968" w:type="dxa"/>
                  <w:tcBorders>
                    <w:top w:val="nil"/>
                    <w:left w:val="nil"/>
                    <w:bottom w:val="nil"/>
                    <w:right w:val="nil"/>
                  </w:tcBorders>
                  <w:shd w:val="clear" w:color="000000" w:fill="F2F2F2"/>
                  <w:vAlign w:val="center"/>
                </w:tcPr>
                <w:p w14:paraId="1787DCA3">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Couture</w:t>
                  </w:r>
                </w:p>
              </w:tc>
              <w:tc>
                <w:tcPr>
                  <w:tcW w:w="1020" w:type="dxa"/>
                  <w:tcBorders>
                    <w:top w:val="nil"/>
                    <w:left w:val="nil"/>
                    <w:bottom w:val="nil"/>
                    <w:right w:val="nil"/>
                  </w:tcBorders>
                  <w:shd w:val="clear" w:color="000000" w:fill="F2F2F2"/>
                  <w:vAlign w:val="center"/>
                </w:tcPr>
                <w:p w14:paraId="52280C04">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Licensed 1988</w:t>
                  </w:r>
                </w:p>
              </w:tc>
              <w:tc>
                <w:tcPr>
                  <w:tcW w:w="1977" w:type="dxa"/>
                  <w:tcBorders>
                    <w:top w:val="nil"/>
                    <w:left w:val="nil"/>
                    <w:bottom w:val="nil"/>
                    <w:right w:val="nil"/>
                  </w:tcBorders>
                  <w:shd w:val="clear" w:color="000000" w:fill="F2F2F2"/>
                  <w:vAlign w:val="center"/>
                </w:tcPr>
                <w:p w14:paraId="6561D522">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Luminous Silk Foundation, Sì, Privé</w:t>
                  </w:r>
                </w:p>
              </w:tc>
              <w:tc>
                <w:tcPr>
                  <w:tcW w:w="2494" w:type="dxa"/>
                  <w:tcBorders>
                    <w:top w:val="nil"/>
                    <w:left w:val="nil"/>
                    <w:bottom w:val="nil"/>
                    <w:right w:val="nil"/>
                  </w:tcBorders>
                  <w:shd w:val="clear" w:color="000000" w:fill="F2F2F2"/>
                  <w:vAlign w:val="center"/>
                </w:tcPr>
                <w:p w14:paraId="753A77D4">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w:t>
                  </w:r>
                </w:p>
              </w:tc>
            </w:tr>
            <w:tr w14:paraId="123CB1BC">
              <w:tblPrEx>
                <w:tblCellMar>
                  <w:top w:w="0" w:type="dxa"/>
                  <w:left w:w="108" w:type="dxa"/>
                  <w:bottom w:w="0" w:type="dxa"/>
                  <w:right w:w="108" w:type="dxa"/>
                </w:tblCellMar>
              </w:tblPrEx>
              <w:trPr>
                <w:trHeight w:val="23" w:hRule="atLeast"/>
              </w:trPr>
              <w:tc>
                <w:tcPr>
                  <w:tcW w:w="1168" w:type="dxa"/>
                  <w:tcBorders>
                    <w:top w:val="nil"/>
                    <w:left w:val="nil"/>
                    <w:bottom w:val="nil"/>
                    <w:right w:val="nil"/>
                  </w:tcBorders>
                  <w:vAlign w:val="center"/>
                </w:tcPr>
                <w:p w14:paraId="1B1A4FF5">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Helena Rubinstein</w:t>
                  </w:r>
                </w:p>
              </w:tc>
              <w:tc>
                <w:tcPr>
                  <w:tcW w:w="968" w:type="dxa"/>
                  <w:tcBorders>
                    <w:top w:val="nil"/>
                    <w:left w:val="nil"/>
                    <w:bottom w:val="nil"/>
                    <w:right w:val="nil"/>
                  </w:tcBorders>
                  <w:vAlign w:val="center"/>
                </w:tcPr>
                <w:p w14:paraId="5B7A3694">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Prestige</w:t>
                  </w:r>
                </w:p>
              </w:tc>
              <w:tc>
                <w:tcPr>
                  <w:tcW w:w="1020" w:type="dxa"/>
                  <w:tcBorders>
                    <w:top w:val="nil"/>
                    <w:left w:val="nil"/>
                    <w:bottom w:val="nil"/>
                    <w:right w:val="nil"/>
                  </w:tcBorders>
                  <w:vAlign w:val="center"/>
                </w:tcPr>
                <w:p w14:paraId="7A8CBE07">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Acquired 1988</w:t>
                  </w:r>
                </w:p>
              </w:tc>
              <w:tc>
                <w:tcPr>
                  <w:tcW w:w="1977" w:type="dxa"/>
                  <w:tcBorders>
                    <w:top w:val="nil"/>
                    <w:left w:val="nil"/>
                    <w:bottom w:val="nil"/>
                    <w:right w:val="nil"/>
                  </w:tcBorders>
                  <w:vAlign w:val="center"/>
                </w:tcPr>
                <w:p w14:paraId="046312D3">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Re-Plasty, Powercell</w:t>
                  </w:r>
                </w:p>
              </w:tc>
              <w:tc>
                <w:tcPr>
                  <w:tcW w:w="2494" w:type="dxa"/>
                  <w:tcBorders>
                    <w:top w:val="nil"/>
                    <w:left w:val="nil"/>
                    <w:bottom w:val="nil"/>
                    <w:right w:val="nil"/>
                  </w:tcBorders>
                  <w:vAlign w:val="center"/>
                </w:tcPr>
                <w:p w14:paraId="67D5DAED">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Ultra-Premium Skincare Positioning</w:t>
                  </w:r>
                </w:p>
              </w:tc>
            </w:tr>
            <w:tr w14:paraId="05EE9C59">
              <w:tblPrEx>
                <w:tblCellMar>
                  <w:top w:w="0" w:type="dxa"/>
                  <w:left w:w="108" w:type="dxa"/>
                  <w:bottom w:w="0" w:type="dxa"/>
                  <w:right w:w="108" w:type="dxa"/>
                </w:tblCellMar>
              </w:tblPrEx>
              <w:trPr>
                <w:trHeight w:val="23" w:hRule="atLeast"/>
              </w:trPr>
              <w:tc>
                <w:tcPr>
                  <w:tcW w:w="1168" w:type="dxa"/>
                  <w:tcBorders>
                    <w:top w:val="nil"/>
                    <w:left w:val="nil"/>
                    <w:bottom w:val="nil"/>
                    <w:right w:val="nil"/>
                  </w:tcBorders>
                  <w:shd w:val="clear" w:color="000000" w:fill="F2F2F2"/>
                  <w:vAlign w:val="center"/>
                </w:tcPr>
                <w:p w14:paraId="3D7B2189">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YSL Beauté</w:t>
                  </w:r>
                </w:p>
              </w:tc>
              <w:tc>
                <w:tcPr>
                  <w:tcW w:w="968" w:type="dxa"/>
                  <w:tcBorders>
                    <w:top w:val="nil"/>
                    <w:left w:val="nil"/>
                    <w:bottom w:val="nil"/>
                    <w:right w:val="nil"/>
                  </w:tcBorders>
                  <w:shd w:val="clear" w:color="000000" w:fill="F2F2F2"/>
                  <w:vAlign w:val="center"/>
                </w:tcPr>
                <w:p w14:paraId="37C24D00">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Couture</w:t>
                  </w:r>
                </w:p>
              </w:tc>
              <w:tc>
                <w:tcPr>
                  <w:tcW w:w="1020" w:type="dxa"/>
                  <w:tcBorders>
                    <w:top w:val="nil"/>
                    <w:left w:val="nil"/>
                    <w:bottom w:val="nil"/>
                    <w:right w:val="nil"/>
                  </w:tcBorders>
                  <w:shd w:val="clear" w:color="000000" w:fill="F2F2F2"/>
                  <w:vAlign w:val="center"/>
                </w:tcPr>
                <w:p w14:paraId="3410D6BD">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Acquired 2008</w:t>
                  </w:r>
                </w:p>
              </w:tc>
              <w:tc>
                <w:tcPr>
                  <w:tcW w:w="1977" w:type="dxa"/>
                  <w:tcBorders>
                    <w:top w:val="nil"/>
                    <w:left w:val="nil"/>
                    <w:bottom w:val="nil"/>
                    <w:right w:val="nil"/>
                  </w:tcBorders>
                  <w:shd w:val="clear" w:color="000000" w:fill="F2F2F2"/>
                  <w:vAlign w:val="center"/>
                </w:tcPr>
                <w:p w14:paraId="050ACD0E">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MYSLF, Libre, Loveshine</w:t>
                  </w:r>
                </w:p>
              </w:tc>
              <w:tc>
                <w:tcPr>
                  <w:tcW w:w="2494" w:type="dxa"/>
                  <w:tcBorders>
                    <w:top w:val="nil"/>
                    <w:left w:val="nil"/>
                    <w:bottom w:val="nil"/>
                    <w:right w:val="nil"/>
                  </w:tcBorders>
                  <w:shd w:val="clear" w:color="000000" w:fill="F2F2F2"/>
                  <w:vAlign w:val="center"/>
                </w:tcPr>
                <w:p w14:paraId="0A695500">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MYSLF Becomes Global Fragrance Blockbuster</w:t>
                  </w:r>
                </w:p>
              </w:tc>
            </w:tr>
            <w:tr w14:paraId="6FA77860">
              <w:tblPrEx>
                <w:tblCellMar>
                  <w:top w:w="0" w:type="dxa"/>
                  <w:left w:w="108" w:type="dxa"/>
                  <w:bottom w:w="0" w:type="dxa"/>
                  <w:right w:w="108" w:type="dxa"/>
                </w:tblCellMar>
              </w:tblPrEx>
              <w:trPr>
                <w:trHeight w:val="23" w:hRule="atLeast"/>
              </w:trPr>
              <w:tc>
                <w:tcPr>
                  <w:tcW w:w="1168" w:type="dxa"/>
                  <w:tcBorders>
                    <w:top w:val="nil"/>
                    <w:left w:val="nil"/>
                    <w:bottom w:val="nil"/>
                    <w:right w:val="nil"/>
                  </w:tcBorders>
                  <w:vAlign w:val="center"/>
                </w:tcPr>
                <w:p w14:paraId="2DF0B06A">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Kiehl's</w:t>
                  </w:r>
                </w:p>
              </w:tc>
              <w:tc>
                <w:tcPr>
                  <w:tcW w:w="968" w:type="dxa"/>
                  <w:tcBorders>
                    <w:top w:val="nil"/>
                    <w:left w:val="nil"/>
                    <w:bottom w:val="nil"/>
                    <w:right w:val="nil"/>
                  </w:tcBorders>
                  <w:vAlign w:val="center"/>
                </w:tcPr>
                <w:p w14:paraId="05ACA130">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Lifestyle</w:t>
                  </w:r>
                </w:p>
              </w:tc>
              <w:tc>
                <w:tcPr>
                  <w:tcW w:w="1020" w:type="dxa"/>
                  <w:tcBorders>
                    <w:top w:val="nil"/>
                    <w:left w:val="nil"/>
                    <w:bottom w:val="nil"/>
                    <w:right w:val="nil"/>
                  </w:tcBorders>
                  <w:vAlign w:val="center"/>
                </w:tcPr>
                <w:p w14:paraId="4AB05746">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Acquired 2000</w:t>
                  </w:r>
                </w:p>
              </w:tc>
              <w:tc>
                <w:tcPr>
                  <w:tcW w:w="1977" w:type="dxa"/>
                  <w:tcBorders>
                    <w:top w:val="nil"/>
                    <w:left w:val="nil"/>
                    <w:bottom w:val="nil"/>
                    <w:right w:val="nil"/>
                  </w:tcBorders>
                  <w:vAlign w:val="center"/>
                </w:tcPr>
                <w:p w14:paraId="6A10F20B">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Ultra Facial Cream, Midnight Recovery</w:t>
                  </w:r>
                </w:p>
              </w:tc>
              <w:tc>
                <w:tcPr>
                  <w:tcW w:w="2494" w:type="dxa"/>
                  <w:tcBorders>
                    <w:top w:val="nil"/>
                    <w:left w:val="nil"/>
                    <w:bottom w:val="nil"/>
                    <w:right w:val="nil"/>
                  </w:tcBorders>
                  <w:vAlign w:val="center"/>
                </w:tcPr>
                <w:p w14:paraId="27227321">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w:t>
                  </w:r>
                </w:p>
              </w:tc>
            </w:tr>
            <w:tr w14:paraId="41A47FCB">
              <w:tblPrEx>
                <w:tblCellMar>
                  <w:top w:w="0" w:type="dxa"/>
                  <w:left w:w="108" w:type="dxa"/>
                  <w:bottom w:w="0" w:type="dxa"/>
                  <w:right w:w="108" w:type="dxa"/>
                </w:tblCellMar>
              </w:tblPrEx>
              <w:trPr>
                <w:trHeight w:val="23" w:hRule="atLeast"/>
              </w:trPr>
              <w:tc>
                <w:tcPr>
                  <w:tcW w:w="1168" w:type="dxa"/>
                  <w:tcBorders>
                    <w:top w:val="nil"/>
                    <w:left w:val="nil"/>
                    <w:bottom w:val="nil"/>
                    <w:right w:val="nil"/>
                  </w:tcBorders>
                  <w:shd w:val="clear" w:color="000000" w:fill="F2F2F2"/>
                  <w:vAlign w:val="center"/>
                </w:tcPr>
                <w:p w14:paraId="06C1EE58">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Prada Beauty</w:t>
                  </w:r>
                </w:p>
              </w:tc>
              <w:tc>
                <w:tcPr>
                  <w:tcW w:w="968" w:type="dxa"/>
                  <w:tcBorders>
                    <w:top w:val="nil"/>
                    <w:left w:val="nil"/>
                    <w:bottom w:val="nil"/>
                    <w:right w:val="nil"/>
                  </w:tcBorders>
                  <w:shd w:val="clear" w:color="000000" w:fill="F2F2F2"/>
                  <w:vAlign w:val="center"/>
                </w:tcPr>
                <w:p w14:paraId="58E155FF">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Couture</w:t>
                  </w:r>
                </w:p>
              </w:tc>
              <w:tc>
                <w:tcPr>
                  <w:tcW w:w="1020" w:type="dxa"/>
                  <w:tcBorders>
                    <w:top w:val="nil"/>
                    <w:left w:val="nil"/>
                    <w:bottom w:val="nil"/>
                    <w:right w:val="nil"/>
                  </w:tcBorders>
                  <w:shd w:val="clear" w:color="000000" w:fill="F2F2F2"/>
                  <w:vAlign w:val="center"/>
                </w:tcPr>
                <w:p w14:paraId="57AD0209">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Licensed 2019</w:t>
                  </w:r>
                </w:p>
              </w:tc>
              <w:tc>
                <w:tcPr>
                  <w:tcW w:w="1977" w:type="dxa"/>
                  <w:tcBorders>
                    <w:top w:val="nil"/>
                    <w:left w:val="nil"/>
                    <w:bottom w:val="nil"/>
                    <w:right w:val="nil"/>
                  </w:tcBorders>
                  <w:shd w:val="clear" w:color="000000" w:fill="F2F2F2"/>
                  <w:vAlign w:val="center"/>
                </w:tcPr>
                <w:p w14:paraId="2333EA6A">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Paradoxe, Paradigme</w:t>
                  </w:r>
                </w:p>
              </w:tc>
              <w:tc>
                <w:tcPr>
                  <w:tcW w:w="2494" w:type="dxa"/>
                  <w:tcBorders>
                    <w:top w:val="nil"/>
                    <w:left w:val="nil"/>
                    <w:bottom w:val="nil"/>
                    <w:right w:val="nil"/>
                  </w:tcBorders>
                  <w:shd w:val="clear" w:color="000000" w:fill="F2F2F2"/>
                  <w:vAlign w:val="center"/>
                </w:tcPr>
                <w:p w14:paraId="19B4A181">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Valentino &amp; Prada Drive Couture Category Growth</w:t>
                  </w:r>
                </w:p>
              </w:tc>
            </w:tr>
            <w:tr w14:paraId="476E3250">
              <w:tblPrEx>
                <w:tblCellMar>
                  <w:top w:w="0" w:type="dxa"/>
                  <w:left w:w="108" w:type="dxa"/>
                  <w:bottom w:w="0" w:type="dxa"/>
                  <w:right w:w="108" w:type="dxa"/>
                </w:tblCellMar>
              </w:tblPrEx>
              <w:trPr>
                <w:trHeight w:val="23" w:hRule="atLeast"/>
              </w:trPr>
              <w:tc>
                <w:tcPr>
                  <w:tcW w:w="1168" w:type="dxa"/>
                  <w:tcBorders>
                    <w:top w:val="nil"/>
                    <w:left w:val="nil"/>
                    <w:bottom w:val="nil"/>
                    <w:right w:val="nil"/>
                  </w:tcBorders>
                  <w:vAlign w:val="center"/>
                </w:tcPr>
                <w:p w14:paraId="5EC775D9">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Valentino Beauty</w:t>
                  </w:r>
                </w:p>
              </w:tc>
              <w:tc>
                <w:tcPr>
                  <w:tcW w:w="968" w:type="dxa"/>
                  <w:tcBorders>
                    <w:top w:val="nil"/>
                    <w:left w:val="nil"/>
                    <w:bottom w:val="nil"/>
                    <w:right w:val="nil"/>
                  </w:tcBorders>
                  <w:vAlign w:val="center"/>
                </w:tcPr>
                <w:p w14:paraId="2500DD46">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Couture</w:t>
                  </w:r>
                </w:p>
              </w:tc>
              <w:tc>
                <w:tcPr>
                  <w:tcW w:w="1020" w:type="dxa"/>
                  <w:tcBorders>
                    <w:top w:val="nil"/>
                    <w:left w:val="nil"/>
                    <w:bottom w:val="nil"/>
                    <w:right w:val="nil"/>
                  </w:tcBorders>
                  <w:vAlign w:val="center"/>
                </w:tcPr>
                <w:p w14:paraId="2D359F4C">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Licensed 2019</w:t>
                  </w:r>
                </w:p>
              </w:tc>
              <w:tc>
                <w:tcPr>
                  <w:tcW w:w="1977" w:type="dxa"/>
                  <w:tcBorders>
                    <w:top w:val="nil"/>
                    <w:left w:val="nil"/>
                    <w:bottom w:val="nil"/>
                    <w:right w:val="nil"/>
                  </w:tcBorders>
                  <w:vAlign w:val="center"/>
                </w:tcPr>
                <w:p w14:paraId="7D2CEA6B">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Born in Roma, Donna Born in Roma</w:t>
                  </w:r>
                </w:p>
              </w:tc>
              <w:tc>
                <w:tcPr>
                  <w:tcW w:w="2494" w:type="dxa"/>
                  <w:tcBorders>
                    <w:top w:val="nil"/>
                    <w:left w:val="nil"/>
                    <w:bottom w:val="nil"/>
                    <w:right w:val="nil"/>
                  </w:tcBorders>
                  <w:vAlign w:val="center"/>
                </w:tcPr>
                <w:p w14:paraId="3F29F379">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Strong Expansion across North Asia</w:t>
                  </w:r>
                </w:p>
              </w:tc>
            </w:tr>
            <w:tr w14:paraId="3A042C56">
              <w:tblPrEx>
                <w:tblCellMar>
                  <w:top w:w="0" w:type="dxa"/>
                  <w:left w:w="108" w:type="dxa"/>
                  <w:bottom w:w="0" w:type="dxa"/>
                  <w:right w:w="108" w:type="dxa"/>
                </w:tblCellMar>
              </w:tblPrEx>
              <w:trPr>
                <w:trHeight w:val="23" w:hRule="atLeast"/>
              </w:trPr>
              <w:tc>
                <w:tcPr>
                  <w:tcW w:w="1168" w:type="dxa"/>
                  <w:tcBorders>
                    <w:top w:val="nil"/>
                    <w:left w:val="nil"/>
                    <w:bottom w:val="nil"/>
                    <w:right w:val="nil"/>
                  </w:tcBorders>
                  <w:shd w:val="clear" w:color="000000" w:fill="F2F2F2"/>
                  <w:vAlign w:val="center"/>
                </w:tcPr>
                <w:p w14:paraId="698CFA3B">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Aēsop</w:t>
                  </w:r>
                </w:p>
              </w:tc>
              <w:tc>
                <w:tcPr>
                  <w:tcW w:w="968" w:type="dxa"/>
                  <w:tcBorders>
                    <w:top w:val="nil"/>
                    <w:left w:val="nil"/>
                    <w:bottom w:val="nil"/>
                    <w:right w:val="nil"/>
                  </w:tcBorders>
                  <w:shd w:val="clear" w:color="000000" w:fill="F2F2F2"/>
                  <w:vAlign w:val="center"/>
                </w:tcPr>
                <w:p w14:paraId="60689B19">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Ultra-Luxury</w:t>
                  </w:r>
                </w:p>
              </w:tc>
              <w:tc>
                <w:tcPr>
                  <w:tcW w:w="1020" w:type="dxa"/>
                  <w:tcBorders>
                    <w:top w:val="nil"/>
                    <w:left w:val="nil"/>
                    <w:bottom w:val="nil"/>
                    <w:right w:val="nil"/>
                  </w:tcBorders>
                  <w:shd w:val="clear" w:color="000000" w:fill="F2F2F2"/>
                  <w:vAlign w:val="center"/>
                </w:tcPr>
                <w:p w14:paraId="2812FCFA">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Acquired 2023</w:t>
                  </w:r>
                </w:p>
              </w:tc>
              <w:tc>
                <w:tcPr>
                  <w:tcW w:w="1977" w:type="dxa"/>
                  <w:tcBorders>
                    <w:top w:val="nil"/>
                    <w:left w:val="nil"/>
                    <w:bottom w:val="nil"/>
                    <w:right w:val="nil"/>
                  </w:tcBorders>
                  <w:shd w:val="clear" w:color="000000" w:fill="F2F2F2"/>
                  <w:vAlign w:val="center"/>
                </w:tcPr>
                <w:p w14:paraId="7B7FD610">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Resurrection, Marrakech</w:t>
                  </w:r>
                </w:p>
              </w:tc>
              <w:tc>
                <w:tcPr>
                  <w:tcW w:w="2494" w:type="dxa"/>
                  <w:tcBorders>
                    <w:top w:val="nil"/>
                    <w:left w:val="nil"/>
                    <w:bottom w:val="nil"/>
                    <w:right w:val="nil"/>
                  </w:tcBorders>
                  <w:shd w:val="clear" w:color="000000" w:fill="F2F2F2"/>
                  <w:vAlign w:val="center"/>
                </w:tcPr>
                <w:p w14:paraId="72441C72">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42 New Store Openings in 2024 (incl. 13 in China)</w:t>
                  </w:r>
                </w:p>
              </w:tc>
            </w:tr>
            <w:tr w14:paraId="0804E7B8">
              <w:tblPrEx>
                <w:tblCellMar>
                  <w:top w:w="0" w:type="dxa"/>
                  <w:left w:w="108" w:type="dxa"/>
                  <w:bottom w:w="0" w:type="dxa"/>
                  <w:right w:w="108" w:type="dxa"/>
                </w:tblCellMar>
              </w:tblPrEx>
              <w:trPr>
                <w:trHeight w:val="23" w:hRule="atLeast"/>
              </w:trPr>
              <w:tc>
                <w:tcPr>
                  <w:tcW w:w="1168" w:type="dxa"/>
                  <w:tcBorders>
                    <w:top w:val="nil"/>
                    <w:left w:val="nil"/>
                    <w:bottom w:val="nil"/>
                    <w:right w:val="nil"/>
                  </w:tcBorders>
                  <w:vAlign w:val="center"/>
                </w:tcPr>
                <w:p w14:paraId="4D25C0E0">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Maison Margiela</w:t>
                  </w:r>
                </w:p>
              </w:tc>
              <w:tc>
                <w:tcPr>
                  <w:tcW w:w="968" w:type="dxa"/>
                  <w:tcBorders>
                    <w:top w:val="nil"/>
                    <w:left w:val="nil"/>
                    <w:bottom w:val="nil"/>
                    <w:right w:val="nil"/>
                  </w:tcBorders>
                  <w:vAlign w:val="center"/>
                </w:tcPr>
                <w:p w14:paraId="3C651EDA">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Couture</w:t>
                  </w:r>
                </w:p>
              </w:tc>
              <w:tc>
                <w:tcPr>
                  <w:tcW w:w="1020" w:type="dxa"/>
                  <w:tcBorders>
                    <w:top w:val="nil"/>
                    <w:left w:val="nil"/>
                    <w:bottom w:val="nil"/>
                    <w:right w:val="nil"/>
                  </w:tcBorders>
                  <w:vAlign w:val="center"/>
                </w:tcPr>
                <w:p w14:paraId="0E5D63FF">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w:t>
                  </w:r>
                </w:p>
              </w:tc>
              <w:tc>
                <w:tcPr>
                  <w:tcW w:w="1977" w:type="dxa"/>
                  <w:tcBorders>
                    <w:top w:val="nil"/>
                    <w:left w:val="nil"/>
                    <w:bottom w:val="nil"/>
                    <w:right w:val="nil"/>
                  </w:tcBorders>
                  <w:vAlign w:val="center"/>
                </w:tcPr>
                <w:p w14:paraId="2FD1D619">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Replica Collection</w:t>
                  </w:r>
                </w:p>
              </w:tc>
              <w:tc>
                <w:tcPr>
                  <w:tcW w:w="2494" w:type="dxa"/>
                  <w:tcBorders>
                    <w:top w:val="nil"/>
                    <w:left w:val="nil"/>
                    <w:bottom w:val="nil"/>
                    <w:right w:val="nil"/>
                  </w:tcBorders>
                  <w:vAlign w:val="center"/>
                </w:tcPr>
                <w:p w14:paraId="200F5A38">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Niche Fragrance Growth</w:t>
                  </w:r>
                </w:p>
              </w:tc>
            </w:tr>
            <w:tr w14:paraId="5FB6DB61">
              <w:tblPrEx>
                <w:tblCellMar>
                  <w:top w:w="0" w:type="dxa"/>
                  <w:left w:w="108" w:type="dxa"/>
                  <w:bottom w:w="0" w:type="dxa"/>
                  <w:right w:w="108" w:type="dxa"/>
                </w:tblCellMar>
              </w:tblPrEx>
              <w:trPr>
                <w:trHeight w:val="23" w:hRule="atLeast"/>
              </w:trPr>
              <w:tc>
                <w:tcPr>
                  <w:tcW w:w="1168" w:type="dxa"/>
                  <w:tcBorders>
                    <w:top w:val="nil"/>
                    <w:left w:val="nil"/>
                    <w:bottom w:val="nil"/>
                    <w:right w:val="nil"/>
                  </w:tcBorders>
                  <w:shd w:val="clear" w:color="000000" w:fill="F2F2F2"/>
                  <w:vAlign w:val="center"/>
                </w:tcPr>
                <w:p w14:paraId="3F3A3B5C">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Miu Miu Beauty</w:t>
                  </w:r>
                </w:p>
              </w:tc>
              <w:tc>
                <w:tcPr>
                  <w:tcW w:w="968" w:type="dxa"/>
                  <w:tcBorders>
                    <w:top w:val="nil"/>
                    <w:left w:val="nil"/>
                    <w:bottom w:val="nil"/>
                    <w:right w:val="nil"/>
                  </w:tcBorders>
                  <w:shd w:val="clear" w:color="000000" w:fill="F2F2F2"/>
                  <w:vAlign w:val="center"/>
                </w:tcPr>
                <w:p w14:paraId="38041722">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Couture</w:t>
                  </w:r>
                </w:p>
              </w:tc>
              <w:tc>
                <w:tcPr>
                  <w:tcW w:w="1020" w:type="dxa"/>
                  <w:tcBorders>
                    <w:top w:val="nil"/>
                    <w:left w:val="nil"/>
                    <w:bottom w:val="nil"/>
                    <w:right w:val="nil"/>
                  </w:tcBorders>
                  <w:shd w:val="clear" w:color="000000" w:fill="F2F2F2"/>
                  <w:vAlign w:val="center"/>
                </w:tcPr>
                <w:p w14:paraId="0FF83D9C">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Licensed 2024</w:t>
                  </w:r>
                </w:p>
              </w:tc>
              <w:tc>
                <w:tcPr>
                  <w:tcW w:w="1977" w:type="dxa"/>
                  <w:tcBorders>
                    <w:top w:val="nil"/>
                    <w:left w:val="nil"/>
                    <w:bottom w:val="nil"/>
                    <w:right w:val="nil"/>
                  </w:tcBorders>
                  <w:shd w:val="clear" w:color="000000" w:fill="F2F2F2"/>
                  <w:vAlign w:val="center"/>
                </w:tcPr>
                <w:p w14:paraId="41603D5F">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Miutine (Launch 2025)</w:t>
                  </w:r>
                </w:p>
              </w:tc>
              <w:tc>
                <w:tcPr>
                  <w:tcW w:w="2494" w:type="dxa"/>
                  <w:tcBorders>
                    <w:top w:val="nil"/>
                    <w:left w:val="nil"/>
                    <w:bottom w:val="nil"/>
                    <w:right w:val="nil"/>
                  </w:tcBorders>
                  <w:shd w:val="clear" w:color="000000" w:fill="F2F2F2"/>
                  <w:vAlign w:val="center"/>
                </w:tcPr>
                <w:p w14:paraId="241F4C17">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Targeting Gen-Z Consumers</w:t>
                  </w:r>
                </w:p>
              </w:tc>
            </w:tr>
            <w:tr w14:paraId="6475FAB7">
              <w:tblPrEx>
                <w:tblCellMar>
                  <w:top w:w="0" w:type="dxa"/>
                  <w:left w:w="108" w:type="dxa"/>
                  <w:bottom w:w="0" w:type="dxa"/>
                  <w:right w:w="108" w:type="dxa"/>
                </w:tblCellMar>
              </w:tblPrEx>
              <w:trPr>
                <w:trHeight w:val="23" w:hRule="atLeast"/>
              </w:trPr>
              <w:tc>
                <w:tcPr>
                  <w:tcW w:w="1168" w:type="dxa"/>
                  <w:tcBorders>
                    <w:top w:val="nil"/>
                    <w:left w:val="nil"/>
                    <w:bottom w:val="nil"/>
                    <w:right w:val="nil"/>
                  </w:tcBorders>
                  <w:vAlign w:val="center"/>
                </w:tcPr>
                <w:p w14:paraId="050B0DF4">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Medik8</w:t>
                  </w:r>
                </w:p>
              </w:tc>
              <w:tc>
                <w:tcPr>
                  <w:tcW w:w="968" w:type="dxa"/>
                  <w:tcBorders>
                    <w:top w:val="nil"/>
                    <w:left w:val="nil"/>
                    <w:bottom w:val="nil"/>
                    <w:right w:val="nil"/>
                  </w:tcBorders>
                  <w:vAlign w:val="center"/>
                </w:tcPr>
                <w:p w14:paraId="14230AD5">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Skincare</w:t>
                  </w:r>
                </w:p>
              </w:tc>
              <w:tc>
                <w:tcPr>
                  <w:tcW w:w="1020" w:type="dxa"/>
                  <w:tcBorders>
                    <w:top w:val="nil"/>
                    <w:left w:val="nil"/>
                    <w:bottom w:val="nil"/>
                    <w:right w:val="nil"/>
                  </w:tcBorders>
                  <w:vAlign w:val="center"/>
                </w:tcPr>
                <w:p w14:paraId="1F6341E8">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Acquired 2025</w:t>
                  </w:r>
                </w:p>
              </w:tc>
              <w:tc>
                <w:tcPr>
                  <w:tcW w:w="1977" w:type="dxa"/>
                  <w:tcBorders>
                    <w:top w:val="nil"/>
                    <w:left w:val="nil"/>
                    <w:bottom w:val="nil"/>
                    <w:right w:val="nil"/>
                  </w:tcBorders>
                  <w:vAlign w:val="center"/>
                </w:tcPr>
                <w:p w14:paraId="3DE4216C">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Crystal Retinal</w:t>
                  </w:r>
                </w:p>
              </w:tc>
              <w:tc>
                <w:tcPr>
                  <w:tcW w:w="2494" w:type="dxa"/>
                  <w:tcBorders>
                    <w:top w:val="nil"/>
                    <w:left w:val="nil"/>
                    <w:bottom w:val="nil"/>
                    <w:right w:val="nil"/>
                  </w:tcBorders>
                  <w:vAlign w:val="center"/>
                </w:tcPr>
                <w:p w14:paraId="73E2F24A">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w:t>
                  </w:r>
                </w:p>
              </w:tc>
            </w:tr>
          </w:tbl>
          <w:p w14:paraId="3C9E7CB9">
            <w:pPr>
              <w:rPr>
                <w:rFonts w:hint="default" w:ascii="Calibri" w:hAnsi="Calibri" w:eastAsia="楷体_GB2312" w:cs="Calibri"/>
                <w:kern w:val="2"/>
                <w:sz w:val="22"/>
                <w:szCs w:val="22"/>
              </w:rPr>
            </w:pPr>
          </w:p>
        </w:tc>
      </w:tr>
      <w:tr w14:paraId="0E1EA4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1BE7290D">
            <w:pPr>
              <w:rPr>
                <w:rFonts w:hint="default" w:ascii="Calibri" w:hAnsi="Calibri" w:eastAsia="楷体_GB2312" w:cs="Calibri"/>
                <w:b w:val="0"/>
                <w:bCs w:val="0"/>
                <w:kern w:val="2"/>
                <w:sz w:val="20"/>
                <w:szCs w:val="20"/>
              </w:rPr>
            </w:pPr>
            <w:r>
              <w:rPr>
                <w:rFonts w:hint="default" w:ascii="Calibri" w:hAnsi="Calibri" w:eastAsia="楷体_GB2312" w:cs="Calibri"/>
                <w:b w:val="0"/>
                <w:bCs w:val="0"/>
                <w:kern w:val="2"/>
                <w:sz w:val="20"/>
                <w:szCs w:val="20"/>
              </w:rPr>
              <w:t>Source: Company Annual Reports, HFI</w:t>
            </w:r>
          </w:p>
        </w:tc>
      </w:tr>
    </w:tbl>
    <w:p w14:paraId="11C8D429">
      <w:pPr>
        <w:jc w:val="both"/>
        <w:rPr>
          <w:rFonts w:hint="default" w:ascii="Calibri" w:hAnsi="Calibri" w:eastAsia="楷体_GB2312" w:cs="Calibri"/>
          <w:kern w:val="2"/>
          <w:sz w:val="22"/>
          <w:szCs w:val="22"/>
        </w:rPr>
      </w:pPr>
      <w:r>
        <w:rPr>
          <w:rFonts w:hint="default" w:ascii="Calibri" w:hAnsi="Calibri" w:eastAsia="楷体_GB2312" w:cs="Calibri"/>
          <w:b/>
          <w:bCs/>
          <w:kern w:val="2"/>
          <w:sz w:val="22"/>
          <w:szCs w:val="22"/>
        </w:rPr>
        <w:t xml:space="preserve">The brands in this division command powerful premiums through unique brand stories and innovative technology, demonstrating the group's exceptional brand-building capabilities. </w:t>
      </w:r>
      <w:r>
        <w:rPr>
          <w:rFonts w:hint="default" w:ascii="Calibri" w:hAnsi="Calibri" w:eastAsia="楷体_GB2312" w:cs="Calibri"/>
          <w:kern w:val="2"/>
          <w:sz w:val="22"/>
          <w:szCs w:val="22"/>
        </w:rPr>
        <w:t>Taking Lancôme as an example: founded in 1935 and acquired by L'Oréal in 1964, Lancôme is positioned around French elegance and cutting-edge science, ranking as a leading luxury beauty brand in 130 global markets. At the brand narrative level, Lancôme uses the rose as its inspirational symbol — drawn from the château at Lancosme — and conveys an ethos of elegance and confidence through global celebrity ambassadors including Julia Roberts and Zendaya. At the product technology level, the Génifique serum deploys the group's proprietary Bifidus fermentation technology, and the Absolue range targets ultra-luxury anti-ageing using Pro-Xylane and rose extract, translating the group's EUR 1.38 billion annual R&amp;D investment into product differentiation. In terms of channel management, Lancôme strictly limits distribution to premium channels — department store counters, brand boutiques, and official e-commerce — maintaining a unified brand positioning. This is validated by the L'Oréal Luxe division's overall operating profit margin of 22.3% in 2024, confirming the sustainability of brand premium.</w:t>
      </w:r>
    </w:p>
    <w:p w14:paraId="65BE73A2">
      <w:pPr>
        <w:jc w:val="both"/>
        <w:rPr>
          <w:rFonts w:hint="default" w:ascii="Calibri" w:hAnsi="Calibri" w:eastAsia="楷体_GB2312" w:cs="Calibri"/>
          <w:kern w:val="2"/>
          <w:sz w:val="22"/>
          <w:szCs w:val="22"/>
        </w:rPr>
      </w:pP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74"/>
      </w:tblGrid>
      <w:tr w14:paraId="69C6C2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bottom w:val="single" w:color="auto" w:sz="4" w:space="0"/>
            </w:tcBorders>
          </w:tcPr>
          <w:p w14:paraId="524986D7">
            <w:pPr>
              <w:rPr>
                <w:rFonts w:hint="default" w:ascii="Calibri" w:hAnsi="Calibri" w:eastAsia="楷体_GB2312" w:cs="Calibri"/>
                <w:b/>
                <w:bCs/>
                <w:kern w:val="2"/>
                <w:sz w:val="22"/>
                <w:szCs w:val="22"/>
              </w:rPr>
            </w:pPr>
            <w:r>
              <w:rPr>
                <w:rFonts w:hint="default" w:ascii="Calibri" w:hAnsi="Calibri" w:eastAsia="楷体_GB2312" w:cs="Calibri"/>
                <w:b/>
                <w:bCs/>
                <w:kern w:val="2"/>
                <w:sz w:val="22"/>
                <w:szCs w:val="22"/>
              </w:rPr>
              <w:t>Figure: Lancôme Brand Overview</w:t>
            </w:r>
          </w:p>
        </w:tc>
      </w:tr>
      <w:tr w14:paraId="7E523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tbl>
            <w:tblPr>
              <w:tblStyle w:val="12"/>
              <w:tblW w:w="7596" w:type="dxa"/>
              <w:tblInd w:w="0" w:type="dxa"/>
              <w:tblLayout w:type="autofit"/>
              <w:tblCellMar>
                <w:top w:w="0" w:type="dxa"/>
                <w:left w:w="108" w:type="dxa"/>
                <w:bottom w:w="0" w:type="dxa"/>
                <w:right w:w="108" w:type="dxa"/>
              </w:tblCellMar>
            </w:tblPr>
            <w:tblGrid>
              <w:gridCol w:w="1206"/>
              <w:gridCol w:w="2226"/>
              <w:gridCol w:w="1418"/>
              <w:gridCol w:w="2746"/>
            </w:tblGrid>
            <w:tr w14:paraId="32A75513">
              <w:tblPrEx>
                <w:tblCellMar>
                  <w:top w:w="0" w:type="dxa"/>
                  <w:left w:w="108" w:type="dxa"/>
                  <w:bottom w:w="0" w:type="dxa"/>
                  <w:right w:w="108" w:type="dxa"/>
                </w:tblCellMar>
              </w:tblPrEx>
              <w:trPr>
                <w:trHeight w:val="814" w:hRule="atLeast"/>
              </w:trPr>
              <w:tc>
                <w:tcPr>
                  <w:tcW w:w="1206" w:type="dxa"/>
                  <w:tcBorders>
                    <w:top w:val="nil"/>
                    <w:left w:val="nil"/>
                    <w:bottom w:val="nil"/>
                    <w:right w:val="nil"/>
                  </w:tcBorders>
                  <w:shd w:val="clear" w:color="000000" w:fill="002060"/>
                  <w:vAlign w:val="center"/>
                </w:tcPr>
                <w:p w14:paraId="6A6CBD26">
                  <w:pPr>
                    <w:jc w:val="center"/>
                    <w:rPr>
                      <w:rFonts w:hint="default" w:ascii="Calibri" w:hAnsi="Calibri" w:eastAsia="楷体_GB2312" w:cs="Calibri"/>
                      <w:b/>
                      <w:bCs/>
                      <w:snapToGrid/>
                      <w:color w:val="FFFFFF"/>
                      <w:sz w:val="22"/>
                      <w:szCs w:val="22"/>
                    </w:rPr>
                  </w:pPr>
                  <w:r>
                    <w:rPr>
                      <w:rFonts w:hint="default" w:ascii="Calibri" w:hAnsi="Calibri" w:eastAsia="楷体_GB2312" w:cs="Calibri"/>
                      <w:b/>
                      <w:bCs/>
                      <w:snapToGrid/>
                      <w:color w:val="FFFFFF"/>
                      <w:sz w:val="22"/>
                      <w:szCs w:val="22"/>
                    </w:rPr>
                    <w:t>Category</w:t>
                  </w:r>
                </w:p>
              </w:tc>
              <w:tc>
                <w:tcPr>
                  <w:tcW w:w="2226" w:type="dxa"/>
                  <w:tcBorders>
                    <w:top w:val="nil"/>
                    <w:left w:val="nil"/>
                    <w:bottom w:val="nil"/>
                    <w:right w:val="nil"/>
                  </w:tcBorders>
                  <w:shd w:val="clear" w:color="000000" w:fill="002060"/>
                  <w:vAlign w:val="center"/>
                </w:tcPr>
                <w:p w14:paraId="68A15BE7">
                  <w:pPr>
                    <w:jc w:val="center"/>
                    <w:rPr>
                      <w:rFonts w:hint="default" w:ascii="Calibri" w:hAnsi="Calibri" w:eastAsia="楷体_GB2312" w:cs="Calibri"/>
                      <w:b/>
                      <w:bCs/>
                      <w:snapToGrid/>
                      <w:color w:val="FFFFFF"/>
                      <w:sz w:val="22"/>
                      <w:szCs w:val="22"/>
                    </w:rPr>
                  </w:pPr>
                  <w:r>
                    <w:rPr>
                      <w:rFonts w:hint="default" w:ascii="Calibri" w:hAnsi="Calibri" w:eastAsia="楷体_GB2312" w:cs="Calibri"/>
                      <w:b/>
                      <w:bCs/>
                      <w:snapToGrid/>
                      <w:color w:val="FFFFFF"/>
                      <w:sz w:val="22"/>
                      <w:szCs w:val="22"/>
                    </w:rPr>
                    <w:t>Hero Products</w:t>
                  </w:r>
                </w:p>
              </w:tc>
              <w:tc>
                <w:tcPr>
                  <w:tcW w:w="1418" w:type="dxa"/>
                  <w:tcBorders>
                    <w:top w:val="nil"/>
                    <w:left w:val="nil"/>
                    <w:bottom w:val="nil"/>
                    <w:right w:val="nil"/>
                  </w:tcBorders>
                  <w:shd w:val="clear" w:color="000000" w:fill="002060"/>
                  <w:vAlign w:val="center"/>
                </w:tcPr>
                <w:p w14:paraId="114FABDA">
                  <w:pPr>
                    <w:jc w:val="center"/>
                    <w:rPr>
                      <w:rFonts w:hint="default" w:ascii="Calibri" w:hAnsi="Calibri" w:eastAsia="楷体_GB2312" w:cs="Calibri"/>
                      <w:b/>
                      <w:bCs/>
                      <w:snapToGrid/>
                      <w:color w:val="FFFFFF"/>
                      <w:sz w:val="22"/>
                      <w:szCs w:val="22"/>
                    </w:rPr>
                  </w:pPr>
                  <w:r>
                    <w:rPr>
                      <w:rFonts w:hint="default" w:ascii="Calibri" w:hAnsi="Calibri" w:eastAsia="楷体_GB2312" w:cs="Calibri"/>
                      <w:b/>
                      <w:bCs/>
                      <w:snapToGrid/>
                      <w:color w:val="FFFFFF"/>
                      <w:sz w:val="22"/>
                      <w:szCs w:val="22"/>
                    </w:rPr>
                    <w:t>Target Consumer</w:t>
                  </w:r>
                </w:p>
              </w:tc>
              <w:tc>
                <w:tcPr>
                  <w:tcW w:w="2746" w:type="dxa"/>
                  <w:tcBorders>
                    <w:top w:val="nil"/>
                    <w:left w:val="nil"/>
                    <w:bottom w:val="nil"/>
                    <w:right w:val="nil"/>
                  </w:tcBorders>
                  <w:shd w:val="clear" w:color="000000" w:fill="002060"/>
                  <w:vAlign w:val="center"/>
                </w:tcPr>
                <w:p w14:paraId="38807222">
                  <w:pPr>
                    <w:jc w:val="center"/>
                    <w:rPr>
                      <w:rFonts w:hint="default" w:ascii="Calibri" w:hAnsi="Calibri" w:eastAsia="楷体_GB2312" w:cs="Calibri"/>
                      <w:b/>
                      <w:bCs/>
                      <w:snapToGrid/>
                      <w:color w:val="FFFFFF"/>
                      <w:sz w:val="22"/>
                      <w:szCs w:val="22"/>
                    </w:rPr>
                  </w:pPr>
                  <w:r>
                    <w:rPr>
                      <w:rFonts w:hint="default" w:ascii="Calibri" w:hAnsi="Calibri" w:eastAsia="楷体_GB2312" w:cs="Calibri"/>
                      <w:b/>
                      <w:bCs/>
                      <w:snapToGrid/>
                      <w:color w:val="FFFFFF"/>
                      <w:sz w:val="22"/>
                      <w:szCs w:val="22"/>
                    </w:rPr>
                    <w:t>Highlights</w:t>
                  </w:r>
                </w:p>
              </w:tc>
            </w:tr>
            <w:tr w14:paraId="665E5620">
              <w:tblPrEx>
                <w:tblCellMar>
                  <w:top w:w="0" w:type="dxa"/>
                  <w:left w:w="108" w:type="dxa"/>
                  <w:bottom w:w="0" w:type="dxa"/>
                  <w:right w:w="108" w:type="dxa"/>
                </w:tblCellMar>
              </w:tblPrEx>
              <w:trPr>
                <w:trHeight w:val="542" w:hRule="atLeast"/>
              </w:trPr>
              <w:tc>
                <w:tcPr>
                  <w:tcW w:w="1206" w:type="dxa"/>
                  <w:tcBorders>
                    <w:top w:val="nil"/>
                    <w:left w:val="nil"/>
                    <w:bottom w:val="nil"/>
                    <w:right w:val="nil"/>
                  </w:tcBorders>
                  <w:vAlign w:val="center"/>
                </w:tcPr>
                <w:p w14:paraId="587781C2">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Skincare</w:t>
                  </w:r>
                </w:p>
              </w:tc>
              <w:tc>
                <w:tcPr>
                  <w:tcW w:w="2226" w:type="dxa"/>
                  <w:tcBorders>
                    <w:top w:val="nil"/>
                    <w:left w:val="nil"/>
                    <w:bottom w:val="nil"/>
                    <w:right w:val="nil"/>
                  </w:tcBorders>
                  <w:vAlign w:val="center"/>
                </w:tcPr>
                <w:p w14:paraId="7BB9D0BB">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Advanced Génifique Serum; Biotic Serum</w:t>
                  </w:r>
                </w:p>
              </w:tc>
              <w:tc>
                <w:tcPr>
                  <w:tcW w:w="1418" w:type="dxa"/>
                  <w:tcBorders>
                    <w:top w:val="nil"/>
                    <w:left w:val="nil"/>
                    <w:bottom w:val="nil"/>
                    <w:right w:val="nil"/>
                  </w:tcBorders>
                  <w:vAlign w:val="center"/>
                </w:tcPr>
                <w:p w14:paraId="5CC859C4">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 xml:space="preserve">Women </w:t>
                  </w:r>
                </w:p>
                <w:p w14:paraId="22898D4C">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25–55</w:t>
                  </w:r>
                </w:p>
              </w:tc>
              <w:tc>
                <w:tcPr>
                  <w:tcW w:w="2746" w:type="dxa"/>
                  <w:tcBorders>
                    <w:top w:val="nil"/>
                    <w:left w:val="nil"/>
                    <w:bottom w:val="nil"/>
                    <w:right w:val="nil"/>
                  </w:tcBorders>
                  <w:vAlign w:val="center"/>
                </w:tcPr>
                <w:p w14:paraId="11FE5DBA">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Top 3 Prestige Serum in China</w:t>
                  </w:r>
                </w:p>
              </w:tc>
            </w:tr>
            <w:tr w14:paraId="32E95682">
              <w:tblPrEx>
                <w:tblCellMar>
                  <w:top w:w="0" w:type="dxa"/>
                  <w:left w:w="108" w:type="dxa"/>
                  <w:bottom w:w="0" w:type="dxa"/>
                  <w:right w:w="108" w:type="dxa"/>
                </w:tblCellMar>
              </w:tblPrEx>
              <w:trPr>
                <w:trHeight w:val="847" w:hRule="atLeast"/>
              </w:trPr>
              <w:tc>
                <w:tcPr>
                  <w:tcW w:w="1206" w:type="dxa"/>
                  <w:tcBorders>
                    <w:top w:val="nil"/>
                    <w:left w:val="nil"/>
                    <w:bottom w:val="nil"/>
                    <w:right w:val="nil"/>
                  </w:tcBorders>
                  <w:shd w:val="clear" w:color="000000" w:fill="F2F2F2"/>
                  <w:vAlign w:val="center"/>
                </w:tcPr>
                <w:p w14:paraId="4C1AF43F">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Anti-Aging</w:t>
                  </w:r>
                </w:p>
              </w:tc>
              <w:tc>
                <w:tcPr>
                  <w:tcW w:w="2226" w:type="dxa"/>
                  <w:tcBorders>
                    <w:top w:val="nil"/>
                    <w:left w:val="nil"/>
                    <w:bottom w:val="nil"/>
                    <w:right w:val="nil"/>
                  </w:tcBorders>
                  <w:shd w:val="clear" w:color="000000" w:fill="F2F2F2"/>
                  <w:vAlign w:val="center"/>
                </w:tcPr>
                <w:p w14:paraId="411900EF">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Absolue Collection; Rose + Pro-Xylane</w:t>
                  </w:r>
                </w:p>
              </w:tc>
              <w:tc>
                <w:tcPr>
                  <w:tcW w:w="1418" w:type="dxa"/>
                  <w:tcBorders>
                    <w:top w:val="nil"/>
                    <w:left w:val="nil"/>
                    <w:bottom w:val="nil"/>
                    <w:right w:val="nil"/>
                  </w:tcBorders>
                  <w:shd w:val="clear" w:color="000000" w:fill="F2F2F2"/>
                  <w:vAlign w:val="center"/>
                </w:tcPr>
                <w:p w14:paraId="7745A7D0">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Women 40+</w:t>
                  </w:r>
                </w:p>
              </w:tc>
              <w:tc>
                <w:tcPr>
                  <w:tcW w:w="2746" w:type="dxa"/>
                  <w:tcBorders>
                    <w:top w:val="nil"/>
                    <w:left w:val="nil"/>
                    <w:bottom w:val="nil"/>
                    <w:right w:val="nil"/>
                  </w:tcBorders>
                  <w:shd w:val="clear" w:color="000000" w:fill="F2F2F2"/>
                  <w:vAlign w:val="center"/>
                </w:tcPr>
                <w:p w14:paraId="4643D258">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Ultra-Premium Anti-Aging Line</w:t>
                  </w:r>
                </w:p>
              </w:tc>
            </w:tr>
            <w:tr w14:paraId="0CFDF847">
              <w:tblPrEx>
                <w:tblCellMar>
                  <w:top w:w="0" w:type="dxa"/>
                  <w:left w:w="108" w:type="dxa"/>
                  <w:bottom w:w="0" w:type="dxa"/>
                  <w:right w:w="108" w:type="dxa"/>
                </w:tblCellMar>
              </w:tblPrEx>
              <w:trPr>
                <w:trHeight w:val="542" w:hRule="atLeast"/>
              </w:trPr>
              <w:tc>
                <w:tcPr>
                  <w:tcW w:w="1206" w:type="dxa"/>
                  <w:tcBorders>
                    <w:top w:val="nil"/>
                    <w:left w:val="nil"/>
                    <w:bottom w:val="nil"/>
                    <w:right w:val="nil"/>
                  </w:tcBorders>
                  <w:vAlign w:val="center"/>
                </w:tcPr>
                <w:p w14:paraId="3CA87937">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Makeup</w:t>
                  </w:r>
                </w:p>
              </w:tc>
              <w:tc>
                <w:tcPr>
                  <w:tcW w:w="2226" w:type="dxa"/>
                  <w:tcBorders>
                    <w:top w:val="nil"/>
                    <w:left w:val="nil"/>
                    <w:bottom w:val="nil"/>
                    <w:right w:val="nil"/>
                  </w:tcBorders>
                  <w:vAlign w:val="center"/>
                </w:tcPr>
                <w:p w14:paraId="263F1178">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Teint Idole Ultra Wear Foundation</w:t>
                  </w:r>
                </w:p>
              </w:tc>
              <w:tc>
                <w:tcPr>
                  <w:tcW w:w="1418" w:type="dxa"/>
                  <w:tcBorders>
                    <w:top w:val="nil"/>
                    <w:left w:val="nil"/>
                    <w:bottom w:val="nil"/>
                    <w:right w:val="nil"/>
                  </w:tcBorders>
                  <w:vAlign w:val="center"/>
                </w:tcPr>
                <w:p w14:paraId="11F99D43">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Women</w:t>
                  </w:r>
                </w:p>
                <w:p w14:paraId="5C8DDDF1">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20–45</w:t>
                  </w:r>
                </w:p>
              </w:tc>
              <w:tc>
                <w:tcPr>
                  <w:tcW w:w="2746" w:type="dxa"/>
                  <w:tcBorders>
                    <w:top w:val="nil"/>
                    <w:left w:val="nil"/>
                    <w:bottom w:val="nil"/>
                    <w:right w:val="nil"/>
                  </w:tcBorders>
                  <w:vAlign w:val="center"/>
                </w:tcPr>
                <w:p w14:paraId="49884CFA">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One of the Best-Selling Prestige Foundations Globally</w:t>
                  </w:r>
                </w:p>
              </w:tc>
            </w:tr>
            <w:tr w14:paraId="7804AC1B">
              <w:tblPrEx>
                <w:tblCellMar>
                  <w:top w:w="0" w:type="dxa"/>
                  <w:left w:w="108" w:type="dxa"/>
                  <w:bottom w:w="0" w:type="dxa"/>
                  <w:right w:w="108" w:type="dxa"/>
                </w:tblCellMar>
              </w:tblPrEx>
              <w:trPr>
                <w:trHeight w:val="814" w:hRule="atLeast"/>
              </w:trPr>
              <w:tc>
                <w:tcPr>
                  <w:tcW w:w="1206" w:type="dxa"/>
                  <w:tcBorders>
                    <w:top w:val="nil"/>
                    <w:left w:val="nil"/>
                    <w:bottom w:val="nil"/>
                    <w:right w:val="nil"/>
                  </w:tcBorders>
                  <w:shd w:val="clear" w:color="000000" w:fill="F2F2F2"/>
                  <w:vAlign w:val="center"/>
                </w:tcPr>
                <w:p w14:paraId="062A6D06">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Fragrance</w:t>
                  </w:r>
                </w:p>
              </w:tc>
              <w:tc>
                <w:tcPr>
                  <w:tcW w:w="2226" w:type="dxa"/>
                  <w:tcBorders>
                    <w:top w:val="nil"/>
                    <w:left w:val="nil"/>
                    <w:bottom w:val="nil"/>
                    <w:right w:val="nil"/>
                  </w:tcBorders>
                  <w:shd w:val="clear" w:color="000000" w:fill="F2F2F2"/>
                  <w:vAlign w:val="center"/>
                </w:tcPr>
                <w:p w14:paraId="24A53F9F">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La Vie Est Belle</w:t>
                  </w:r>
                </w:p>
              </w:tc>
              <w:tc>
                <w:tcPr>
                  <w:tcW w:w="1418" w:type="dxa"/>
                  <w:tcBorders>
                    <w:top w:val="nil"/>
                    <w:left w:val="nil"/>
                    <w:bottom w:val="nil"/>
                    <w:right w:val="nil"/>
                  </w:tcBorders>
                  <w:shd w:val="clear" w:color="000000" w:fill="F2F2F2"/>
                  <w:vAlign w:val="center"/>
                </w:tcPr>
                <w:p w14:paraId="0EF024E0">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Women</w:t>
                  </w:r>
                </w:p>
                <w:p w14:paraId="72867254">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25–50</w:t>
                  </w:r>
                </w:p>
              </w:tc>
              <w:tc>
                <w:tcPr>
                  <w:tcW w:w="2746" w:type="dxa"/>
                  <w:tcBorders>
                    <w:top w:val="nil"/>
                    <w:left w:val="nil"/>
                    <w:bottom w:val="nil"/>
                    <w:right w:val="nil"/>
                  </w:tcBorders>
                  <w:shd w:val="clear" w:color="000000" w:fill="F2F2F2"/>
                  <w:vAlign w:val="center"/>
                </w:tcPr>
                <w:p w14:paraId="2ADCE9DE">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Top 5 Best-Selling Women's Fragrance Worldwide</w:t>
                  </w:r>
                </w:p>
              </w:tc>
            </w:tr>
          </w:tbl>
          <w:p w14:paraId="0928D3CE">
            <w:pPr>
              <w:rPr>
                <w:rFonts w:hint="default" w:ascii="Calibri" w:hAnsi="Calibri" w:eastAsia="楷体_GB2312" w:cs="Calibri"/>
                <w:kern w:val="2"/>
                <w:sz w:val="22"/>
                <w:szCs w:val="22"/>
              </w:rPr>
            </w:pPr>
          </w:p>
        </w:tc>
      </w:tr>
      <w:tr w14:paraId="0F5082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3381A2D5">
            <w:pPr>
              <w:rPr>
                <w:rFonts w:hint="default" w:ascii="Calibri" w:hAnsi="Calibri" w:eastAsia="楷体_GB2312" w:cs="Calibri"/>
                <w:b w:val="0"/>
                <w:bCs w:val="0"/>
                <w:kern w:val="2"/>
                <w:sz w:val="20"/>
                <w:szCs w:val="20"/>
              </w:rPr>
            </w:pPr>
            <w:r>
              <w:rPr>
                <w:rFonts w:hint="default" w:ascii="Calibri" w:hAnsi="Calibri" w:eastAsia="楷体_GB2312" w:cs="Calibri"/>
                <w:b w:val="0"/>
                <w:bCs w:val="0"/>
                <w:kern w:val="2"/>
                <w:sz w:val="20"/>
                <w:szCs w:val="20"/>
              </w:rPr>
              <w:t>Source: Company Annual Reports, HFI</w:t>
            </w:r>
          </w:p>
        </w:tc>
      </w:tr>
    </w:tbl>
    <w:p w14:paraId="1CA59826">
      <w:pPr>
        <w:jc w:val="both"/>
        <w:rPr>
          <w:rFonts w:hint="default" w:ascii="Calibri" w:hAnsi="Calibri" w:eastAsia="楷体_GB2312" w:cs="Calibri"/>
          <w:kern w:val="2"/>
          <w:sz w:val="22"/>
          <w:szCs w:val="22"/>
        </w:rPr>
      </w:pPr>
    </w:p>
    <w:p w14:paraId="4D5BBF0D">
      <w:pPr>
        <w:pStyle w:val="149"/>
        <w:ind w:right="42"/>
        <w:jc w:val="both"/>
        <w:rPr>
          <w:rFonts w:hint="default" w:ascii="Calibri" w:hAnsi="Calibri" w:eastAsia="楷体_GB2312" w:cs="Calibri"/>
          <w:color w:val="23558C"/>
          <w:sz w:val="24"/>
        </w:rPr>
      </w:pPr>
      <w:bookmarkStart w:id="22" w:name="_Toc6538"/>
      <w:r>
        <w:rPr>
          <w:rFonts w:hint="default" w:ascii="Calibri" w:hAnsi="Calibri" w:eastAsia="楷体_GB2312" w:cs="Calibri"/>
          <w:color w:val="23558C"/>
          <w:sz w:val="24"/>
        </w:rPr>
        <w:t>3.3 Professional Products Division:</w:t>
      </w:r>
      <w:r>
        <w:rPr>
          <w:rFonts w:hint="default" w:ascii="Calibri" w:hAnsi="Calibri" w:eastAsia="楷体_GB2312" w:cs="Calibri"/>
        </w:rPr>
        <w:t xml:space="preserve"> </w:t>
      </w:r>
      <w:r>
        <w:rPr>
          <w:rFonts w:hint="default" w:ascii="Calibri" w:hAnsi="Calibri" w:eastAsia="楷体_GB2312" w:cs="Calibri"/>
          <w:color w:val="23558C"/>
          <w:sz w:val="24"/>
        </w:rPr>
        <w:t>Specialized Products &amp; Channel Partnerships Build Brand Moats</w:t>
      </w:r>
      <w:bookmarkEnd w:id="22"/>
    </w:p>
    <w:p w14:paraId="45A1F4C0">
      <w:pPr>
        <w:jc w:val="both"/>
        <w:rPr>
          <w:rFonts w:hint="default" w:ascii="Calibri" w:hAnsi="Calibri" w:eastAsia="楷体_GB2312" w:cs="Calibri"/>
          <w:kern w:val="2"/>
          <w:sz w:val="22"/>
          <w:szCs w:val="22"/>
        </w:rPr>
      </w:pPr>
      <w:r>
        <w:rPr>
          <w:rFonts w:hint="default" w:ascii="Calibri" w:hAnsi="Calibri" w:eastAsia="楷体_GB2312" w:cs="Calibri"/>
          <w:b/>
          <w:bCs/>
          <w:kern w:val="2"/>
          <w:sz w:val="22"/>
          <w:szCs w:val="22"/>
        </w:rPr>
        <w:t xml:space="preserve">The global professional hair salon market reached approximately USD 11.8 billion in 2025, with continuous growth over the past five years. </w:t>
      </w:r>
      <w:r>
        <w:rPr>
          <w:rFonts w:hint="default" w:ascii="Calibri" w:hAnsi="Calibri" w:eastAsia="楷体_GB2312" w:cs="Calibri"/>
          <w:kern w:val="2"/>
          <w:sz w:val="22"/>
          <w:szCs w:val="22"/>
        </w:rPr>
        <w:t>The segment has distinctive characteristics: the salon channel (B2B) is its core, with extremely high requirements for product professionalism and safety; consumers place greater value on the service experience than on the product itself; and stylist recommendations are the most important purchase driver. The industry is undergoing a transition from a pure B2B model to a hybrid B2B+B2C approach. Growth in the premium haircare market has been particularly strong, with consumers increasingly willing to pay a premium for salon-quality products.</w:t>
      </w:r>
    </w:p>
    <w:p w14:paraId="43C91211">
      <w:pPr>
        <w:rPr>
          <w:rFonts w:hint="default" w:ascii="Calibri" w:hAnsi="Calibri" w:eastAsia="楷体_GB2312" w:cs="Calibri"/>
          <w:kern w:val="2"/>
          <w:sz w:val="22"/>
          <w:szCs w:val="22"/>
        </w:rPr>
      </w:pPr>
      <w:r>
        <w:rPr>
          <w:rFonts w:hint="default" w:ascii="Calibri" w:hAnsi="Calibri" w:eastAsia="楷体_GB2312" w:cs="Calibri"/>
          <w:kern w:val="2"/>
          <w:sz w:val="22"/>
          <w:szCs w:val="22"/>
        </w:rPr>
        <w:br w:type="page"/>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74"/>
      </w:tblGrid>
      <w:tr w14:paraId="25C05D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733" w:type="dxa"/>
            <w:tcBorders>
              <w:bottom w:val="single" w:color="auto" w:sz="4" w:space="0"/>
            </w:tcBorders>
          </w:tcPr>
          <w:p w14:paraId="6C8AD954">
            <w:pPr>
              <w:rPr>
                <w:rFonts w:hint="default" w:ascii="Calibri" w:hAnsi="Calibri" w:eastAsia="楷体_GB2312" w:cs="Calibri"/>
                <w:b/>
                <w:bCs/>
                <w:kern w:val="2"/>
                <w:sz w:val="22"/>
                <w:szCs w:val="22"/>
              </w:rPr>
            </w:pPr>
            <w:r>
              <w:rPr>
                <w:rFonts w:hint="default" w:ascii="Calibri" w:hAnsi="Calibri" w:eastAsia="楷体_GB2312" w:cs="Calibri"/>
                <w:b/>
                <w:bCs/>
                <w:kern w:val="2"/>
                <w:sz w:val="22"/>
                <w:szCs w:val="22"/>
              </w:rPr>
              <w:t>Figure: Global Professional Hair Salon Market Size 2019–2025 (USD million)</w:t>
            </w:r>
          </w:p>
        </w:tc>
      </w:tr>
      <w:tr w14:paraId="4EDB3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5FDD7B97">
            <w:pPr>
              <w:rPr>
                <w:rFonts w:hint="default" w:ascii="Calibri" w:hAnsi="Calibri" w:eastAsia="楷体_GB2312" w:cs="Calibri"/>
                <w:kern w:val="2"/>
                <w:sz w:val="22"/>
                <w:szCs w:val="22"/>
              </w:rPr>
            </w:pPr>
            <w:r>
              <w:rPr>
                <w:rFonts w:hint="default" w:ascii="Calibri" w:hAnsi="Calibri" w:eastAsia="楷体_GB2312" w:cs="Calibri"/>
                <w:snapToGrid/>
              </w:rPr>
              <w:drawing>
                <wp:inline distT="0" distB="0" distL="0" distR="0">
                  <wp:extent cx="4572000" cy="2511425"/>
                  <wp:effectExtent l="0" t="0" r="0" b="3175"/>
                  <wp:docPr id="675894708"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tc>
      </w:tr>
      <w:tr w14:paraId="2D204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4A25F477">
            <w:pPr>
              <w:rPr>
                <w:rFonts w:hint="default" w:ascii="Calibri" w:hAnsi="Calibri" w:eastAsia="楷体_GB2312" w:cs="Calibri"/>
                <w:b w:val="0"/>
                <w:bCs w:val="0"/>
                <w:kern w:val="2"/>
                <w:sz w:val="20"/>
                <w:szCs w:val="20"/>
              </w:rPr>
            </w:pPr>
            <w:r>
              <w:rPr>
                <w:rFonts w:hint="default" w:ascii="Calibri" w:hAnsi="Calibri" w:eastAsia="楷体_GB2312" w:cs="Calibri"/>
                <w:b w:val="0"/>
                <w:bCs w:val="0"/>
                <w:kern w:val="2"/>
                <w:sz w:val="20"/>
                <w:szCs w:val="20"/>
              </w:rPr>
              <w:t>Source: Company Annual Reports, HFI</w:t>
            </w:r>
          </w:p>
        </w:tc>
      </w:tr>
    </w:tbl>
    <w:p w14:paraId="7167DB2B">
      <w:pPr>
        <w:jc w:val="both"/>
        <w:rPr>
          <w:rFonts w:hint="default" w:ascii="Calibri" w:hAnsi="Calibri" w:eastAsia="楷体_GB2312" w:cs="Calibri"/>
          <w:kern w:val="2"/>
          <w:sz w:val="22"/>
          <w:szCs w:val="22"/>
        </w:rPr>
      </w:pPr>
    </w:p>
    <w:p w14:paraId="709E2C00">
      <w:pPr>
        <w:jc w:val="both"/>
        <w:rPr>
          <w:rFonts w:hint="default" w:ascii="Calibri" w:hAnsi="Calibri" w:eastAsia="楷体_GB2312" w:cs="Calibri"/>
          <w:kern w:val="2"/>
          <w:sz w:val="22"/>
          <w:szCs w:val="22"/>
        </w:rPr>
      </w:pPr>
      <w:r>
        <w:rPr>
          <w:rFonts w:hint="default" w:ascii="Calibri" w:hAnsi="Calibri" w:eastAsia="楷体_GB2312" w:cs="Calibri"/>
          <w:b/>
          <w:bCs/>
          <w:kern w:val="2"/>
          <w:sz w:val="22"/>
          <w:szCs w:val="22"/>
        </w:rPr>
        <w:t xml:space="preserve">All brands within the Professional Products Division centre their distribution on the professional hair salon channel: </w:t>
      </w:r>
      <w:r>
        <w:rPr>
          <w:rFonts w:hint="default" w:ascii="Calibri" w:hAnsi="Calibri" w:eastAsia="楷体_GB2312" w:cs="Calibri"/>
          <w:kern w:val="2"/>
          <w:sz w:val="22"/>
          <w:szCs w:val="22"/>
        </w:rPr>
        <w:t>Kérastase (founded in 1964, the division's largest brand, maintaining double-digit growth), L'Oréal Professionnel (the original founding brand, with the broadest salon coverage), Redken (acquired in 1993, the number-one professional haircare brand in the US market), Matrix, Biolage, and Pureology. The acquisition of Color Wow in June 2025 further enriched the premium haircare portfolio.</w:t>
      </w:r>
    </w:p>
    <w:p w14:paraId="71A97E74">
      <w:pPr>
        <w:jc w:val="both"/>
        <w:rPr>
          <w:rFonts w:hint="default" w:ascii="Calibri" w:hAnsi="Calibri" w:eastAsia="楷体_GB2312" w:cs="Calibri"/>
          <w:kern w:val="2"/>
          <w:sz w:val="22"/>
          <w:szCs w:val="22"/>
        </w:rPr>
      </w:pP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74"/>
      </w:tblGrid>
      <w:tr w14:paraId="75058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bottom w:val="single" w:color="auto" w:sz="4" w:space="0"/>
            </w:tcBorders>
          </w:tcPr>
          <w:p w14:paraId="1947DD67">
            <w:pPr>
              <w:rPr>
                <w:rFonts w:hint="default" w:ascii="Calibri" w:hAnsi="Calibri" w:eastAsia="楷体_GB2312" w:cs="Calibri"/>
                <w:b/>
                <w:bCs/>
                <w:kern w:val="2"/>
                <w:sz w:val="22"/>
                <w:szCs w:val="22"/>
              </w:rPr>
            </w:pPr>
            <w:r>
              <w:rPr>
                <w:rFonts w:hint="default" w:ascii="Calibri" w:hAnsi="Calibri" w:eastAsia="楷体_GB2312" w:cs="Calibri"/>
                <w:b/>
                <w:bCs/>
                <w:kern w:val="2"/>
                <w:sz w:val="22"/>
                <w:szCs w:val="22"/>
              </w:rPr>
              <w:t>Figure:</w:t>
            </w:r>
            <w:r>
              <w:rPr>
                <w:rFonts w:hint="default" w:ascii="Calibri" w:hAnsi="Calibri" w:eastAsia="楷体_GB2312" w:cs="Calibri"/>
              </w:rPr>
              <w:t xml:space="preserve"> </w:t>
            </w:r>
            <w:r>
              <w:rPr>
                <w:rFonts w:hint="default" w:ascii="Calibri" w:hAnsi="Calibri" w:eastAsia="楷体_GB2312" w:cs="Calibri"/>
                <w:b/>
                <w:bCs/>
                <w:kern w:val="2"/>
                <w:sz w:val="22"/>
                <w:szCs w:val="22"/>
              </w:rPr>
              <w:t>Professional Products Division Brand Portfolio</w:t>
            </w:r>
          </w:p>
        </w:tc>
      </w:tr>
      <w:tr w14:paraId="3FD07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tbl>
            <w:tblPr>
              <w:tblStyle w:val="12"/>
              <w:tblW w:w="7615" w:type="dxa"/>
              <w:tblInd w:w="0" w:type="dxa"/>
              <w:tblLayout w:type="autofit"/>
              <w:tblCellMar>
                <w:top w:w="0" w:type="dxa"/>
                <w:left w:w="108" w:type="dxa"/>
                <w:bottom w:w="0" w:type="dxa"/>
                <w:right w:w="108" w:type="dxa"/>
              </w:tblCellMar>
            </w:tblPr>
            <w:tblGrid>
              <w:gridCol w:w="1319"/>
              <w:gridCol w:w="2113"/>
              <w:gridCol w:w="2268"/>
              <w:gridCol w:w="1915"/>
            </w:tblGrid>
            <w:tr w14:paraId="1D487A39">
              <w:tblPrEx>
                <w:tblCellMar>
                  <w:top w:w="0" w:type="dxa"/>
                  <w:left w:w="108" w:type="dxa"/>
                  <w:bottom w:w="0" w:type="dxa"/>
                  <w:right w:w="108" w:type="dxa"/>
                </w:tblCellMar>
              </w:tblPrEx>
              <w:trPr>
                <w:trHeight w:val="255" w:hRule="atLeast"/>
              </w:trPr>
              <w:tc>
                <w:tcPr>
                  <w:tcW w:w="1319" w:type="dxa"/>
                  <w:tcBorders>
                    <w:top w:val="nil"/>
                    <w:left w:val="nil"/>
                    <w:bottom w:val="nil"/>
                    <w:right w:val="nil"/>
                  </w:tcBorders>
                  <w:shd w:val="clear" w:color="000000" w:fill="002060"/>
                  <w:vAlign w:val="center"/>
                </w:tcPr>
                <w:p w14:paraId="4016C499">
                  <w:pPr>
                    <w:jc w:val="center"/>
                    <w:rPr>
                      <w:rFonts w:hint="default" w:ascii="Calibri" w:hAnsi="Calibri" w:eastAsia="楷体_GB2312" w:cs="Calibri"/>
                      <w:b/>
                      <w:bCs/>
                      <w:snapToGrid/>
                      <w:color w:val="FFFFFF"/>
                      <w:sz w:val="20"/>
                      <w:szCs w:val="20"/>
                    </w:rPr>
                  </w:pPr>
                  <w:r>
                    <w:rPr>
                      <w:rFonts w:hint="default" w:ascii="Calibri" w:hAnsi="Calibri" w:eastAsia="楷体_GB2312" w:cs="Calibri"/>
                      <w:b/>
                      <w:bCs/>
                      <w:snapToGrid/>
                      <w:color w:val="FFFFFF"/>
                      <w:sz w:val="20"/>
                      <w:szCs w:val="20"/>
                    </w:rPr>
                    <w:t>Brand</w:t>
                  </w:r>
                </w:p>
              </w:tc>
              <w:tc>
                <w:tcPr>
                  <w:tcW w:w="2113" w:type="dxa"/>
                  <w:tcBorders>
                    <w:top w:val="nil"/>
                    <w:left w:val="nil"/>
                    <w:bottom w:val="nil"/>
                    <w:right w:val="nil"/>
                  </w:tcBorders>
                  <w:shd w:val="clear" w:color="000000" w:fill="002060"/>
                  <w:vAlign w:val="center"/>
                </w:tcPr>
                <w:p w14:paraId="44810948">
                  <w:pPr>
                    <w:jc w:val="center"/>
                    <w:rPr>
                      <w:rFonts w:hint="default" w:ascii="Calibri" w:hAnsi="Calibri" w:eastAsia="楷体_GB2312" w:cs="Calibri"/>
                      <w:b/>
                      <w:bCs/>
                      <w:snapToGrid/>
                      <w:color w:val="FFFFFF"/>
                      <w:sz w:val="20"/>
                      <w:szCs w:val="20"/>
                    </w:rPr>
                  </w:pPr>
                  <w:r>
                    <w:rPr>
                      <w:rFonts w:hint="default" w:ascii="Calibri" w:hAnsi="Calibri" w:eastAsia="楷体_GB2312" w:cs="Calibri"/>
                      <w:b/>
                      <w:bCs/>
                      <w:snapToGrid/>
                      <w:color w:val="FFFFFF"/>
                      <w:sz w:val="20"/>
                      <w:szCs w:val="20"/>
                    </w:rPr>
                    <w:t>Positioning</w:t>
                  </w:r>
                </w:p>
              </w:tc>
              <w:tc>
                <w:tcPr>
                  <w:tcW w:w="2268" w:type="dxa"/>
                  <w:tcBorders>
                    <w:top w:val="nil"/>
                    <w:left w:val="nil"/>
                    <w:bottom w:val="nil"/>
                    <w:right w:val="nil"/>
                  </w:tcBorders>
                  <w:shd w:val="clear" w:color="000000" w:fill="002060"/>
                  <w:vAlign w:val="center"/>
                </w:tcPr>
                <w:p w14:paraId="254DF7FC">
                  <w:pPr>
                    <w:jc w:val="center"/>
                    <w:rPr>
                      <w:rFonts w:hint="default" w:ascii="Calibri" w:hAnsi="Calibri" w:eastAsia="楷体_GB2312" w:cs="Calibri"/>
                      <w:b/>
                      <w:bCs/>
                      <w:snapToGrid/>
                      <w:color w:val="FFFFFF"/>
                      <w:sz w:val="20"/>
                      <w:szCs w:val="20"/>
                    </w:rPr>
                  </w:pPr>
                  <w:r>
                    <w:rPr>
                      <w:rFonts w:hint="default" w:ascii="Calibri" w:hAnsi="Calibri" w:eastAsia="楷体_GB2312" w:cs="Calibri"/>
                      <w:b/>
                      <w:bCs/>
                      <w:snapToGrid/>
                      <w:color w:val="FFFFFF"/>
                      <w:sz w:val="20"/>
                      <w:szCs w:val="20"/>
                    </w:rPr>
                    <w:t>Hero Products</w:t>
                  </w:r>
                </w:p>
              </w:tc>
              <w:tc>
                <w:tcPr>
                  <w:tcW w:w="1915" w:type="dxa"/>
                  <w:tcBorders>
                    <w:top w:val="nil"/>
                    <w:left w:val="nil"/>
                    <w:bottom w:val="nil"/>
                    <w:right w:val="nil"/>
                  </w:tcBorders>
                  <w:shd w:val="clear" w:color="000000" w:fill="002060"/>
                  <w:vAlign w:val="center"/>
                </w:tcPr>
                <w:p w14:paraId="3B2F3672">
                  <w:pPr>
                    <w:jc w:val="center"/>
                    <w:rPr>
                      <w:rFonts w:hint="default" w:ascii="Calibri" w:hAnsi="Calibri" w:eastAsia="楷体_GB2312" w:cs="Calibri"/>
                      <w:b/>
                      <w:bCs/>
                      <w:snapToGrid/>
                      <w:color w:val="FFFFFF"/>
                      <w:sz w:val="20"/>
                      <w:szCs w:val="20"/>
                    </w:rPr>
                  </w:pPr>
                  <w:r>
                    <w:rPr>
                      <w:rFonts w:hint="default" w:ascii="Calibri" w:hAnsi="Calibri" w:eastAsia="楷体_GB2312" w:cs="Calibri"/>
                      <w:b/>
                      <w:bCs/>
                      <w:snapToGrid/>
                      <w:color w:val="FFFFFF"/>
                      <w:sz w:val="20"/>
                      <w:szCs w:val="20"/>
                    </w:rPr>
                    <w:t>Channel Mix</w:t>
                  </w:r>
                </w:p>
              </w:tc>
            </w:tr>
            <w:tr w14:paraId="70B35021">
              <w:tblPrEx>
                <w:tblCellMar>
                  <w:top w:w="0" w:type="dxa"/>
                  <w:left w:w="108" w:type="dxa"/>
                  <w:bottom w:w="0" w:type="dxa"/>
                  <w:right w:w="108" w:type="dxa"/>
                </w:tblCellMar>
              </w:tblPrEx>
              <w:trPr>
                <w:trHeight w:val="510" w:hRule="atLeast"/>
              </w:trPr>
              <w:tc>
                <w:tcPr>
                  <w:tcW w:w="1319" w:type="dxa"/>
                  <w:tcBorders>
                    <w:top w:val="nil"/>
                    <w:left w:val="nil"/>
                    <w:bottom w:val="nil"/>
                    <w:right w:val="nil"/>
                  </w:tcBorders>
                  <w:vAlign w:val="center"/>
                </w:tcPr>
                <w:p w14:paraId="0085A923">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Kérastase</w:t>
                  </w:r>
                </w:p>
              </w:tc>
              <w:tc>
                <w:tcPr>
                  <w:tcW w:w="2113" w:type="dxa"/>
                  <w:tcBorders>
                    <w:top w:val="nil"/>
                    <w:left w:val="nil"/>
                    <w:bottom w:val="nil"/>
                    <w:right w:val="nil"/>
                  </w:tcBorders>
                  <w:vAlign w:val="center"/>
                </w:tcPr>
                <w:p w14:paraId="22B661AF">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Division's #1 Brand; Double-Digit Growth</w:t>
                  </w:r>
                </w:p>
              </w:tc>
              <w:tc>
                <w:tcPr>
                  <w:tcW w:w="2268" w:type="dxa"/>
                  <w:tcBorders>
                    <w:top w:val="nil"/>
                    <w:left w:val="nil"/>
                    <w:bottom w:val="nil"/>
                    <w:right w:val="nil"/>
                  </w:tcBorders>
                  <w:vAlign w:val="center"/>
                </w:tcPr>
                <w:p w14:paraId="49CE325E">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Première, Gloss Absolu</w:t>
                  </w:r>
                </w:p>
              </w:tc>
              <w:tc>
                <w:tcPr>
                  <w:tcW w:w="1915" w:type="dxa"/>
                  <w:tcBorders>
                    <w:top w:val="nil"/>
                    <w:left w:val="nil"/>
                    <w:bottom w:val="nil"/>
                    <w:right w:val="nil"/>
                  </w:tcBorders>
                  <w:vAlign w:val="center"/>
                </w:tcPr>
                <w:p w14:paraId="066F238B">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Salon + E-Commerce + Selective Retail</w:t>
                  </w:r>
                </w:p>
              </w:tc>
            </w:tr>
            <w:tr w14:paraId="2290474E">
              <w:tblPrEx>
                <w:tblCellMar>
                  <w:top w:w="0" w:type="dxa"/>
                  <w:left w:w="108" w:type="dxa"/>
                  <w:bottom w:w="0" w:type="dxa"/>
                  <w:right w:w="108" w:type="dxa"/>
                </w:tblCellMar>
              </w:tblPrEx>
              <w:trPr>
                <w:trHeight w:val="510" w:hRule="atLeast"/>
              </w:trPr>
              <w:tc>
                <w:tcPr>
                  <w:tcW w:w="1319" w:type="dxa"/>
                  <w:tcBorders>
                    <w:top w:val="nil"/>
                    <w:left w:val="nil"/>
                    <w:bottom w:val="nil"/>
                    <w:right w:val="nil"/>
                  </w:tcBorders>
                  <w:shd w:val="clear" w:color="000000" w:fill="F2F2F2"/>
                  <w:vAlign w:val="center"/>
                </w:tcPr>
                <w:p w14:paraId="2A15EA84">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L'Oréal Professionnel</w:t>
                  </w:r>
                </w:p>
              </w:tc>
              <w:tc>
                <w:tcPr>
                  <w:tcW w:w="2113" w:type="dxa"/>
                  <w:tcBorders>
                    <w:top w:val="nil"/>
                    <w:left w:val="nil"/>
                    <w:bottom w:val="nil"/>
                    <w:right w:val="nil"/>
                  </w:tcBorders>
                  <w:shd w:val="clear" w:color="000000" w:fill="F2F2F2"/>
                  <w:vAlign w:val="center"/>
                </w:tcPr>
                <w:p w14:paraId="25D28C6B">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Founding Brand; Largest Salon Footprint</w:t>
                  </w:r>
                </w:p>
              </w:tc>
              <w:tc>
                <w:tcPr>
                  <w:tcW w:w="2268" w:type="dxa"/>
                  <w:tcBorders>
                    <w:top w:val="nil"/>
                    <w:left w:val="nil"/>
                    <w:bottom w:val="nil"/>
                    <w:right w:val="nil"/>
                  </w:tcBorders>
                  <w:shd w:val="clear" w:color="000000" w:fill="F2F2F2"/>
                  <w:vAlign w:val="center"/>
                </w:tcPr>
                <w:p w14:paraId="19619CC5">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iNOA, Absolut Repair, Série Expert Moleculaire</w:t>
                  </w:r>
                </w:p>
              </w:tc>
              <w:tc>
                <w:tcPr>
                  <w:tcW w:w="1915" w:type="dxa"/>
                  <w:tcBorders>
                    <w:top w:val="nil"/>
                    <w:left w:val="nil"/>
                    <w:bottom w:val="nil"/>
                    <w:right w:val="nil"/>
                  </w:tcBorders>
                  <w:shd w:val="clear" w:color="000000" w:fill="F2F2F2"/>
                  <w:vAlign w:val="center"/>
                </w:tcPr>
                <w:p w14:paraId="50C7F85F">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Salon-Led</w:t>
                  </w:r>
                </w:p>
              </w:tc>
            </w:tr>
            <w:tr w14:paraId="4711FE2B">
              <w:tblPrEx>
                <w:tblCellMar>
                  <w:top w:w="0" w:type="dxa"/>
                  <w:left w:w="108" w:type="dxa"/>
                  <w:bottom w:w="0" w:type="dxa"/>
                  <w:right w:w="108" w:type="dxa"/>
                </w:tblCellMar>
              </w:tblPrEx>
              <w:trPr>
                <w:trHeight w:val="510" w:hRule="atLeast"/>
              </w:trPr>
              <w:tc>
                <w:tcPr>
                  <w:tcW w:w="1319" w:type="dxa"/>
                  <w:tcBorders>
                    <w:top w:val="nil"/>
                    <w:left w:val="nil"/>
                    <w:bottom w:val="nil"/>
                    <w:right w:val="nil"/>
                  </w:tcBorders>
                  <w:vAlign w:val="center"/>
                </w:tcPr>
                <w:p w14:paraId="140C394E">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Redken</w:t>
                  </w:r>
                </w:p>
              </w:tc>
              <w:tc>
                <w:tcPr>
                  <w:tcW w:w="2113" w:type="dxa"/>
                  <w:tcBorders>
                    <w:top w:val="nil"/>
                    <w:left w:val="nil"/>
                    <w:bottom w:val="nil"/>
                    <w:right w:val="nil"/>
                  </w:tcBorders>
                  <w:vAlign w:val="center"/>
                </w:tcPr>
                <w:p w14:paraId="33FF2121">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#1 Professional Haircare Brand in the US</w:t>
                  </w:r>
                </w:p>
              </w:tc>
              <w:tc>
                <w:tcPr>
                  <w:tcW w:w="2268" w:type="dxa"/>
                  <w:tcBorders>
                    <w:top w:val="nil"/>
                    <w:left w:val="nil"/>
                    <w:bottom w:val="nil"/>
                    <w:right w:val="nil"/>
                  </w:tcBorders>
                  <w:vAlign w:val="center"/>
                </w:tcPr>
                <w:p w14:paraId="5DA6C6E1">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Acidic Bonding Concentrate, Shades EQ</w:t>
                  </w:r>
                </w:p>
              </w:tc>
              <w:tc>
                <w:tcPr>
                  <w:tcW w:w="1915" w:type="dxa"/>
                  <w:tcBorders>
                    <w:top w:val="nil"/>
                    <w:left w:val="nil"/>
                    <w:bottom w:val="nil"/>
                    <w:right w:val="nil"/>
                  </w:tcBorders>
                  <w:vAlign w:val="center"/>
                </w:tcPr>
                <w:p w14:paraId="6228820C">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Salon + Selective Retail</w:t>
                  </w:r>
                </w:p>
              </w:tc>
            </w:tr>
            <w:tr w14:paraId="3F0082CC">
              <w:tblPrEx>
                <w:tblCellMar>
                  <w:top w:w="0" w:type="dxa"/>
                  <w:left w:w="108" w:type="dxa"/>
                  <w:bottom w:w="0" w:type="dxa"/>
                  <w:right w:w="108" w:type="dxa"/>
                </w:tblCellMar>
              </w:tblPrEx>
              <w:trPr>
                <w:trHeight w:val="255" w:hRule="atLeast"/>
              </w:trPr>
              <w:tc>
                <w:tcPr>
                  <w:tcW w:w="1319" w:type="dxa"/>
                  <w:tcBorders>
                    <w:top w:val="nil"/>
                    <w:left w:val="nil"/>
                    <w:bottom w:val="nil"/>
                    <w:right w:val="nil"/>
                  </w:tcBorders>
                  <w:shd w:val="clear" w:color="000000" w:fill="F2F2F2"/>
                  <w:vAlign w:val="center"/>
                </w:tcPr>
                <w:p w14:paraId="1850A279">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Matrix</w:t>
                  </w:r>
                </w:p>
              </w:tc>
              <w:tc>
                <w:tcPr>
                  <w:tcW w:w="2113" w:type="dxa"/>
                  <w:tcBorders>
                    <w:top w:val="nil"/>
                    <w:left w:val="nil"/>
                    <w:bottom w:val="nil"/>
                    <w:right w:val="nil"/>
                  </w:tcBorders>
                  <w:shd w:val="clear" w:color="000000" w:fill="F2F2F2"/>
                  <w:vAlign w:val="center"/>
                </w:tcPr>
                <w:p w14:paraId="6875B02E">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Mass Professional Positioning</w:t>
                  </w:r>
                </w:p>
              </w:tc>
              <w:tc>
                <w:tcPr>
                  <w:tcW w:w="2268" w:type="dxa"/>
                  <w:tcBorders>
                    <w:top w:val="nil"/>
                    <w:left w:val="nil"/>
                    <w:bottom w:val="nil"/>
                    <w:right w:val="nil"/>
                  </w:tcBorders>
                  <w:shd w:val="clear" w:color="000000" w:fill="F2F2F2"/>
                  <w:vAlign w:val="center"/>
                </w:tcPr>
                <w:p w14:paraId="05F4C5B5">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SoColor, Total Results</w:t>
                  </w:r>
                </w:p>
              </w:tc>
              <w:tc>
                <w:tcPr>
                  <w:tcW w:w="1915" w:type="dxa"/>
                  <w:tcBorders>
                    <w:top w:val="nil"/>
                    <w:left w:val="nil"/>
                    <w:bottom w:val="nil"/>
                    <w:right w:val="nil"/>
                  </w:tcBorders>
                  <w:shd w:val="clear" w:color="000000" w:fill="F2F2F2"/>
                  <w:vAlign w:val="center"/>
                </w:tcPr>
                <w:p w14:paraId="1A5160EF">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Mass Professional Channels</w:t>
                  </w:r>
                </w:p>
              </w:tc>
            </w:tr>
            <w:tr w14:paraId="4E4BBB36">
              <w:tblPrEx>
                <w:tblCellMar>
                  <w:top w:w="0" w:type="dxa"/>
                  <w:left w:w="108" w:type="dxa"/>
                  <w:bottom w:w="0" w:type="dxa"/>
                  <w:right w:w="108" w:type="dxa"/>
                </w:tblCellMar>
              </w:tblPrEx>
              <w:trPr>
                <w:trHeight w:val="510" w:hRule="atLeast"/>
              </w:trPr>
              <w:tc>
                <w:tcPr>
                  <w:tcW w:w="1319" w:type="dxa"/>
                  <w:tcBorders>
                    <w:top w:val="nil"/>
                    <w:left w:val="nil"/>
                    <w:bottom w:val="nil"/>
                    <w:right w:val="nil"/>
                  </w:tcBorders>
                  <w:vAlign w:val="center"/>
                </w:tcPr>
                <w:p w14:paraId="11A69B03">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Color Wow</w:t>
                  </w:r>
                </w:p>
              </w:tc>
              <w:tc>
                <w:tcPr>
                  <w:tcW w:w="2113" w:type="dxa"/>
                  <w:tcBorders>
                    <w:top w:val="nil"/>
                    <w:left w:val="nil"/>
                    <w:bottom w:val="nil"/>
                    <w:right w:val="nil"/>
                  </w:tcBorders>
                  <w:vAlign w:val="center"/>
                </w:tcPr>
                <w:p w14:paraId="3F957FD5">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Acquired June 2025; Premium Haircare</w:t>
                  </w:r>
                </w:p>
              </w:tc>
              <w:tc>
                <w:tcPr>
                  <w:tcW w:w="2268" w:type="dxa"/>
                  <w:tcBorders>
                    <w:top w:val="nil"/>
                    <w:left w:val="nil"/>
                    <w:bottom w:val="nil"/>
                    <w:right w:val="nil"/>
                  </w:tcBorders>
                  <w:vAlign w:val="center"/>
                </w:tcPr>
                <w:p w14:paraId="6555DBA1">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Dream Coat, Money Masque</w:t>
                  </w:r>
                </w:p>
              </w:tc>
              <w:tc>
                <w:tcPr>
                  <w:tcW w:w="1915" w:type="dxa"/>
                  <w:tcBorders>
                    <w:top w:val="nil"/>
                    <w:left w:val="nil"/>
                    <w:bottom w:val="nil"/>
                    <w:right w:val="nil"/>
                  </w:tcBorders>
                  <w:vAlign w:val="center"/>
                </w:tcPr>
                <w:p w14:paraId="29D793BE">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Prestige Retail</w:t>
                  </w:r>
                </w:p>
              </w:tc>
            </w:tr>
          </w:tbl>
          <w:p w14:paraId="6F44DC9D">
            <w:pPr>
              <w:rPr>
                <w:rFonts w:hint="default" w:ascii="Calibri" w:hAnsi="Calibri" w:eastAsia="楷体_GB2312" w:cs="Calibri"/>
                <w:kern w:val="2"/>
                <w:sz w:val="22"/>
                <w:szCs w:val="22"/>
              </w:rPr>
            </w:pPr>
          </w:p>
        </w:tc>
      </w:tr>
      <w:tr w14:paraId="10CC8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3B323949">
            <w:pPr>
              <w:rPr>
                <w:rFonts w:hint="default" w:ascii="Calibri" w:hAnsi="Calibri" w:eastAsia="楷体_GB2312" w:cs="Calibri"/>
                <w:b w:val="0"/>
                <w:bCs w:val="0"/>
                <w:kern w:val="2"/>
                <w:sz w:val="20"/>
                <w:szCs w:val="20"/>
              </w:rPr>
            </w:pPr>
            <w:r>
              <w:rPr>
                <w:rFonts w:hint="default" w:ascii="Calibri" w:hAnsi="Calibri" w:eastAsia="楷体_GB2312" w:cs="Calibri"/>
                <w:b w:val="0"/>
                <w:bCs w:val="0"/>
                <w:kern w:val="2"/>
                <w:sz w:val="20"/>
                <w:szCs w:val="20"/>
              </w:rPr>
              <w:t>Source: Company Annual Reports, HFI</w:t>
            </w:r>
          </w:p>
        </w:tc>
      </w:tr>
    </w:tbl>
    <w:p w14:paraId="60B42881">
      <w:pPr>
        <w:jc w:val="both"/>
        <w:rPr>
          <w:rFonts w:hint="default" w:ascii="Calibri" w:hAnsi="Calibri" w:eastAsia="楷体_GB2312" w:cs="Calibri"/>
          <w:kern w:val="2"/>
          <w:sz w:val="22"/>
          <w:szCs w:val="22"/>
        </w:rPr>
      </w:pPr>
    </w:p>
    <w:p w14:paraId="06AA4668">
      <w:pPr>
        <w:jc w:val="both"/>
        <w:rPr>
          <w:rFonts w:hint="default" w:ascii="Calibri" w:hAnsi="Calibri" w:eastAsia="楷体_GB2312" w:cs="Calibri"/>
          <w:kern w:val="2"/>
          <w:sz w:val="22"/>
          <w:szCs w:val="22"/>
        </w:rPr>
      </w:pPr>
      <w:r>
        <w:rPr>
          <w:rFonts w:hint="default" w:ascii="Calibri" w:hAnsi="Calibri" w:eastAsia="楷体_GB2312" w:cs="Calibri"/>
          <w:b/>
          <w:bCs/>
          <w:kern w:val="2"/>
          <w:sz w:val="22"/>
          <w:szCs w:val="22"/>
        </w:rPr>
        <w:t xml:space="preserve">The division maintains its competitive strength through proprietary formulations that raise barriers to entry, continuous technology iteration, and close engagement with hair stylists globally. </w:t>
      </w:r>
      <w:r>
        <w:rPr>
          <w:rFonts w:hint="default" w:ascii="Calibri" w:hAnsi="Calibri" w:eastAsia="楷体_GB2312" w:cs="Calibri"/>
          <w:kern w:val="2"/>
          <w:sz w:val="22"/>
          <w:szCs w:val="22"/>
        </w:rPr>
        <w:t>Taking Kérastase as an example: founded in 1964 and positioned as "salon-grade luxury haircare", Kérastase surpassed L'Oréal Professionnel to become the division's largest brand in 2024 while maintaining double-digit growth. The brand's core philosophy of "bringing skincare thinking to haircare" emphasises a trinity of scientific formulation, personalised diagnostics, and the salon service experience. At the product level, formulations must meet the professional and safety standards required for salon application. In terms of continuous innovation, the Première range uses citric acid to repair broken di-sulphide bonds, and Gloss Absolu was the brand's largest new product launch in 2024; the Genesis range is precisely positioned to address the growing hair loss and scalp care trend; and Elixir Ultime and Chronologiste target the ultra-luxury tier in premium haircare oils. From a channel perspective, close engagement with the hairstylist community — combined with maintaining the salon as the core channel while actively expanding into e-commerce and selective retail (such as Sephora) — creates a consumer loop of "discover in salon, repurchase online".</w:t>
      </w:r>
    </w:p>
    <w:p w14:paraId="7DEBBB5F">
      <w:pPr>
        <w:jc w:val="both"/>
        <w:rPr>
          <w:rFonts w:hint="default" w:ascii="Calibri" w:hAnsi="Calibri" w:eastAsia="楷体_GB2312" w:cs="Calibri"/>
          <w:kern w:val="2"/>
          <w:sz w:val="22"/>
          <w:szCs w:val="22"/>
        </w:rPr>
      </w:pP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74"/>
      </w:tblGrid>
      <w:tr w14:paraId="30826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bottom w:val="single" w:color="auto" w:sz="4" w:space="0"/>
            </w:tcBorders>
          </w:tcPr>
          <w:p w14:paraId="7ED0EF89">
            <w:pPr>
              <w:rPr>
                <w:rFonts w:hint="default" w:ascii="Calibri" w:hAnsi="Calibri" w:eastAsia="楷体_GB2312" w:cs="Calibri"/>
                <w:b/>
                <w:bCs/>
                <w:kern w:val="2"/>
                <w:sz w:val="22"/>
                <w:szCs w:val="22"/>
              </w:rPr>
            </w:pPr>
            <w:r>
              <w:rPr>
                <w:rFonts w:hint="default" w:ascii="Calibri" w:hAnsi="Calibri" w:eastAsia="楷体_GB2312" w:cs="Calibri"/>
                <w:b/>
                <w:bCs/>
                <w:kern w:val="2"/>
                <w:sz w:val="22"/>
                <w:szCs w:val="22"/>
              </w:rPr>
              <w:t>Figure:</w:t>
            </w:r>
            <w:r>
              <w:rPr>
                <w:rFonts w:hint="default" w:ascii="Calibri" w:hAnsi="Calibri" w:eastAsia="楷体_GB2312" w:cs="Calibri"/>
              </w:rPr>
              <w:t xml:space="preserve"> </w:t>
            </w:r>
            <w:r>
              <w:rPr>
                <w:rFonts w:hint="default" w:ascii="Calibri" w:hAnsi="Calibri" w:eastAsia="楷体_GB2312" w:cs="Calibri"/>
                <w:b/>
                <w:bCs/>
                <w:kern w:val="2"/>
                <w:sz w:val="22"/>
                <w:szCs w:val="22"/>
              </w:rPr>
              <w:t>Kérastase Key Milestones</w:t>
            </w:r>
          </w:p>
        </w:tc>
      </w:tr>
      <w:tr w14:paraId="63E05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tbl>
            <w:tblPr>
              <w:tblStyle w:val="12"/>
              <w:tblW w:w="7629" w:type="dxa"/>
              <w:tblInd w:w="0" w:type="dxa"/>
              <w:tblLayout w:type="autofit"/>
              <w:tblCellMar>
                <w:top w:w="0" w:type="dxa"/>
                <w:left w:w="108" w:type="dxa"/>
                <w:bottom w:w="0" w:type="dxa"/>
                <w:right w:w="108" w:type="dxa"/>
              </w:tblCellMar>
            </w:tblPr>
            <w:tblGrid>
              <w:gridCol w:w="628"/>
              <w:gridCol w:w="3796"/>
              <w:gridCol w:w="3205"/>
            </w:tblGrid>
            <w:tr w14:paraId="79C6A24B">
              <w:tblPrEx>
                <w:tblCellMar>
                  <w:top w:w="0" w:type="dxa"/>
                  <w:left w:w="108" w:type="dxa"/>
                  <w:bottom w:w="0" w:type="dxa"/>
                  <w:right w:w="108" w:type="dxa"/>
                </w:tblCellMar>
              </w:tblPrEx>
              <w:trPr>
                <w:trHeight w:val="306" w:hRule="atLeast"/>
              </w:trPr>
              <w:tc>
                <w:tcPr>
                  <w:tcW w:w="628" w:type="dxa"/>
                  <w:tcBorders>
                    <w:top w:val="nil"/>
                    <w:left w:val="nil"/>
                    <w:bottom w:val="nil"/>
                    <w:right w:val="nil"/>
                  </w:tcBorders>
                  <w:shd w:val="clear" w:color="000000" w:fill="002060"/>
                  <w:vAlign w:val="center"/>
                </w:tcPr>
                <w:p w14:paraId="3E836473">
                  <w:pPr>
                    <w:jc w:val="center"/>
                    <w:rPr>
                      <w:rFonts w:hint="default" w:ascii="Calibri" w:hAnsi="Calibri" w:eastAsia="楷体_GB2312" w:cs="Calibri"/>
                      <w:b/>
                      <w:bCs/>
                      <w:snapToGrid/>
                      <w:color w:val="FFFFFF"/>
                      <w:sz w:val="22"/>
                      <w:szCs w:val="22"/>
                    </w:rPr>
                  </w:pPr>
                  <w:r>
                    <w:rPr>
                      <w:rFonts w:hint="default" w:ascii="Calibri" w:hAnsi="Calibri" w:eastAsia="楷体_GB2312" w:cs="Calibri"/>
                      <w:b/>
                      <w:bCs/>
                      <w:snapToGrid/>
                      <w:color w:val="FFFFFF"/>
                      <w:sz w:val="22"/>
                      <w:szCs w:val="22"/>
                    </w:rPr>
                    <w:t>Year</w:t>
                  </w:r>
                </w:p>
              </w:tc>
              <w:tc>
                <w:tcPr>
                  <w:tcW w:w="3796" w:type="dxa"/>
                  <w:tcBorders>
                    <w:top w:val="nil"/>
                    <w:left w:val="nil"/>
                    <w:bottom w:val="nil"/>
                    <w:right w:val="nil"/>
                  </w:tcBorders>
                  <w:shd w:val="clear" w:color="000000" w:fill="002060"/>
                  <w:vAlign w:val="center"/>
                </w:tcPr>
                <w:p w14:paraId="51B15D07">
                  <w:pPr>
                    <w:jc w:val="center"/>
                    <w:rPr>
                      <w:rFonts w:hint="default" w:ascii="Calibri" w:hAnsi="Calibri" w:eastAsia="楷体_GB2312" w:cs="Calibri"/>
                      <w:b/>
                      <w:bCs/>
                      <w:snapToGrid/>
                      <w:color w:val="FFFFFF"/>
                      <w:sz w:val="22"/>
                      <w:szCs w:val="22"/>
                    </w:rPr>
                  </w:pPr>
                  <w:r>
                    <w:rPr>
                      <w:rFonts w:hint="default" w:ascii="Calibri" w:hAnsi="Calibri" w:eastAsia="楷体_GB2312" w:cs="Calibri"/>
                      <w:b/>
                      <w:bCs/>
                      <w:snapToGrid/>
                      <w:color w:val="FFFFFF"/>
                      <w:sz w:val="22"/>
                      <w:szCs w:val="22"/>
                    </w:rPr>
                    <w:t>Key Events</w:t>
                  </w:r>
                </w:p>
              </w:tc>
              <w:tc>
                <w:tcPr>
                  <w:tcW w:w="3205" w:type="dxa"/>
                  <w:tcBorders>
                    <w:top w:val="nil"/>
                    <w:left w:val="nil"/>
                    <w:bottom w:val="nil"/>
                    <w:right w:val="nil"/>
                  </w:tcBorders>
                  <w:shd w:val="clear" w:color="000000" w:fill="002060"/>
                  <w:vAlign w:val="center"/>
                </w:tcPr>
                <w:p w14:paraId="1C4AB9CD">
                  <w:pPr>
                    <w:jc w:val="center"/>
                    <w:rPr>
                      <w:rFonts w:hint="default" w:ascii="Calibri" w:hAnsi="Calibri" w:eastAsia="楷体_GB2312" w:cs="Calibri"/>
                      <w:b/>
                      <w:bCs/>
                      <w:snapToGrid/>
                      <w:color w:val="FFFFFF"/>
                      <w:sz w:val="22"/>
                      <w:szCs w:val="22"/>
                    </w:rPr>
                  </w:pPr>
                  <w:r>
                    <w:rPr>
                      <w:rFonts w:hint="default" w:ascii="Calibri" w:hAnsi="Calibri" w:eastAsia="楷体_GB2312" w:cs="Calibri"/>
                      <w:b/>
                      <w:bCs/>
                      <w:snapToGrid/>
                      <w:color w:val="FFFFFF"/>
                      <w:sz w:val="22"/>
                      <w:szCs w:val="22"/>
                    </w:rPr>
                    <w:t>Key Launches</w:t>
                  </w:r>
                </w:p>
              </w:tc>
            </w:tr>
            <w:tr w14:paraId="4D6E9EBA">
              <w:tblPrEx>
                <w:tblCellMar>
                  <w:top w:w="0" w:type="dxa"/>
                  <w:left w:w="108" w:type="dxa"/>
                  <w:bottom w:w="0" w:type="dxa"/>
                  <w:right w:w="108" w:type="dxa"/>
                </w:tblCellMar>
              </w:tblPrEx>
              <w:trPr>
                <w:trHeight w:val="260" w:hRule="atLeast"/>
              </w:trPr>
              <w:tc>
                <w:tcPr>
                  <w:tcW w:w="628" w:type="dxa"/>
                  <w:tcBorders>
                    <w:top w:val="nil"/>
                    <w:left w:val="nil"/>
                    <w:bottom w:val="nil"/>
                    <w:right w:val="nil"/>
                  </w:tcBorders>
                  <w:vAlign w:val="center"/>
                </w:tcPr>
                <w:p w14:paraId="544D199F">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2020</w:t>
                  </w:r>
                </w:p>
              </w:tc>
              <w:tc>
                <w:tcPr>
                  <w:tcW w:w="3796" w:type="dxa"/>
                  <w:tcBorders>
                    <w:top w:val="nil"/>
                    <w:left w:val="nil"/>
                    <w:bottom w:val="nil"/>
                    <w:right w:val="nil"/>
                  </w:tcBorders>
                  <w:vAlign w:val="center"/>
                </w:tcPr>
                <w:p w14:paraId="2CDCC4B3">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COVID-19 Impact; Salon Closures</w:t>
                  </w:r>
                </w:p>
              </w:tc>
              <w:tc>
                <w:tcPr>
                  <w:tcW w:w="3205" w:type="dxa"/>
                  <w:tcBorders>
                    <w:top w:val="nil"/>
                    <w:left w:val="nil"/>
                    <w:bottom w:val="nil"/>
                    <w:right w:val="nil"/>
                  </w:tcBorders>
                  <w:vAlign w:val="center"/>
                </w:tcPr>
                <w:p w14:paraId="2C72DBFF">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w:t>
                  </w:r>
                </w:p>
              </w:tc>
            </w:tr>
            <w:tr w14:paraId="33C62D9C">
              <w:tblPrEx>
                <w:tblCellMar>
                  <w:top w:w="0" w:type="dxa"/>
                  <w:left w:w="108" w:type="dxa"/>
                  <w:bottom w:w="0" w:type="dxa"/>
                  <w:right w:w="108" w:type="dxa"/>
                </w:tblCellMar>
              </w:tblPrEx>
              <w:trPr>
                <w:trHeight w:val="260" w:hRule="atLeast"/>
              </w:trPr>
              <w:tc>
                <w:tcPr>
                  <w:tcW w:w="628" w:type="dxa"/>
                  <w:tcBorders>
                    <w:top w:val="nil"/>
                    <w:left w:val="nil"/>
                    <w:bottom w:val="nil"/>
                    <w:right w:val="nil"/>
                  </w:tcBorders>
                  <w:shd w:val="clear" w:color="000000" w:fill="F2F2F2"/>
                  <w:vAlign w:val="center"/>
                </w:tcPr>
                <w:p w14:paraId="27CC1E4A">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2021</w:t>
                  </w:r>
                </w:p>
              </w:tc>
              <w:tc>
                <w:tcPr>
                  <w:tcW w:w="3796" w:type="dxa"/>
                  <w:tcBorders>
                    <w:top w:val="nil"/>
                    <w:left w:val="nil"/>
                    <w:bottom w:val="nil"/>
                    <w:right w:val="nil"/>
                  </w:tcBorders>
                  <w:shd w:val="clear" w:color="000000" w:fill="F2F2F2"/>
                  <w:vAlign w:val="center"/>
                </w:tcPr>
                <w:p w14:paraId="5CB2B2C1">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Post-Pandemic Salon Recovery</w:t>
                  </w:r>
                </w:p>
              </w:tc>
              <w:tc>
                <w:tcPr>
                  <w:tcW w:w="3205" w:type="dxa"/>
                  <w:tcBorders>
                    <w:top w:val="nil"/>
                    <w:left w:val="nil"/>
                    <w:bottom w:val="nil"/>
                    <w:right w:val="nil"/>
                  </w:tcBorders>
                  <w:shd w:val="clear" w:color="000000" w:fill="F2F2F2"/>
                  <w:vAlign w:val="center"/>
                </w:tcPr>
                <w:p w14:paraId="4E8086F4">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Curl Manifesto</w:t>
                  </w:r>
                </w:p>
              </w:tc>
            </w:tr>
            <w:tr w14:paraId="3AF5062C">
              <w:tblPrEx>
                <w:tblCellMar>
                  <w:top w:w="0" w:type="dxa"/>
                  <w:left w:w="108" w:type="dxa"/>
                  <w:bottom w:w="0" w:type="dxa"/>
                  <w:right w:w="108" w:type="dxa"/>
                </w:tblCellMar>
              </w:tblPrEx>
              <w:trPr>
                <w:trHeight w:val="260" w:hRule="atLeast"/>
              </w:trPr>
              <w:tc>
                <w:tcPr>
                  <w:tcW w:w="628" w:type="dxa"/>
                  <w:tcBorders>
                    <w:top w:val="nil"/>
                    <w:left w:val="nil"/>
                    <w:bottom w:val="nil"/>
                    <w:right w:val="nil"/>
                  </w:tcBorders>
                  <w:vAlign w:val="center"/>
                </w:tcPr>
                <w:p w14:paraId="54D093E2">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2022</w:t>
                  </w:r>
                </w:p>
              </w:tc>
              <w:tc>
                <w:tcPr>
                  <w:tcW w:w="3796" w:type="dxa"/>
                  <w:tcBorders>
                    <w:top w:val="nil"/>
                    <w:left w:val="nil"/>
                    <w:bottom w:val="nil"/>
                    <w:right w:val="nil"/>
                  </w:tcBorders>
                  <w:vAlign w:val="center"/>
                </w:tcPr>
                <w:p w14:paraId="60C6399D">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Prestige Haircare Boom</w:t>
                  </w:r>
                </w:p>
              </w:tc>
              <w:tc>
                <w:tcPr>
                  <w:tcW w:w="3205" w:type="dxa"/>
                  <w:tcBorders>
                    <w:top w:val="nil"/>
                    <w:left w:val="nil"/>
                    <w:bottom w:val="nil"/>
                    <w:right w:val="nil"/>
                  </w:tcBorders>
                  <w:vAlign w:val="center"/>
                </w:tcPr>
                <w:p w14:paraId="2F9D272F">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Première (Citric Acid Bond Repair)</w:t>
                  </w:r>
                </w:p>
              </w:tc>
            </w:tr>
            <w:tr w14:paraId="606014EA">
              <w:tblPrEx>
                <w:tblCellMar>
                  <w:top w:w="0" w:type="dxa"/>
                  <w:left w:w="108" w:type="dxa"/>
                  <w:bottom w:w="0" w:type="dxa"/>
                  <w:right w:w="108" w:type="dxa"/>
                </w:tblCellMar>
              </w:tblPrEx>
              <w:trPr>
                <w:trHeight w:val="260" w:hRule="atLeast"/>
              </w:trPr>
              <w:tc>
                <w:tcPr>
                  <w:tcW w:w="628" w:type="dxa"/>
                  <w:tcBorders>
                    <w:top w:val="nil"/>
                    <w:left w:val="nil"/>
                    <w:bottom w:val="nil"/>
                    <w:right w:val="nil"/>
                  </w:tcBorders>
                  <w:shd w:val="clear" w:color="000000" w:fill="F2F2F2"/>
                  <w:vAlign w:val="center"/>
                </w:tcPr>
                <w:p w14:paraId="64FAA67D">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2023</w:t>
                  </w:r>
                </w:p>
              </w:tc>
              <w:tc>
                <w:tcPr>
                  <w:tcW w:w="3796" w:type="dxa"/>
                  <w:tcBorders>
                    <w:top w:val="nil"/>
                    <w:left w:val="nil"/>
                    <w:bottom w:val="nil"/>
                    <w:right w:val="nil"/>
                  </w:tcBorders>
                  <w:shd w:val="clear" w:color="000000" w:fill="F2F2F2"/>
                  <w:vAlign w:val="center"/>
                </w:tcPr>
                <w:p w14:paraId="7ED207D0">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Omnichannel Acceleration</w:t>
                  </w:r>
                </w:p>
              </w:tc>
              <w:tc>
                <w:tcPr>
                  <w:tcW w:w="3205" w:type="dxa"/>
                  <w:tcBorders>
                    <w:top w:val="nil"/>
                    <w:left w:val="nil"/>
                    <w:bottom w:val="nil"/>
                    <w:right w:val="nil"/>
                  </w:tcBorders>
                  <w:shd w:val="clear" w:color="000000" w:fill="F2F2F2"/>
                  <w:vAlign w:val="center"/>
                </w:tcPr>
                <w:p w14:paraId="5A82A0CF">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Elixir Ultime</w:t>
                  </w:r>
                </w:p>
              </w:tc>
            </w:tr>
            <w:tr w14:paraId="5406339C">
              <w:tblPrEx>
                <w:tblCellMar>
                  <w:top w:w="0" w:type="dxa"/>
                  <w:left w:w="108" w:type="dxa"/>
                  <w:bottom w:w="0" w:type="dxa"/>
                  <w:right w:w="108" w:type="dxa"/>
                </w:tblCellMar>
              </w:tblPrEx>
              <w:trPr>
                <w:trHeight w:val="520" w:hRule="atLeast"/>
              </w:trPr>
              <w:tc>
                <w:tcPr>
                  <w:tcW w:w="628" w:type="dxa"/>
                  <w:tcBorders>
                    <w:top w:val="nil"/>
                    <w:left w:val="nil"/>
                    <w:bottom w:val="nil"/>
                    <w:right w:val="nil"/>
                  </w:tcBorders>
                  <w:vAlign w:val="center"/>
                </w:tcPr>
                <w:p w14:paraId="610F4E8A">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2024</w:t>
                  </w:r>
                </w:p>
              </w:tc>
              <w:tc>
                <w:tcPr>
                  <w:tcW w:w="3796" w:type="dxa"/>
                  <w:tcBorders>
                    <w:top w:val="nil"/>
                    <w:left w:val="nil"/>
                    <w:bottom w:val="nil"/>
                    <w:right w:val="nil"/>
                  </w:tcBorders>
                  <w:vAlign w:val="center"/>
                </w:tcPr>
                <w:p w14:paraId="2344F5CD">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Surpassed L'Oréal Professionnel to Become Division's #1 Brand; Double-Digit Growth</w:t>
                  </w:r>
                </w:p>
              </w:tc>
              <w:tc>
                <w:tcPr>
                  <w:tcW w:w="3205" w:type="dxa"/>
                  <w:tcBorders>
                    <w:top w:val="nil"/>
                    <w:left w:val="nil"/>
                    <w:bottom w:val="nil"/>
                    <w:right w:val="nil"/>
                  </w:tcBorders>
                  <w:vAlign w:val="center"/>
                </w:tcPr>
                <w:p w14:paraId="27968201">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Gloss Absolu (New Launch)</w:t>
                  </w:r>
                </w:p>
              </w:tc>
            </w:tr>
          </w:tbl>
          <w:p w14:paraId="15B1DFB8">
            <w:pPr>
              <w:rPr>
                <w:rFonts w:hint="default" w:ascii="Calibri" w:hAnsi="Calibri" w:eastAsia="楷体_GB2312" w:cs="Calibri"/>
                <w:kern w:val="2"/>
                <w:sz w:val="22"/>
                <w:szCs w:val="22"/>
              </w:rPr>
            </w:pPr>
          </w:p>
        </w:tc>
      </w:tr>
      <w:tr w14:paraId="05792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2FF92E7C">
            <w:pPr>
              <w:rPr>
                <w:rFonts w:hint="default" w:ascii="Calibri" w:hAnsi="Calibri" w:eastAsia="楷体_GB2312" w:cs="Calibri"/>
                <w:b w:val="0"/>
                <w:bCs w:val="0"/>
                <w:kern w:val="2"/>
                <w:sz w:val="20"/>
                <w:szCs w:val="20"/>
              </w:rPr>
            </w:pPr>
            <w:r>
              <w:rPr>
                <w:rFonts w:hint="default" w:ascii="Calibri" w:hAnsi="Calibri" w:eastAsia="楷体_GB2312" w:cs="Calibri"/>
                <w:b w:val="0"/>
                <w:bCs w:val="0"/>
                <w:kern w:val="2"/>
                <w:sz w:val="20"/>
                <w:szCs w:val="20"/>
              </w:rPr>
              <w:t>Source: Company Annual Reports, HFI</w:t>
            </w:r>
          </w:p>
        </w:tc>
      </w:tr>
    </w:tbl>
    <w:p w14:paraId="56E05836">
      <w:pPr>
        <w:jc w:val="both"/>
        <w:rPr>
          <w:rFonts w:hint="default" w:ascii="Calibri" w:hAnsi="Calibri" w:eastAsia="楷体_GB2312" w:cs="Calibri"/>
          <w:kern w:val="2"/>
          <w:sz w:val="22"/>
          <w:szCs w:val="22"/>
        </w:rPr>
      </w:pPr>
    </w:p>
    <w:p w14:paraId="3735E9EB">
      <w:pPr>
        <w:pStyle w:val="149"/>
        <w:ind w:right="42"/>
        <w:jc w:val="both"/>
        <w:rPr>
          <w:rFonts w:hint="default" w:ascii="Calibri" w:hAnsi="Calibri" w:eastAsia="楷体_GB2312" w:cs="Calibri"/>
          <w:color w:val="23558C"/>
          <w:sz w:val="24"/>
        </w:rPr>
      </w:pPr>
      <w:bookmarkStart w:id="23" w:name="_Toc28036"/>
      <w:r>
        <w:rPr>
          <w:rFonts w:hint="default" w:ascii="Calibri" w:hAnsi="Calibri" w:eastAsia="楷体_GB2312" w:cs="Calibri"/>
          <w:color w:val="23558C"/>
          <w:sz w:val="24"/>
        </w:rPr>
        <w:t>3.4 Dermatological Beauty Division:</w:t>
      </w:r>
      <w:r>
        <w:rPr>
          <w:rFonts w:hint="default" w:ascii="Calibri" w:hAnsi="Calibri" w:eastAsia="楷体_GB2312" w:cs="Calibri"/>
        </w:rPr>
        <w:t xml:space="preserve"> </w:t>
      </w:r>
      <w:r>
        <w:rPr>
          <w:rFonts w:hint="default" w:ascii="Calibri" w:hAnsi="Calibri" w:eastAsia="楷体_GB2312" w:cs="Calibri"/>
          <w:color w:val="23558C"/>
          <w:sz w:val="24"/>
        </w:rPr>
        <w:t>Science-Backed Skincare Solving Consumer Pain Points</w:t>
      </w:r>
      <w:bookmarkEnd w:id="23"/>
    </w:p>
    <w:p w14:paraId="0C32A3F7">
      <w:pPr>
        <w:jc w:val="both"/>
        <w:rPr>
          <w:rFonts w:hint="default" w:ascii="Calibri" w:hAnsi="Calibri" w:eastAsia="楷体_GB2312" w:cs="Calibri"/>
          <w:kern w:val="2"/>
          <w:sz w:val="22"/>
          <w:szCs w:val="22"/>
        </w:rPr>
      </w:pPr>
      <w:r>
        <w:rPr>
          <w:rFonts w:hint="default" w:ascii="Calibri" w:hAnsi="Calibri" w:eastAsia="楷体_GB2312" w:cs="Calibri"/>
          <w:b/>
          <w:bCs/>
          <w:kern w:val="2"/>
          <w:sz w:val="22"/>
          <w:szCs w:val="22"/>
        </w:rPr>
        <w:t xml:space="preserve">The global dermatological skincare market reached approximately USD 23.8 billion in 2024, maintaining growth over the past five years, with growth rates exceeding double digits in both 2021 and 2023. </w:t>
      </w:r>
      <w:r>
        <w:rPr>
          <w:rFonts w:hint="default" w:ascii="Calibri" w:hAnsi="Calibri" w:eastAsia="楷体_GB2312" w:cs="Calibri"/>
          <w:kern w:val="2"/>
          <w:sz w:val="22"/>
          <w:szCs w:val="22"/>
        </w:rPr>
        <w:t>Key trends include: growing consumer focus on ingredients and clinical efficacy evidence; the "Skintok" effect — dermatologists and skincare creators on TikTok and Xiaohongshu have substantially elevated awareness of dermatological skincare products; and channel diversification, expanding from traditional pharmacies and hospital prescription channels to e-commerce and selective retail.</w:t>
      </w:r>
    </w:p>
    <w:p w14:paraId="4DAC6A65">
      <w:pPr>
        <w:jc w:val="both"/>
        <w:rPr>
          <w:rFonts w:hint="default" w:ascii="Calibri" w:hAnsi="Calibri" w:eastAsia="楷体_GB2312" w:cs="Calibri"/>
          <w:kern w:val="2"/>
          <w:sz w:val="22"/>
          <w:szCs w:val="22"/>
        </w:rPr>
      </w:pP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74"/>
      </w:tblGrid>
      <w:tr w14:paraId="21709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bottom w:val="single" w:color="auto" w:sz="4" w:space="0"/>
            </w:tcBorders>
          </w:tcPr>
          <w:p w14:paraId="2C71B66F">
            <w:pPr>
              <w:rPr>
                <w:rFonts w:hint="default" w:ascii="Calibri" w:hAnsi="Calibri" w:eastAsia="楷体_GB2312" w:cs="Calibri"/>
                <w:b/>
                <w:bCs/>
                <w:kern w:val="2"/>
                <w:sz w:val="22"/>
                <w:szCs w:val="22"/>
              </w:rPr>
            </w:pPr>
            <w:r>
              <w:rPr>
                <w:rFonts w:hint="default" w:ascii="Calibri" w:hAnsi="Calibri" w:eastAsia="楷体_GB2312" w:cs="Calibri"/>
                <w:b/>
                <w:bCs/>
                <w:kern w:val="2"/>
                <w:sz w:val="22"/>
                <w:szCs w:val="22"/>
              </w:rPr>
              <w:t>Figure:</w:t>
            </w:r>
            <w:r>
              <w:rPr>
                <w:rFonts w:hint="default" w:ascii="Calibri" w:hAnsi="Calibri" w:eastAsia="楷体_GB2312" w:cs="Calibri"/>
              </w:rPr>
              <w:t xml:space="preserve"> </w:t>
            </w:r>
            <w:r>
              <w:rPr>
                <w:rFonts w:hint="default" w:ascii="Calibri" w:hAnsi="Calibri" w:eastAsia="楷体_GB2312" w:cs="Calibri"/>
                <w:b/>
                <w:bCs/>
                <w:kern w:val="2"/>
                <w:sz w:val="22"/>
                <w:szCs w:val="22"/>
              </w:rPr>
              <w:t>Global Dermatological Skincare Market Size 2019–2024 (USD million)</w:t>
            </w:r>
          </w:p>
        </w:tc>
      </w:tr>
      <w:tr w14:paraId="37E3C8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772A96B0">
            <w:pPr>
              <w:rPr>
                <w:rFonts w:hint="default" w:ascii="Calibri" w:hAnsi="Calibri" w:eastAsia="楷体_GB2312" w:cs="Calibri"/>
                <w:kern w:val="2"/>
                <w:sz w:val="22"/>
                <w:szCs w:val="22"/>
              </w:rPr>
            </w:pPr>
            <w:r>
              <w:rPr>
                <w:rFonts w:hint="default" w:ascii="Calibri" w:hAnsi="Calibri" w:eastAsia="楷体_GB2312" w:cs="Calibri"/>
                <w:snapToGrid/>
              </w:rPr>
              <w:drawing>
                <wp:inline distT="0" distB="0" distL="0" distR="0">
                  <wp:extent cx="4669790" cy="2325370"/>
                  <wp:effectExtent l="0" t="0" r="8890" b="6350"/>
                  <wp:docPr id="51544679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tc>
      </w:tr>
      <w:tr w14:paraId="77D97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388C4255">
            <w:pPr>
              <w:rPr>
                <w:rFonts w:hint="default" w:ascii="Calibri" w:hAnsi="Calibri" w:eastAsia="楷体_GB2312" w:cs="Calibri"/>
                <w:b w:val="0"/>
                <w:bCs w:val="0"/>
                <w:kern w:val="2"/>
                <w:sz w:val="20"/>
                <w:szCs w:val="20"/>
              </w:rPr>
            </w:pPr>
            <w:r>
              <w:rPr>
                <w:rFonts w:hint="default" w:ascii="Calibri" w:hAnsi="Calibri" w:eastAsia="楷体_GB2312" w:cs="Calibri"/>
                <w:b w:val="0"/>
                <w:bCs w:val="0"/>
                <w:kern w:val="2"/>
                <w:sz w:val="20"/>
                <w:szCs w:val="20"/>
              </w:rPr>
              <w:t>Source: Euromonitor</w:t>
            </w:r>
          </w:p>
        </w:tc>
      </w:tr>
    </w:tbl>
    <w:p w14:paraId="73E54D3A">
      <w:pPr>
        <w:jc w:val="both"/>
        <w:rPr>
          <w:rFonts w:hint="default" w:ascii="Calibri" w:hAnsi="Calibri" w:eastAsia="楷体_GB2312" w:cs="Calibri"/>
          <w:kern w:val="2"/>
          <w:sz w:val="22"/>
          <w:szCs w:val="22"/>
        </w:rPr>
      </w:pPr>
    </w:p>
    <w:p w14:paraId="603C1DA6">
      <w:pPr>
        <w:rPr>
          <w:rFonts w:hint="default" w:ascii="Calibri" w:hAnsi="Calibri" w:eastAsia="楷体_GB2312" w:cs="Calibri"/>
          <w:b/>
          <w:bCs/>
          <w:kern w:val="2"/>
          <w:sz w:val="22"/>
          <w:szCs w:val="22"/>
        </w:rPr>
      </w:pPr>
      <w:r>
        <w:rPr>
          <w:rFonts w:hint="default" w:ascii="Calibri" w:hAnsi="Calibri" w:eastAsia="楷体_GB2312" w:cs="Calibri"/>
          <w:b/>
          <w:bCs/>
          <w:kern w:val="2"/>
          <w:sz w:val="22"/>
          <w:szCs w:val="22"/>
        </w:rPr>
        <w:br w:type="page"/>
      </w:r>
    </w:p>
    <w:p w14:paraId="168EA154">
      <w:pPr>
        <w:jc w:val="both"/>
        <w:rPr>
          <w:rFonts w:hint="default" w:ascii="Calibri" w:hAnsi="Calibri" w:eastAsia="楷体_GB2312" w:cs="Calibri"/>
          <w:kern w:val="2"/>
          <w:sz w:val="22"/>
          <w:szCs w:val="22"/>
        </w:rPr>
      </w:pPr>
      <w:r>
        <w:rPr>
          <w:rFonts w:hint="default" w:ascii="Calibri" w:hAnsi="Calibri" w:eastAsia="楷体_GB2312" w:cs="Calibri"/>
          <w:b/>
          <w:bCs/>
          <w:kern w:val="2"/>
          <w:sz w:val="22"/>
          <w:szCs w:val="22"/>
        </w:rPr>
        <w:t xml:space="preserve">The Dermatological Beauty Division is anchored in dermatological science and home to the world's leading dermo-skincare brands: </w:t>
      </w:r>
      <w:r>
        <w:rPr>
          <w:rFonts w:hint="default" w:ascii="Calibri" w:hAnsi="Calibri" w:eastAsia="楷体_GB2312" w:cs="Calibri"/>
          <w:kern w:val="2"/>
          <w:sz w:val="22"/>
          <w:szCs w:val="22"/>
        </w:rPr>
        <w:t>La Roche-Posay (the world's largest dermatological brand), CeraVe (surpassed EUR 2 billion in 2024, Gen Z's favourite skincare brand), Vichy (renowned for its thermal water and the Dercos scalp care range), SkinCeuticals (acquired in 2005, renowned for its medical-grade Vitamin C serum and antioxidant products), and Skinbetter Science (acquired in 2023, focused on post-injectable skincare).</w:t>
      </w:r>
    </w:p>
    <w:p w14:paraId="58E06F9D">
      <w:pPr>
        <w:jc w:val="both"/>
        <w:rPr>
          <w:rFonts w:hint="default" w:ascii="Calibri" w:hAnsi="Calibri" w:eastAsia="楷体_GB2312" w:cs="Calibri"/>
          <w:kern w:val="2"/>
          <w:sz w:val="22"/>
          <w:szCs w:val="22"/>
        </w:rPr>
      </w:pP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74"/>
      </w:tblGrid>
      <w:tr w14:paraId="79809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733" w:type="dxa"/>
            <w:tcBorders>
              <w:bottom w:val="single" w:color="auto" w:sz="4" w:space="0"/>
            </w:tcBorders>
          </w:tcPr>
          <w:p w14:paraId="64CBCCE7">
            <w:pPr>
              <w:rPr>
                <w:rFonts w:hint="default" w:ascii="Calibri" w:hAnsi="Calibri" w:eastAsia="楷体_GB2312" w:cs="Calibri"/>
                <w:b/>
                <w:bCs/>
                <w:kern w:val="2"/>
                <w:sz w:val="22"/>
                <w:szCs w:val="22"/>
              </w:rPr>
            </w:pPr>
            <w:r>
              <w:rPr>
                <w:rFonts w:hint="default" w:ascii="Calibri" w:hAnsi="Calibri" w:eastAsia="楷体_GB2312" w:cs="Calibri"/>
                <w:b/>
                <w:bCs/>
                <w:kern w:val="2"/>
                <w:sz w:val="22"/>
                <w:szCs w:val="22"/>
              </w:rPr>
              <w:t>Figure:</w:t>
            </w:r>
            <w:r>
              <w:rPr>
                <w:rFonts w:hint="default" w:ascii="Calibri" w:hAnsi="Calibri" w:eastAsia="楷体_GB2312" w:cs="Calibri"/>
                <w:b/>
                <w:bCs/>
                <w:sz w:val="22"/>
                <w:szCs w:val="22"/>
              </w:rPr>
              <w:t xml:space="preserve"> Dermatological Beauty Division Brand Portfolio (2024)</w:t>
            </w:r>
          </w:p>
        </w:tc>
      </w:tr>
      <w:tr w14:paraId="7F5CE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tbl>
            <w:tblPr>
              <w:tblStyle w:val="12"/>
              <w:tblW w:w="7635" w:type="dxa"/>
              <w:tblInd w:w="0" w:type="dxa"/>
              <w:tblLayout w:type="autofit"/>
              <w:tblCellMar>
                <w:top w:w="0" w:type="dxa"/>
                <w:left w:w="108" w:type="dxa"/>
                <w:bottom w:w="0" w:type="dxa"/>
                <w:right w:w="108" w:type="dxa"/>
              </w:tblCellMar>
            </w:tblPr>
            <w:tblGrid>
              <w:gridCol w:w="1385"/>
              <w:gridCol w:w="2189"/>
              <w:gridCol w:w="1417"/>
              <w:gridCol w:w="2644"/>
            </w:tblGrid>
            <w:tr w14:paraId="45C7218D">
              <w:tblPrEx>
                <w:tblCellMar>
                  <w:top w:w="0" w:type="dxa"/>
                  <w:left w:w="108" w:type="dxa"/>
                  <w:bottom w:w="0" w:type="dxa"/>
                  <w:right w:w="108" w:type="dxa"/>
                </w:tblCellMar>
              </w:tblPrEx>
              <w:trPr>
                <w:trHeight w:val="553" w:hRule="atLeast"/>
              </w:trPr>
              <w:tc>
                <w:tcPr>
                  <w:tcW w:w="1385" w:type="dxa"/>
                  <w:tcBorders>
                    <w:top w:val="nil"/>
                    <w:left w:val="nil"/>
                    <w:bottom w:val="nil"/>
                    <w:right w:val="nil"/>
                  </w:tcBorders>
                  <w:shd w:val="clear" w:color="000000" w:fill="002060"/>
                  <w:vAlign w:val="center"/>
                </w:tcPr>
                <w:p w14:paraId="59BE434E">
                  <w:pPr>
                    <w:jc w:val="center"/>
                    <w:rPr>
                      <w:rFonts w:hint="default" w:ascii="Calibri" w:hAnsi="Calibri" w:eastAsia="楷体_GB2312" w:cs="Calibri"/>
                      <w:b/>
                      <w:bCs/>
                      <w:snapToGrid/>
                      <w:color w:val="FFFFFF"/>
                      <w:sz w:val="22"/>
                      <w:szCs w:val="22"/>
                    </w:rPr>
                  </w:pPr>
                  <w:r>
                    <w:rPr>
                      <w:rFonts w:hint="default" w:ascii="Calibri" w:hAnsi="Calibri" w:eastAsia="楷体_GB2312" w:cs="Calibri"/>
                      <w:b/>
                      <w:bCs/>
                      <w:snapToGrid/>
                      <w:color w:val="FFFFFF"/>
                      <w:sz w:val="22"/>
                      <w:szCs w:val="22"/>
                    </w:rPr>
                    <w:t>Brand</w:t>
                  </w:r>
                </w:p>
              </w:tc>
              <w:tc>
                <w:tcPr>
                  <w:tcW w:w="2189" w:type="dxa"/>
                  <w:tcBorders>
                    <w:top w:val="nil"/>
                    <w:left w:val="nil"/>
                    <w:bottom w:val="nil"/>
                    <w:right w:val="nil"/>
                  </w:tcBorders>
                  <w:shd w:val="clear" w:color="000000" w:fill="002060"/>
                  <w:vAlign w:val="center"/>
                </w:tcPr>
                <w:p w14:paraId="7328EA2A">
                  <w:pPr>
                    <w:jc w:val="center"/>
                    <w:rPr>
                      <w:rFonts w:hint="default" w:ascii="Calibri" w:hAnsi="Calibri" w:eastAsia="楷体_GB2312" w:cs="Calibri"/>
                      <w:b/>
                      <w:bCs/>
                      <w:snapToGrid/>
                      <w:color w:val="FFFFFF"/>
                      <w:sz w:val="22"/>
                      <w:szCs w:val="22"/>
                    </w:rPr>
                  </w:pPr>
                  <w:r>
                    <w:rPr>
                      <w:rFonts w:hint="default" w:ascii="Calibri" w:hAnsi="Calibri" w:eastAsia="楷体_GB2312" w:cs="Calibri"/>
                      <w:b/>
                      <w:bCs/>
                      <w:snapToGrid/>
                      <w:color w:val="FFFFFF"/>
                      <w:sz w:val="22"/>
                      <w:szCs w:val="22"/>
                    </w:rPr>
                    <w:t>Hero Products</w:t>
                  </w:r>
                </w:p>
              </w:tc>
              <w:tc>
                <w:tcPr>
                  <w:tcW w:w="1417" w:type="dxa"/>
                  <w:tcBorders>
                    <w:top w:val="nil"/>
                    <w:left w:val="nil"/>
                    <w:bottom w:val="nil"/>
                    <w:right w:val="nil"/>
                  </w:tcBorders>
                  <w:shd w:val="clear" w:color="000000" w:fill="002060"/>
                  <w:vAlign w:val="center"/>
                </w:tcPr>
                <w:p w14:paraId="03AC3D81">
                  <w:pPr>
                    <w:jc w:val="center"/>
                    <w:rPr>
                      <w:rFonts w:hint="default" w:ascii="Calibri" w:hAnsi="Calibri" w:eastAsia="楷体_GB2312" w:cs="Calibri"/>
                      <w:b/>
                      <w:bCs/>
                      <w:snapToGrid/>
                      <w:color w:val="FFFFFF"/>
                      <w:sz w:val="22"/>
                      <w:szCs w:val="22"/>
                    </w:rPr>
                  </w:pPr>
                  <w:r>
                    <w:rPr>
                      <w:rFonts w:hint="default" w:ascii="Calibri" w:hAnsi="Calibri" w:eastAsia="楷体_GB2312" w:cs="Calibri"/>
                      <w:b/>
                      <w:bCs/>
                      <w:snapToGrid/>
                      <w:color w:val="FFFFFF"/>
                      <w:sz w:val="22"/>
                      <w:szCs w:val="22"/>
                    </w:rPr>
                    <w:t>Channel Mix</w:t>
                  </w:r>
                </w:p>
              </w:tc>
              <w:tc>
                <w:tcPr>
                  <w:tcW w:w="2644" w:type="dxa"/>
                  <w:tcBorders>
                    <w:top w:val="nil"/>
                    <w:left w:val="nil"/>
                    <w:bottom w:val="nil"/>
                    <w:right w:val="nil"/>
                  </w:tcBorders>
                  <w:shd w:val="clear" w:color="000000" w:fill="002060"/>
                  <w:vAlign w:val="center"/>
                </w:tcPr>
                <w:p w14:paraId="01C0353D">
                  <w:pPr>
                    <w:jc w:val="center"/>
                    <w:rPr>
                      <w:rFonts w:hint="default" w:ascii="Calibri" w:hAnsi="Calibri" w:eastAsia="楷体_GB2312" w:cs="Calibri"/>
                      <w:b/>
                      <w:bCs/>
                      <w:snapToGrid/>
                      <w:color w:val="FFFFFF"/>
                      <w:sz w:val="22"/>
                      <w:szCs w:val="22"/>
                    </w:rPr>
                  </w:pPr>
                  <w:r>
                    <w:rPr>
                      <w:rFonts w:hint="default" w:ascii="Calibri" w:hAnsi="Calibri" w:eastAsia="楷体_GB2312" w:cs="Calibri"/>
                      <w:b/>
                      <w:bCs/>
                      <w:snapToGrid/>
                      <w:color w:val="FFFFFF"/>
                      <w:sz w:val="22"/>
                      <w:szCs w:val="22"/>
                    </w:rPr>
                    <w:t>2024 Key Highlights</w:t>
                  </w:r>
                </w:p>
              </w:tc>
            </w:tr>
            <w:tr w14:paraId="6AA27FC3">
              <w:tblPrEx>
                <w:tblCellMar>
                  <w:top w:w="0" w:type="dxa"/>
                  <w:left w:w="108" w:type="dxa"/>
                  <w:bottom w:w="0" w:type="dxa"/>
                  <w:right w:w="108" w:type="dxa"/>
                </w:tblCellMar>
              </w:tblPrEx>
              <w:trPr>
                <w:trHeight w:val="923" w:hRule="atLeast"/>
              </w:trPr>
              <w:tc>
                <w:tcPr>
                  <w:tcW w:w="1385" w:type="dxa"/>
                  <w:tcBorders>
                    <w:top w:val="nil"/>
                    <w:left w:val="nil"/>
                    <w:bottom w:val="nil"/>
                    <w:right w:val="nil"/>
                  </w:tcBorders>
                  <w:vAlign w:val="center"/>
                </w:tcPr>
                <w:p w14:paraId="035F0781">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La Roche-Posay</w:t>
                  </w:r>
                </w:p>
              </w:tc>
              <w:tc>
                <w:tcPr>
                  <w:tcW w:w="2189" w:type="dxa"/>
                  <w:tcBorders>
                    <w:top w:val="nil"/>
                    <w:left w:val="nil"/>
                    <w:bottom w:val="nil"/>
                    <w:right w:val="nil"/>
                  </w:tcBorders>
                  <w:vAlign w:val="center"/>
                </w:tcPr>
                <w:p w14:paraId="6FAF8BD8">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Toleriane, Vitamin B3 Serum, Cicaplast B5</w:t>
                  </w:r>
                </w:p>
              </w:tc>
              <w:tc>
                <w:tcPr>
                  <w:tcW w:w="1417" w:type="dxa"/>
                  <w:tcBorders>
                    <w:top w:val="nil"/>
                    <w:left w:val="nil"/>
                    <w:bottom w:val="nil"/>
                    <w:right w:val="nil"/>
                  </w:tcBorders>
                  <w:vAlign w:val="center"/>
                </w:tcPr>
                <w:p w14:paraId="3C94CF36">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Pharmacy + E-Commerce</w:t>
                  </w:r>
                </w:p>
              </w:tc>
              <w:tc>
                <w:tcPr>
                  <w:tcW w:w="2644" w:type="dxa"/>
                  <w:tcBorders>
                    <w:top w:val="nil"/>
                    <w:left w:val="nil"/>
                    <w:bottom w:val="nil"/>
                    <w:right w:val="nil"/>
                  </w:tcBorders>
                  <w:vAlign w:val="center"/>
                </w:tcPr>
                <w:p w14:paraId="33DE1A44">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Division Growth Leader; Double-Digit Growth in SAPMENA</w:t>
                  </w:r>
                </w:p>
              </w:tc>
            </w:tr>
            <w:tr w14:paraId="03E692AB">
              <w:tblPrEx>
                <w:tblCellMar>
                  <w:top w:w="0" w:type="dxa"/>
                  <w:left w:w="108" w:type="dxa"/>
                  <w:bottom w:w="0" w:type="dxa"/>
                  <w:right w:w="108" w:type="dxa"/>
                </w:tblCellMar>
              </w:tblPrEx>
              <w:trPr>
                <w:trHeight w:val="425" w:hRule="atLeast"/>
              </w:trPr>
              <w:tc>
                <w:tcPr>
                  <w:tcW w:w="1385" w:type="dxa"/>
                  <w:tcBorders>
                    <w:top w:val="nil"/>
                    <w:left w:val="nil"/>
                    <w:bottom w:val="nil"/>
                    <w:right w:val="nil"/>
                  </w:tcBorders>
                  <w:shd w:val="clear" w:color="000000" w:fill="F2F2F2"/>
                  <w:vAlign w:val="center"/>
                </w:tcPr>
                <w:p w14:paraId="770C4C9B">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CeraVe</w:t>
                  </w:r>
                </w:p>
              </w:tc>
              <w:tc>
                <w:tcPr>
                  <w:tcW w:w="2189" w:type="dxa"/>
                  <w:tcBorders>
                    <w:top w:val="nil"/>
                    <w:left w:val="nil"/>
                    <w:bottom w:val="nil"/>
                    <w:right w:val="nil"/>
                  </w:tcBorders>
                  <w:shd w:val="clear" w:color="000000" w:fill="F2F2F2"/>
                  <w:vAlign w:val="center"/>
                </w:tcPr>
                <w:p w14:paraId="2DE3BE4F">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Moisturising Cream, Hydrating Cleanser</w:t>
                  </w:r>
                </w:p>
              </w:tc>
              <w:tc>
                <w:tcPr>
                  <w:tcW w:w="1417" w:type="dxa"/>
                  <w:tcBorders>
                    <w:top w:val="nil"/>
                    <w:left w:val="nil"/>
                    <w:bottom w:val="nil"/>
                    <w:right w:val="nil"/>
                  </w:tcBorders>
                  <w:shd w:val="clear" w:color="000000" w:fill="F2F2F2"/>
                  <w:vAlign w:val="center"/>
                </w:tcPr>
                <w:p w14:paraId="1508BB09">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Mass Retail + Pharmacy + E-Commerce</w:t>
                  </w:r>
                </w:p>
              </w:tc>
              <w:tc>
                <w:tcPr>
                  <w:tcW w:w="2644" w:type="dxa"/>
                  <w:tcBorders>
                    <w:top w:val="nil"/>
                    <w:left w:val="nil"/>
                    <w:bottom w:val="nil"/>
                    <w:right w:val="nil"/>
                  </w:tcBorders>
                  <w:shd w:val="clear" w:color="000000" w:fill="F2F2F2"/>
                  <w:vAlign w:val="center"/>
                </w:tcPr>
                <w:p w14:paraId="0AFC160C">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Gen Z's #1 Skincare Brand; Driven by International Expansion</w:t>
                  </w:r>
                </w:p>
              </w:tc>
            </w:tr>
            <w:tr w14:paraId="3AA8441D">
              <w:tblPrEx>
                <w:tblCellMar>
                  <w:top w:w="0" w:type="dxa"/>
                  <w:left w:w="108" w:type="dxa"/>
                  <w:bottom w:w="0" w:type="dxa"/>
                  <w:right w:w="108" w:type="dxa"/>
                </w:tblCellMar>
              </w:tblPrEx>
              <w:trPr>
                <w:trHeight w:val="182" w:hRule="atLeast"/>
              </w:trPr>
              <w:tc>
                <w:tcPr>
                  <w:tcW w:w="1385" w:type="dxa"/>
                  <w:tcBorders>
                    <w:top w:val="nil"/>
                    <w:left w:val="nil"/>
                    <w:bottom w:val="nil"/>
                    <w:right w:val="nil"/>
                  </w:tcBorders>
                  <w:vAlign w:val="center"/>
                </w:tcPr>
                <w:p w14:paraId="3F956876">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Vichy</w:t>
                  </w:r>
                </w:p>
              </w:tc>
              <w:tc>
                <w:tcPr>
                  <w:tcW w:w="2189" w:type="dxa"/>
                  <w:tcBorders>
                    <w:top w:val="nil"/>
                    <w:left w:val="nil"/>
                    <w:bottom w:val="nil"/>
                    <w:right w:val="nil"/>
                  </w:tcBorders>
                  <w:vAlign w:val="center"/>
                </w:tcPr>
                <w:p w14:paraId="61D55580">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Dercos, Minéral 89 Serum, Liftactiv</w:t>
                  </w:r>
                </w:p>
              </w:tc>
              <w:tc>
                <w:tcPr>
                  <w:tcW w:w="1417" w:type="dxa"/>
                  <w:tcBorders>
                    <w:top w:val="nil"/>
                    <w:left w:val="nil"/>
                    <w:bottom w:val="nil"/>
                    <w:right w:val="nil"/>
                  </w:tcBorders>
                  <w:vAlign w:val="center"/>
                </w:tcPr>
                <w:p w14:paraId="503DF926">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Pharmacy</w:t>
                  </w:r>
                </w:p>
              </w:tc>
              <w:tc>
                <w:tcPr>
                  <w:tcW w:w="2644" w:type="dxa"/>
                  <w:tcBorders>
                    <w:top w:val="nil"/>
                    <w:left w:val="nil"/>
                    <w:bottom w:val="nil"/>
                    <w:right w:val="nil"/>
                  </w:tcBorders>
                  <w:vAlign w:val="center"/>
                </w:tcPr>
                <w:p w14:paraId="748C04FD">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Thermal Water Heritage + Scalp Care</w:t>
                  </w:r>
                </w:p>
              </w:tc>
            </w:tr>
            <w:tr w14:paraId="0271BCDC">
              <w:tblPrEx>
                <w:tblCellMar>
                  <w:top w:w="0" w:type="dxa"/>
                  <w:left w:w="108" w:type="dxa"/>
                  <w:bottom w:w="0" w:type="dxa"/>
                  <w:right w:w="108" w:type="dxa"/>
                </w:tblCellMar>
              </w:tblPrEx>
              <w:trPr>
                <w:trHeight w:val="661" w:hRule="atLeast"/>
              </w:trPr>
              <w:tc>
                <w:tcPr>
                  <w:tcW w:w="1385" w:type="dxa"/>
                  <w:tcBorders>
                    <w:top w:val="nil"/>
                    <w:left w:val="nil"/>
                    <w:bottom w:val="nil"/>
                    <w:right w:val="nil"/>
                  </w:tcBorders>
                  <w:shd w:val="clear" w:color="000000" w:fill="F2F2F2"/>
                  <w:vAlign w:val="center"/>
                </w:tcPr>
                <w:p w14:paraId="6449DD15">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SkinCeuticals</w:t>
                  </w:r>
                </w:p>
              </w:tc>
              <w:tc>
                <w:tcPr>
                  <w:tcW w:w="2189" w:type="dxa"/>
                  <w:tcBorders>
                    <w:top w:val="nil"/>
                    <w:left w:val="nil"/>
                    <w:bottom w:val="nil"/>
                    <w:right w:val="nil"/>
                  </w:tcBorders>
                  <w:shd w:val="clear" w:color="000000" w:fill="F2F2F2"/>
                  <w:vAlign w:val="center"/>
                </w:tcPr>
                <w:p w14:paraId="00B35296">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C E Ferulic, P-Tiox</w:t>
                  </w:r>
                </w:p>
              </w:tc>
              <w:tc>
                <w:tcPr>
                  <w:tcW w:w="1417" w:type="dxa"/>
                  <w:tcBorders>
                    <w:top w:val="nil"/>
                    <w:left w:val="nil"/>
                    <w:bottom w:val="nil"/>
                    <w:right w:val="nil"/>
                  </w:tcBorders>
                  <w:shd w:val="clear" w:color="000000" w:fill="F2F2F2"/>
                  <w:vAlign w:val="center"/>
                </w:tcPr>
                <w:p w14:paraId="7A7403CE">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Medi-Spa + DTC</w:t>
                  </w:r>
                </w:p>
              </w:tc>
              <w:tc>
                <w:tcPr>
                  <w:tcW w:w="2644" w:type="dxa"/>
                  <w:tcBorders>
                    <w:top w:val="nil"/>
                    <w:left w:val="nil"/>
                    <w:bottom w:val="nil"/>
                    <w:right w:val="nil"/>
                  </w:tcBorders>
                  <w:shd w:val="clear" w:color="000000" w:fill="F2F2F2"/>
                  <w:vAlign w:val="center"/>
                </w:tcPr>
                <w:p w14:paraId="4FC2E255">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Medical-Grade Positioning; High DTC Mix</w:t>
                  </w:r>
                </w:p>
              </w:tc>
            </w:tr>
            <w:tr w14:paraId="029B02A1">
              <w:tblPrEx>
                <w:tblCellMar>
                  <w:top w:w="0" w:type="dxa"/>
                  <w:left w:w="108" w:type="dxa"/>
                  <w:bottom w:w="0" w:type="dxa"/>
                  <w:right w:w="108" w:type="dxa"/>
                </w:tblCellMar>
              </w:tblPrEx>
              <w:trPr>
                <w:trHeight w:val="418" w:hRule="atLeast"/>
              </w:trPr>
              <w:tc>
                <w:tcPr>
                  <w:tcW w:w="1385" w:type="dxa"/>
                  <w:tcBorders>
                    <w:top w:val="nil"/>
                    <w:left w:val="nil"/>
                    <w:bottom w:val="nil"/>
                    <w:right w:val="nil"/>
                  </w:tcBorders>
                  <w:vAlign w:val="center"/>
                </w:tcPr>
                <w:p w14:paraId="6066FF90">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Skinbetter Science</w:t>
                  </w:r>
                </w:p>
              </w:tc>
              <w:tc>
                <w:tcPr>
                  <w:tcW w:w="2189" w:type="dxa"/>
                  <w:tcBorders>
                    <w:top w:val="nil"/>
                    <w:left w:val="nil"/>
                    <w:bottom w:val="nil"/>
                    <w:right w:val="nil"/>
                  </w:tcBorders>
                  <w:vAlign w:val="center"/>
                </w:tcPr>
                <w:p w14:paraId="6A6727A1">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AlphaRet, InterFuse</w:t>
                  </w:r>
                </w:p>
              </w:tc>
              <w:tc>
                <w:tcPr>
                  <w:tcW w:w="1417" w:type="dxa"/>
                  <w:tcBorders>
                    <w:top w:val="nil"/>
                    <w:left w:val="nil"/>
                    <w:bottom w:val="nil"/>
                    <w:right w:val="nil"/>
                  </w:tcBorders>
                  <w:vAlign w:val="center"/>
                </w:tcPr>
                <w:p w14:paraId="1268470C">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Medi-Spa + DTC</w:t>
                  </w:r>
                </w:p>
              </w:tc>
              <w:tc>
                <w:tcPr>
                  <w:tcW w:w="2644" w:type="dxa"/>
                  <w:tcBorders>
                    <w:top w:val="nil"/>
                    <w:left w:val="nil"/>
                    <w:bottom w:val="nil"/>
                    <w:right w:val="nil"/>
                  </w:tcBorders>
                  <w:vAlign w:val="center"/>
                </w:tcPr>
                <w:p w14:paraId="457A5EFE">
                  <w:pPr>
                    <w:jc w:val="center"/>
                    <w:rPr>
                      <w:rFonts w:hint="default" w:ascii="Calibri" w:hAnsi="Calibri" w:eastAsia="楷体_GB2312" w:cs="Calibri"/>
                      <w:snapToGrid/>
                      <w:color w:val="000000"/>
                      <w:sz w:val="18"/>
                      <w:szCs w:val="18"/>
                    </w:rPr>
                  </w:pPr>
                  <w:r>
                    <w:rPr>
                      <w:rFonts w:hint="default" w:ascii="Calibri" w:hAnsi="Calibri" w:eastAsia="楷体_GB2312" w:cs="Calibri"/>
                      <w:snapToGrid/>
                      <w:color w:val="000000"/>
                      <w:sz w:val="18"/>
                      <w:szCs w:val="18"/>
                    </w:rPr>
                    <w:t>Post-Procedure Skincare Specialist</w:t>
                  </w:r>
                </w:p>
              </w:tc>
            </w:tr>
          </w:tbl>
          <w:p w14:paraId="54CE09DB">
            <w:pPr>
              <w:rPr>
                <w:rFonts w:hint="default" w:ascii="Calibri" w:hAnsi="Calibri" w:eastAsia="楷体_GB2312" w:cs="Calibri"/>
                <w:kern w:val="2"/>
                <w:sz w:val="22"/>
                <w:szCs w:val="22"/>
              </w:rPr>
            </w:pPr>
          </w:p>
        </w:tc>
      </w:tr>
      <w:tr w14:paraId="59486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2B00D06B">
            <w:pPr>
              <w:rPr>
                <w:rFonts w:hint="default" w:ascii="Calibri" w:hAnsi="Calibri" w:eastAsia="楷体_GB2312" w:cs="Calibri"/>
                <w:b w:val="0"/>
                <w:bCs w:val="0"/>
                <w:kern w:val="2"/>
                <w:sz w:val="20"/>
                <w:szCs w:val="20"/>
              </w:rPr>
            </w:pPr>
            <w:r>
              <w:rPr>
                <w:rFonts w:hint="default" w:ascii="Calibri" w:hAnsi="Calibri" w:eastAsia="楷体_GB2312" w:cs="Calibri"/>
                <w:b w:val="0"/>
                <w:bCs w:val="0"/>
                <w:kern w:val="2"/>
                <w:sz w:val="20"/>
                <w:szCs w:val="20"/>
              </w:rPr>
              <w:t>Source: Company Annual Reports, HFI</w:t>
            </w:r>
          </w:p>
        </w:tc>
      </w:tr>
    </w:tbl>
    <w:p w14:paraId="3482CB15">
      <w:pPr>
        <w:jc w:val="both"/>
        <w:rPr>
          <w:rFonts w:hint="default" w:ascii="Calibri" w:hAnsi="Calibri" w:eastAsia="楷体_GB2312" w:cs="Calibri"/>
          <w:kern w:val="2"/>
          <w:sz w:val="22"/>
          <w:szCs w:val="22"/>
        </w:rPr>
      </w:pPr>
    </w:p>
    <w:p w14:paraId="255CC50A">
      <w:pPr>
        <w:jc w:val="both"/>
        <w:rPr>
          <w:rFonts w:hint="default" w:ascii="Calibri" w:hAnsi="Calibri" w:eastAsia="楷体_GB2312" w:cs="Calibri"/>
          <w:kern w:val="2"/>
          <w:sz w:val="22"/>
          <w:szCs w:val="22"/>
        </w:rPr>
      </w:pPr>
      <w:r>
        <w:rPr>
          <w:rFonts w:hint="default" w:ascii="Calibri" w:hAnsi="Calibri" w:eastAsia="楷体_GB2312" w:cs="Calibri"/>
          <w:b/>
          <w:bCs/>
          <w:kern w:val="2"/>
          <w:sz w:val="22"/>
          <w:szCs w:val="22"/>
        </w:rPr>
        <w:t xml:space="preserve">Brands within this division achieve sustained, market-leading growth through physician endorsement and rigorous ongoing research into skin concerns that address consumer needs. </w:t>
      </w:r>
      <w:r>
        <w:rPr>
          <w:rFonts w:hint="default" w:ascii="Calibri" w:hAnsi="Calibri" w:eastAsia="楷体_GB2312" w:cs="Calibri"/>
          <w:kern w:val="2"/>
          <w:sz w:val="22"/>
          <w:szCs w:val="22"/>
        </w:rPr>
        <w:t>Taking La Roche-Posay as an example: founded in 1975 by dermatologists and built on the thermal spring water of La Roche-Posay, France, the brand is recommended by over 90,000 dermatologists worldwide. Its Effaclar range is one of the world's best-selling acne care products; the Mela B3 range, launched in 2024 and featuring the group's proprietary Melasyl molecule, represents a breakthrough innovation in the anti-hyperpigmentation space; and the Anthelios suncare range perennially ranks first in the pharmacy channel.</w:t>
      </w:r>
    </w:p>
    <w:p w14:paraId="56E2A6BC">
      <w:pPr>
        <w:jc w:val="both"/>
        <w:rPr>
          <w:rFonts w:hint="default" w:ascii="Calibri" w:hAnsi="Calibri" w:eastAsia="楷体_GB2312" w:cs="Calibri"/>
          <w:kern w:val="2"/>
          <w:sz w:val="22"/>
          <w:szCs w:val="22"/>
        </w:rPr>
      </w:pPr>
      <w:r>
        <w:rPr>
          <w:rFonts w:hint="default" w:ascii="Calibri" w:hAnsi="Calibri" w:eastAsia="楷体_GB2312" w:cs="Calibri"/>
          <w:kern w:val="2"/>
          <w:sz w:val="22"/>
          <w:szCs w:val="22"/>
        </w:rPr>
        <w:t>In terms of revenue scale, the Dermatological Beauty Division is the group's fastest-growing division. Its like-for-like growth from 2022 to 2024 was +21.1%, +18.3%, and +9.8% respectively, substantially outperforming the group-level LFL of +10.9%, +11.0%, and +5.1% over the same period. By comparison, L'Oréal Luxe achieved LFL growth of only +2.7% in 2024, Consumer Products +5.4%, and Professional Products +5.3%. The division's outperformance reflects the high growth momentum in the global dermatological skincare segment (Euromonitor CAGR 2019–2024 of approximately 10.6%), as well as the group's first-mover advantage in physician prescription channels and its multi-brand portfolio.</w:t>
      </w:r>
    </w:p>
    <w:p w14:paraId="038CF142">
      <w:pPr>
        <w:rPr>
          <w:rFonts w:hint="default" w:ascii="Calibri" w:hAnsi="Calibri" w:eastAsia="楷体_GB2312" w:cs="Calibri"/>
          <w:kern w:val="2"/>
          <w:sz w:val="22"/>
          <w:szCs w:val="22"/>
        </w:rPr>
      </w:pPr>
      <w:r>
        <w:rPr>
          <w:rFonts w:hint="default" w:ascii="Calibri" w:hAnsi="Calibri" w:eastAsia="楷体_GB2312" w:cs="Calibri"/>
          <w:kern w:val="2"/>
          <w:sz w:val="22"/>
          <w:szCs w:val="22"/>
        </w:rPr>
        <w:br w:type="page"/>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74"/>
      </w:tblGrid>
      <w:tr w14:paraId="2E081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bottom w:val="single" w:color="auto" w:sz="4" w:space="0"/>
            </w:tcBorders>
          </w:tcPr>
          <w:p w14:paraId="61239B42">
            <w:pPr>
              <w:rPr>
                <w:rFonts w:hint="default" w:ascii="Calibri" w:hAnsi="Calibri" w:eastAsia="楷体_GB2312" w:cs="Calibri"/>
                <w:b/>
                <w:bCs/>
                <w:kern w:val="2"/>
                <w:sz w:val="22"/>
                <w:szCs w:val="22"/>
              </w:rPr>
            </w:pPr>
            <w:r>
              <w:rPr>
                <w:rFonts w:hint="default" w:ascii="Calibri" w:hAnsi="Calibri" w:eastAsia="楷体_GB2312" w:cs="Calibri"/>
                <w:b/>
                <w:bCs/>
                <w:kern w:val="2"/>
                <w:sz w:val="22"/>
                <w:szCs w:val="22"/>
              </w:rPr>
              <w:t>Figure:</w:t>
            </w:r>
            <w:r>
              <w:rPr>
                <w:rFonts w:hint="default" w:ascii="Calibri" w:hAnsi="Calibri" w:eastAsia="楷体_GB2312" w:cs="Calibri"/>
                <w:b/>
                <w:bCs/>
                <w:sz w:val="22"/>
                <w:szCs w:val="22"/>
              </w:rPr>
              <w:t xml:space="preserve"> La Roche-Posay Brand Overview</w:t>
            </w:r>
          </w:p>
        </w:tc>
      </w:tr>
      <w:tr w14:paraId="4D543C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tbl>
            <w:tblPr>
              <w:tblStyle w:val="12"/>
              <w:tblW w:w="7620" w:type="dxa"/>
              <w:tblInd w:w="0" w:type="dxa"/>
              <w:tblLayout w:type="autofit"/>
              <w:tblCellMar>
                <w:top w:w="0" w:type="dxa"/>
                <w:left w:w="108" w:type="dxa"/>
                <w:bottom w:w="0" w:type="dxa"/>
                <w:right w:w="108" w:type="dxa"/>
              </w:tblCellMar>
            </w:tblPr>
            <w:tblGrid>
              <w:gridCol w:w="1195"/>
              <w:gridCol w:w="6425"/>
            </w:tblGrid>
            <w:tr w14:paraId="1BFBDB93">
              <w:tblPrEx>
                <w:tblCellMar>
                  <w:top w:w="0" w:type="dxa"/>
                  <w:left w:w="108" w:type="dxa"/>
                  <w:bottom w:w="0" w:type="dxa"/>
                  <w:right w:w="108" w:type="dxa"/>
                </w:tblCellMar>
              </w:tblPrEx>
              <w:trPr>
                <w:trHeight w:val="271" w:hRule="atLeast"/>
              </w:trPr>
              <w:tc>
                <w:tcPr>
                  <w:tcW w:w="881" w:type="dxa"/>
                  <w:tcBorders>
                    <w:top w:val="nil"/>
                    <w:left w:val="nil"/>
                    <w:bottom w:val="nil"/>
                    <w:right w:val="nil"/>
                  </w:tcBorders>
                  <w:shd w:val="clear" w:color="000000" w:fill="002060"/>
                  <w:vAlign w:val="center"/>
                </w:tcPr>
                <w:p w14:paraId="7E89B3A4">
                  <w:pPr>
                    <w:jc w:val="center"/>
                    <w:rPr>
                      <w:rFonts w:hint="default" w:ascii="Calibri" w:hAnsi="Calibri" w:eastAsia="楷体_GB2312" w:cs="Calibri"/>
                      <w:b/>
                      <w:bCs/>
                      <w:snapToGrid/>
                      <w:color w:val="FFFFFF"/>
                      <w:sz w:val="22"/>
                      <w:szCs w:val="22"/>
                    </w:rPr>
                  </w:pPr>
                  <w:r>
                    <w:rPr>
                      <w:rFonts w:hint="default" w:ascii="Calibri" w:hAnsi="Calibri" w:eastAsia="楷体_GB2312" w:cs="Calibri"/>
                      <w:b/>
                      <w:bCs/>
                      <w:snapToGrid/>
                      <w:color w:val="FFFFFF"/>
                      <w:sz w:val="22"/>
                      <w:szCs w:val="22"/>
                    </w:rPr>
                    <w:t>Dimension</w:t>
                  </w:r>
                </w:p>
              </w:tc>
              <w:tc>
                <w:tcPr>
                  <w:tcW w:w="6739" w:type="dxa"/>
                  <w:tcBorders>
                    <w:top w:val="nil"/>
                    <w:left w:val="nil"/>
                    <w:bottom w:val="nil"/>
                    <w:right w:val="nil"/>
                  </w:tcBorders>
                  <w:shd w:val="clear" w:color="000000" w:fill="002060"/>
                  <w:vAlign w:val="center"/>
                </w:tcPr>
                <w:p w14:paraId="03BD9B4F">
                  <w:pPr>
                    <w:jc w:val="center"/>
                    <w:rPr>
                      <w:rFonts w:hint="default" w:ascii="Calibri" w:hAnsi="Calibri" w:eastAsia="楷体_GB2312" w:cs="Calibri"/>
                      <w:b/>
                      <w:bCs/>
                      <w:snapToGrid/>
                      <w:color w:val="FFFFFF"/>
                      <w:sz w:val="22"/>
                      <w:szCs w:val="22"/>
                    </w:rPr>
                  </w:pPr>
                  <w:r>
                    <w:rPr>
                      <w:rFonts w:hint="default" w:ascii="Calibri" w:hAnsi="Calibri" w:eastAsia="楷体_GB2312" w:cs="Calibri"/>
                      <w:b/>
                      <w:bCs/>
                      <w:snapToGrid/>
                      <w:color w:val="FFFFFF"/>
                      <w:sz w:val="22"/>
                      <w:szCs w:val="22"/>
                    </w:rPr>
                    <w:t>Highlights</w:t>
                  </w:r>
                </w:p>
              </w:tc>
            </w:tr>
            <w:tr w14:paraId="2964A7F8">
              <w:tblPrEx>
                <w:tblCellMar>
                  <w:top w:w="0" w:type="dxa"/>
                  <w:left w:w="108" w:type="dxa"/>
                  <w:bottom w:w="0" w:type="dxa"/>
                  <w:right w:w="108" w:type="dxa"/>
                </w:tblCellMar>
              </w:tblPrEx>
              <w:trPr>
                <w:trHeight w:val="602" w:hRule="atLeast"/>
              </w:trPr>
              <w:tc>
                <w:tcPr>
                  <w:tcW w:w="881" w:type="dxa"/>
                  <w:tcBorders>
                    <w:top w:val="nil"/>
                    <w:left w:val="nil"/>
                    <w:bottom w:val="nil"/>
                    <w:right w:val="nil"/>
                  </w:tcBorders>
                  <w:vAlign w:val="center"/>
                </w:tcPr>
                <w:p w14:paraId="282360E2">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Positioning</w:t>
                  </w:r>
                </w:p>
              </w:tc>
              <w:tc>
                <w:tcPr>
                  <w:tcW w:w="6739" w:type="dxa"/>
                  <w:tcBorders>
                    <w:top w:val="nil"/>
                    <w:left w:val="nil"/>
                    <w:bottom w:val="nil"/>
                    <w:right w:val="nil"/>
                  </w:tcBorders>
                  <w:vAlign w:val="center"/>
                </w:tcPr>
                <w:p w14:paraId="704886B4">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World's Leading Dermatological Skincare Brand; Founded by Dermatologists in 1975</w:t>
                  </w:r>
                </w:p>
              </w:tc>
            </w:tr>
            <w:tr w14:paraId="1AD8D296">
              <w:tblPrEx>
                <w:tblCellMar>
                  <w:top w:w="0" w:type="dxa"/>
                  <w:left w:w="108" w:type="dxa"/>
                  <w:bottom w:w="0" w:type="dxa"/>
                  <w:right w:w="108" w:type="dxa"/>
                </w:tblCellMar>
              </w:tblPrEx>
              <w:trPr>
                <w:trHeight w:val="904" w:hRule="atLeast"/>
              </w:trPr>
              <w:tc>
                <w:tcPr>
                  <w:tcW w:w="881" w:type="dxa"/>
                  <w:tcBorders>
                    <w:top w:val="nil"/>
                    <w:left w:val="nil"/>
                    <w:bottom w:val="nil"/>
                    <w:right w:val="nil"/>
                  </w:tcBorders>
                  <w:shd w:val="clear" w:color="000000" w:fill="F2F2F2"/>
                  <w:vAlign w:val="center"/>
                </w:tcPr>
                <w:p w14:paraId="158CA33F">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Hero Products</w:t>
                  </w:r>
                </w:p>
              </w:tc>
              <w:tc>
                <w:tcPr>
                  <w:tcW w:w="6739" w:type="dxa"/>
                  <w:tcBorders>
                    <w:top w:val="nil"/>
                    <w:left w:val="nil"/>
                    <w:bottom w:val="nil"/>
                    <w:right w:val="nil"/>
                  </w:tcBorders>
                  <w:shd w:val="clear" w:color="000000" w:fill="F2F2F2"/>
                  <w:vAlign w:val="center"/>
                </w:tcPr>
                <w:p w14:paraId="4F5F6CAC">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Effaclar (Acne) | Mela B3 (Pigmentation, Melasyl Molecule) | Cicaplast B5 (Repair) | Anthelios (Sun Protection) | Toleriane (Sensitive Skin)</w:t>
                  </w:r>
                </w:p>
              </w:tc>
            </w:tr>
            <w:tr w14:paraId="1832A6DD">
              <w:tblPrEx>
                <w:tblCellMar>
                  <w:top w:w="0" w:type="dxa"/>
                  <w:left w:w="108" w:type="dxa"/>
                  <w:bottom w:w="0" w:type="dxa"/>
                  <w:right w:w="108" w:type="dxa"/>
                </w:tblCellMar>
              </w:tblPrEx>
              <w:trPr>
                <w:trHeight w:val="602" w:hRule="atLeast"/>
              </w:trPr>
              <w:tc>
                <w:tcPr>
                  <w:tcW w:w="881" w:type="dxa"/>
                  <w:tcBorders>
                    <w:top w:val="nil"/>
                    <w:left w:val="nil"/>
                    <w:bottom w:val="nil"/>
                    <w:right w:val="nil"/>
                  </w:tcBorders>
                  <w:vAlign w:val="center"/>
                </w:tcPr>
                <w:p w14:paraId="0B137EA4">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Clinical Authority</w:t>
                  </w:r>
                </w:p>
              </w:tc>
              <w:tc>
                <w:tcPr>
                  <w:tcW w:w="6739" w:type="dxa"/>
                  <w:tcBorders>
                    <w:top w:val="nil"/>
                    <w:left w:val="nil"/>
                    <w:bottom w:val="nil"/>
                    <w:right w:val="nil"/>
                  </w:tcBorders>
                  <w:vAlign w:val="center"/>
                </w:tcPr>
                <w:p w14:paraId="05EE0B42">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200+ Clinical Studies over 3 Years</w:t>
                  </w:r>
                </w:p>
              </w:tc>
            </w:tr>
            <w:tr w14:paraId="18996846">
              <w:tblPrEx>
                <w:tblCellMar>
                  <w:top w:w="0" w:type="dxa"/>
                  <w:left w:w="108" w:type="dxa"/>
                  <w:bottom w:w="0" w:type="dxa"/>
                  <w:right w:w="108" w:type="dxa"/>
                </w:tblCellMar>
              </w:tblPrEx>
              <w:trPr>
                <w:trHeight w:val="301" w:hRule="atLeast"/>
              </w:trPr>
              <w:tc>
                <w:tcPr>
                  <w:tcW w:w="881" w:type="dxa"/>
                  <w:tcBorders>
                    <w:top w:val="nil"/>
                    <w:left w:val="nil"/>
                    <w:bottom w:val="nil"/>
                    <w:right w:val="nil"/>
                  </w:tcBorders>
                  <w:shd w:val="clear" w:color="000000" w:fill="F2F2F2"/>
                  <w:vAlign w:val="center"/>
                </w:tcPr>
                <w:p w14:paraId="6A38357D">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Channel Mix</w:t>
                  </w:r>
                </w:p>
              </w:tc>
              <w:tc>
                <w:tcPr>
                  <w:tcW w:w="6739" w:type="dxa"/>
                  <w:tcBorders>
                    <w:top w:val="nil"/>
                    <w:left w:val="nil"/>
                    <w:bottom w:val="nil"/>
                    <w:right w:val="nil"/>
                  </w:tcBorders>
                  <w:shd w:val="clear" w:color="000000" w:fill="F2F2F2"/>
                  <w:vAlign w:val="center"/>
                </w:tcPr>
                <w:p w14:paraId="0968E803">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Pharmacy | E-Commerce</w:t>
                  </w:r>
                </w:p>
              </w:tc>
            </w:tr>
            <w:tr w14:paraId="08065B67">
              <w:tblPrEx>
                <w:tblCellMar>
                  <w:top w:w="0" w:type="dxa"/>
                  <w:left w:w="108" w:type="dxa"/>
                  <w:bottom w:w="0" w:type="dxa"/>
                  <w:right w:w="108" w:type="dxa"/>
                </w:tblCellMar>
              </w:tblPrEx>
              <w:trPr>
                <w:trHeight w:val="301" w:hRule="atLeast"/>
              </w:trPr>
              <w:tc>
                <w:tcPr>
                  <w:tcW w:w="881" w:type="dxa"/>
                  <w:tcBorders>
                    <w:top w:val="nil"/>
                    <w:left w:val="nil"/>
                    <w:bottom w:val="nil"/>
                    <w:right w:val="nil"/>
                  </w:tcBorders>
                  <w:vAlign w:val="center"/>
                </w:tcPr>
                <w:p w14:paraId="50420D36">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Innovation</w:t>
                  </w:r>
                </w:p>
              </w:tc>
              <w:tc>
                <w:tcPr>
                  <w:tcW w:w="6739" w:type="dxa"/>
                  <w:tcBorders>
                    <w:top w:val="nil"/>
                    <w:left w:val="nil"/>
                    <w:bottom w:val="nil"/>
                    <w:right w:val="nil"/>
                  </w:tcBorders>
                  <w:vAlign w:val="center"/>
                </w:tcPr>
                <w:p w14:paraId="1101AAE9">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Melasyl Molecule | UVMune 400 Sun Protection Technology</w:t>
                  </w:r>
                </w:p>
              </w:tc>
            </w:tr>
            <w:tr w14:paraId="572A9795">
              <w:tblPrEx>
                <w:tblCellMar>
                  <w:top w:w="0" w:type="dxa"/>
                  <w:left w:w="108" w:type="dxa"/>
                  <w:bottom w:w="0" w:type="dxa"/>
                  <w:right w:w="108" w:type="dxa"/>
                </w:tblCellMar>
              </w:tblPrEx>
              <w:trPr>
                <w:trHeight w:val="602" w:hRule="atLeast"/>
              </w:trPr>
              <w:tc>
                <w:tcPr>
                  <w:tcW w:w="881" w:type="dxa"/>
                  <w:tcBorders>
                    <w:top w:val="nil"/>
                    <w:left w:val="nil"/>
                    <w:bottom w:val="nil"/>
                    <w:right w:val="nil"/>
                  </w:tcBorders>
                  <w:shd w:val="clear" w:color="000000" w:fill="F2F2F2"/>
                  <w:vAlign w:val="center"/>
                </w:tcPr>
                <w:p w14:paraId="76ED3F14">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Growth Markets</w:t>
                  </w:r>
                </w:p>
              </w:tc>
              <w:tc>
                <w:tcPr>
                  <w:tcW w:w="6739" w:type="dxa"/>
                  <w:tcBorders>
                    <w:top w:val="nil"/>
                    <w:left w:val="nil"/>
                    <w:bottom w:val="nil"/>
                    <w:right w:val="nil"/>
                  </w:tcBorders>
                  <w:shd w:val="clear" w:color="000000" w:fill="F2F2F2"/>
                  <w:vAlign w:val="center"/>
                </w:tcPr>
                <w:p w14:paraId="0699D91B">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Double-Digit Growth in SAPMENA | Leading Dermocosmetic Brand in China</w:t>
                  </w:r>
                </w:p>
              </w:tc>
            </w:tr>
            <w:tr w14:paraId="0323F1F4">
              <w:tblPrEx>
                <w:tblCellMar>
                  <w:top w:w="0" w:type="dxa"/>
                  <w:left w:w="108" w:type="dxa"/>
                  <w:bottom w:w="0" w:type="dxa"/>
                  <w:right w:w="108" w:type="dxa"/>
                </w:tblCellMar>
              </w:tblPrEx>
              <w:trPr>
                <w:trHeight w:val="542" w:hRule="atLeast"/>
              </w:trPr>
              <w:tc>
                <w:tcPr>
                  <w:tcW w:w="881" w:type="dxa"/>
                  <w:tcBorders>
                    <w:top w:val="nil"/>
                    <w:left w:val="nil"/>
                    <w:bottom w:val="nil"/>
                    <w:right w:val="nil"/>
                  </w:tcBorders>
                  <w:vAlign w:val="center"/>
                </w:tcPr>
                <w:p w14:paraId="18060081">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Social Media</w:t>
                  </w:r>
                </w:p>
              </w:tc>
              <w:tc>
                <w:tcPr>
                  <w:tcW w:w="6739" w:type="dxa"/>
                  <w:tcBorders>
                    <w:top w:val="nil"/>
                    <w:left w:val="nil"/>
                    <w:bottom w:val="nil"/>
                    <w:right w:val="nil"/>
                  </w:tcBorders>
                  <w:vAlign w:val="center"/>
                </w:tcPr>
                <w:p w14:paraId="394E1261">
                  <w:pPr>
                    <w:jc w:val="center"/>
                    <w:rPr>
                      <w:rFonts w:hint="default" w:ascii="Calibri" w:hAnsi="Calibri" w:eastAsia="楷体_GB2312" w:cs="Calibri"/>
                      <w:snapToGrid/>
                      <w:color w:val="333333"/>
                      <w:sz w:val="18"/>
                      <w:szCs w:val="18"/>
                    </w:rPr>
                  </w:pPr>
                  <w:r>
                    <w:rPr>
                      <w:rFonts w:hint="default" w:ascii="Calibri" w:hAnsi="Calibri" w:eastAsia="楷体_GB2312" w:cs="Calibri"/>
                      <w:snapToGrid/>
                      <w:color w:val="333333"/>
                      <w:sz w:val="18"/>
                      <w:szCs w:val="18"/>
                    </w:rPr>
                    <w:t>TikTok #LaRochePosay Billions of Views | #SkinTok Effect</w:t>
                  </w:r>
                </w:p>
              </w:tc>
            </w:tr>
          </w:tbl>
          <w:p w14:paraId="0775CD5E">
            <w:pPr>
              <w:rPr>
                <w:rFonts w:hint="default" w:ascii="Calibri" w:hAnsi="Calibri" w:eastAsia="楷体_GB2312" w:cs="Calibri"/>
                <w:kern w:val="2"/>
                <w:sz w:val="22"/>
                <w:szCs w:val="22"/>
              </w:rPr>
            </w:pPr>
          </w:p>
        </w:tc>
      </w:tr>
      <w:tr w14:paraId="33457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33A3F046">
            <w:pPr>
              <w:rPr>
                <w:rFonts w:hint="default" w:ascii="Calibri" w:hAnsi="Calibri" w:eastAsia="楷体_GB2312" w:cs="Calibri"/>
                <w:b w:val="0"/>
                <w:bCs w:val="0"/>
                <w:kern w:val="2"/>
                <w:sz w:val="20"/>
                <w:szCs w:val="20"/>
              </w:rPr>
            </w:pPr>
            <w:r>
              <w:rPr>
                <w:rFonts w:hint="default" w:ascii="Calibri" w:hAnsi="Calibri" w:eastAsia="楷体_GB2312" w:cs="Calibri"/>
                <w:b w:val="0"/>
                <w:bCs w:val="0"/>
                <w:kern w:val="2"/>
                <w:sz w:val="20"/>
                <w:szCs w:val="20"/>
              </w:rPr>
              <w:t>Source: Company Annual Reports, HFI</w:t>
            </w:r>
          </w:p>
        </w:tc>
      </w:tr>
    </w:tbl>
    <w:p w14:paraId="0CBB1167">
      <w:pPr>
        <w:jc w:val="both"/>
        <w:rPr>
          <w:rFonts w:hint="default" w:ascii="Calibri" w:hAnsi="Calibri" w:eastAsia="楷体_GB2312" w:cs="Calibri"/>
          <w:kern w:val="2"/>
          <w:sz w:val="22"/>
          <w:szCs w:val="22"/>
        </w:rPr>
      </w:pPr>
    </w:p>
    <w:bookmarkEnd w:id="13"/>
    <w:p w14:paraId="7AD703B0">
      <w:pPr>
        <w:pStyle w:val="2"/>
        <w:spacing w:before="240" w:beforeLines="100" w:after="240" w:afterLines="100"/>
        <w:jc w:val="both"/>
        <w:rPr>
          <w:rFonts w:hint="default" w:ascii="Calibri" w:hAnsi="Calibri" w:eastAsia="楷体_GB2312" w:cs="Calibri"/>
          <w:b/>
          <w:bCs/>
          <w:color w:val="23558C"/>
          <w:sz w:val="28"/>
          <w:szCs w:val="28"/>
        </w:rPr>
      </w:pPr>
      <w:bookmarkStart w:id="24" w:name="_Toc4881"/>
      <w:r>
        <w:rPr>
          <w:rFonts w:hint="default" w:ascii="Calibri" w:hAnsi="Calibri" w:eastAsia="楷体_GB2312" w:cs="Calibri"/>
          <w:b/>
          <w:bCs/>
          <w:color w:val="23558C"/>
          <w:sz w:val="28"/>
          <w:szCs w:val="28"/>
        </w:rPr>
        <w:t>4 Future Highlights: Driving Growth Through Organic Expansion and External Acquisitions</w:t>
      </w:r>
      <w:bookmarkEnd w:id="24"/>
    </w:p>
    <w:p w14:paraId="25B5787E">
      <w:pPr>
        <w:pStyle w:val="149"/>
        <w:ind w:right="42"/>
        <w:jc w:val="both"/>
        <w:rPr>
          <w:rFonts w:hint="default" w:ascii="Calibri" w:hAnsi="Calibri" w:eastAsia="楷体_GB2312" w:cs="Calibri"/>
          <w:color w:val="23558C"/>
          <w:sz w:val="24"/>
        </w:rPr>
      </w:pPr>
      <w:bookmarkStart w:id="25" w:name="_Toc31789"/>
      <w:r>
        <w:rPr>
          <w:rFonts w:hint="default" w:ascii="Calibri" w:hAnsi="Calibri" w:eastAsia="楷体_GB2312" w:cs="Calibri"/>
          <w:color w:val="23558C"/>
          <w:sz w:val="24"/>
        </w:rPr>
        <w:t>4.1 L'Oréal Luxe Division: Capitalizing on Structural Upgrades in Fragrances and Filling Super-Premium Gaps</w:t>
      </w:r>
      <w:bookmarkEnd w:id="25"/>
    </w:p>
    <w:p w14:paraId="3DDC2F7F">
      <w:pPr>
        <w:jc w:val="both"/>
        <w:rPr>
          <w:rFonts w:hint="default" w:ascii="Calibri" w:hAnsi="Calibri" w:eastAsia="楷体_GB2312" w:cs="Calibri"/>
          <w:b/>
          <w:bCs/>
          <w:color w:val="000000" w:themeColor="text1"/>
          <w:sz w:val="22"/>
          <w:szCs w:val="22"/>
          <w:u w:val="single"/>
          <w14:textFill>
            <w14:solidFill>
              <w14:schemeClr w14:val="tx1"/>
            </w14:solidFill>
          </w14:textFill>
        </w:rPr>
      </w:pPr>
      <w:r>
        <w:rPr>
          <w:rFonts w:hint="default" w:ascii="Calibri" w:hAnsi="Calibri" w:eastAsia="楷体_GB2312" w:cs="Calibri"/>
          <w:b/>
          <w:bCs/>
          <w:color w:val="000000" w:themeColor="text1"/>
          <w:sz w:val="22"/>
          <w:szCs w:val="22"/>
          <w:u w:val="single"/>
          <w14:textFill>
            <w14:solidFill>
              <w14:schemeClr w14:val="tx1"/>
            </w14:solidFill>
          </w14:textFill>
        </w:rPr>
        <w:t>The company's Premium Consumer Goods Division will focus on two key dimensions: structural upgrades within the fragrance category (targeting young male consumers, leveraging Asia's rise, and capturing premium value through uniqueness) and rapid expansion of its high-end brand portfolio (filling super-premium gaps through Creed and Kering licensing agreements).</w:t>
      </w:r>
    </w:p>
    <w:p w14:paraId="4316FE0B">
      <w:pPr>
        <w:jc w:val="both"/>
        <w:rPr>
          <w:rFonts w:hint="default" w:ascii="Calibri" w:hAnsi="Calibri" w:eastAsia="楷体_GB2312" w:cs="Calibri"/>
          <w:b/>
          <w:bCs/>
          <w:color w:val="000000" w:themeColor="text1"/>
          <w:sz w:val="22"/>
          <w:szCs w:val="22"/>
          <w:u w:val="single"/>
          <w14:textFill>
            <w14:solidFill>
              <w14:schemeClr w14:val="tx1"/>
            </w14:solidFill>
          </w14:textFill>
        </w:rPr>
      </w:pPr>
    </w:p>
    <w:p w14:paraId="641CBCD8">
      <w:pPr>
        <w:pStyle w:val="27"/>
        <w:numPr>
          <w:ilvl w:val="0"/>
          <w:numId w:val="10"/>
        </w:numPr>
        <w:jc w:val="both"/>
        <w:rPr>
          <w:rFonts w:hint="default" w:ascii="Calibri" w:hAnsi="Calibri" w:eastAsia="楷体_GB2312" w:cs="Calibri"/>
          <w:color w:val="000000" w:themeColor="text1"/>
          <w:sz w:val="22"/>
          <w:szCs w:val="22"/>
          <w14:textFill>
            <w14:solidFill>
              <w14:schemeClr w14:val="tx1"/>
            </w14:solidFill>
          </w14:textFill>
        </w:rPr>
      </w:pPr>
      <w:r>
        <w:rPr>
          <w:rFonts w:hint="default" w:ascii="Calibri" w:hAnsi="Calibri" w:eastAsia="楷体_GB2312" w:cs="Calibri"/>
          <w:b/>
          <w:bCs/>
          <w:color w:val="000000" w:themeColor="text1"/>
          <w:sz w:val="22"/>
          <w:szCs w:val="22"/>
          <w14:textFill>
            <w14:solidFill>
              <w14:schemeClr w14:val="tx1"/>
            </w14:solidFill>
          </w14:textFill>
        </w:rPr>
        <w:t xml:space="preserve">Fragrances serve as the strongest growth engine within the Luxe division, having made significant contributions over the past few years. </w:t>
      </w:r>
      <w:r>
        <w:rPr>
          <w:rFonts w:hint="default" w:ascii="Calibri" w:hAnsi="Calibri" w:eastAsia="楷体_GB2312" w:cs="Calibri"/>
          <w:color w:val="000000" w:themeColor="text1"/>
          <w:sz w:val="22"/>
          <w:szCs w:val="22"/>
          <w14:textFill>
            <w14:solidFill>
              <w14:schemeClr w14:val="tx1"/>
            </w14:solidFill>
          </w14:textFill>
        </w:rPr>
        <w:t>Key drivers include platforms like TikTok, which have spurred young men to layer multiple scents rather than using just one and share their combinations; additionally, Asian fragrance consumption is experiencing a structural surge. The company has strategically positioned itself in this sector with brands including YSL (blockbusters like Libre and MYSLF maintain strong sales, with annual revenue exceeding €3 billion and sustained double-digit growth over multiple years), Valentino (the Born in Roma collection has surpassed €700 million in sales), Prada (new releases like Paradoxe and Paradigme demonstrate robust performance), and Miu Miu.</w:t>
      </w:r>
    </w:p>
    <w:p w14:paraId="001C6F10">
      <w:pPr>
        <w:rPr>
          <w:rFonts w:hint="default" w:ascii="Calibri" w:hAnsi="Calibri" w:eastAsia="楷体_GB2312" w:cs="Calibri"/>
          <w:color w:val="000000" w:themeColor="text1"/>
          <w:sz w:val="24"/>
          <w:szCs w:val="48"/>
          <w14:textFill>
            <w14:solidFill>
              <w14:schemeClr w14:val="tx1"/>
            </w14:solidFill>
          </w14:textFill>
        </w:rPr>
      </w:pPr>
      <w:r>
        <w:rPr>
          <w:rFonts w:hint="default" w:ascii="Calibri" w:hAnsi="Calibri" w:eastAsia="楷体_GB2312" w:cs="Calibri"/>
          <w:color w:val="000000" w:themeColor="text1"/>
          <w:sz w:val="24"/>
          <w:szCs w:val="48"/>
          <w14:textFill>
            <w14:solidFill>
              <w14:schemeClr w14:val="tx1"/>
            </w14:solidFill>
          </w14:textFill>
        </w:rPr>
        <w:br w:type="page"/>
      </w:r>
    </w:p>
    <w:tbl>
      <w:tblPr>
        <w:tblStyle w:val="12"/>
        <w:tblW w:w="10585" w:type="dxa"/>
        <w:tblInd w:w="-2980" w:type="dxa"/>
        <w:tblLayout w:type="fixed"/>
        <w:tblCellMar>
          <w:top w:w="0" w:type="dxa"/>
          <w:left w:w="108" w:type="dxa"/>
          <w:bottom w:w="0" w:type="dxa"/>
          <w:right w:w="108" w:type="dxa"/>
        </w:tblCellMar>
      </w:tblPr>
      <w:tblGrid>
        <w:gridCol w:w="5195"/>
        <w:gridCol w:w="241"/>
        <w:gridCol w:w="5149"/>
      </w:tblGrid>
      <w:tr w14:paraId="0ACCE75A">
        <w:trPr>
          <w:trHeight w:val="227" w:hRule="atLeast"/>
        </w:trPr>
        <w:tc>
          <w:tcPr>
            <w:tcW w:w="5195" w:type="dxa"/>
            <w:tcBorders>
              <w:bottom w:val="single" w:color="auto" w:sz="4" w:space="0"/>
            </w:tcBorders>
            <w:tcMar>
              <w:left w:w="0" w:type="dxa"/>
              <w:right w:w="28" w:type="dxa"/>
            </w:tcMar>
          </w:tcPr>
          <w:p w14:paraId="46233D05">
            <w:pPr>
              <w:spacing w:before="48" w:beforeLines="20" w:after="48" w:afterLines="20"/>
              <w:jc w:val="both"/>
              <w:textAlignment w:val="center"/>
              <w:rPr>
                <w:rFonts w:hint="default" w:ascii="Calibri" w:hAnsi="Calibri" w:eastAsia="楷体_GB2312" w:cs="Calibri"/>
                <w:b/>
                <w:bCs/>
                <w:kern w:val="2"/>
                <w:sz w:val="20"/>
                <w:szCs w:val="20"/>
              </w:rPr>
            </w:pPr>
            <w:r>
              <w:rPr>
                <w:rFonts w:hint="default" w:ascii="Calibri" w:hAnsi="Calibri" w:eastAsia="楷体_GB2312" w:cs="Calibri"/>
                <w:b/>
                <w:bCs/>
                <w:kern w:val="2"/>
                <w:sz w:val="20"/>
                <w:szCs w:val="20"/>
              </w:rPr>
              <w:t>Figure: 2020–2025 Global Perfume Retail Sales (in millions of USD)</w:t>
            </w:r>
          </w:p>
        </w:tc>
        <w:tc>
          <w:tcPr>
            <w:tcW w:w="241" w:type="dxa"/>
            <w:tcMar>
              <w:left w:w="0" w:type="dxa"/>
              <w:right w:w="28" w:type="dxa"/>
            </w:tcMar>
          </w:tcPr>
          <w:p w14:paraId="50E8B072">
            <w:pPr>
              <w:spacing w:before="48" w:beforeLines="20" w:after="48" w:afterLines="20"/>
              <w:jc w:val="both"/>
              <w:rPr>
                <w:rFonts w:hint="default" w:ascii="Calibri" w:hAnsi="Calibri" w:eastAsia="楷体_GB2312" w:cs="Calibri"/>
                <w:sz w:val="20"/>
                <w:szCs w:val="20"/>
                <w:highlight w:val="yellow"/>
              </w:rPr>
            </w:pPr>
          </w:p>
        </w:tc>
        <w:tc>
          <w:tcPr>
            <w:tcW w:w="5149" w:type="dxa"/>
            <w:tcBorders>
              <w:bottom w:val="single" w:color="auto" w:sz="4" w:space="0"/>
            </w:tcBorders>
            <w:tcMar>
              <w:left w:w="0" w:type="dxa"/>
              <w:right w:w="28" w:type="dxa"/>
            </w:tcMar>
          </w:tcPr>
          <w:p w14:paraId="09C5F822">
            <w:pPr>
              <w:spacing w:before="48" w:beforeLines="20" w:after="48" w:afterLines="20"/>
              <w:jc w:val="both"/>
              <w:rPr>
                <w:rFonts w:hint="default" w:ascii="Calibri" w:hAnsi="Calibri" w:eastAsia="楷体_GB2312" w:cs="Calibri"/>
                <w:b/>
                <w:sz w:val="20"/>
                <w:szCs w:val="20"/>
              </w:rPr>
            </w:pPr>
            <w:r>
              <w:rPr>
                <w:rFonts w:hint="default" w:ascii="Calibri" w:hAnsi="Calibri" w:eastAsia="楷体_GB2312" w:cs="Calibri"/>
                <w:b/>
                <w:bCs/>
                <w:kern w:val="2"/>
                <w:sz w:val="20"/>
                <w:szCs w:val="20"/>
              </w:rPr>
              <w:t>Figure: 2022–2024 Sales Revenue of the Top Three Brands (in 100 millions of USD)</w:t>
            </w:r>
          </w:p>
        </w:tc>
      </w:tr>
      <w:tr w14:paraId="5D4C2531">
        <w:tblPrEx>
          <w:tblCellMar>
            <w:top w:w="0" w:type="dxa"/>
            <w:left w:w="108" w:type="dxa"/>
            <w:bottom w:w="0" w:type="dxa"/>
            <w:right w:w="108" w:type="dxa"/>
          </w:tblCellMar>
        </w:tblPrEx>
        <w:trPr>
          <w:trHeight w:val="2300" w:hRule="atLeast"/>
        </w:trPr>
        <w:tc>
          <w:tcPr>
            <w:tcW w:w="5195" w:type="dxa"/>
            <w:tcBorders>
              <w:top w:val="single" w:color="auto" w:sz="4" w:space="0"/>
              <w:bottom w:val="single" w:color="auto" w:sz="4" w:space="0"/>
            </w:tcBorders>
            <w:vAlign w:val="center"/>
          </w:tcPr>
          <w:p w14:paraId="71D4279B">
            <w:pPr>
              <w:spacing w:before="48" w:beforeLines="20" w:after="48" w:afterLines="20"/>
              <w:jc w:val="both"/>
              <w:textAlignment w:val="center"/>
              <w:rPr>
                <w:rFonts w:hint="default" w:ascii="Calibri" w:hAnsi="Calibri" w:eastAsia="楷体_GB2312" w:cs="Calibri"/>
                <w:b/>
                <w:color w:val="000000"/>
                <w:sz w:val="20"/>
                <w:szCs w:val="20"/>
                <w:lang w:bidi="ar"/>
              </w:rPr>
            </w:pPr>
            <w:r>
              <w:rPr>
                <w:rFonts w:hint="default" w:ascii="Calibri" w:hAnsi="Calibri" w:eastAsia="楷体_GB2312" w:cs="Calibri"/>
                <w:snapToGrid/>
              </w:rPr>
              <w:drawing>
                <wp:inline distT="0" distB="0" distL="0" distR="0">
                  <wp:extent cx="3049905" cy="1938020"/>
                  <wp:effectExtent l="0" t="0" r="13335" b="12700"/>
                  <wp:docPr id="154202234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tc>
        <w:tc>
          <w:tcPr>
            <w:tcW w:w="241" w:type="dxa"/>
          </w:tcPr>
          <w:p w14:paraId="7300632F">
            <w:pPr>
              <w:spacing w:before="48" w:beforeLines="20" w:after="48" w:afterLines="20"/>
              <w:jc w:val="both"/>
              <w:rPr>
                <w:rFonts w:hint="default" w:ascii="Calibri" w:hAnsi="Calibri" w:eastAsia="楷体_GB2312" w:cs="Calibri"/>
                <w:sz w:val="20"/>
                <w:szCs w:val="20"/>
              </w:rPr>
            </w:pPr>
          </w:p>
        </w:tc>
        <w:tc>
          <w:tcPr>
            <w:tcW w:w="5149" w:type="dxa"/>
            <w:tcBorders>
              <w:top w:val="single" w:color="auto" w:sz="4" w:space="0"/>
              <w:bottom w:val="single" w:color="auto" w:sz="4" w:space="0"/>
            </w:tcBorders>
          </w:tcPr>
          <w:p w14:paraId="70EA0845">
            <w:pPr>
              <w:spacing w:before="48" w:beforeLines="20" w:after="48" w:afterLines="20"/>
              <w:jc w:val="both"/>
              <w:rPr>
                <w:rFonts w:hint="default" w:ascii="Calibri" w:hAnsi="Calibri" w:eastAsia="楷体_GB2312" w:cs="Calibri"/>
                <w:b/>
                <w:sz w:val="20"/>
                <w:szCs w:val="20"/>
              </w:rPr>
            </w:pPr>
            <w:r>
              <w:rPr>
                <w:rFonts w:hint="default" w:ascii="Calibri" w:hAnsi="Calibri" w:eastAsia="楷体_GB2312" w:cs="Calibri"/>
                <w:snapToGrid/>
              </w:rPr>
              <w:drawing>
                <wp:inline distT="0" distB="0" distL="0" distR="0">
                  <wp:extent cx="3274695" cy="1996440"/>
                  <wp:effectExtent l="0" t="0" r="1905" b="0"/>
                  <wp:docPr id="143045242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tc>
      </w:tr>
      <w:tr w14:paraId="7CD044D2">
        <w:tblPrEx>
          <w:tblCellMar>
            <w:top w:w="0" w:type="dxa"/>
            <w:left w:w="108" w:type="dxa"/>
            <w:bottom w:w="0" w:type="dxa"/>
            <w:right w:w="108" w:type="dxa"/>
          </w:tblCellMar>
        </w:tblPrEx>
        <w:trPr>
          <w:trHeight w:val="227" w:hRule="atLeast"/>
        </w:trPr>
        <w:tc>
          <w:tcPr>
            <w:tcW w:w="5195" w:type="dxa"/>
            <w:tcBorders>
              <w:top w:val="single" w:color="auto" w:sz="4" w:space="0"/>
            </w:tcBorders>
            <w:tcMar>
              <w:left w:w="0" w:type="dxa"/>
              <w:right w:w="28" w:type="dxa"/>
            </w:tcMar>
            <w:vAlign w:val="center"/>
          </w:tcPr>
          <w:p w14:paraId="4D3BB8D1">
            <w:pPr>
              <w:spacing w:before="48" w:beforeLines="20" w:after="48" w:afterLines="20"/>
              <w:jc w:val="both"/>
              <w:textAlignment w:val="center"/>
              <w:rPr>
                <w:rFonts w:hint="default" w:ascii="Calibri" w:hAnsi="Calibri" w:eastAsia="楷体_GB2312" w:cs="Calibri"/>
                <w:b w:val="0"/>
                <w:bCs w:val="0"/>
                <w:sz w:val="20"/>
                <w:szCs w:val="20"/>
              </w:rPr>
            </w:pPr>
            <w:r>
              <w:rPr>
                <w:rFonts w:hint="default" w:ascii="Calibri" w:hAnsi="Calibri" w:eastAsia="楷体_GB2312" w:cs="Calibri"/>
                <w:b w:val="0"/>
                <w:bCs w:val="0"/>
                <w:kern w:val="2"/>
                <w:sz w:val="20"/>
                <w:szCs w:val="20"/>
              </w:rPr>
              <w:t>Source: Euromonitor, HFI</w:t>
            </w:r>
          </w:p>
        </w:tc>
        <w:tc>
          <w:tcPr>
            <w:tcW w:w="241" w:type="dxa"/>
            <w:tcMar>
              <w:left w:w="0" w:type="dxa"/>
              <w:right w:w="28" w:type="dxa"/>
            </w:tcMar>
          </w:tcPr>
          <w:p w14:paraId="072E18F9">
            <w:pPr>
              <w:spacing w:before="48" w:beforeLines="20" w:after="48" w:afterLines="20"/>
              <w:jc w:val="both"/>
              <w:rPr>
                <w:rFonts w:hint="default" w:ascii="Calibri" w:hAnsi="Calibri" w:eastAsia="楷体_GB2312" w:cs="Calibri"/>
                <w:b w:val="0"/>
                <w:bCs w:val="0"/>
                <w:sz w:val="20"/>
                <w:szCs w:val="20"/>
              </w:rPr>
            </w:pPr>
          </w:p>
        </w:tc>
        <w:tc>
          <w:tcPr>
            <w:tcW w:w="5149" w:type="dxa"/>
            <w:tcBorders>
              <w:top w:val="single" w:color="auto" w:sz="4" w:space="0"/>
            </w:tcBorders>
            <w:tcMar>
              <w:left w:w="0" w:type="dxa"/>
              <w:right w:w="28" w:type="dxa"/>
            </w:tcMar>
          </w:tcPr>
          <w:p w14:paraId="0E80C347">
            <w:pPr>
              <w:rPr>
                <w:rFonts w:hint="default" w:ascii="Calibri" w:hAnsi="Calibri" w:eastAsia="楷体_GB2312" w:cs="Calibri"/>
                <w:b w:val="0"/>
                <w:bCs w:val="0"/>
                <w:kern w:val="2"/>
                <w:sz w:val="20"/>
                <w:szCs w:val="20"/>
              </w:rPr>
            </w:pPr>
            <w:r>
              <w:rPr>
                <w:rFonts w:hint="default" w:ascii="Calibri" w:hAnsi="Calibri" w:eastAsia="楷体_GB2312" w:cs="Calibri"/>
                <w:b w:val="0"/>
                <w:bCs w:val="0"/>
                <w:kern w:val="2"/>
                <w:sz w:val="20"/>
                <w:szCs w:val="20"/>
              </w:rPr>
              <w:t>Source: Euromonitor, HFI</w:t>
            </w:r>
          </w:p>
        </w:tc>
      </w:tr>
    </w:tbl>
    <w:p w14:paraId="5CED17CF">
      <w:pPr>
        <w:rPr>
          <w:rFonts w:hint="default" w:ascii="Calibri" w:hAnsi="Calibri" w:eastAsia="楷体_GB2312" w:cs="Calibri"/>
          <w:color w:val="000000" w:themeColor="text1"/>
          <w:sz w:val="24"/>
          <w:szCs w:val="48"/>
          <w14:textFill>
            <w14:solidFill>
              <w14:schemeClr w14:val="tx1"/>
            </w14:solidFill>
          </w14:textFill>
        </w:rPr>
      </w:pPr>
    </w:p>
    <w:p w14:paraId="0EB75338">
      <w:pPr>
        <w:jc w:val="both"/>
        <w:rPr>
          <w:rFonts w:hint="default" w:ascii="Calibri" w:hAnsi="Calibri" w:eastAsia="楷体_GB2312" w:cs="Calibri"/>
          <w:color w:val="000000" w:themeColor="text1"/>
          <w:sz w:val="22"/>
          <w:szCs w:val="22"/>
          <w14:textFill>
            <w14:solidFill>
              <w14:schemeClr w14:val="tx1"/>
            </w14:solidFill>
          </w14:textFill>
        </w:rPr>
      </w:pPr>
      <w:r>
        <w:rPr>
          <w:rFonts w:hint="default" w:ascii="Calibri" w:hAnsi="Calibri" w:eastAsia="楷体_GB2312" w:cs="Calibri"/>
          <w:color w:val="000000" w:themeColor="text1"/>
          <w:sz w:val="22"/>
          <w:szCs w:val="22"/>
          <w14:textFill>
            <w14:solidFill>
              <w14:schemeClr w14:val="tx1"/>
            </w14:solidFill>
          </w14:textFill>
        </w:rPr>
        <w:t xml:space="preserve">2) </w:t>
      </w:r>
      <w:r>
        <w:rPr>
          <w:rFonts w:hint="default" w:ascii="Calibri" w:hAnsi="Calibri" w:eastAsia="楷体_GB2312" w:cs="Calibri"/>
          <w:b/>
          <w:bCs/>
          <w:color w:val="000000" w:themeColor="text1"/>
          <w:sz w:val="22"/>
          <w:szCs w:val="22"/>
          <w14:textFill>
            <w14:solidFill>
              <w14:schemeClr w14:val="tx1"/>
            </w14:solidFill>
          </w14:textFill>
        </w:rPr>
        <w:t xml:space="preserve">The Group will rapidly fill gaps in the ultra-luxury perfume and Couture beauty segments through acquisitions and licensing, establishing a formidable competitive barrier. </w:t>
      </w:r>
      <w:r>
        <w:rPr>
          <w:rFonts w:hint="default" w:ascii="Calibri" w:hAnsi="Calibri" w:eastAsia="楷体_GB2312" w:cs="Calibri"/>
          <w:color w:val="000000" w:themeColor="text1"/>
          <w:sz w:val="22"/>
          <w:szCs w:val="22"/>
          <w14:textFill>
            <w14:solidFill>
              <w14:schemeClr w14:val="tx1"/>
            </w14:solidFill>
          </w14:textFill>
        </w:rPr>
        <w:t>L'Oréal Luxe's brand matrix strategy has proven highly effective: starting with licensing (YSL as a model), scaling rapidly (Valentino/Prada exceeding €700 million), making major acquisitions to fill gaps (Creed in ultra-luxury), and expanding through long-term licensing (Kering alliance), forming a closed-loop ecosystem. In 2025, the Luxe division achieved actual like-for-like growth of +2.8% (accelerating to +3.6% in H2, nearing +5% excluding Asia travel retail), with Fragrances outperforming the market at double digits and Couture brands (YSL, Prada, Valentino) delivering standout contributions. In 2026, this matrix is expected to further drive structural growth through Creed integration, gradual Kering brand infusion, and Asian recovery, solidifying the group's leadership in luxury beauty.</w:t>
      </w:r>
    </w:p>
    <w:p w14:paraId="2A0037DA">
      <w:pPr>
        <w:jc w:val="both"/>
        <w:rPr>
          <w:rFonts w:hint="default" w:ascii="Calibri" w:hAnsi="Calibri" w:eastAsia="楷体_GB2312" w:cs="Calibri"/>
          <w:kern w:val="2"/>
          <w:sz w:val="22"/>
          <w:szCs w:val="22"/>
        </w:rPr>
      </w:pP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74"/>
      </w:tblGrid>
      <w:tr w14:paraId="678071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bottom w:val="single" w:color="auto" w:sz="4" w:space="0"/>
            </w:tcBorders>
          </w:tcPr>
          <w:p w14:paraId="656B7BFC">
            <w:pPr>
              <w:jc w:val="both"/>
              <w:rPr>
                <w:rFonts w:hint="default" w:ascii="Calibri" w:hAnsi="Calibri" w:eastAsia="楷体_GB2312" w:cs="Calibri"/>
                <w:b/>
                <w:bCs/>
                <w:kern w:val="2"/>
                <w:sz w:val="22"/>
                <w:szCs w:val="22"/>
              </w:rPr>
            </w:pPr>
            <w:r>
              <w:rPr>
                <w:rFonts w:hint="default" w:ascii="Calibri" w:hAnsi="Calibri" w:eastAsia="楷体_GB2312" w:cs="Calibri"/>
                <w:b/>
                <w:bCs/>
                <w:kern w:val="2"/>
                <w:sz w:val="20"/>
                <w:szCs w:val="20"/>
              </w:rPr>
              <w:t>Figure: L'Oréal Group's Luxe Brands: Scale and Growth Projections for 2025</w:t>
            </w:r>
          </w:p>
        </w:tc>
      </w:tr>
      <w:tr w14:paraId="0E9FD8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459F62D8">
            <w:pPr>
              <w:ind w:firstLine="160" w:firstLineChars="100"/>
              <w:rPr>
                <w:rFonts w:hint="default" w:ascii="Calibri" w:hAnsi="Calibri" w:eastAsia="楷体_GB2312" w:cs="Calibri"/>
                <w:kern w:val="2"/>
                <w:sz w:val="22"/>
                <w:szCs w:val="22"/>
              </w:rPr>
            </w:pPr>
            <w:r>
              <w:rPr>
                <w:rFonts w:hint="default" w:ascii="Calibri" w:hAnsi="Calibri" w:eastAsia="楷体_GB2312" w:cs="Calibri"/>
                <w:snapToGrid/>
              </w:rPr>
              <w:drawing>
                <wp:inline distT="0" distB="0" distL="0" distR="0">
                  <wp:extent cx="4735830" cy="1663700"/>
                  <wp:effectExtent l="0" t="0" r="3810" b="12700"/>
                  <wp:docPr id="2293549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54927" name="图片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4735830" cy="1663700"/>
                          </a:xfrm>
                          <a:prstGeom prst="rect">
                            <a:avLst/>
                          </a:prstGeom>
                          <a:noFill/>
                        </pic:spPr>
                      </pic:pic>
                    </a:graphicData>
                  </a:graphic>
                </wp:inline>
              </w:drawing>
            </w:r>
          </w:p>
        </w:tc>
      </w:tr>
      <w:tr w14:paraId="3D73F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 w:hRule="atLeast"/>
        </w:trPr>
        <w:tc>
          <w:tcPr>
            <w:tcW w:w="7733" w:type="dxa"/>
            <w:tcBorders>
              <w:top w:val="single" w:color="auto" w:sz="4" w:space="0"/>
            </w:tcBorders>
          </w:tcPr>
          <w:p w14:paraId="254E071F">
            <w:pPr>
              <w:rPr>
                <w:rFonts w:hint="default" w:ascii="Calibri" w:hAnsi="Calibri" w:eastAsia="楷体_GB2312" w:cs="Calibri"/>
                <w:b w:val="0"/>
                <w:bCs w:val="0"/>
                <w:kern w:val="2"/>
                <w:sz w:val="20"/>
                <w:szCs w:val="20"/>
              </w:rPr>
            </w:pPr>
            <w:r>
              <w:rPr>
                <w:rFonts w:hint="default" w:ascii="Calibri" w:hAnsi="Calibri" w:eastAsia="楷体_GB2312" w:cs="Calibri"/>
                <w:b w:val="0"/>
                <w:bCs w:val="0"/>
                <w:kern w:val="2"/>
                <w:sz w:val="20"/>
                <w:szCs w:val="20"/>
              </w:rPr>
              <w:t>Source: L'Oréal Annual Report, dfnionline, HFI</w:t>
            </w:r>
          </w:p>
        </w:tc>
      </w:tr>
    </w:tbl>
    <w:p w14:paraId="4F1FA4E9">
      <w:pPr>
        <w:rPr>
          <w:rFonts w:hint="default" w:ascii="Calibri" w:hAnsi="Calibri" w:eastAsia="楷体_GB2312" w:cs="Calibri"/>
        </w:rPr>
      </w:pPr>
      <w:r>
        <w:rPr>
          <w:rFonts w:hint="default" w:ascii="Calibri" w:hAnsi="Calibri" w:eastAsia="楷体_GB2312" w:cs="Calibri"/>
        </w:rPr>
        <w:br w:type="page"/>
      </w:r>
    </w:p>
    <w:p w14:paraId="7875FB4B">
      <w:pPr>
        <w:pStyle w:val="149"/>
        <w:ind w:right="42"/>
        <w:jc w:val="both"/>
        <w:rPr>
          <w:rFonts w:hint="default" w:ascii="Calibri" w:hAnsi="Calibri" w:eastAsia="楷体_GB2312" w:cs="Calibri"/>
          <w:color w:val="23558C"/>
          <w:sz w:val="24"/>
        </w:rPr>
      </w:pPr>
      <w:bookmarkStart w:id="26" w:name="_Toc14594"/>
      <w:r>
        <w:rPr>
          <w:rFonts w:hint="default" w:ascii="Calibri" w:hAnsi="Calibri" w:eastAsia="楷体_GB2312" w:cs="Calibri"/>
          <w:color w:val="23558C"/>
          <w:sz w:val="24"/>
        </w:rPr>
        <w:t>4.2 Dermatological Beauty Division: Targeting Consumer Needs to Accelerate Emerging Market Penetration</w:t>
      </w:r>
      <w:bookmarkEnd w:id="26"/>
    </w:p>
    <w:p w14:paraId="61366900">
      <w:pPr>
        <w:jc w:val="both"/>
        <w:rPr>
          <w:rFonts w:hint="default" w:ascii="Calibri" w:hAnsi="Calibri" w:eastAsia="楷体_GB2312" w:cs="Calibri"/>
          <w:b/>
          <w:bCs/>
          <w:color w:val="000000" w:themeColor="text1"/>
          <w:sz w:val="22"/>
          <w:szCs w:val="22"/>
          <w:u w:val="single"/>
          <w14:textFill>
            <w14:solidFill>
              <w14:schemeClr w14:val="tx1"/>
            </w14:solidFill>
          </w14:textFill>
        </w:rPr>
      </w:pPr>
      <w:r>
        <w:rPr>
          <w:rFonts w:hint="default" w:ascii="Calibri" w:hAnsi="Calibri" w:eastAsia="楷体_GB2312" w:cs="Calibri"/>
          <w:b/>
          <w:bCs/>
          <w:color w:val="000000" w:themeColor="text1"/>
          <w:sz w:val="22"/>
          <w:szCs w:val="22"/>
          <w:u w:val="single"/>
          <w14:textFill>
            <w14:solidFill>
              <w14:schemeClr w14:val="tx1"/>
            </w14:solidFill>
          </w14:textFill>
        </w:rPr>
        <w:t>The Active Health Cosmetics Division precisely targets consumer demands, capitalizing on sustained upward trends.</w:t>
      </w:r>
    </w:p>
    <w:p w14:paraId="7F670F78">
      <w:pPr>
        <w:jc w:val="both"/>
        <w:rPr>
          <w:rFonts w:hint="default" w:ascii="Calibri" w:hAnsi="Calibri" w:eastAsia="楷体_GB2312" w:cs="Calibri"/>
          <w:color w:val="000000" w:themeColor="text1"/>
          <w:sz w:val="22"/>
          <w:szCs w:val="22"/>
          <w14:textFill>
            <w14:solidFill>
              <w14:schemeClr w14:val="tx1"/>
            </w14:solidFill>
          </w14:textFill>
        </w:rPr>
      </w:pPr>
      <w:r>
        <w:rPr>
          <w:rFonts w:hint="default" w:ascii="Calibri" w:hAnsi="Calibri" w:eastAsia="楷体_GB2312" w:cs="Calibri"/>
          <w:b/>
          <w:bCs/>
          <w:color w:val="000000" w:themeColor="text1"/>
          <w:sz w:val="22"/>
          <w:szCs w:val="22"/>
          <w14:textFill>
            <w14:solidFill>
              <w14:schemeClr w14:val="tx1"/>
            </w14:solidFill>
          </w14:textFill>
        </w:rPr>
        <w:t>Emphasizing "dermatologist-endorsed + patented technology," it addresses consumers' essential needs for efficacy, safety, and gentleness.</w:t>
      </w:r>
      <w:r>
        <w:rPr>
          <w:rFonts w:hint="default" w:ascii="Calibri" w:hAnsi="Calibri" w:eastAsia="楷体_GB2312" w:cs="Calibri"/>
          <w:color w:val="000000" w:themeColor="text1"/>
          <w:sz w:val="22"/>
          <w:szCs w:val="22"/>
          <w14:textFill>
            <w14:solidFill>
              <w14:schemeClr w14:val="tx1"/>
            </w14:solidFill>
          </w14:textFill>
        </w:rPr>
        <w:t xml:space="preserve"> Under CeraVe, the focus is on "Triple Ceramide" barrier repair, with core business recovery driven by innovative products like Intensive Moisturizing Lotion in the second half of 2025. La Roche-Posay's Cicaplast line remains a bestseller as the go-to repair solution. Mela B3 (featuring patented Melasyl™) leads in addressing hyperpigmentation, leveraging robust scientific patents to excel in Asia, particularly China. Expansion of the P-Tiox line and new launches like HA Intensifier drive double-digit growth, targeting $1 billion in revenue by 2025. Future plans include increased investment in patented technologies (e.g., Melasyl™ expansion, P-Tiox globalization) and launching breakthrough products targeting hyperpigmentation, aging, and barrier damage. The brand will capitalize on the "longevity science" and preventative skincare trends, with CeraVe planning to enter the sunscreen category by late 2025 or early 2026.</w:t>
      </w:r>
    </w:p>
    <w:p w14:paraId="2FC97311">
      <w:pPr>
        <w:jc w:val="both"/>
        <w:rPr>
          <w:rFonts w:hint="default" w:ascii="Calibri" w:hAnsi="Calibri" w:eastAsia="楷体_GB2312" w:cs="Calibri"/>
          <w:kern w:val="2"/>
          <w:sz w:val="22"/>
          <w:szCs w:val="22"/>
        </w:rPr>
      </w:pP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74"/>
      </w:tblGrid>
      <w:tr w14:paraId="45AAB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bottom w:val="single" w:color="auto" w:sz="4" w:space="0"/>
            </w:tcBorders>
          </w:tcPr>
          <w:p w14:paraId="5E503268">
            <w:pPr>
              <w:jc w:val="both"/>
              <w:rPr>
                <w:rFonts w:hint="default" w:ascii="Calibri" w:hAnsi="Calibri" w:eastAsia="楷体_GB2312" w:cs="Calibri"/>
                <w:b/>
                <w:bCs/>
                <w:kern w:val="2"/>
                <w:sz w:val="22"/>
                <w:szCs w:val="22"/>
              </w:rPr>
            </w:pPr>
            <w:r>
              <w:rPr>
                <w:rFonts w:hint="default" w:ascii="Calibri" w:hAnsi="Calibri" w:eastAsia="楷体_GB2312" w:cs="Calibri"/>
                <w:b/>
                <w:bCs/>
                <w:kern w:val="2"/>
                <w:sz w:val="20"/>
                <w:szCs w:val="20"/>
              </w:rPr>
              <w:t>Figure: L'Oréal Group Active Health Cosmetics Division Growth Driver Model</w:t>
            </w:r>
          </w:p>
        </w:tc>
      </w:tr>
      <w:tr w14:paraId="08ABC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41CDA124">
            <w:pPr>
              <w:ind w:firstLine="480" w:firstLineChars="300"/>
              <w:rPr>
                <w:rFonts w:hint="default" w:ascii="Calibri" w:hAnsi="Calibri" w:eastAsia="楷体_GB2312" w:cs="Calibri"/>
                <w:kern w:val="2"/>
                <w:sz w:val="22"/>
                <w:szCs w:val="22"/>
              </w:rPr>
            </w:pPr>
            <w:r>
              <w:rPr>
                <w:rFonts w:hint="default" w:ascii="Calibri" w:hAnsi="Calibri" w:eastAsia="楷体_GB2312" w:cs="Calibri"/>
                <w:snapToGrid/>
              </w:rPr>
              <w:drawing>
                <wp:inline distT="0" distB="0" distL="0" distR="0">
                  <wp:extent cx="4251960" cy="2256790"/>
                  <wp:effectExtent l="19050" t="0" r="34290" b="10160"/>
                  <wp:docPr id="116854460" name="图示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1" r:lo="rId52" r:qs="rId53" r:cs="rId54"/>
                    </a:graphicData>
                  </a:graphic>
                </wp:inline>
              </w:drawing>
            </w:r>
          </w:p>
        </w:tc>
      </w:tr>
      <w:tr w14:paraId="3724B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 w:hRule="atLeast"/>
        </w:trPr>
        <w:tc>
          <w:tcPr>
            <w:tcW w:w="7733" w:type="dxa"/>
            <w:tcBorders>
              <w:top w:val="single" w:color="auto" w:sz="4" w:space="0"/>
            </w:tcBorders>
          </w:tcPr>
          <w:p w14:paraId="41A23D88">
            <w:pPr>
              <w:rPr>
                <w:rFonts w:hint="default" w:ascii="Calibri" w:hAnsi="Calibri" w:eastAsia="楷体_GB2312" w:cs="Calibri"/>
                <w:b w:val="0"/>
                <w:bCs w:val="0"/>
                <w:kern w:val="2"/>
                <w:sz w:val="20"/>
                <w:szCs w:val="20"/>
              </w:rPr>
            </w:pPr>
            <w:r>
              <w:rPr>
                <w:rFonts w:hint="default" w:ascii="Calibri" w:hAnsi="Calibri" w:eastAsia="楷体_GB2312" w:cs="Calibri"/>
                <w:b w:val="0"/>
                <w:bCs w:val="0"/>
                <w:kern w:val="2"/>
                <w:sz w:val="20"/>
                <w:szCs w:val="20"/>
              </w:rPr>
              <w:t>Source: L'Oréal Annual Report, HFI</w:t>
            </w:r>
          </w:p>
          <w:p w14:paraId="081F62FA">
            <w:pPr>
              <w:rPr>
                <w:rFonts w:hint="default" w:ascii="Calibri" w:hAnsi="Calibri" w:eastAsia="楷体_GB2312" w:cs="Calibri"/>
                <w:b w:val="0"/>
                <w:bCs w:val="0"/>
                <w:kern w:val="2"/>
                <w:sz w:val="20"/>
                <w:szCs w:val="20"/>
              </w:rPr>
            </w:pPr>
          </w:p>
        </w:tc>
      </w:tr>
    </w:tbl>
    <w:p w14:paraId="0718DB97">
      <w:pPr>
        <w:jc w:val="both"/>
        <w:rPr>
          <w:rFonts w:hint="default" w:ascii="Calibri" w:hAnsi="Calibri" w:eastAsia="楷体_GB2312" w:cs="Calibri"/>
          <w:sz w:val="22"/>
          <w:szCs w:val="22"/>
        </w:rPr>
      </w:pPr>
      <w:r>
        <w:rPr>
          <w:rFonts w:hint="default" w:ascii="Calibri" w:hAnsi="Calibri" w:eastAsia="楷体_GB2312" w:cs="Calibri"/>
          <w:b/>
          <w:bCs/>
          <w:color w:val="000000" w:themeColor="text1"/>
          <w:sz w:val="22"/>
          <w:szCs w:val="22"/>
          <w14:textFill>
            <w14:solidFill>
              <w14:schemeClr w14:val="tx1"/>
            </w14:solidFill>
          </w14:textFill>
        </w:rPr>
        <w:t xml:space="preserve">Capturing scalp care trends to accelerate product portfolio expansion. </w:t>
      </w:r>
      <w:r>
        <w:rPr>
          <w:rFonts w:hint="default" w:ascii="Calibri" w:hAnsi="Calibri" w:eastAsia="楷体_GB2312" w:cs="Calibri"/>
          <w:color w:val="000000" w:themeColor="text1"/>
          <w:sz w:val="22"/>
          <w:szCs w:val="22"/>
          <w14:textFill>
            <w14:solidFill>
              <w14:schemeClr w14:val="tx1"/>
            </w14:solidFill>
          </w14:textFill>
        </w:rPr>
        <w:t>Consumers now view the scalp as "skin on the head," shifting demand from cleansing to prevention/therapy. The company successfully entered this trend with CeraVe scalp care products, addressing high-frequency treatment pain points and driving cross-category vitality within the division. Vichy (Dercos line) launched dandruff solutions in markets like the U.S., contributing to its recovery. Moving forward, we will build upon CeraVe's scalp care foundation to deepen our "hair-skin convergence" strategy, capturing the growing demand for scalp health prevention.</w:t>
      </w:r>
    </w:p>
    <w:p w14:paraId="0106C70E">
      <w:pPr>
        <w:rPr>
          <w:rFonts w:hint="default" w:ascii="Calibri" w:hAnsi="Calibri" w:eastAsia="楷体_GB2312" w:cs="Calibri"/>
          <w:snapToGrid/>
          <w:sz w:val="22"/>
          <w:szCs w:val="22"/>
          <w:lang w:eastAsia="zh-CN"/>
        </w:rPr>
      </w:pPr>
      <w:r>
        <w:rPr>
          <w:rFonts w:hint="default" w:ascii="Calibri" w:hAnsi="Calibri" w:eastAsia="楷体_GB2312" w:cs="Calibri"/>
          <w:snapToGrid/>
          <w:sz w:val="22"/>
          <w:szCs w:val="22"/>
          <w:lang w:eastAsia="zh-CN"/>
        </w:rPr>
        <w:br w:type="page"/>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36"/>
      </w:tblGrid>
      <w:tr w14:paraId="1852D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448" w:type="dxa"/>
            <w:tcBorders>
              <w:bottom w:val="single" w:color="auto" w:sz="4" w:space="0"/>
            </w:tcBorders>
          </w:tcPr>
          <w:p w14:paraId="2B05CB3E">
            <w:pPr>
              <w:pStyle w:val="20"/>
              <w:jc w:val="both"/>
              <w:rPr>
                <w:rFonts w:hint="default" w:ascii="Calibri" w:hAnsi="Calibri" w:eastAsia="楷体_GB2312" w:cs="Calibri"/>
                <w:b/>
                <w:bCs/>
                <w:snapToGrid/>
                <w:szCs w:val="20"/>
                <w:lang w:eastAsia="zh-CN"/>
              </w:rPr>
            </w:pPr>
            <w:r>
              <w:rPr>
                <w:rFonts w:hint="default" w:ascii="Calibri" w:hAnsi="Calibri" w:eastAsia="楷体_GB2312" w:cs="Calibri"/>
                <w:b/>
                <w:bCs/>
                <w:kern w:val="2"/>
                <w:sz w:val="20"/>
                <w:szCs w:val="20"/>
              </w:rPr>
              <w:t>Figure:</w:t>
            </w:r>
            <w:r>
              <w:rPr>
                <w:rFonts w:hint="eastAsia" w:eastAsia="楷体_GB2312" w:cs="Calibri"/>
                <w:b/>
                <w:bCs/>
                <w:kern w:val="2"/>
                <w:sz w:val="20"/>
                <w:szCs w:val="20"/>
                <w:lang w:val="en-US" w:eastAsia="zh-CN"/>
              </w:rPr>
              <w:t xml:space="preserve"> </w:t>
            </w:r>
            <w:r>
              <w:rPr>
                <w:rFonts w:hint="default" w:ascii="Calibri" w:hAnsi="Calibri" w:eastAsia="楷体_GB2312" w:cs="Calibri"/>
                <w:b/>
                <w:bCs/>
                <w:kern w:val="2"/>
                <w:szCs w:val="20"/>
              </w:rPr>
              <w:t>CeraVe and Vichy hair-skin Products</w:t>
            </w:r>
          </w:p>
        </w:tc>
      </w:tr>
      <w:tr w14:paraId="63261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448" w:type="dxa"/>
            <w:tcBorders>
              <w:top w:val="single" w:color="auto" w:sz="4" w:space="0"/>
              <w:bottom w:val="single" w:color="auto" w:sz="4" w:space="0"/>
            </w:tcBorders>
          </w:tcPr>
          <w:p w14:paraId="3D9047FA">
            <w:pPr>
              <w:pStyle w:val="20"/>
              <w:jc w:val="both"/>
              <w:rPr>
                <w:rFonts w:hint="default" w:ascii="Calibri" w:hAnsi="Calibri" w:eastAsia="楷体_GB2312" w:cs="Calibri"/>
                <w:snapToGrid/>
                <w:szCs w:val="20"/>
                <w:lang w:eastAsia="zh-CN"/>
              </w:rPr>
            </w:pPr>
            <w:r>
              <w:rPr>
                <w:rFonts w:hint="default" w:ascii="Calibri" w:hAnsi="Calibri" w:eastAsia="楷体_GB2312" w:cs="Calibri"/>
                <w:snapToGrid/>
              </w:rPr>
              <w:drawing>
                <wp:inline distT="0" distB="0" distL="0" distR="0">
                  <wp:extent cx="4639310" cy="1835785"/>
                  <wp:effectExtent l="0" t="0" r="8890" b="825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4644203" cy="1837630"/>
                          </a:xfrm>
                          <a:prstGeom prst="rect">
                            <a:avLst/>
                          </a:prstGeom>
                          <a:noFill/>
                        </pic:spPr>
                      </pic:pic>
                    </a:graphicData>
                  </a:graphic>
                </wp:inline>
              </w:drawing>
            </w:r>
          </w:p>
        </w:tc>
      </w:tr>
      <w:tr w14:paraId="0C356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448" w:type="dxa"/>
            <w:tcBorders>
              <w:top w:val="single" w:color="auto" w:sz="4" w:space="0"/>
            </w:tcBorders>
          </w:tcPr>
          <w:p w14:paraId="474DBC16">
            <w:pPr>
              <w:pStyle w:val="20"/>
              <w:jc w:val="both"/>
              <w:rPr>
                <w:rFonts w:hint="default" w:ascii="Calibri" w:hAnsi="Calibri" w:eastAsia="楷体_GB2312" w:cs="Calibri"/>
                <w:b w:val="0"/>
                <w:bCs w:val="0"/>
                <w:snapToGrid/>
                <w:szCs w:val="20"/>
                <w:lang w:eastAsia="zh-CN"/>
              </w:rPr>
            </w:pPr>
            <w:r>
              <w:rPr>
                <w:rFonts w:hint="default" w:ascii="Calibri" w:hAnsi="Calibri" w:eastAsia="楷体_GB2312" w:cs="Calibri"/>
                <w:b w:val="0"/>
                <w:bCs w:val="0"/>
                <w:kern w:val="2"/>
                <w:szCs w:val="20"/>
              </w:rPr>
              <w:t xml:space="preserve">Source: </w:t>
            </w:r>
            <w:r>
              <w:rPr>
                <w:rFonts w:hint="default" w:ascii="Calibri" w:hAnsi="Calibri" w:eastAsia="楷体_GB2312" w:cs="Calibri"/>
                <w:b w:val="0"/>
                <w:bCs w:val="0"/>
                <w:snapToGrid/>
                <w:szCs w:val="20"/>
                <w:lang w:eastAsia="zh-CN"/>
              </w:rPr>
              <w:t>Amazon Official Website, HFI</w:t>
            </w:r>
          </w:p>
        </w:tc>
      </w:tr>
    </w:tbl>
    <w:p w14:paraId="073AFE50">
      <w:pPr>
        <w:rPr>
          <w:rFonts w:hint="default" w:ascii="Calibri" w:hAnsi="Calibri" w:eastAsia="楷体_GB2312" w:cs="Calibri"/>
        </w:rPr>
      </w:pPr>
    </w:p>
    <w:p w14:paraId="4C4036C1">
      <w:pPr>
        <w:jc w:val="both"/>
        <w:rPr>
          <w:rFonts w:hint="default" w:ascii="Calibri" w:hAnsi="Calibri" w:eastAsia="楷体_GB2312" w:cs="Calibri"/>
          <w:kern w:val="2"/>
          <w:sz w:val="22"/>
          <w:szCs w:val="22"/>
        </w:rPr>
      </w:pPr>
      <w:r>
        <w:rPr>
          <w:rFonts w:hint="default" w:ascii="Calibri" w:hAnsi="Calibri" w:eastAsia="楷体_GB2312" w:cs="Calibri"/>
          <w:b/>
          <w:bCs/>
          <w:kern w:val="2"/>
          <w:sz w:val="22"/>
          <w:szCs w:val="22"/>
        </w:rPr>
        <w:t xml:space="preserve">Focus on untapped/high-growth regions including India, Mainland China, Southeast Asia, Latin America, and the GCC, employing a "city-by-city" or digital-first strategy to rapidly capture market share (emerging markets have become the department's primary growth driver). </w:t>
      </w:r>
      <w:r>
        <w:rPr>
          <w:rFonts w:hint="default" w:ascii="Calibri" w:hAnsi="Calibri" w:eastAsia="楷体_GB2312" w:cs="Calibri"/>
          <w:kern w:val="2"/>
          <w:sz w:val="22"/>
          <w:szCs w:val="22"/>
        </w:rPr>
        <w:t>In India, the strategy emphasizes city-by-city penetration + digital-first (Nykaa e-commerce + social), with localized solutions for hyperpigmentation/dullness (La Roche-Posay Mela B3, CeraVe Gentle Repair). Demand significantly exceeded expectations in 2025, driving high single-digit growth, with acceleration anticipated in 2026. Southeast Asia adopts a digital-first approach (Shopee/Lazada + social education) with localized gentle barrier/oil-sensitive products, achieving strong double-digit growth by 2025. GCC (Gulf Cooperation Council) markets leverage online dominance + cosmeceutical/</w:t>
      </w:r>
      <w:r>
        <w:rPr>
          <w:rFonts w:hint="eastAsia" w:eastAsia="楷体_GB2312" w:cs="Calibri"/>
          <w:kern w:val="2"/>
          <w:sz w:val="22"/>
          <w:szCs w:val="22"/>
          <w:lang w:val="en-US" w:eastAsia="zh-CN"/>
        </w:rPr>
        <w:t xml:space="preserve"> </w:t>
      </w:r>
      <w:r>
        <w:rPr>
          <w:rFonts w:hint="default" w:ascii="Calibri" w:hAnsi="Calibri" w:eastAsia="楷体_GB2312" w:cs="Calibri"/>
          <w:kern w:val="2"/>
          <w:sz w:val="22"/>
          <w:szCs w:val="22"/>
        </w:rPr>
        <w:t>dermatologist endorsements, building premium dermo trust. These regions will become key growth drivers by 2025, with increased investment anticipated. The Latin American market focuses on cosmeceutical-driven strategies + localized sun protection/repair solutions, with ongoing channel optimization and product upgrades. In the Mainland China market, the company will continue expanding e-commerce channels and new product iterations, anticipating recovery in the second half of 2025. Future strategies will prioritize premium segment recovery and digitalization maintenance.</w:t>
      </w:r>
    </w:p>
    <w:p w14:paraId="413781CE">
      <w:pPr>
        <w:jc w:val="both"/>
        <w:rPr>
          <w:rFonts w:hint="default" w:ascii="Calibri" w:hAnsi="Calibri" w:eastAsia="楷体_GB2312" w:cs="Calibri"/>
          <w:kern w:val="2"/>
          <w:sz w:val="22"/>
          <w:szCs w:val="22"/>
        </w:rPr>
      </w:pP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74"/>
      </w:tblGrid>
      <w:tr w14:paraId="48BEA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bottom w:val="single" w:color="auto" w:sz="4" w:space="0"/>
            </w:tcBorders>
          </w:tcPr>
          <w:p w14:paraId="2540F9DF">
            <w:pPr>
              <w:jc w:val="both"/>
              <w:rPr>
                <w:rFonts w:hint="default" w:ascii="Calibri" w:hAnsi="Calibri" w:eastAsia="楷体_GB2312" w:cs="Calibri"/>
                <w:b/>
                <w:bCs/>
                <w:kern w:val="2"/>
                <w:sz w:val="22"/>
                <w:szCs w:val="22"/>
              </w:rPr>
            </w:pPr>
            <w:r>
              <w:rPr>
                <w:rFonts w:hint="default" w:ascii="Calibri" w:hAnsi="Calibri" w:eastAsia="楷体_GB2312" w:cs="Calibri"/>
                <w:b/>
                <w:bCs/>
                <w:kern w:val="2"/>
                <w:sz w:val="20"/>
                <w:szCs w:val="20"/>
              </w:rPr>
              <w:t>Figure: Regional Product Layout</w:t>
            </w:r>
          </w:p>
        </w:tc>
      </w:tr>
      <w:tr w14:paraId="1F1A2D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556BAEB5">
            <w:pPr>
              <w:ind w:firstLine="160" w:firstLineChars="100"/>
              <w:rPr>
                <w:rFonts w:hint="default" w:ascii="Calibri" w:hAnsi="Calibri" w:eastAsia="楷体_GB2312" w:cs="Calibri"/>
                <w:kern w:val="2"/>
                <w:sz w:val="22"/>
                <w:szCs w:val="22"/>
              </w:rPr>
            </w:pPr>
            <w:r>
              <w:rPr>
                <w:rFonts w:hint="default" w:ascii="Calibri" w:hAnsi="Calibri" w:eastAsia="楷体_GB2312" w:cs="Calibri"/>
                <w:snapToGrid/>
              </w:rPr>
              <w:drawing>
                <wp:inline distT="0" distB="0" distL="0" distR="0">
                  <wp:extent cx="4525645" cy="1908175"/>
                  <wp:effectExtent l="0" t="0" r="635" b="1206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4532527" cy="1910838"/>
                          </a:xfrm>
                          <a:prstGeom prst="rect">
                            <a:avLst/>
                          </a:prstGeom>
                          <a:noFill/>
                        </pic:spPr>
                      </pic:pic>
                    </a:graphicData>
                  </a:graphic>
                </wp:inline>
              </w:drawing>
            </w:r>
          </w:p>
        </w:tc>
      </w:tr>
      <w:tr w14:paraId="12F52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 w:hRule="atLeast"/>
        </w:trPr>
        <w:tc>
          <w:tcPr>
            <w:tcW w:w="7733" w:type="dxa"/>
            <w:tcBorders>
              <w:top w:val="single" w:color="auto" w:sz="4" w:space="0"/>
            </w:tcBorders>
          </w:tcPr>
          <w:p w14:paraId="4A4D4FA4">
            <w:pPr>
              <w:rPr>
                <w:rFonts w:hint="default" w:ascii="Calibri" w:hAnsi="Calibri" w:eastAsia="楷体_GB2312" w:cs="Calibri"/>
                <w:b w:val="0"/>
                <w:bCs w:val="0"/>
                <w:kern w:val="2"/>
                <w:sz w:val="20"/>
                <w:szCs w:val="20"/>
              </w:rPr>
            </w:pPr>
            <w:r>
              <w:rPr>
                <w:rFonts w:hint="default" w:ascii="Calibri" w:hAnsi="Calibri" w:eastAsia="楷体_GB2312" w:cs="Calibri"/>
                <w:b w:val="0"/>
                <w:bCs w:val="0"/>
                <w:kern w:val="2"/>
                <w:sz w:val="20"/>
                <w:szCs w:val="20"/>
              </w:rPr>
              <w:t>Source: L'Oréal Group Official Website, beauty packaging, HFI</w:t>
            </w:r>
          </w:p>
        </w:tc>
      </w:tr>
    </w:tbl>
    <w:p w14:paraId="086DE058">
      <w:pPr>
        <w:jc w:val="both"/>
        <w:rPr>
          <w:rFonts w:hint="default" w:ascii="Calibri" w:hAnsi="Calibri" w:eastAsia="楷体_GB2312" w:cs="Calibri"/>
          <w:b/>
          <w:bCs/>
          <w:kern w:val="2"/>
          <w:sz w:val="22"/>
          <w:szCs w:val="22"/>
        </w:rPr>
      </w:pPr>
    </w:p>
    <w:p w14:paraId="5215481A">
      <w:pPr>
        <w:pStyle w:val="149"/>
        <w:ind w:right="42"/>
        <w:jc w:val="both"/>
        <w:rPr>
          <w:rFonts w:hint="default" w:ascii="Calibri" w:hAnsi="Calibri" w:eastAsia="楷体_GB2312" w:cs="Calibri"/>
          <w:color w:val="23558C"/>
          <w:sz w:val="24"/>
        </w:rPr>
      </w:pPr>
      <w:bookmarkStart w:id="27" w:name="_Toc18874"/>
      <w:r>
        <w:rPr>
          <w:rFonts w:hint="default" w:ascii="Calibri" w:hAnsi="Calibri" w:eastAsia="楷体_GB2312" w:cs="Calibri"/>
          <w:color w:val="23558C"/>
          <w:sz w:val="24"/>
        </w:rPr>
        <w:t>4.3 Expanding through Acquisitions: Continuously strengthen the international brand operating platform</w:t>
      </w:r>
      <w:bookmarkEnd w:id="27"/>
    </w:p>
    <w:p w14:paraId="022724DA">
      <w:pPr>
        <w:jc w:val="both"/>
        <w:rPr>
          <w:rFonts w:hint="default" w:ascii="Calibri" w:hAnsi="Calibri" w:eastAsia="楷体_GB2312" w:cs="Calibri"/>
          <w:kern w:val="2"/>
          <w:sz w:val="22"/>
          <w:szCs w:val="22"/>
        </w:rPr>
      </w:pPr>
      <w:r>
        <w:rPr>
          <w:rFonts w:hint="default" w:ascii="Calibri" w:hAnsi="Calibri" w:eastAsia="楷体_GB2312" w:cs="Calibri"/>
          <w:b/>
          <w:bCs/>
          <w:kern w:val="2"/>
          <w:sz w:val="22"/>
          <w:szCs w:val="22"/>
        </w:rPr>
        <w:t xml:space="preserve">L'Oréal Group has achieved sustained global expansion through strategic brand acquisitions and licensing, significantly enhancing its competitiveness in high-end luxury, niche segments, and high-growth categories. </w:t>
      </w:r>
      <w:r>
        <w:rPr>
          <w:rFonts w:hint="default" w:ascii="Calibri" w:hAnsi="Calibri" w:eastAsia="楷体_GB2312" w:cs="Calibri"/>
          <w:kern w:val="2"/>
          <w:sz w:val="22"/>
          <w:szCs w:val="22"/>
        </w:rPr>
        <w:t>Notable historical examples include Yves Saint Laurent (licensed in 2008, starting from hundreds of millions of euros and surging to over €3 billion after years of double-digit growth), Valentino and Prada (both with initial sales of €50-100 million, now exceeding €700 million each), and more recently Aesop (acquired in 2023 for $2.5 billion), and Color Wow (to be acquired in 2025, strengthening its premium haircare portfolio). The most significant move in 2025 is the €4 billion strategic alliance with Kering: Acquiring Creed (filling the ultra-luxury/niche fragrance market gap, transaction expected to close in H1 2026) and securing 50-year exclusive beauty licensing rights for brands including Bottega Veneta and Balenciaga (Gucci's beauty operations will transition post-2028), further cementing the group's leadership in luxury beauty.</w:t>
      </w:r>
    </w:p>
    <w:p w14:paraId="1205F7B0">
      <w:pPr>
        <w:jc w:val="both"/>
        <w:rPr>
          <w:rFonts w:hint="default" w:ascii="Calibri" w:hAnsi="Calibri" w:eastAsia="楷体_GB2312" w:cs="Calibri"/>
          <w:kern w:val="2"/>
          <w:sz w:val="22"/>
          <w:szCs w:val="22"/>
        </w:rPr>
      </w:pP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74"/>
      </w:tblGrid>
      <w:tr w14:paraId="4F93B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bottom w:val="single" w:color="auto" w:sz="4" w:space="0"/>
            </w:tcBorders>
          </w:tcPr>
          <w:p w14:paraId="42BC5EF5">
            <w:pPr>
              <w:jc w:val="both"/>
              <w:rPr>
                <w:rFonts w:hint="default" w:ascii="Calibri" w:hAnsi="Calibri" w:eastAsia="楷体_GB2312" w:cs="Calibri"/>
                <w:b/>
                <w:bCs/>
                <w:kern w:val="2"/>
                <w:sz w:val="22"/>
                <w:szCs w:val="22"/>
              </w:rPr>
            </w:pPr>
            <w:r>
              <w:rPr>
                <w:rFonts w:hint="default" w:ascii="Calibri" w:hAnsi="Calibri" w:eastAsia="楷体_GB2312" w:cs="Calibri"/>
                <w:b/>
                <w:bCs/>
                <w:kern w:val="2"/>
                <w:sz w:val="20"/>
                <w:szCs w:val="20"/>
              </w:rPr>
              <w:t>Figure: Time and Amount of Brand Acquisition</w:t>
            </w:r>
          </w:p>
        </w:tc>
      </w:tr>
      <w:tr w14:paraId="7F8B6B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tbl>
            <w:tblPr>
              <w:tblStyle w:val="12"/>
              <w:tblW w:w="7359" w:type="dxa"/>
              <w:tblInd w:w="0" w:type="dxa"/>
              <w:tblLayout w:type="autofit"/>
              <w:tblCellMar>
                <w:top w:w="0" w:type="dxa"/>
                <w:left w:w="108" w:type="dxa"/>
                <w:bottom w:w="0" w:type="dxa"/>
                <w:right w:w="108" w:type="dxa"/>
              </w:tblCellMar>
            </w:tblPr>
            <w:tblGrid>
              <w:gridCol w:w="1400"/>
              <w:gridCol w:w="5959"/>
            </w:tblGrid>
            <w:tr w14:paraId="00A1842A">
              <w:tblPrEx>
                <w:tblCellMar>
                  <w:top w:w="0" w:type="dxa"/>
                  <w:left w:w="108" w:type="dxa"/>
                  <w:bottom w:w="0" w:type="dxa"/>
                  <w:right w:w="108" w:type="dxa"/>
                </w:tblCellMar>
              </w:tblPrEx>
              <w:trPr>
                <w:trHeight w:val="275" w:hRule="atLeast"/>
              </w:trPr>
              <w:tc>
                <w:tcPr>
                  <w:tcW w:w="1400" w:type="dxa"/>
                  <w:tcBorders>
                    <w:top w:val="nil"/>
                    <w:left w:val="nil"/>
                    <w:bottom w:val="nil"/>
                    <w:right w:val="nil"/>
                  </w:tcBorders>
                  <w:shd w:val="clear" w:color="000000" w:fill="002060"/>
                  <w:vAlign w:val="center"/>
                </w:tcPr>
                <w:p w14:paraId="70505458">
                  <w:pPr>
                    <w:jc w:val="center"/>
                    <w:rPr>
                      <w:rFonts w:hint="default" w:ascii="Calibri" w:hAnsi="Calibri" w:eastAsia="楷体_GB2312" w:cs="Calibri"/>
                      <w:b/>
                      <w:bCs/>
                      <w:snapToGrid/>
                      <w:color w:val="FFFFFF"/>
                      <w:sz w:val="22"/>
                      <w:szCs w:val="22"/>
                    </w:rPr>
                  </w:pPr>
                  <w:r>
                    <w:rPr>
                      <w:rFonts w:hint="default" w:ascii="Calibri" w:hAnsi="Calibri" w:eastAsia="楷体_GB2312" w:cs="Calibri"/>
                      <w:b/>
                      <w:bCs/>
                      <w:snapToGrid/>
                      <w:color w:val="FFFFFF"/>
                      <w:sz w:val="22"/>
                      <w:szCs w:val="22"/>
                    </w:rPr>
                    <w:t>Brand</w:t>
                  </w:r>
                </w:p>
              </w:tc>
              <w:tc>
                <w:tcPr>
                  <w:tcW w:w="5959" w:type="dxa"/>
                  <w:tcBorders>
                    <w:top w:val="nil"/>
                    <w:left w:val="nil"/>
                    <w:bottom w:val="nil"/>
                    <w:right w:val="nil"/>
                  </w:tcBorders>
                  <w:shd w:val="clear" w:color="000000" w:fill="002060"/>
                  <w:vAlign w:val="center"/>
                </w:tcPr>
                <w:p w14:paraId="54C0B9B7">
                  <w:pPr>
                    <w:jc w:val="center"/>
                    <w:rPr>
                      <w:rFonts w:hint="default" w:ascii="Calibri" w:hAnsi="Calibri" w:eastAsia="楷体_GB2312" w:cs="Calibri"/>
                      <w:b/>
                      <w:bCs/>
                      <w:snapToGrid/>
                      <w:color w:val="FFFFFF"/>
                      <w:sz w:val="22"/>
                      <w:szCs w:val="22"/>
                    </w:rPr>
                  </w:pPr>
                  <w:r>
                    <w:rPr>
                      <w:rFonts w:hint="default" w:ascii="Calibri" w:hAnsi="Calibri" w:eastAsia="楷体_GB2312" w:cs="Calibri"/>
                      <w:b/>
                      <w:bCs/>
                      <w:snapToGrid/>
                      <w:color w:val="FFFFFF"/>
                      <w:sz w:val="22"/>
                      <w:szCs w:val="22"/>
                    </w:rPr>
                    <w:t>Acquisition time and Amount</w:t>
                  </w:r>
                </w:p>
              </w:tc>
            </w:tr>
            <w:tr w14:paraId="036FB799">
              <w:tblPrEx>
                <w:tblCellMar>
                  <w:top w:w="0" w:type="dxa"/>
                  <w:left w:w="108" w:type="dxa"/>
                  <w:bottom w:w="0" w:type="dxa"/>
                  <w:right w:w="108" w:type="dxa"/>
                </w:tblCellMar>
              </w:tblPrEx>
              <w:trPr>
                <w:trHeight w:val="53" w:hRule="atLeast"/>
              </w:trPr>
              <w:tc>
                <w:tcPr>
                  <w:tcW w:w="1400" w:type="dxa"/>
                  <w:tcBorders>
                    <w:top w:val="nil"/>
                    <w:left w:val="nil"/>
                    <w:bottom w:val="nil"/>
                    <w:right w:val="nil"/>
                  </w:tcBorders>
                </w:tcPr>
                <w:p w14:paraId="4F57FB33">
                  <w:pPr>
                    <w:jc w:val="center"/>
                    <w:rPr>
                      <w:rFonts w:hint="default" w:ascii="Calibri" w:hAnsi="Calibri" w:eastAsia="楷体_GB2312" w:cs="Calibri"/>
                      <w:snapToGrid/>
                      <w:color w:val="333333"/>
                      <w:sz w:val="22"/>
                      <w:szCs w:val="22"/>
                    </w:rPr>
                  </w:pPr>
                  <w:r>
                    <w:rPr>
                      <w:rFonts w:hint="default" w:ascii="Calibri" w:hAnsi="Calibri" w:eastAsia="楷体_GB2312" w:cs="Calibri"/>
                    </w:rPr>
                    <w:t>YSL Beauty</w:t>
                  </w:r>
                </w:p>
              </w:tc>
              <w:tc>
                <w:tcPr>
                  <w:tcW w:w="5959" w:type="dxa"/>
                  <w:tcBorders>
                    <w:top w:val="nil"/>
                    <w:left w:val="nil"/>
                    <w:bottom w:val="nil"/>
                    <w:right w:val="nil"/>
                  </w:tcBorders>
                </w:tcPr>
                <w:p w14:paraId="7D4CB95A">
                  <w:pPr>
                    <w:jc w:val="center"/>
                    <w:rPr>
                      <w:rFonts w:hint="default" w:ascii="Calibri" w:hAnsi="Calibri" w:eastAsia="楷体_GB2312" w:cs="Calibri"/>
                      <w:snapToGrid/>
                      <w:color w:val="333333"/>
                      <w:sz w:val="22"/>
                      <w:szCs w:val="22"/>
                    </w:rPr>
                  </w:pPr>
                  <w:r>
                    <w:rPr>
                      <w:rFonts w:hint="default" w:ascii="Calibri" w:hAnsi="Calibri" w:eastAsia="楷体_GB2312" w:cs="Calibri"/>
                    </w:rPr>
                    <w:t>2008，$1.8B</w:t>
                  </w:r>
                </w:p>
              </w:tc>
            </w:tr>
            <w:tr w14:paraId="7BD79E8A">
              <w:tblPrEx>
                <w:tblCellMar>
                  <w:top w:w="0" w:type="dxa"/>
                  <w:left w:w="108" w:type="dxa"/>
                  <w:bottom w:w="0" w:type="dxa"/>
                  <w:right w:w="108" w:type="dxa"/>
                </w:tblCellMar>
              </w:tblPrEx>
              <w:trPr>
                <w:trHeight w:val="198" w:hRule="atLeast"/>
              </w:trPr>
              <w:tc>
                <w:tcPr>
                  <w:tcW w:w="1400" w:type="dxa"/>
                  <w:tcBorders>
                    <w:top w:val="nil"/>
                    <w:left w:val="nil"/>
                    <w:bottom w:val="nil"/>
                    <w:right w:val="nil"/>
                  </w:tcBorders>
                  <w:shd w:val="clear" w:color="000000" w:fill="F2F2F2"/>
                </w:tcPr>
                <w:p w14:paraId="6FE30C78">
                  <w:pPr>
                    <w:jc w:val="center"/>
                    <w:rPr>
                      <w:rFonts w:hint="default" w:ascii="Calibri" w:hAnsi="Calibri" w:eastAsia="楷体_GB2312" w:cs="Calibri"/>
                      <w:snapToGrid/>
                      <w:color w:val="333333"/>
                      <w:sz w:val="22"/>
                      <w:szCs w:val="22"/>
                    </w:rPr>
                  </w:pPr>
                  <w:r>
                    <w:rPr>
                      <w:rFonts w:hint="default" w:ascii="Calibri" w:hAnsi="Calibri" w:eastAsia="楷体_GB2312" w:cs="Calibri"/>
                    </w:rPr>
                    <w:t>Valentino</w:t>
                  </w:r>
                </w:p>
              </w:tc>
              <w:tc>
                <w:tcPr>
                  <w:tcW w:w="5959" w:type="dxa"/>
                  <w:tcBorders>
                    <w:top w:val="nil"/>
                    <w:left w:val="nil"/>
                    <w:bottom w:val="nil"/>
                    <w:right w:val="nil"/>
                  </w:tcBorders>
                  <w:shd w:val="clear" w:color="000000" w:fill="F2F2F2"/>
                </w:tcPr>
                <w:p w14:paraId="74625805">
                  <w:pPr>
                    <w:jc w:val="center"/>
                    <w:rPr>
                      <w:rFonts w:hint="default" w:ascii="Calibri" w:hAnsi="Calibri" w:eastAsia="楷体_GB2312" w:cs="Calibri"/>
                      <w:snapToGrid/>
                      <w:color w:val="333333"/>
                      <w:sz w:val="22"/>
                      <w:szCs w:val="22"/>
                    </w:rPr>
                  </w:pPr>
                  <w:r>
                    <w:rPr>
                      <w:rFonts w:hint="default" w:ascii="Calibri" w:hAnsi="Calibri" w:eastAsia="楷体_GB2312" w:cs="Calibri"/>
                    </w:rPr>
                    <w:t>2019</w:t>
                  </w:r>
                </w:p>
              </w:tc>
            </w:tr>
            <w:tr w14:paraId="3E358085">
              <w:tblPrEx>
                <w:tblCellMar>
                  <w:top w:w="0" w:type="dxa"/>
                  <w:left w:w="108" w:type="dxa"/>
                  <w:bottom w:w="0" w:type="dxa"/>
                  <w:right w:w="108" w:type="dxa"/>
                </w:tblCellMar>
              </w:tblPrEx>
              <w:trPr>
                <w:trHeight w:val="100" w:hRule="atLeast"/>
              </w:trPr>
              <w:tc>
                <w:tcPr>
                  <w:tcW w:w="1400" w:type="dxa"/>
                  <w:tcBorders>
                    <w:top w:val="nil"/>
                    <w:left w:val="nil"/>
                    <w:bottom w:val="nil"/>
                    <w:right w:val="nil"/>
                  </w:tcBorders>
                </w:tcPr>
                <w:p w14:paraId="19EA1589">
                  <w:pPr>
                    <w:jc w:val="center"/>
                    <w:rPr>
                      <w:rFonts w:hint="default" w:ascii="Calibri" w:hAnsi="Calibri" w:eastAsia="楷体_GB2312" w:cs="Calibri"/>
                      <w:snapToGrid/>
                      <w:color w:val="333333"/>
                      <w:sz w:val="22"/>
                      <w:szCs w:val="22"/>
                    </w:rPr>
                  </w:pPr>
                  <w:r>
                    <w:rPr>
                      <w:rFonts w:hint="default" w:ascii="Calibri" w:hAnsi="Calibri" w:eastAsia="楷体_GB2312" w:cs="Calibri"/>
                    </w:rPr>
                    <w:t>Prada</w:t>
                  </w:r>
                </w:p>
              </w:tc>
              <w:tc>
                <w:tcPr>
                  <w:tcW w:w="5959" w:type="dxa"/>
                  <w:tcBorders>
                    <w:top w:val="nil"/>
                    <w:left w:val="nil"/>
                    <w:bottom w:val="nil"/>
                    <w:right w:val="nil"/>
                  </w:tcBorders>
                </w:tcPr>
                <w:p w14:paraId="4448F6EB">
                  <w:pPr>
                    <w:jc w:val="center"/>
                    <w:rPr>
                      <w:rFonts w:hint="default" w:ascii="Calibri" w:hAnsi="Calibri" w:eastAsia="楷体_GB2312" w:cs="Calibri"/>
                      <w:snapToGrid/>
                      <w:color w:val="333333"/>
                      <w:sz w:val="22"/>
                      <w:szCs w:val="22"/>
                    </w:rPr>
                  </w:pPr>
                  <w:r>
                    <w:rPr>
                      <w:rFonts w:hint="default" w:ascii="Calibri" w:hAnsi="Calibri" w:eastAsia="楷体_GB2312" w:cs="Calibri"/>
                    </w:rPr>
                    <w:t>2021</w:t>
                  </w:r>
                </w:p>
              </w:tc>
            </w:tr>
            <w:tr w14:paraId="7778F67E">
              <w:tblPrEx>
                <w:tblCellMar>
                  <w:top w:w="0" w:type="dxa"/>
                  <w:left w:w="108" w:type="dxa"/>
                  <w:bottom w:w="0" w:type="dxa"/>
                  <w:right w:w="108" w:type="dxa"/>
                </w:tblCellMar>
              </w:tblPrEx>
              <w:trPr>
                <w:trHeight w:val="188" w:hRule="atLeast"/>
              </w:trPr>
              <w:tc>
                <w:tcPr>
                  <w:tcW w:w="1400" w:type="dxa"/>
                  <w:tcBorders>
                    <w:top w:val="nil"/>
                    <w:left w:val="nil"/>
                    <w:bottom w:val="nil"/>
                    <w:right w:val="nil"/>
                  </w:tcBorders>
                  <w:shd w:val="clear" w:color="000000" w:fill="F2F2F2"/>
                </w:tcPr>
                <w:p w14:paraId="25903E6B">
                  <w:pPr>
                    <w:jc w:val="center"/>
                    <w:rPr>
                      <w:rFonts w:hint="default" w:ascii="Calibri" w:hAnsi="Calibri" w:eastAsia="楷体_GB2312" w:cs="Calibri"/>
                      <w:snapToGrid/>
                      <w:color w:val="333333"/>
                      <w:sz w:val="22"/>
                      <w:szCs w:val="22"/>
                    </w:rPr>
                  </w:pPr>
                  <w:r>
                    <w:rPr>
                      <w:rFonts w:hint="default" w:ascii="Calibri" w:hAnsi="Calibri" w:eastAsia="楷体_GB2312" w:cs="Calibri"/>
                    </w:rPr>
                    <w:t>Aesop</w:t>
                  </w:r>
                </w:p>
              </w:tc>
              <w:tc>
                <w:tcPr>
                  <w:tcW w:w="5959" w:type="dxa"/>
                  <w:tcBorders>
                    <w:top w:val="nil"/>
                    <w:left w:val="nil"/>
                    <w:bottom w:val="nil"/>
                    <w:right w:val="nil"/>
                  </w:tcBorders>
                  <w:shd w:val="clear" w:color="000000" w:fill="F2F2F2"/>
                </w:tcPr>
                <w:p w14:paraId="29B74904">
                  <w:pPr>
                    <w:jc w:val="center"/>
                    <w:rPr>
                      <w:rFonts w:hint="default" w:ascii="Calibri" w:hAnsi="Calibri" w:eastAsia="楷体_GB2312" w:cs="Calibri"/>
                      <w:snapToGrid/>
                      <w:color w:val="333333"/>
                      <w:sz w:val="22"/>
                      <w:szCs w:val="22"/>
                    </w:rPr>
                  </w:pPr>
                  <w:r>
                    <w:rPr>
                      <w:rFonts w:hint="default" w:ascii="Calibri" w:hAnsi="Calibri" w:eastAsia="楷体_GB2312" w:cs="Calibri"/>
                    </w:rPr>
                    <w:t>2023，$2.5B</w:t>
                  </w:r>
                </w:p>
              </w:tc>
            </w:tr>
            <w:tr w14:paraId="0833E805">
              <w:tblPrEx>
                <w:tblCellMar>
                  <w:top w:w="0" w:type="dxa"/>
                  <w:left w:w="108" w:type="dxa"/>
                  <w:bottom w:w="0" w:type="dxa"/>
                  <w:right w:w="108" w:type="dxa"/>
                </w:tblCellMar>
              </w:tblPrEx>
              <w:trPr>
                <w:trHeight w:val="134" w:hRule="atLeast"/>
              </w:trPr>
              <w:tc>
                <w:tcPr>
                  <w:tcW w:w="1400" w:type="dxa"/>
                  <w:tcBorders>
                    <w:top w:val="nil"/>
                    <w:left w:val="nil"/>
                    <w:bottom w:val="nil"/>
                    <w:right w:val="nil"/>
                  </w:tcBorders>
                </w:tcPr>
                <w:p w14:paraId="76952A05">
                  <w:pPr>
                    <w:jc w:val="center"/>
                    <w:rPr>
                      <w:rFonts w:hint="default" w:ascii="Calibri" w:hAnsi="Calibri" w:eastAsia="楷体_GB2312" w:cs="Calibri"/>
                      <w:snapToGrid/>
                      <w:color w:val="333333"/>
                      <w:sz w:val="22"/>
                      <w:szCs w:val="22"/>
                    </w:rPr>
                  </w:pPr>
                  <w:r>
                    <w:rPr>
                      <w:rFonts w:hint="default" w:ascii="Calibri" w:hAnsi="Calibri" w:eastAsia="楷体_GB2312" w:cs="Calibri"/>
                    </w:rPr>
                    <w:t>Color Wow</w:t>
                  </w:r>
                </w:p>
              </w:tc>
              <w:tc>
                <w:tcPr>
                  <w:tcW w:w="5959" w:type="dxa"/>
                  <w:tcBorders>
                    <w:top w:val="nil"/>
                    <w:left w:val="nil"/>
                    <w:bottom w:val="nil"/>
                    <w:right w:val="nil"/>
                  </w:tcBorders>
                </w:tcPr>
                <w:p w14:paraId="5379F189">
                  <w:pPr>
                    <w:jc w:val="center"/>
                    <w:rPr>
                      <w:rFonts w:hint="default" w:ascii="Calibri" w:hAnsi="Calibri" w:eastAsia="楷体_GB2312" w:cs="Calibri"/>
                      <w:snapToGrid/>
                      <w:color w:val="333333"/>
                      <w:sz w:val="22"/>
                      <w:szCs w:val="22"/>
                    </w:rPr>
                  </w:pPr>
                  <w:r>
                    <w:rPr>
                      <w:rFonts w:hint="default" w:ascii="Calibri" w:hAnsi="Calibri" w:eastAsia="楷体_GB2312" w:cs="Calibri"/>
                    </w:rPr>
                    <w:t>2025，$1B</w:t>
                  </w:r>
                </w:p>
              </w:tc>
            </w:tr>
            <w:tr w14:paraId="69F332CD">
              <w:tblPrEx>
                <w:tblCellMar>
                  <w:top w:w="0" w:type="dxa"/>
                  <w:left w:w="108" w:type="dxa"/>
                  <w:bottom w:w="0" w:type="dxa"/>
                  <w:right w:w="108" w:type="dxa"/>
                </w:tblCellMar>
              </w:tblPrEx>
              <w:trPr>
                <w:trHeight w:val="208" w:hRule="atLeast"/>
              </w:trPr>
              <w:tc>
                <w:tcPr>
                  <w:tcW w:w="1400" w:type="dxa"/>
                  <w:tcBorders>
                    <w:top w:val="nil"/>
                    <w:left w:val="nil"/>
                    <w:bottom w:val="nil"/>
                    <w:right w:val="nil"/>
                  </w:tcBorders>
                  <w:shd w:val="clear" w:color="000000" w:fill="F2F2F2"/>
                </w:tcPr>
                <w:p w14:paraId="4A58B3B9">
                  <w:pPr>
                    <w:jc w:val="center"/>
                    <w:rPr>
                      <w:rFonts w:hint="default" w:ascii="Calibri" w:hAnsi="Calibri" w:eastAsia="楷体_GB2312" w:cs="Calibri"/>
                      <w:snapToGrid/>
                      <w:color w:val="333333"/>
                      <w:sz w:val="22"/>
                      <w:szCs w:val="22"/>
                    </w:rPr>
                  </w:pPr>
                  <w:r>
                    <w:rPr>
                      <w:rFonts w:hint="default" w:ascii="Calibri" w:hAnsi="Calibri" w:eastAsia="楷体_GB2312" w:cs="Calibri"/>
                    </w:rPr>
                    <w:t>Creed</w:t>
                  </w:r>
                </w:p>
              </w:tc>
              <w:tc>
                <w:tcPr>
                  <w:tcW w:w="5959" w:type="dxa"/>
                  <w:tcBorders>
                    <w:top w:val="nil"/>
                    <w:left w:val="nil"/>
                    <w:bottom w:val="nil"/>
                    <w:right w:val="nil"/>
                  </w:tcBorders>
                  <w:shd w:val="clear" w:color="000000" w:fill="F2F2F2"/>
                </w:tcPr>
                <w:p w14:paraId="47F3AAFB">
                  <w:pPr>
                    <w:jc w:val="center"/>
                    <w:rPr>
                      <w:rFonts w:hint="default" w:ascii="Calibri" w:hAnsi="Calibri" w:eastAsia="楷体_GB2312" w:cs="Calibri"/>
                      <w:snapToGrid/>
                      <w:color w:val="333333"/>
                      <w:sz w:val="22"/>
                      <w:szCs w:val="22"/>
                    </w:rPr>
                  </w:pPr>
                  <w:r>
                    <w:rPr>
                      <w:rFonts w:hint="default" w:ascii="Calibri" w:hAnsi="Calibri" w:eastAsia="楷体_GB2312" w:cs="Calibri"/>
                    </w:rPr>
                    <w:t>2025，€4B</w:t>
                  </w:r>
                </w:p>
              </w:tc>
            </w:tr>
          </w:tbl>
          <w:p w14:paraId="31F0D796">
            <w:pPr>
              <w:ind w:firstLine="220" w:firstLineChars="100"/>
              <w:rPr>
                <w:rFonts w:hint="default" w:ascii="Calibri" w:hAnsi="Calibri" w:eastAsia="楷体_GB2312" w:cs="Calibri"/>
                <w:kern w:val="2"/>
                <w:sz w:val="22"/>
                <w:szCs w:val="22"/>
              </w:rPr>
            </w:pPr>
          </w:p>
        </w:tc>
      </w:tr>
      <w:tr w14:paraId="11929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 w:hRule="atLeast"/>
        </w:trPr>
        <w:tc>
          <w:tcPr>
            <w:tcW w:w="7733" w:type="dxa"/>
            <w:tcBorders>
              <w:top w:val="single" w:color="auto" w:sz="4" w:space="0"/>
            </w:tcBorders>
          </w:tcPr>
          <w:p w14:paraId="22AE07E4">
            <w:pPr>
              <w:rPr>
                <w:rFonts w:hint="default" w:ascii="Calibri" w:hAnsi="Calibri" w:eastAsia="楷体_GB2312" w:cs="Calibri"/>
                <w:b w:val="0"/>
                <w:bCs w:val="0"/>
                <w:kern w:val="2"/>
                <w:sz w:val="20"/>
                <w:szCs w:val="20"/>
              </w:rPr>
            </w:pPr>
            <w:r>
              <w:rPr>
                <w:rFonts w:hint="default" w:ascii="Calibri" w:hAnsi="Calibri" w:eastAsia="楷体_GB2312" w:cs="Calibri"/>
                <w:b w:val="0"/>
                <w:bCs w:val="0"/>
                <w:kern w:val="2"/>
                <w:sz w:val="20"/>
                <w:szCs w:val="20"/>
              </w:rPr>
              <w:t>Source: L'Oréal Group Official Website, HFI</w:t>
            </w:r>
          </w:p>
          <w:p w14:paraId="0971730C">
            <w:pPr>
              <w:rPr>
                <w:rFonts w:hint="default" w:ascii="Calibri" w:hAnsi="Calibri" w:eastAsia="楷体_GB2312" w:cs="Calibri"/>
                <w:b w:val="0"/>
                <w:bCs w:val="0"/>
                <w:kern w:val="2"/>
                <w:sz w:val="20"/>
                <w:szCs w:val="20"/>
              </w:rPr>
            </w:pPr>
          </w:p>
          <w:p w14:paraId="60575632">
            <w:pPr>
              <w:rPr>
                <w:rFonts w:hint="default" w:ascii="Calibri" w:hAnsi="Calibri" w:eastAsia="楷体_GB2312" w:cs="Calibri"/>
                <w:b w:val="0"/>
                <w:bCs w:val="0"/>
                <w:kern w:val="2"/>
                <w:sz w:val="20"/>
                <w:szCs w:val="20"/>
              </w:rPr>
            </w:pPr>
          </w:p>
        </w:tc>
      </w:tr>
    </w:tbl>
    <w:p w14:paraId="22EBFA59">
      <w:pPr>
        <w:jc w:val="both"/>
        <w:rPr>
          <w:rFonts w:hint="default" w:ascii="Calibri" w:hAnsi="Calibri" w:eastAsia="楷体_GB2312" w:cs="Calibri"/>
          <w:color w:val="000000" w:themeColor="text1"/>
          <w:sz w:val="22"/>
          <w:szCs w:val="22"/>
          <w14:textFill>
            <w14:solidFill>
              <w14:schemeClr w14:val="tx1"/>
            </w14:solidFill>
          </w14:textFill>
        </w:rPr>
      </w:pPr>
      <w:r>
        <w:rPr>
          <w:rFonts w:hint="default" w:ascii="Calibri" w:hAnsi="Calibri" w:eastAsia="楷体_GB2312" w:cs="Calibri"/>
          <w:b/>
          <w:bCs/>
          <w:color w:val="000000" w:themeColor="text1"/>
          <w:sz w:val="22"/>
          <w:szCs w:val="22"/>
          <w14:textFill>
            <w14:solidFill>
              <w14:schemeClr w14:val="tx1"/>
            </w14:solidFill>
          </w14:textFill>
        </w:rPr>
        <w:t xml:space="preserve">Looking ahead, L'Oréal will continue to leverage mergers and acquisitions as one of its core growth engines. </w:t>
      </w:r>
      <w:r>
        <w:rPr>
          <w:rFonts w:hint="default" w:ascii="Calibri" w:hAnsi="Calibri" w:eastAsia="楷体_GB2312" w:cs="Calibri"/>
          <w:color w:val="000000" w:themeColor="text1"/>
          <w:sz w:val="22"/>
          <w:szCs w:val="22"/>
          <w14:textFill>
            <w14:solidFill>
              <w14:schemeClr w14:val="tx1"/>
            </w14:solidFill>
          </w14:textFill>
        </w:rPr>
        <w:t>Acquisition decisions are primarily based on three considerations: First, strategic alignment and category/price point complementarity, prioritizing premium/luxury, niche, or high-growth segments (such as fragrances and hair care) to fill gaps in the existing portfolio; Second, growth potential and scalability, where target brands must demonstrate the ability to rapidly scale from a low base (as demonstrated by historical examples like YSL and Valentino); Third, long-term value and synergies, where brands must possess strong DNA and leverage the Group's R&amp;D, channels, marketing, and global resources to accelerate worldwide expansion while exploring emerging segments like wellness/longevity. Historical data indicates acquired brands typically require 3-8 years to achieve significant sales growth: YSL achieved double-digit growth for years starting in 2008, surpassing €3 billion; Valentino/Prada surged from low bases to over €700 million within several years; new brands like Creed are projected to rapidly scale from their current €300-350 million potential to €1 billion levels. Leveraging robust operational and integration capabilities, L'Oréal typically delivers significant growth within 3-5 years post-acquisition, supporting the group's sustained outperformance relative to the market.</w:t>
      </w:r>
    </w:p>
    <w:p w14:paraId="11F57416">
      <w:pPr>
        <w:jc w:val="both"/>
        <w:rPr>
          <w:rFonts w:hint="default" w:ascii="Calibri" w:hAnsi="Calibri" w:eastAsia="楷体_GB2312" w:cs="Calibri"/>
          <w:kern w:val="2"/>
          <w:sz w:val="22"/>
          <w:szCs w:val="22"/>
        </w:rPr>
      </w:pPr>
    </w:p>
    <w:bookmarkEnd w:id="14"/>
    <w:p w14:paraId="51EFF5A8">
      <w:pPr>
        <w:pStyle w:val="2"/>
        <w:spacing w:before="240" w:beforeLines="100" w:after="240" w:afterLines="100"/>
        <w:jc w:val="both"/>
        <w:rPr>
          <w:rFonts w:hint="default" w:ascii="Calibri" w:hAnsi="Calibri" w:eastAsia="楷体_GB2312" w:cs="Calibri"/>
          <w:b/>
          <w:bCs/>
          <w:color w:val="23558C"/>
          <w:sz w:val="28"/>
          <w:szCs w:val="28"/>
        </w:rPr>
      </w:pPr>
      <w:bookmarkStart w:id="28" w:name="_Toc220275552"/>
      <w:bookmarkStart w:id="29" w:name="_Toc29403"/>
      <w:r>
        <w:rPr>
          <w:rFonts w:hint="default" w:ascii="Calibri" w:hAnsi="Calibri" w:eastAsia="楷体_GB2312" w:cs="Calibri"/>
          <w:b/>
          <w:bCs/>
          <w:color w:val="23558C"/>
          <w:sz w:val="28"/>
          <w:szCs w:val="28"/>
        </w:rPr>
        <w:t>5.</w:t>
      </w:r>
      <w:bookmarkEnd w:id="28"/>
      <w:r>
        <w:rPr>
          <w:rFonts w:hint="default" w:ascii="Calibri" w:hAnsi="Calibri" w:eastAsia="楷体_GB2312" w:cs="Calibri"/>
          <w:b/>
          <w:bCs/>
          <w:color w:val="23558C"/>
          <w:sz w:val="28"/>
          <w:szCs w:val="28"/>
        </w:rPr>
        <w:t>Valuation and investment rating</w:t>
      </w:r>
      <w:bookmarkEnd w:id="29"/>
    </w:p>
    <w:p w14:paraId="69DC50B5">
      <w:pPr>
        <w:pStyle w:val="149"/>
        <w:jc w:val="both"/>
        <w:rPr>
          <w:rFonts w:hint="default" w:ascii="Calibri" w:hAnsi="Calibri" w:eastAsia="楷体_GB2312" w:cs="Calibri"/>
          <w:color w:val="23558C"/>
          <w:sz w:val="24"/>
        </w:rPr>
      </w:pPr>
      <w:bookmarkStart w:id="30" w:name="_Toc220275553"/>
      <w:bookmarkStart w:id="31" w:name="_Toc4812"/>
      <w:r>
        <w:rPr>
          <w:rFonts w:hint="default" w:ascii="Calibri" w:hAnsi="Calibri" w:eastAsia="楷体_GB2312" w:cs="Calibri"/>
          <w:color w:val="23558C"/>
          <w:sz w:val="24"/>
        </w:rPr>
        <w:t xml:space="preserve">5.1 </w:t>
      </w:r>
      <w:bookmarkEnd w:id="30"/>
      <w:r>
        <w:rPr>
          <w:rFonts w:hint="default" w:ascii="Calibri" w:hAnsi="Calibri" w:eastAsia="楷体_GB2312" w:cs="Calibri"/>
          <w:color w:val="23558C"/>
          <w:sz w:val="26"/>
          <w:szCs w:val="26"/>
        </w:rPr>
        <w:t>Profit Forecast</w:t>
      </w:r>
      <w:bookmarkEnd w:id="31"/>
    </w:p>
    <w:p w14:paraId="67C5A9AE">
      <w:pPr>
        <w:pStyle w:val="27"/>
        <w:numPr>
          <w:ilvl w:val="0"/>
          <w:numId w:val="11"/>
        </w:numPr>
        <w:jc w:val="both"/>
        <w:rPr>
          <w:rFonts w:hint="default" w:ascii="Calibri" w:hAnsi="Calibri" w:eastAsia="楷体_GB2312" w:cs="Calibri"/>
          <w:sz w:val="22"/>
          <w:szCs w:val="22"/>
        </w:rPr>
      </w:pPr>
      <w:r>
        <w:rPr>
          <w:rFonts w:hint="default" w:ascii="Calibri" w:hAnsi="Calibri" w:eastAsia="楷体_GB2312" w:cs="Calibri"/>
          <w:b/>
          <w:bCs/>
          <w:sz w:val="22"/>
          <w:szCs w:val="22"/>
        </w:rPr>
        <w:t>Total Revenue</w:t>
      </w:r>
    </w:p>
    <w:p w14:paraId="33D30BED">
      <w:pPr>
        <w:jc w:val="both"/>
        <w:rPr>
          <w:rFonts w:hint="default" w:ascii="Calibri" w:hAnsi="Calibri" w:eastAsia="楷体_GB2312" w:cs="Calibri"/>
          <w:kern w:val="2"/>
          <w:sz w:val="22"/>
          <w:szCs w:val="22"/>
        </w:rPr>
      </w:pPr>
      <w:r>
        <w:rPr>
          <w:rFonts w:hint="default" w:ascii="Calibri" w:hAnsi="Calibri" w:eastAsia="楷体_GB2312" w:cs="Calibri"/>
          <w:kern w:val="2"/>
          <w:sz w:val="22"/>
          <w:szCs w:val="22"/>
        </w:rPr>
        <w:t xml:space="preserve">We expect the company to maintain steady revenue growth in the coming years. </w:t>
      </w:r>
      <w:r>
        <w:rPr>
          <w:rFonts w:hint="default" w:ascii="Calibri" w:hAnsi="Calibri" w:eastAsia="楷体_GB2312" w:cs="Calibri"/>
          <w:b/>
          <w:bCs/>
          <w:kern w:val="2"/>
          <w:sz w:val="22"/>
          <w:szCs w:val="22"/>
        </w:rPr>
        <w:t>Total revenue is projected to reach €46.06bn / €48.40bn / €50.95bn</w:t>
      </w:r>
      <w:r>
        <w:rPr>
          <w:rFonts w:hint="default" w:ascii="Calibri" w:hAnsi="Calibri" w:eastAsia="楷体_GB2312" w:cs="Calibri"/>
          <w:kern w:val="2"/>
          <w:sz w:val="22"/>
          <w:szCs w:val="22"/>
        </w:rPr>
        <w:t xml:space="preserve"> </w:t>
      </w:r>
      <w:r>
        <w:rPr>
          <w:rFonts w:hint="default" w:ascii="Calibri" w:hAnsi="Calibri" w:eastAsia="楷体_GB2312" w:cs="Calibri"/>
          <w:b/>
          <w:bCs/>
          <w:kern w:val="2"/>
          <w:sz w:val="22"/>
          <w:szCs w:val="22"/>
        </w:rPr>
        <w:t xml:space="preserve">in 2026–2028, </w:t>
      </w:r>
      <w:r>
        <w:rPr>
          <w:rFonts w:hint="default" w:ascii="Calibri" w:hAnsi="Calibri" w:eastAsia="楷体_GB2312" w:cs="Calibri"/>
          <w:kern w:val="2"/>
          <w:sz w:val="22"/>
          <w:szCs w:val="22"/>
        </w:rPr>
        <w:t xml:space="preserve">representing YoY growth of </w:t>
      </w:r>
      <w:r>
        <w:rPr>
          <w:rFonts w:hint="default" w:ascii="Calibri" w:hAnsi="Calibri" w:eastAsia="楷体_GB2312" w:cs="Calibri"/>
          <w:b/>
          <w:bCs/>
          <w:kern w:val="2"/>
          <w:sz w:val="22"/>
          <w:szCs w:val="22"/>
        </w:rPr>
        <w:t>4.55% / 5.09% / 5.28%,</w:t>
      </w:r>
      <w:r>
        <w:rPr>
          <w:rFonts w:hint="default" w:ascii="Calibri" w:hAnsi="Calibri" w:eastAsia="楷体_GB2312" w:cs="Calibri"/>
          <w:kern w:val="2"/>
          <w:sz w:val="22"/>
          <w:szCs w:val="22"/>
        </w:rPr>
        <w:t xml:space="preserve"> respectively. Overall growth will mainly be driven by </w:t>
      </w:r>
      <w:r>
        <w:rPr>
          <w:rFonts w:hint="default" w:ascii="Calibri" w:hAnsi="Calibri" w:eastAsia="楷体_GB2312" w:cs="Calibri"/>
          <w:b/>
          <w:bCs/>
          <w:kern w:val="2"/>
          <w:sz w:val="22"/>
          <w:szCs w:val="22"/>
        </w:rPr>
        <w:t>premiumization trends, strong demand for dermatological beauty products, and the recovery of professional salon channels.</w:t>
      </w:r>
    </w:p>
    <w:p w14:paraId="4426F273">
      <w:pPr>
        <w:jc w:val="both"/>
        <w:rPr>
          <w:rFonts w:hint="default" w:ascii="Calibri" w:hAnsi="Calibri" w:eastAsia="楷体_GB2312" w:cs="Calibri"/>
          <w:kern w:val="2"/>
          <w:sz w:val="22"/>
          <w:szCs w:val="22"/>
        </w:rPr>
      </w:pPr>
    </w:p>
    <w:p w14:paraId="3E66556C">
      <w:pPr>
        <w:jc w:val="both"/>
        <w:rPr>
          <w:rFonts w:hint="default" w:ascii="Calibri" w:hAnsi="Calibri" w:eastAsia="楷体_GB2312" w:cs="Calibri"/>
          <w:b/>
          <w:bCs/>
          <w:sz w:val="22"/>
          <w:szCs w:val="22"/>
        </w:rPr>
      </w:pPr>
      <w:r>
        <w:rPr>
          <w:rFonts w:hint="default" w:ascii="Calibri" w:hAnsi="Calibri" w:eastAsia="楷体_GB2312" w:cs="Calibri"/>
          <w:b/>
          <w:bCs/>
          <w:sz w:val="22"/>
          <w:szCs w:val="22"/>
        </w:rPr>
        <w:t>1）Professional Products：</w:t>
      </w:r>
      <w:r>
        <w:rPr>
          <w:rFonts w:hint="default" w:ascii="Calibri" w:hAnsi="Calibri" w:eastAsia="楷体_GB2312" w:cs="Calibri"/>
          <w:sz w:val="22"/>
          <w:szCs w:val="22"/>
        </w:rPr>
        <w:t xml:space="preserve">Revenue from Professional Products is projected to reach </w:t>
      </w:r>
      <w:r>
        <w:rPr>
          <w:rFonts w:hint="default" w:ascii="Calibri" w:hAnsi="Calibri" w:eastAsia="楷体_GB2312" w:cs="Calibri"/>
          <w:b/>
          <w:bCs/>
          <w:sz w:val="22"/>
          <w:szCs w:val="22"/>
        </w:rPr>
        <w:t>€5.63bn / €5.95bn / €6.30bn in 2026–2028,</w:t>
      </w:r>
      <w:r>
        <w:rPr>
          <w:rFonts w:hint="default" w:ascii="Calibri" w:hAnsi="Calibri" w:eastAsia="楷体_GB2312" w:cs="Calibri"/>
          <w:sz w:val="22"/>
          <w:szCs w:val="22"/>
        </w:rPr>
        <w:t xml:space="preserve"> corresponding to YoY growth of </w:t>
      </w:r>
      <w:r>
        <w:rPr>
          <w:rFonts w:hint="default" w:ascii="Calibri" w:hAnsi="Calibri" w:eastAsia="楷体_GB2312" w:cs="Calibri"/>
          <w:b/>
          <w:bCs/>
          <w:sz w:val="22"/>
          <w:szCs w:val="22"/>
        </w:rPr>
        <w:t>9.05% / 5.75% / 5.75%.</w:t>
      </w:r>
    </w:p>
    <w:p w14:paraId="76E7D7A3">
      <w:pPr>
        <w:jc w:val="both"/>
        <w:rPr>
          <w:rFonts w:hint="default" w:ascii="Calibri" w:hAnsi="Calibri" w:eastAsia="楷体_GB2312" w:cs="Calibri"/>
          <w:sz w:val="22"/>
          <w:szCs w:val="22"/>
        </w:rPr>
      </w:pPr>
    </w:p>
    <w:p w14:paraId="3EBF09BD">
      <w:pPr>
        <w:jc w:val="both"/>
        <w:rPr>
          <w:rFonts w:hint="default" w:ascii="Calibri" w:hAnsi="Calibri" w:eastAsia="楷体_GB2312" w:cs="Calibri"/>
          <w:sz w:val="22"/>
          <w:szCs w:val="22"/>
        </w:rPr>
      </w:pPr>
      <w:r>
        <w:rPr>
          <w:rFonts w:hint="default" w:ascii="Calibri" w:hAnsi="Calibri" w:eastAsia="楷体_GB2312" w:cs="Calibri"/>
          <w:sz w:val="22"/>
          <w:szCs w:val="22"/>
        </w:rPr>
        <w:t>Growth is expected to be mainly supported by the recovery of professional salon demand and the increasing penetration of premium haircare products. Meanwhile, the company continues to strengthen its digital platforms and partnerships with salons, which should further improve channel efficiency and enhance brand influence.</w:t>
      </w:r>
    </w:p>
    <w:p w14:paraId="34F8D430">
      <w:pPr>
        <w:jc w:val="both"/>
        <w:rPr>
          <w:rFonts w:hint="default" w:ascii="Calibri" w:hAnsi="Calibri" w:eastAsia="楷体_GB2312" w:cs="Calibri"/>
          <w:b/>
          <w:bCs/>
          <w:sz w:val="22"/>
          <w:szCs w:val="22"/>
        </w:rPr>
      </w:pPr>
      <w:r>
        <w:rPr>
          <w:rFonts w:hint="default" w:ascii="Calibri" w:hAnsi="Calibri" w:eastAsia="楷体_GB2312" w:cs="Calibri"/>
          <w:b/>
          <w:bCs/>
          <w:sz w:val="22"/>
          <w:szCs w:val="22"/>
        </w:rPr>
        <w:t>2）Consumer Products：</w:t>
      </w:r>
      <w:r>
        <w:rPr>
          <w:rFonts w:hint="default" w:ascii="Calibri" w:hAnsi="Calibri" w:eastAsia="楷体_GB2312" w:cs="Calibri"/>
          <w:sz w:val="22"/>
          <w:szCs w:val="22"/>
        </w:rPr>
        <w:t xml:space="preserve">Revenue from Consumer Products is expected to reach </w:t>
      </w:r>
      <w:r>
        <w:rPr>
          <w:rFonts w:hint="default" w:ascii="Calibri" w:hAnsi="Calibri" w:eastAsia="楷体_GB2312" w:cs="Calibri"/>
          <w:b/>
          <w:bCs/>
          <w:sz w:val="22"/>
          <w:szCs w:val="22"/>
        </w:rPr>
        <w:t>€16.54bn / €17.14bn / €17.76bn in 2026–2028</w:t>
      </w:r>
      <w:r>
        <w:rPr>
          <w:rFonts w:hint="default" w:ascii="Calibri" w:hAnsi="Calibri" w:eastAsia="楷体_GB2312" w:cs="Calibri"/>
          <w:sz w:val="22"/>
          <w:szCs w:val="22"/>
        </w:rPr>
        <w:t xml:space="preserve">, representing YoY growth of </w:t>
      </w:r>
      <w:r>
        <w:rPr>
          <w:rFonts w:hint="default" w:ascii="Calibri" w:hAnsi="Calibri" w:eastAsia="楷体_GB2312" w:cs="Calibri"/>
          <w:b/>
          <w:bCs/>
          <w:sz w:val="22"/>
          <w:szCs w:val="22"/>
        </w:rPr>
        <w:t>2.78% / 3.62% / 3.62%.</w:t>
      </w:r>
    </w:p>
    <w:p w14:paraId="48F1175E">
      <w:pPr>
        <w:jc w:val="both"/>
        <w:rPr>
          <w:rFonts w:hint="default" w:ascii="Calibri" w:hAnsi="Calibri" w:eastAsia="楷体_GB2312" w:cs="Calibri"/>
          <w:sz w:val="22"/>
          <w:szCs w:val="22"/>
        </w:rPr>
      </w:pPr>
    </w:p>
    <w:p w14:paraId="6688D5E2">
      <w:pPr>
        <w:jc w:val="both"/>
        <w:rPr>
          <w:rFonts w:hint="default" w:ascii="Calibri" w:hAnsi="Calibri" w:eastAsia="楷体_GB2312" w:cs="Calibri"/>
          <w:sz w:val="22"/>
          <w:szCs w:val="22"/>
        </w:rPr>
      </w:pPr>
      <w:r>
        <w:rPr>
          <w:rFonts w:hint="default" w:ascii="Calibri" w:hAnsi="Calibri" w:eastAsia="楷体_GB2312" w:cs="Calibri"/>
          <w:sz w:val="22"/>
          <w:szCs w:val="22"/>
        </w:rPr>
        <w:t xml:space="preserve">As the company’s largest business segment, the division is expected to maintain relatively stable growth. The expansion is primarily driven </w:t>
      </w:r>
      <w:r>
        <w:rPr>
          <w:rFonts w:hint="default" w:ascii="Calibri" w:hAnsi="Calibri" w:eastAsia="楷体_GB2312" w:cs="Calibri"/>
          <w:b/>
          <w:bCs/>
          <w:sz w:val="22"/>
          <w:szCs w:val="22"/>
        </w:rPr>
        <w:t xml:space="preserve">by demand growth in emerging markets and product upgrades that support higher average selling prices. </w:t>
      </w:r>
      <w:r>
        <w:rPr>
          <w:rFonts w:hint="default" w:ascii="Calibri" w:hAnsi="Calibri" w:eastAsia="楷体_GB2312" w:cs="Calibri"/>
          <w:sz w:val="22"/>
          <w:szCs w:val="22"/>
        </w:rPr>
        <w:t>At the same time, the company continues to increase investment in e-commerce channels and social media marketing, which should help maintain stable market share.</w:t>
      </w:r>
    </w:p>
    <w:p w14:paraId="276B0BDF">
      <w:pPr>
        <w:jc w:val="both"/>
        <w:rPr>
          <w:rFonts w:hint="default" w:ascii="Calibri" w:hAnsi="Calibri" w:eastAsia="楷体_GB2312" w:cs="Calibri"/>
          <w:b/>
          <w:bCs/>
          <w:sz w:val="22"/>
          <w:szCs w:val="22"/>
        </w:rPr>
      </w:pPr>
      <w:r>
        <w:rPr>
          <w:rFonts w:hint="default" w:ascii="Calibri" w:hAnsi="Calibri" w:eastAsia="楷体_GB2312" w:cs="Calibri"/>
          <w:b/>
          <w:bCs/>
          <w:sz w:val="22"/>
          <w:szCs w:val="22"/>
        </w:rPr>
        <w:t>3）Luxury Products：</w:t>
      </w:r>
      <w:r>
        <w:rPr>
          <w:rFonts w:hint="default" w:ascii="Calibri" w:hAnsi="Calibri" w:eastAsia="楷体_GB2312" w:cs="Calibri"/>
          <w:sz w:val="22"/>
          <w:szCs w:val="22"/>
        </w:rPr>
        <w:t>Revenue from Luxury Products is projected to reach</w:t>
      </w:r>
      <w:r>
        <w:rPr>
          <w:rFonts w:hint="default" w:ascii="Calibri" w:hAnsi="Calibri" w:eastAsia="楷体_GB2312" w:cs="Calibri"/>
          <w:b/>
          <w:bCs/>
          <w:sz w:val="22"/>
          <w:szCs w:val="22"/>
        </w:rPr>
        <w:t xml:space="preserve"> €16.26bn / €17.25bn / €18.39bn in 2026–2028,</w:t>
      </w:r>
      <w:r>
        <w:rPr>
          <w:rFonts w:hint="default" w:ascii="Calibri" w:hAnsi="Calibri" w:eastAsia="楷体_GB2312" w:cs="Calibri"/>
          <w:sz w:val="22"/>
          <w:szCs w:val="22"/>
        </w:rPr>
        <w:t xml:space="preserve"> corresponding to YoY growth of</w:t>
      </w:r>
      <w:r>
        <w:rPr>
          <w:rFonts w:hint="default" w:ascii="Calibri" w:hAnsi="Calibri" w:eastAsia="楷体_GB2312" w:cs="Calibri"/>
          <w:b/>
          <w:bCs/>
          <w:sz w:val="22"/>
          <w:szCs w:val="22"/>
        </w:rPr>
        <w:t xml:space="preserve"> 4.27% / 6.09% / 6.59%.</w:t>
      </w:r>
    </w:p>
    <w:p w14:paraId="60E9100B">
      <w:pPr>
        <w:jc w:val="both"/>
        <w:rPr>
          <w:rFonts w:hint="default" w:ascii="Calibri" w:hAnsi="Calibri" w:eastAsia="楷体_GB2312" w:cs="Calibri"/>
          <w:sz w:val="22"/>
          <w:szCs w:val="22"/>
        </w:rPr>
      </w:pPr>
    </w:p>
    <w:p w14:paraId="5B53CF98">
      <w:pPr>
        <w:jc w:val="both"/>
        <w:rPr>
          <w:rFonts w:hint="default" w:ascii="Calibri" w:hAnsi="Calibri" w:eastAsia="楷体_GB2312" w:cs="Calibri"/>
          <w:sz w:val="22"/>
          <w:szCs w:val="22"/>
        </w:rPr>
      </w:pPr>
      <w:r>
        <w:rPr>
          <w:rFonts w:hint="default" w:ascii="Calibri" w:hAnsi="Calibri" w:eastAsia="楷体_GB2312" w:cs="Calibri"/>
          <w:sz w:val="22"/>
          <w:szCs w:val="22"/>
        </w:rPr>
        <w:t xml:space="preserve">Growth will mainly be driven by continued demand for </w:t>
      </w:r>
      <w:r>
        <w:rPr>
          <w:rFonts w:hint="default" w:ascii="Calibri" w:hAnsi="Calibri" w:eastAsia="楷体_GB2312" w:cs="Calibri"/>
          <w:b/>
          <w:bCs/>
          <w:sz w:val="22"/>
          <w:szCs w:val="22"/>
        </w:rPr>
        <w:t>premium beauty products and strong performance in fragrance and makeup categories.</w:t>
      </w:r>
      <w:r>
        <w:rPr>
          <w:rFonts w:hint="default" w:ascii="Calibri" w:hAnsi="Calibri" w:eastAsia="楷体_GB2312" w:cs="Calibri"/>
          <w:sz w:val="22"/>
          <w:szCs w:val="22"/>
        </w:rPr>
        <w:t xml:space="preserve"> Core brands such as Lancôme, YSL Beauty, and Armani Beauty maintain strong brand equity in the global premium market. In addition, the recovery of travel retail channels is expected to further support the growth of this segment.</w:t>
      </w:r>
    </w:p>
    <w:p w14:paraId="72E9A346">
      <w:pPr>
        <w:spacing w:before="100" w:beforeAutospacing="1" w:after="100" w:afterAutospacing="1"/>
        <w:jc w:val="both"/>
        <w:rPr>
          <w:rFonts w:hint="default" w:ascii="Calibri" w:hAnsi="Calibri" w:eastAsia="楷体_GB2312" w:cs="Calibri"/>
          <w:b/>
          <w:bCs/>
          <w:sz w:val="22"/>
          <w:szCs w:val="22"/>
        </w:rPr>
      </w:pPr>
      <w:r>
        <w:rPr>
          <w:rFonts w:hint="default" w:ascii="Calibri" w:hAnsi="Calibri" w:eastAsia="楷体_GB2312" w:cs="Calibri"/>
          <w:b/>
          <w:bCs/>
          <w:sz w:val="22"/>
          <w:szCs w:val="22"/>
        </w:rPr>
        <w:t>4）Dermatological Beauty</w:t>
      </w:r>
      <w:r>
        <w:rPr>
          <w:rFonts w:hint="default" w:ascii="Calibri" w:hAnsi="Calibri" w:eastAsia="楷体_GB2312" w:cs="Calibri"/>
          <w:sz w:val="22"/>
          <w:szCs w:val="22"/>
        </w:rPr>
        <w:t xml:space="preserve">：Revenue from Dermatological Beauty is expected to reach </w:t>
      </w:r>
      <w:r>
        <w:rPr>
          <w:rFonts w:hint="default" w:ascii="Calibri" w:hAnsi="Calibri" w:eastAsia="楷体_GB2312" w:cs="Calibri"/>
          <w:b/>
          <w:bCs/>
          <w:sz w:val="22"/>
          <w:szCs w:val="22"/>
        </w:rPr>
        <w:t>€7.63bn / €8.06bn / €8.51bn in 2026–2028</w:t>
      </w:r>
      <w:r>
        <w:rPr>
          <w:rFonts w:hint="default" w:ascii="Calibri" w:hAnsi="Calibri" w:eastAsia="楷体_GB2312" w:cs="Calibri"/>
          <w:sz w:val="22"/>
          <w:szCs w:val="22"/>
        </w:rPr>
        <w:t xml:space="preserve">, representing YoY growth of </w:t>
      </w:r>
      <w:r>
        <w:rPr>
          <w:rFonts w:hint="default" w:ascii="Calibri" w:hAnsi="Calibri" w:eastAsia="楷体_GB2312" w:cs="Calibri"/>
          <w:b/>
          <w:bCs/>
          <w:sz w:val="22"/>
          <w:szCs w:val="22"/>
        </w:rPr>
        <w:t>5.87% / 5.63% / 5.63%.</w:t>
      </w:r>
    </w:p>
    <w:p w14:paraId="4844A113">
      <w:pPr>
        <w:spacing w:before="100" w:beforeAutospacing="1" w:after="100" w:afterAutospacing="1"/>
        <w:jc w:val="both"/>
        <w:rPr>
          <w:rFonts w:hint="default" w:ascii="Calibri" w:hAnsi="Calibri" w:eastAsia="楷体_GB2312" w:cs="Calibri"/>
          <w:sz w:val="22"/>
          <w:szCs w:val="22"/>
        </w:rPr>
      </w:pPr>
      <w:r>
        <w:rPr>
          <w:rFonts w:hint="default" w:ascii="Calibri" w:hAnsi="Calibri" w:eastAsia="楷体_GB2312" w:cs="Calibri"/>
          <w:sz w:val="22"/>
          <w:szCs w:val="22"/>
        </w:rPr>
        <w:t>The growth of this segment is mainly supported by</w:t>
      </w:r>
      <w:r>
        <w:rPr>
          <w:rFonts w:hint="default" w:ascii="Calibri" w:hAnsi="Calibri" w:eastAsia="楷体_GB2312" w:cs="Calibri"/>
          <w:b/>
          <w:bCs/>
          <w:sz w:val="22"/>
          <w:szCs w:val="22"/>
        </w:rPr>
        <w:t xml:space="preserve"> increasing global demand for efficacy-driven skincare products and the expansion of dermatology-related channels. </w:t>
      </w:r>
      <w:r>
        <w:rPr>
          <w:rFonts w:hint="default" w:ascii="Calibri" w:hAnsi="Calibri" w:eastAsia="楷体_GB2312" w:cs="Calibri"/>
          <w:sz w:val="22"/>
          <w:szCs w:val="22"/>
        </w:rPr>
        <w:t>Brands such as La Roche-Posay, Vichy, and CeraVe maintain strong competitive advantages in the dermatological skincare market.</w:t>
      </w:r>
    </w:p>
    <w:tbl>
      <w:tblPr>
        <w:tblStyle w:val="12"/>
        <w:tblW w:w="7466" w:type="dxa"/>
        <w:tblInd w:w="0" w:type="dxa"/>
        <w:tblLayout w:type="fixed"/>
        <w:tblCellMar>
          <w:top w:w="0" w:type="dxa"/>
          <w:left w:w="108" w:type="dxa"/>
          <w:bottom w:w="0" w:type="dxa"/>
          <w:right w:w="108" w:type="dxa"/>
        </w:tblCellMar>
      </w:tblPr>
      <w:tblGrid>
        <w:gridCol w:w="7466"/>
      </w:tblGrid>
      <w:tr w14:paraId="4DF9A752">
        <w:trPr>
          <w:trHeight w:val="302" w:hRule="atLeast"/>
        </w:trPr>
        <w:tc>
          <w:tcPr>
            <w:tcW w:w="7466" w:type="dxa"/>
            <w:tcBorders>
              <w:bottom w:val="single" w:color="auto" w:sz="4" w:space="0"/>
            </w:tcBorders>
            <w:tcMar>
              <w:left w:w="0" w:type="dxa"/>
              <w:right w:w="28" w:type="dxa"/>
            </w:tcMar>
          </w:tcPr>
          <w:p w14:paraId="0BE43CB5">
            <w:pPr>
              <w:spacing w:before="48" w:beforeLines="20" w:after="48" w:afterLines="20"/>
              <w:jc w:val="both"/>
              <w:textAlignment w:val="center"/>
              <w:rPr>
                <w:rFonts w:hint="default" w:ascii="Calibri" w:hAnsi="Calibri" w:eastAsia="楷体_GB2312" w:cs="Calibri"/>
                <w:b/>
                <w:bCs/>
                <w:sz w:val="20"/>
                <w:szCs w:val="20"/>
              </w:rPr>
            </w:pPr>
            <w:bookmarkStart w:id="32" w:name="_Hlk219374613"/>
            <w:r>
              <w:rPr>
                <w:rFonts w:hint="default" w:ascii="Calibri" w:hAnsi="Calibri" w:eastAsia="楷体_GB2312" w:cs="Calibri"/>
                <w:b/>
                <w:bCs/>
                <w:sz w:val="20"/>
                <w:szCs w:val="20"/>
              </w:rPr>
              <w:t>Figure: Revenue breakdown by business segment, 2024–2028 (EUR million)</w:t>
            </w:r>
          </w:p>
        </w:tc>
      </w:tr>
      <w:tr w14:paraId="531ACD64">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7D94DE23">
            <w:pPr>
              <w:spacing w:before="48" w:beforeLines="20" w:after="48" w:afterLines="20"/>
              <w:jc w:val="center"/>
              <w:textAlignment w:val="center"/>
              <w:rPr>
                <w:rFonts w:hint="default" w:ascii="Calibri" w:hAnsi="Calibri" w:eastAsia="楷体_GB2312" w:cs="Calibri"/>
                <w:b/>
                <w:bCs/>
                <w:sz w:val="20"/>
                <w:szCs w:val="20"/>
              </w:rPr>
            </w:pPr>
            <w:r>
              <w:rPr>
                <w:rFonts w:hint="default" w:ascii="Calibri" w:hAnsi="Calibri" w:eastAsia="楷体_GB2312" w:cs="Calibri"/>
                <w:snapToGrid/>
              </w:rPr>
              <w:drawing>
                <wp:inline distT="0" distB="0" distL="0" distR="0">
                  <wp:extent cx="4603750" cy="1261110"/>
                  <wp:effectExtent l="0" t="0" r="13970" b="3810"/>
                  <wp:docPr id="19887894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89457" name="图片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4603750" cy="1261110"/>
                          </a:xfrm>
                          <a:prstGeom prst="rect">
                            <a:avLst/>
                          </a:prstGeom>
                          <a:noFill/>
                        </pic:spPr>
                      </pic:pic>
                    </a:graphicData>
                  </a:graphic>
                </wp:inline>
              </w:drawing>
            </w:r>
          </w:p>
        </w:tc>
      </w:tr>
      <w:tr w14:paraId="10EDC697">
        <w:trPr>
          <w:trHeight w:val="64" w:hRule="atLeast"/>
        </w:trPr>
        <w:tc>
          <w:tcPr>
            <w:tcW w:w="7466" w:type="dxa"/>
            <w:tcBorders>
              <w:top w:val="single" w:color="auto" w:sz="4" w:space="0"/>
            </w:tcBorders>
            <w:tcMar>
              <w:left w:w="0" w:type="dxa"/>
              <w:right w:w="28" w:type="dxa"/>
            </w:tcMar>
            <w:vAlign w:val="center"/>
          </w:tcPr>
          <w:p w14:paraId="0AB22510">
            <w:pPr>
              <w:spacing w:line="240" w:lineRule="atLeast"/>
              <w:jc w:val="both"/>
              <w:textAlignment w:val="center"/>
              <w:rPr>
                <w:rFonts w:hint="default" w:ascii="Calibri" w:hAnsi="Calibri" w:eastAsia="楷体_GB2312" w:cs="Calibri"/>
                <w:b w:val="0"/>
                <w:bCs w:val="0"/>
                <w:sz w:val="20"/>
                <w:szCs w:val="20"/>
              </w:rPr>
            </w:pPr>
            <w:r>
              <w:rPr>
                <w:rFonts w:hint="default" w:ascii="Calibri" w:hAnsi="Calibri" w:eastAsia="楷体_GB2312" w:cs="Calibri"/>
                <w:b w:val="0"/>
                <w:bCs w:val="0"/>
                <w:sz w:val="20"/>
                <w:szCs w:val="20"/>
              </w:rPr>
              <w:t>Source: Wind, HFI</w:t>
            </w:r>
          </w:p>
          <w:p w14:paraId="464645BA">
            <w:pPr>
              <w:spacing w:line="240" w:lineRule="atLeast"/>
              <w:jc w:val="both"/>
              <w:textAlignment w:val="center"/>
              <w:rPr>
                <w:rFonts w:hint="default" w:ascii="Calibri" w:hAnsi="Calibri" w:eastAsia="楷体_GB2312" w:cs="Calibri"/>
                <w:b w:val="0"/>
                <w:bCs w:val="0"/>
                <w:sz w:val="20"/>
                <w:szCs w:val="20"/>
              </w:rPr>
            </w:pPr>
          </w:p>
        </w:tc>
      </w:tr>
      <w:bookmarkEnd w:id="32"/>
    </w:tbl>
    <w:p w14:paraId="0CE8566A">
      <w:pPr>
        <w:pStyle w:val="27"/>
        <w:numPr>
          <w:ilvl w:val="0"/>
          <w:numId w:val="11"/>
        </w:numPr>
        <w:jc w:val="both"/>
        <w:rPr>
          <w:rFonts w:hint="default" w:ascii="Calibri" w:hAnsi="Calibri" w:eastAsia="楷体_GB2312" w:cs="Calibri"/>
          <w:sz w:val="22"/>
          <w:szCs w:val="22"/>
        </w:rPr>
      </w:pPr>
      <w:r>
        <w:rPr>
          <w:rFonts w:hint="default" w:ascii="Calibri" w:hAnsi="Calibri" w:eastAsia="楷体_GB2312" w:cs="Calibri"/>
          <w:b/>
          <w:bCs/>
          <w:sz w:val="22"/>
          <w:szCs w:val="22"/>
        </w:rPr>
        <w:t>Gross Margin</w:t>
      </w:r>
    </w:p>
    <w:p w14:paraId="251BBC70">
      <w:pPr>
        <w:jc w:val="both"/>
        <w:rPr>
          <w:rFonts w:hint="default" w:ascii="Calibri" w:hAnsi="Calibri" w:eastAsia="楷体_GB2312" w:cs="Calibri"/>
          <w:b/>
          <w:bCs/>
          <w:sz w:val="22"/>
          <w:szCs w:val="22"/>
        </w:rPr>
      </w:pPr>
    </w:p>
    <w:p w14:paraId="044F25A3">
      <w:pPr>
        <w:jc w:val="both"/>
        <w:rPr>
          <w:rFonts w:hint="default" w:ascii="Calibri" w:hAnsi="Calibri" w:eastAsia="楷体_GB2312" w:cs="Calibri"/>
          <w:b/>
          <w:bCs/>
          <w:sz w:val="22"/>
          <w:szCs w:val="22"/>
        </w:rPr>
      </w:pPr>
      <w:r>
        <w:rPr>
          <w:rFonts w:hint="default" w:ascii="Calibri" w:hAnsi="Calibri" w:eastAsia="楷体_GB2312" w:cs="Calibri"/>
          <w:b/>
          <w:bCs/>
          <w:sz w:val="22"/>
          <w:szCs w:val="22"/>
        </w:rPr>
        <w:t>1) Drivers of gross margin improvement</w:t>
      </w:r>
    </w:p>
    <w:p w14:paraId="6B639D9A">
      <w:pPr>
        <w:jc w:val="both"/>
        <w:rPr>
          <w:rFonts w:hint="default" w:ascii="Calibri" w:hAnsi="Calibri" w:eastAsia="楷体_GB2312" w:cs="Calibri"/>
          <w:sz w:val="22"/>
          <w:szCs w:val="22"/>
        </w:rPr>
      </w:pPr>
      <w:r>
        <w:rPr>
          <w:rFonts w:hint="default" w:ascii="Calibri" w:hAnsi="Calibri" w:eastAsia="楷体_GB2312" w:cs="Calibri"/>
          <w:sz w:val="22"/>
          <w:szCs w:val="22"/>
        </w:rPr>
        <w:t>As the company continues to implement its premiumization strategy, the increasing revenue contribution from Luxury Products and Dermatological Beauty, which generally carry higher margins, is expected to provide structural support to overall gross margins. In addition, economies of scale and improvements in supply chain efficiency are likely to further enhance cost control.</w:t>
      </w:r>
    </w:p>
    <w:p w14:paraId="67A21068">
      <w:pPr>
        <w:jc w:val="both"/>
        <w:rPr>
          <w:rFonts w:hint="default" w:ascii="Calibri" w:hAnsi="Calibri" w:eastAsia="楷体_GB2312" w:cs="Calibri"/>
          <w:sz w:val="22"/>
          <w:szCs w:val="22"/>
        </w:rPr>
      </w:pPr>
    </w:p>
    <w:p w14:paraId="263D0C2B">
      <w:pPr>
        <w:jc w:val="both"/>
        <w:rPr>
          <w:rFonts w:hint="default" w:ascii="Calibri" w:hAnsi="Calibri" w:eastAsia="楷体_GB2312" w:cs="Calibri"/>
          <w:b/>
          <w:bCs/>
          <w:sz w:val="22"/>
          <w:szCs w:val="22"/>
        </w:rPr>
      </w:pPr>
      <w:r>
        <w:rPr>
          <w:rFonts w:hint="default" w:ascii="Calibri" w:hAnsi="Calibri" w:eastAsia="楷体_GB2312" w:cs="Calibri"/>
          <w:b/>
          <w:bCs/>
          <w:sz w:val="22"/>
          <w:szCs w:val="22"/>
        </w:rPr>
        <w:t>2) Cost-side considerations</w:t>
      </w:r>
    </w:p>
    <w:p w14:paraId="0F08A4C4">
      <w:pPr>
        <w:jc w:val="both"/>
        <w:rPr>
          <w:rFonts w:hint="default" w:ascii="Calibri" w:hAnsi="Calibri" w:eastAsia="楷体_GB2312" w:cs="Calibri"/>
          <w:sz w:val="22"/>
          <w:szCs w:val="22"/>
        </w:rPr>
      </w:pPr>
      <w:r>
        <w:rPr>
          <w:rFonts w:hint="default" w:ascii="Calibri" w:hAnsi="Calibri" w:eastAsia="楷体_GB2312" w:cs="Calibri"/>
          <w:sz w:val="22"/>
          <w:szCs w:val="22"/>
        </w:rPr>
        <w:t>Although raw material price volatility and channel mix changes may introduce some uncertainty in the short term, continued improvements in supply chain management and product mix optimization are expected to keep the cost ratio on a gradual downward trend.</w:t>
      </w:r>
    </w:p>
    <w:p w14:paraId="59A5B032">
      <w:pPr>
        <w:jc w:val="both"/>
        <w:rPr>
          <w:rFonts w:hint="default" w:ascii="Calibri" w:hAnsi="Calibri" w:eastAsia="楷体_GB2312" w:cs="Calibri"/>
          <w:sz w:val="22"/>
          <w:szCs w:val="22"/>
        </w:rPr>
      </w:pPr>
    </w:p>
    <w:p w14:paraId="094B3D50">
      <w:pPr>
        <w:jc w:val="both"/>
        <w:rPr>
          <w:rFonts w:hint="default" w:ascii="Calibri" w:hAnsi="Calibri" w:eastAsia="楷体_GB2312" w:cs="Calibri"/>
          <w:sz w:val="22"/>
          <w:szCs w:val="22"/>
        </w:rPr>
      </w:pPr>
      <w:r>
        <w:rPr>
          <w:rFonts w:hint="default" w:ascii="Calibri" w:hAnsi="Calibri" w:eastAsia="楷体_GB2312" w:cs="Calibri"/>
          <w:sz w:val="22"/>
          <w:szCs w:val="22"/>
        </w:rPr>
        <w:t>Overall, we expect the company's gross margin to reach</w:t>
      </w:r>
      <w:r>
        <w:rPr>
          <w:rFonts w:hint="default" w:ascii="Calibri" w:hAnsi="Calibri" w:eastAsia="楷体_GB2312" w:cs="Calibri"/>
          <w:b/>
          <w:bCs/>
          <w:sz w:val="22"/>
          <w:szCs w:val="22"/>
        </w:rPr>
        <w:t xml:space="preserve"> 74.4% / 74.7% / 75.0%</w:t>
      </w:r>
      <w:r>
        <w:rPr>
          <w:rFonts w:hint="default" w:ascii="Calibri" w:hAnsi="Calibri" w:eastAsia="楷体_GB2312" w:cs="Calibri"/>
          <w:sz w:val="22"/>
          <w:szCs w:val="22"/>
        </w:rPr>
        <w:t xml:space="preserve"> in 2026–2028, showing a modest upward trend.</w:t>
      </w:r>
    </w:p>
    <w:p w14:paraId="067F18F8">
      <w:pPr>
        <w:jc w:val="both"/>
        <w:rPr>
          <w:rFonts w:hint="default" w:ascii="Calibri" w:hAnsi="Calibri" w:eastAsia="楷体_GB2312" w:cs="Calibri"/>
          <w:sz w:val="22"/>
          <w:szCs w:val="22"/>
        </w:rPr>
      </w:pPr>
    </w:p>
    <w:p w14:paraId="267BE59B">
      <w:pPr>
        <w:pStyle w:val="27"/>
        <w:numPr>
          <w:ilvl w:val="0"/>
          <w:numId w:val="11"/>
        </w:numPr>
        <w:jc w:val="both"/>
        <w:rPr>
          <w:rFonts w:hint="default" w:ascii="Calibri" w:hAnsi="Calibri" w:eastAsia="楷体_GB2312" w:cs="Calibri"/>
          <w:sz w:val="22"/>
          <w:szCs w:val="22"/>
        </w:rPr>
      </w:pPr>
      <w:r>
        <w:rPr>
          <w:rFonts w:hint="default" w:ascii="Calibri" w:hAnsi="Calibri" w:eastAsia="楷体_GB2312" w:cs="Calibri"/>
          <w:b/>
          <w:bCs/>
          <w:sz w:val="22"/>
          <w:szCs w:val="22"/>
        </w:rPr>
        <w:t>Operating Expense Ratio</w:t>
      </w:r>
    </w:p>
    <w:p w14:paraId="3C4BA991">
      <w:pPr>
        <w:jc w:val="both"/>
        <w:rPr>
          <w:rFonts w:hint="default" w:ascii="Calibri" w:hAnsi="Calibri" w:eastAsia="楷体_GB2312" w:cs="Calibri"/>
          <w:sz w:val="22"/>
          <w:szCs w:val="22"/>
        </w:rPr>
      </w:pPr>
    </w:p>
    <w:p w14:paraId="069FE850">
      <w:pPr>
        <w:jc w:val="both"/>
        <w:rPr>
          <w:rFonts w:hint="default" w:ascii="Calibri" w:hAnsi="Calibri" w:eastAsia="楷体_GB2312" w:cs="Calibri"/>
          <w:b/>
          <w:bCs/>
          <w:sz w:val="22"/>
          <w:szCs w:val="22"/>
        </w:rPr>
      </w:pPr>
      <w:r>
        <w:rPr>
          <w:rFonts w:hint="default" w:ascii="Calibri" w:hAnsi="Calibri" w:eastAsia="楷体_GB2312" w:cs="Calibri"/>
          <w:b/>
          <w:bCs/>
          <w:sz w:val="22"/>
          <w:szCs w:val="22"/>
        </w:rPr>
        <w:t xml:space="preserve">R&amp;D Expense Ratio: </w:t>
      </w:r>
      <w:r>
        <w:rPr>
          <w:rFonts w:hint="default" w:ascii="Calibri" w:hAnsi="Calibri" w:eastAsia="楷体_GB2312" w:cs="Calibri"/>
          <w:sz w:val="22"/>
          <w:szCs w:val="22"/>
        </w:rPr>
        <w:t xml:space="preserve">The company continues to increase investment in </w:t>
      </w:r>
      <w:r>
        <w:rPr>
          <w:rFonts w:hint="default" w:ascii="Calibri" w:hAnsi="Calibri" w:eastAsia="楷体_GB2312" w:cs="Calibri"/>
          <w:b/>
          <w:bCs/>
          <w:sz w:val="22"/>
          <w:szCs w:val="22"/>
        </w:rPr>
        <w:t>dermatological science, beauty technology, and product innovation</w:t>
      </w:r>
      <w:r>
        <w:rPr>
          <w:rFonts w:hint="default" w:ascii="Calibri" w:hAnsi="Calibri" w:eastAsia="楷体_GB2312" w:cs="Calibri"/>
          <w:sz w:val="22"/>
          <w:szCs w:val="22"/>
        </w:rPr>
        <w:t xml:space="preserve"> to maintain its technological leadership in the global beauty industry. We expect R&amp;D spending to grow steadily going forward. The R&amp;D expense ratio is projected to</w:t>
      </w:r>
      <w:r>
        <w:rPr>
          <w:rFonts w:hint="default" w:ascii="Calibri" w:hAnsi="Calibri" w:eastAsia="楷体_GB2312" w:cs="Calibri"/>
          <w:b/>
          <w:bCs/>
          <w:sz w:val="22"/>
          <w:szCs w:val="22"/>
        </w:rPr>
        <w:t xml:space="preserve"> remain stable at around 3.1% during 2026–2028.</w:t>
      </w:r>
    </w:p>
    <w:p w14:paraId="3F9FFB16">
      <w:pPr>
        <w:jc w:val="both"/>
        <w:rPr>
          <w:rFonts w:hint="default" w:ascii="Calibri" w:hAnsi="Calibri" w:eastAsia="楷体_GB2312" w:cs="Calibri"/>
          <w:sz w:val="22"/>
          <w:szCs w:val="22"/>
        </w:rPr>
      </w:pPr>
    </w:p>
    <w:p w14:paraId="42A1B179">
      <w:pPr>
        <w:jc w:val="both"/>
        <w:rPr>
          <w:rFonts w:hint="default" w:ascii="Calibri" w:hAnsi="Calibri" w:eastAsia="楷体_GB2312" w:cs="Calibri"/>
          <w:b/>
          <w:bCs/>
          <w:sz w:val="22"/>
          <w:szCs w:val="22"/>
        </w:rPr>
      </w:pPr>
      <w:r>
        <w:rPr>
          <w:rFonts w:hint="default" w:ascii="Calibri" w:hAnsi="Calibri" w:eastAsia="楷体_GB2312" w:cs="Calibri"/>
          <w:b/>
          <w:bCs/>
          <w:sz w:val="22"/>
          <w:szCs w:val="22"/>
        </w:rPr>
        <w:t xml:space="preserve">Advertising and Promotion Expense Ratio: </w:t>
      </w:r>
      <w:r>
        <w:rPr>
          <w:rFonts w:hint="default" w:ascii="Calibri" w:hAnsi="Calibri" w:eastAsia="楷体_GB2312" w:cs="Calibri"/>
          <w:sz w:val="22"/>
          <w:szCs w:val="22"/>
        </w:rPr>
        <w:t xml:space="preserve">Advertising and promotion expenses mainly relate to </w:t>
      </w:r>
      <w:r>
        <w:rPr>
          <w:rFonts w:hint="default" w:ascii="Calibri" w:hAnsi="Calibri" w:eastAsia="楷体_GB2312" w:cs="Calibri"/>
          <w:b/>
          <w:bCs/>
          <w:sz w:val="22"/>
          <w:szCs w:val="22"/>
        </w:rPr>
        <w:t xml:space="preserve">brand marketing, digital campaigns, and channel promotion activities. </w:t>
      </w:r>
      <w:r>
        <w:rPr>
          <w:rFonts w:hint="default" w:ascii="Calibri" w:hAnsi="Calibri" w:eastAsia="楷体_GB2312" w:cs="Calibri"/>
          <w:sz w:val="22"/>
          <w:szCs w:val="22"/>
        </w:rPr>
        <w:t>As the company continues to strengthen brand positioning and increase investments in social media, e-commerce platforms, and global marketing initiatives, advertising and promotion expenses are expected to maintain steady growth.</w:t>
      </w:r>
      <w:r>
        <w:rPr>
          <w:rFonts w:hint="default" w:ascii="Calibri" w:hAnsi="Calibri" w:eastAsia="楷体_GB2312" w:cs="Calibri"/>
          <w:b/>
          <w:bCs/>
          <w:sz w:val="22"/>
          <w:szCs w:val="22"/>
        </w:rPr>
        <w:t xml:space="preserve"> </w:t>
      </w:r>
      <w:r>
        <w:rPr>
          <w:rFonts w:hint="default" w:ascii="Calibri" w:hAnsi="Calibri" w:eastAsia="楷体_GB2312" w:cs="Calibri"/>
          <w:sz w:val="22"/>
          <w:szCs w:val="22"/>
        </w:rPr>
        <w:t xml:space="preserve">The advertising and promotion expense ratio is projected to reach </w:t>
      </w:r>
      <w:r>
        <w:rPr>
          <w:rFonts w:hint="default" w:ascii="Calibri" w:hAnsi="Calibri" w:eastAsia="楷体_GB2312" w:cs="Calibri"/>
          <w:b/>
          <w:bCs/>
          <w:sz w:val="22"/>
          <w:szCs w:val="22"/>
        </w:rPr>
        <w:t>31.8% / 31.7% / 31.7% in 2026–2028,</w:t>
      </w:r>
      <w:r>
        <w:rPr>
          <w:rFonts w:hint="default" w:ascii="Calibri" w:hAnsi="Calibri" w:eastAsia="楷体_GB2312" w:cs="Calibri"/>
          <w:sz w:val="22"/>
          <w:szCs w:val="22"/>
        </w:rPr>
        <w:t xml:space="preserve"> showing a slight decline mainly due to economies of scale from revenue expansion.</w:t>
      </w:r>
    </w:p>
    <w:p w14:paraId="5238062D">
      <w:pPr>
        <w:rPr>
          <w:rFonts w:hint="default" w:ascii="Calibri" w:hAnsi="Calibri" w:eastAsia="楷体_GB2312" w:cs="Calibri"/>
          <w:sz w:val="22"/>
          <w:szCs w:val="22"/>
        </w:rPr>
      </w:pPr>
      <w:r>
        <w:rPr>
          <w:rFonts w:hint="default" w:ascii="Calibri" w:hAnsi="Calibri" w:eastAsia="楷体_GB2312" w:cs="Calibri"/>
          <w:sz w:val="22"/>
          <w:szCs w:val="22"/>
        </w:rPr>
        <w:br w:type="page"/>
      </w:r>
    </w:p>
    <w:p w14:paraId="3048BC18">
      <w:pPr>
        <w:jc w:val="both"/>
        <w:rPr>
          <w:rFonts w:hint="default" w:ascii="Calibri" w:hAnsi="Calibri" w:eastAsia="楷体_GB2312" w:cs="Calibri"/>
          <w:sz w:val="22"/>
          <w:szCs w:val="22"/>
        </w:rPr>
      </w:pPr>
      <w:r>
        <w:rPr>
          <w:rFonts w:hint="default" w:ascii="Calibri" w:hAnsi="Calibri" w:eastAsia="楷体_GB2312" w:cs="Calibri"/>
          <w:b/>
          <w:bCs/>
          <w:sz w:val="22"/>
          <w:szCs w:val="22"/>
        </w:rPr>
        <w:t xml:space="preserve">SG&amp;A Expense Ratio: </w:t>
      </w:r>
      <w:r>
        <w:rPr>
          <w:rFonts w:hint="default" w:ascii="Calibri" w:hAnsi="Calibri" w:eastAsia="楷体_GB2312" w:cs="Calibri"/>
          <w:sz w:val="22"/>
          <w:szCs w:val="22"/>
        </w:rPr>
        <w:t xml:space="preserve">SG&amp;A expenses primarily include </w:t>
      </w:r>
      <w:r>
        <w:rPr>
          <w:rFonts w:hint="default" w:ascii="Calibri" w:hAnsi="Calibri" w:eastAsia="楷体_GB2312" w:cs="Calibri"/>
          <w:b/>
          <w:bCs/>
          <w:sz w:val="22"/>
          <w:szCs w:val="22"/>
        </w:rPr>
        <w:t>administrative costs, operational management expenses, and global corporate overhead</w:t>
      </w:r>
      <w:r>
        <w:rPr>
          <w:rFonts w:hint="default" w:ascii="Calibri" w:hAnsi="Calibri" w:eastAsia="楷体_GB2312" w:cs="Calibri"/>
          <w:sz w:val="22"/>
          <w:szCs w:val="22"/>
        </w:rPr>
        <w:t>. With the continued expansion of revenue scale, SG&amp;A expenses are expected to remain stable while gradually declining as a percentage of sales. The SG&amp;A expense ratio is expected to reach 18.9% / 18.8% / 18.7% in 2026–2028.</w:t>
      </w:r>
    </w:p>
    <w:p w14:paraId="24806471">
      <w:pPr>
        <w:spacing w:before="100" w:beforeAutospacing="1" w:after="100" w:afterAutospacing="1"/>
        <w:jc w:val="both"/>
        <w:rPr>
          <w:rFonts w:hint="default" w:ascii="Calibri" w:hAnsi="Calibri" w:eastAsia="楷体_GB2312" w:cs="Calibri"/>
          <w:snapToGrid/>
          <w:sz w:val="22"/>
          <w:szCs w:val="22"/>
        </w:rPr>
      </w:pPr>
      <w:r>
        <w:rPr>
          <w:rFonts w:hint="default" w:ascii="Calibri" w:hAnsi="Calibri" w:eastAsia="楷体_GB2312" w:cs="Calibri"/>
          <w:snapToGrid/>
          <w:sz w:val="22"/>
          <w:szCs w:val="22"/>
        </w:rPr>
        <w:t xml:space="preserve">Considering revenue growth, gross margin improvement, and the evolution of expense ratios, we expect the company’s profitability to improve steadily. As </w:t>
      </w:r>
      <w:r>
        <w:rPr>
          <w:rFonts w:hint="default" w:ascii="Calibri" w:hAnsi="Calibri" w:eastAsia="楷体_GB2312" w:cs="Calibri"/>
          <w:b/>
          <w:bCs/>
          <w:snapToGrid/>
          <w:sz w:val="22"/>
          <w:szCs w:val="22"/>
        </w:rPr>
        <w:t>product mix continues to shift toward higher-margin categories and operating leverage gradually materializes</w:t>
      </w:r>
      <w:r>
        <w:rPr>
          <w:rFonts w:hint="default" w:ascii="Calibri" w:hAnsi="Calibri" w:eastAsia="楷体_GB2312" w:cs="Calibri"/>
          <w:snapToGrid/>
          <w:sz w:val="22"/>
          <w:szCs w:val="22"/>
        </w:rPr>
        <w:t>, earnings growth is expected to remain solid.</w:t>
      </w:r>
    </w:p>
    <w:p w14:paraId="6C99F793">
      <w:pPr>
        <w:spacing w:before="100" w:beforeAutospacing="1" w:after="100" w:afterAutospacing="1"/>
        <w:jc w:val="both"/>
        <w:rPr>
          <w:rFonts w:hint="default" w:ascii="Calibri" w:hAnsi="Calibri" w:eastAsia="楷体_GB2312" w:cs="Calibri"/>
          <w:snapToGrid/>
          <w:sz w:val="22"/>
          <w:szCs w:val="22"/>
        </w:rPr>
      </w:pPr>
      <w:r>
        <w:rPr>
          <w:rFonts w:hint="default" w:ascii="Calibri" w:hAnsi="Calibri" w:eastAsia="楷体_GB2312" w:cs="Calibri"/>
          <w:snapToGrid/>
          <w:sz w:val="22"/>
          <w:szCs w:val="22"/>
        </w:rPr>
        <w:t xml:space="preserve">At the same time, the company continues to invest in </w:t>
      </w:r>
      <w:r>
        <w:rPr>
          <w:rFonts w:hint="default" w:ascii="Calibri" w:hAnsi="Calibri" w:eastAsia="楷体_GB2312" w:cs="Calibri"/>
          <w:b/>
          <w:bCs/>
          <w:snapToGrid/>
          <w:sz w:val="22"/>
          <w:szCs w:val="22"/>
        </w:rPr>
        <w:t>brand marketing, product innovation, and channel development</w:t>
      </w:r>
      <w:r>
        <w:rPr>
          <w:rFonts w:hint="default" w:ascii="Calibri" w:hAnsi="Calibri" w:eastAsia="楷体_GB2312" w:cs="Calibri"/>
          <w:snapToGrid/>
          <w:sz w:val="22"/>
          <w:szCs w:val="22"/>
        </w:rPr>
        <w:t>, which keeps short-term operating expenses at relatively high levels. However, overall expense ratios are expected to remain stable, with limited impact on profit growth.</w:t>
      </w:r>
    </w:p>
    <w:p w14:paraId="69BBA8E7">
      <w:pPr>
        <w:spacing w:before="100" w:beforeAutospacing="1" w:after="100" w:afterAutospacing="1"/>
        <w:jc w:val="both"/>
        <w:rPr>
          <w:rFonts w:hint="default" w:ascii="Calibri" w:hAnsi="Calibri" w:eastAsia="楷体_GB2312" w:cs="Calibri"/>
          <w:snapToGrid/>
          <w:sz w:val="22"/>
          <w:szCs w:val="22"/>
          <w:u w:val="single"/>
        </w:rPr>
      </w:pPr>
      <w:r>
        <w:rPr>
          <w:rFonts w:hint="default" w:ascii="Calibri" w:hAnsi="Calibri" w:eastAsia="楷体_GB2312" w:cs="Calibri"/>
          <w:snapToGrid/>
          <w:sz w:val="22"/>
          <w:szCs w:val="22"/>
          <w:u w:val="single"/>
        </w:rPr>
        <w:t xml:space="preserve">Based on the above assumptions, we forecast </w:t>
      </w:r>
      <w:r>
        <w:rPr>
          <w:rFonts w:hint="default" w:ascii="Calibri" w:hAnsi="Calibri" w:eastAsia="楷体_GB2312" w:cs="Calibri"/>
          <w:b/>
          <w:bCs/>
          <w:snapToGrid/>
          <w:sz w:val="22"/>
          <w:szCs w:val="22"/>
          <w:u w:val="single"/>
        </w:rPr>
        <w:t>net profit attributable to shareholders to reach €6.79bn / €7.38bn / €7.93bn in 2026–2028</w:t>
      </w:r>
      <w:r>
        <w:rPr>
          <w:rFonts w:hint="default" w:ascii="Calibri" w:hAnsi="Calibri" w:eastAsia="楷体_GB2312" w:cs="Calibri"/>
          <w:snapToGrid/>
          <w:sz w:val="22"/>
          <w:szCs w:val="22"/>
          <w:u w:val="single"/>
        </w:rPr>
        <w:t xml:space="preserve">, representing </w:t>
      </w:r>
      <w:r>
        <w:rPr>
          <w:rFonts w:hint="default" w:ascii="Calibri" w:hAnsi="Calibri" w:eastAsia="楷体_GB2312" w:cs="Calibri"/>
          <w:b/>
          <w:bCs/>
          <w:snapToGrid/>
          <w:sz w:val="22"/>
          <w:szCs w:val="22"/>
          <w:u w:val="single"/>
        </w:rPr>
        <w:t>YoY growth of 10.75% / 8.79% / 7.45%</w:t>
      </w:r>
      <w:r>
        <w:rPr>
          <w:rFonts w:hint="default" w:ascii="Calibri" w:hAnsi="Calibri" w:eastAsia="楷体_GB2312" w:cs="Calibri"/>
          <w:snapToGrid/>
          <w:sz w:val="22"/>
          <w:szCs w:val="22"/>
          <w:u w:val="single"/>
        </w:rPr>
        <w:t xml:space="preserve">, indicating </w:t>
      </w:r>
      <w:r>
        <w:rPr>
          <w:rFonts w:hint="default" w:ascii="Calibri" w:hAnsi="Calibri" w:eastAsia="楷体_GB2312" w:cs="Calibri"/>
          <w:b/>
          <w:bCs/>
          <w:snapToGrid/>
          <w:sz w:val="22"/>
          <w:szCs w:val="22"/>
          <w:u w:val="single"/>
        </w:rPr>
        <w:t>steady and sustainable earnings growth</w:t>
      </w:r>
      <w:r>
        <w:rPr>
          <w:rFonts w:hint="default" w:ascii="Calibri" w:hAnsi="Calibri" w:eastAsia="楷体_GB2312" w:cs="Calibri"/>
          <w:snapToGrid/>
          <w:sz w:val="22"/>
          <w:szCs w:val="22"/>
          <w:u w:val="single"/>
        </w:rPr>
        <w:t>.</w:t>
      </w:r>
    </w:p>
    <w:p w14:paraId="61903D3D">
      <w:pPr>
        <w:jc w:val="both"/>
        <w:rPr>
          <w:rFonts w:hint="default" w:ascii="Calibri" w:hAnsi="Calibri" w:eastAsia="楷体_GB2312" w:cs="Calibri"/>
          <w:sz w:val="22"/>
          <w:szCs w:val="22"/>
        </w:rPr>
      </w:pPr>
    </w:p>
    <w:p w14:paraId="3C6E997B">
      <w:pPr>
        <w:pStyle w:val="149"/>
        <w:jc w:val="both"/>
        <w:rPr>
          <w:rFonts w:hint="default" w:ascii="Calibri" w:hAnsi="Calibri" w:eastAsia="楷体_GB2312" w:cs="Calibri"/>
          <w:color w:val="23558C"/>
          <w:sz w:val="24"/>
        </w:rPr>
      </w:pPr>
      <w:bookmarkStart w:id="33" w:name="_Toc220275554"/>
      <w:bookmarkStart w:id="34" w:name="_Toc6510"/>
      <w:r>
        <w:rPr>
          <w:rFonts w:hint="default" w:ascii="Calibri" w:hAnsi="Calibri" w:eastAsia="楷体_GB2312" w:cs="Calibri"/>
          <w:color w:val="23558C"/>
          <w:sz w:val="24"/>
        </w:rPr>
        <w:t xml:space="preserve">5.2 </w:t>
      </w:r>
      <w:bookmarkEnd w:id="33"/>
      <w:r>
        <w:rPr>
          <w:rFonts w:hint="default" w:ascii="Calibri" w:hAnsi="Calibri" w:eastAsia="楷体_GB2312" w:cs="Calibri"/>
          <w:color w:val="23558C"/>
          <w:sz w:val="24"/>
        </w:rPr>
        <w:t>Valuation Analysis</w:t>
      </w:r>
      <w:bookmarkEnd w:id="34"/>
    </w:p>
    <w:p w14:paraId="6CA56C2F">
      <w:pPr>
        <w:jc w:val="both"/>
        <w:rPr>
          <w:rFonts w:hint="default" w:ascii="Calibri" w:hAnsi="Calibri" w:eastAsia="楷体_GB2312" w:cs="Calibri"/>
          <w:sz w:val="22"/>
          <w:szCs w:val="22"/>
        </w:rPr>
      </w:pPr>
      <w:r>
        <w:rPr>
          <w:rFonts w:hint="default" w:ascii="Calibri" w:hAnsi="Calibri" w:eastAsia="楷体_GB2312" w:cs="Calibri"/>
          <w:sz w:val="22"/>
          <w:szCs w:val="22"/>
        </w:rPr>
        <w:t>Based on the Discounted Cash Flow (DCF) valuation model, we have forecasted the company's future operating cash flows. Taking into account industry growth prospects and the company's position as a global leader, we assign a target price of €408.</w:t>
      </w:r>
    </w:p>
    <w:p w14:paraId="7A02E011">
      <w:pPr>
        <w:jc w:val="both"/>
        <w:rPr>
          <w:rFonts w:hint="default" w:ascii="Calibri" w:hAnsi="Calibri" w:eastAsia="楷体_GB2312" w:cs="Calibri"/>
          <w:sz w:val="22"/>
          <w:szCs w:val="22"/>
        </w:rPr>
      </w:pPr>
      <w:r>
        <w:rPr>
          <w:rFonts w:hint="default" w:ascii="Calibri" w:hAnsi="Calibri" w:eastAsia="楷体_GB2312" w:cs="Calibri"/>
          <w:sz w:val="22"/>
          <w:szCs w:val="22"/>
        </w:rPr>
        <w:t>We initiate coverage on L'Oréal Groupe with an "Outperform" investment rating.</w:t>
      </w:r>
    </w:p>
    <w:p w14:paraId="639CF9F7">
      <w:pPr>
        <w:rPr>
          <w:rFonts w:hint="default" w:ascii="Calibri" w:hAnsi="Calibri" w:eastAsia="楷体_GB2312" w:cs="Calibri"/>
          <w:sz w:val="22"/>
          <w:szCs w:val="22"/>
        </w:rPr>
      </w:pPr>
      <w:r>
        <w:rPr>
          <w:rFonts w:hint="default" w:ascii="Calibri" w:hAnsi="Calibri" w:eastAsia="楷体_GB2312" w:cs="Calibri"/>
          <w:sz w:val="22"/>
          <w:szCs w:val="22"/>
        </w:rPr>
        <w:br w:type="page"/>
      </w:r>
    </w:p>
    <w:tbl>
      <w:tblPr>
        <w:tblStyle w:val="12"/>
        <w:tblW w:w="7466" w:type="dxa"/>
        <w:tblInd w:w="0" w:type="dxa"/>
        <w:tblLayout w:type="fixed"/>
        <w:tblCellMar>
          <w:top w:w="0" w:type="dxa"/>
          <w:left w:w="108" w:type="dxa"/>
          <w:bottom w:w="0" w:type="dxa"/>
          <w:right w:w="108" w:type="dxa"/>
        </w:tblCellMar>
      </w:tblPr>
      <w:tblGrid>
        <w:gridCol w:w="7466"/>
      </w:tblGrid>
      <w:tr w14:paraId="42E0E61D">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49F4795E">
            <w:pPr>
              <w:spacing w:before="48" w:beforeLines="20" w:after="48" w:afterLines="20"/>
              <w:jc w:val="both"/>
              <w:textAlignment w:val="center"/>
              <w:rPr>
                <w:rFonts w:hint="default" w:ascii="Calibri" w:hAnsi="Calibri" w:eastAsia="楷体_GB2312" w:cs="Calibri"/>
                <w:b/>
                <w:sz w:val="20"/>
                <w:szCs w:val="20"/>
              </w:rPr>
            </w:pPr>
            <w:r>
              <w:rPr>
                <w:rFonts w:hint="default" w:ascii="Calibri" w:hAnsi="Calibri" w:eastAsia="楷体_GB2312" w:cs="Calibri"/>
                <w:b/>
                <w:bCs/>
                <w:sz w:val="20"/>
                <w:szCs w:val="20"/>
              </w:rPr>
              <w:t>Figure:</w:t>
            </w:r>
            <w:r>
              <w:rPr>
                <w:rFonts w:hint="default" w:ascii="Calibri" w:hAnsi="Calibri" w:eastAsia="楷体_GB2312" w:cs="Calibri"/>
                <w:b/>
                <w:sz w:val="20"/>
                <w:szCs w:val="20"/>
              </w:rPr>
              <w:t xml:space="preserve"> DCF Model</w:t>
            </w:r>
          </w:p>
        </w:tc>
      </w:tr>
      <w:tr w14:paraId="215A54E1">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48E8ADA4">
            <w:pPr>
              <w:spacing w:before="48" w:beforeLines="20" w:after="48" w:afterLines="20"/>
              <w:jc w:val="center"/>
              <w:textAlignment w:val="center"/>
              <w:rPr>
                <w:rFonts w:hint="default" w:ascii="Calibri" w:hAnsi="Calibri" w:eastAsia="楷体_GB2312" w:cs="Calibri"/>
                <w:b/>
                <w:bCs/>
                <w:sz w:val="20"/>
                <w:szCs w:val="20"/>
              </w:rPr>
            </w:pPr>
            <w:r>
              <w:rPr>
                <w:rFonts w:hint="default" w:ascii="Calibri" w:hAnsi="Calibri" w:eastAsia="楷体_GB2312" w:cs="Calibri"/>
                <w:snapToGrid/>
              </w:rPr>
              <w:drawing>
                <wp:inline distT="0" distB="0" distL="0" distR="0">
                  <wp:extent cx="4916805" cy="4362450"/>
                  <wp:effectExtent l="0" t="0" r="5715" b="11430"/>
                  <wp:docPr id="121551595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15958" name="图片 9"/>
                          <pic:cNvPicPr>
                            <a:picLocks noChangeAspect="1"/>
                          </pic:cNvPicPr>
                        </pic:nvPicPr>
                        <pic:blipFill>
                          <a:blip r:embed="rId59"/>
                          <a:stretch>
                            <a:fillRect/>
                          </a:stretch>
                        </pic:blipFill>
                        <pic:spPr>
                          <a:xfrm>
                            <a:off x="0" y="0"/>
                            <a:ext cx="4916805" cy="4362450"/>
                          </a:xfrm>
                          <a:prstGeom prst="rect">
                            <a:avLst/>
                          </a:prstGeom>
                          <a:noFill/>
                          <a:ln w="9525">
                            <a:noFill/>
                          </a:ln>
                        </pic:spPr>
                      </pic:pic>
                    </a:graphicData>
                  </a:graphic>
                </wp:inline>
              </w:drawing>
            </w:r>
          </w:p>
        </w:tc>
      </w:tr>
      <w:tr w14:paraId="6F9DAAC8">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21770F96">
            <w:pPr>
              <w:spacing w:line="240" w:lineRule="atLeast"/>
              <w:jc w:val="both"/>
              <w:textAlignment w:val="center"/>
              <w:rPr>
                <w:rFonts w:hint="default" w:ascii="Calibri" w:hAnsi="Calibri" w:eastAsia="楷体_GB2312" w:cs="Calibri"/>
                <w:b w:val="0"/>
                <w:bCs w:val="0"/>
                <w:sz w:val="20"/>
                <w:szCs w:val="20"/>
              </w:rPr>
            </w:pPr>
            <w:r>
              <w:rPr>
                <w:rFonts w:hint="default" w:ascii="Calibri" w:hAnsi="Calibri" w:eastAsia="楷体_GB2312" w:cs="Calibri"/>
                <w:b w:val="0"/>
                <w:bCs w:val="0"/>
                <w:sz w:val="20"/>
                <w:szCs w:val="20"/>
              </w:rPr>
              <w:t>Source: Wind, HFI</w:t>
            </w:r>
          </w:p>
        </w:tc>
      </w:tr>
    </w:tbl>
    <w:p w14:paraId="53BA8251">
      <w:pPr>
        <w:rPr>
          <w:rFonts w:hint="default" w:ascii="Calibri" w:hAnsi="Calibri" w:eastAsia="楷体_GB2312" w:cs="Calibri"/>
          <w:sz w:val="22"/>
          <w:szCs w:val="22"/>
        </w:rPr>
      </w:pPr>
      <w:r>
        <w:rPr>
          <w:rFonts w:hint="default" w:ascii="Calibri" w:hAnsi="Calibri" w:eastAsia="楷体_GB2312" w:cs="Calibri"/>
          <w:sz w:val="22"/>
          <w:szCs w:val="22"/>
        </w:rPr>
        <w:br w:type="page"/>
      </w:r>
    </w:p>
    <w:tbl>
      <w:tblPr>
        <w:tblStyle w:val="12"/>
        <w:tblW w:w="7466" w:type="dxa"/>
        <w:tblInd w:w="0" w:type="dxa"/>
        <w:tblLayout w:type="fixed"/>
        <w:tblCellMar>
          <w:top w:w="0" w:type="dxa"/>
          <w:left w:w="108" w:type="dxa"/>
          <w:bottom w:w="0" w:type="dxa"/>
          <w:right w:w="108" w:type="dxa"/>
        </w:tblCellMar>
      </w:tblPr>
      <w:tblGrid>
        <w:gridCol w:w="7466"/>
      </w:tblGrid>
      <w:tr w14:paraId="267B0AE1">
        <w:trPr>
          <w:trHeight w:val="302" w:hRule="atLeast"/>
        </w:trPr>
        <w:tc>
          <w:tcPr>
            <w:tcW w:w="7466" w:type="dxa"/>
            <w:tcBorders>
              <w:bottom w:val="single" w:color="auto" w:sz="4" w:space="0"/>
            </w:tcBorders>
            <w:tcMar>
              <w:left w:w="0" w:type="dxa"/>
              <w:right w:w="28" w:type="dxa"/>
            </w:tcMar>
          </w:tcPr>
          <w:p w14:paraId="377F3758">
            <w:pPr>
              <w:spacing w:before="48" w:beforeLines="20" w:after="48" w:afterLines="20"/>
              <w:jc w:val="both"/>
              <w:textAlignment w:val="center"/>
              <w:rPr>
                <w:rFonts w:hint="default" w:ascii="Calibri" w:hAnsi="Calibri" w:eastAsia="楷体_GB2312" w:cs="Calibri"/>
                <w:b/>
                <w:sz w:val="20"/>
                <w:szCs w:val="20"/>
              </w:rPr>
            </w:pPr>
            <w:r>
              <w:rPr>
                <w:rFonts w:hint="default" w:ascii="Calibri" w:hAnsi="Calibri" w:eastAsia="楷体_GB2312" w:cs="Calibri"/>
                <w:b/>
                <w:bCs/>
                <w:sz w:val="20"/>
                <w:szCs w:val="20"/>
              </w:rPr>
              <w:t>Figure:</w:t>
            </w:r>
            <w:r>
              <w:rPr>
                <w:rFonts w:hint="default" w:ascii="Calibri" w:hAnsi="Calibri" w:eastAsia="楷体_GB2312" w:cs="Calibri"/>
                <w:b/>
                <w:sz w:val="20"/>
                <w:szCs w:val="20"/>
              </w:rPr>
              <w:t xml:space="preserve"> Summary of Financials</w:t>
            </w:r>
          </w:p>
        </w:tc>
      </w:tr>
      <w:tr w14:paraId="64B0A78B">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595D2065">
            <w:pPr>
              <w:spacing w:before="48" w:beforeLines="20" w:after="48" w:afterLines="20"/>
              <w:jc w:val="center"/>
              <w:textAlignment w:val="center"/>
              <w:rPr>
                <w:rFonts w:hint="default" w:ascii="Calibri" w:hAnsi="Calibri" w:eastAsia="楷体_GB2312" w:cs="Calibri"/>
                <w:b/>
                <w:bCs/>
                <w:sz w:val="20"/>
                <w:szCs w:val="20"/>
              </w:rPr>
            </w:pPr>
            <w:r>
              <w:rPr>
                <w:rFonts w:hint="default" w:ascii="Calibri" w:hAnsi="Calibri" w:eastAsia="楷体_GB2312" w:cs="Calibri"/>
              </w:rPr>
              <w:drawing>
                <wp:inline distT="0" distB="0" distL="0" distR="0">
                  <wp:extent cx="4643120" cy="3792855"/>
                  <wp:effectExtent l="0" t="0" r="5080" b="1905"/>
                  <wp:docPr id="30478740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87409" name="图片 11"/>
                          <pic:cNvPicPr>
                            <a:picLocks noChangeAspect="1"/>
                          </pic:cNvPicPr>
                        </pic:nvPicPr>
                        <pic:blipFill>
                          <a:blip r:embed="rId60"/>
                          <a:stretch>
                            <a:fillRect/>
                          </a:stretch>
                        </pic:blipFill>
                        <pic:spPr>
                          <a:xfrm>
                            <a:off x="0" y="0"/>
                            <a:ext cx="4643120" cy="3792855"/>
                          </a:xfrm>
                          <a:prstGeom prst="rect">
                            <a:avLst/>
                          </a:prstGeom>
                          <a:noFill/>
                          <a:ln w="9525">
                            <a:noFill/>
                          </a:ln>
                        </pic:spPr>
                      </pic:pic>
                    </a:graphicData>
                  </a:graphic>
                </wp:inline>
              </w:drawing>
            </w:r>
          </w:p>
        </w:tc>
      </w:tr>
      <w:tr w14:paraId="0BF6A996">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8186C11">
            <w:pPr>
              <w:spacing w:line="240" w:lineRule="atLeast"/>
              <w:jc w:val="both"/>
              <w:textAlignment w:val="center"/>
              <w:rPr>
                <w:rFonts w:hint="default" w:ascii="Calibri" w:hAnsi="Calibri" w:eastAsia="楷体_GB2312" w:cs="Calibri"/>
                <w:b w:val="0"/>
                <w:bCs w:val="0"/>
                <w:sz w:val="20"/>
                <w:szCs w:val="20"/>
              </w:rPr>
            </w:pPr>
            <w:r>
              <w:rPr>
                <w:rFonts w:hint="default" w:ascii="Calibri" w:hAnsi="Calibri" w:eastAsia="楷体_GB2312" w:cs="Calibri"/>
                <w:b w:val="0"/>
                <w:bCs w:val="0"/>
                <w:sz w:val="20"/>
                <w:szCs w:val="20"/>
              </w:rPr>
              <w:t>Source: Wind, HFI</w:t>
            </w:r>
          </w:p>
        </w:tc>
      </w:tr>
    </w:tbl>
    <w:p w14:paraId="766CA320">
      <w:pPr>
        <w:jc w:val="both"/>
        <w:rPr>
          <w:rFonts w:hint="default" w:ascii="Calibri" w:hAnsi="Calibri" w:eastAsia="楷体_GB2312" w:cs="Calibri"/>
          <w:b/>
          <w:sz w:val="17"/>
        </w:rPr>
      </w:pPr>
    </w:p>
    <w:p w14:paraId="40BAECE0">
      <w:pPr>
        <w:pStyle w:val="2"/>
        <w:spacing w:before="240" w:beforeLines="100" w:after="240" w:afterLines="100"/>
        <w:jc w:val="both"/>
        <w:rPr>
          <w:rFonts w:hint="default" w:ascii="Calibri" w:hAnsi="Calibri" w:eastAsia="楷体_GB2312" w:cs="Calibri"/>
          <w:b/>
          <w:bCs/>
          <w:color w:val="23558C"/>
          <w:sz w:val="28"/>
          <w:szCs w:val="28"/>
        </w:rPr>
      </w:pPr>
      <w:bookmarkStart w:id="35" w:name="_Toc220275555"/>
      <w:bookmarkStart w:id="36" w:name="_Toc186105501"/>
      <w:bookmarkStart w:id="37" w:name="_Toc26839"/>
      <w:r>
        <w:rPr>
          <w:rFonts w:hint="default" w:ascii="Calibri" w:hAnsi="Calibri" w:eastAsia="楷体_GB2312" w:cs="Calibri"/>
          <w:b/>
          <w:bCs/>
          <w:color w:val="23558C"/>
          <w:sz w:val="28"/>
          <w:szCs w:val="28"/>
        </w:rPr>
        <w:t xml:space="preserve">6. </w:t>
      </w:r>
      <w:bookmarkEnd w:id="35"/>
      <w:bookmarkEnd w:id="36"/>
      <w:r>
        <w:rPr>
          <w:rFonts w:hint="default" w:ascii="Calibri" w:hAnsi="Calibri" w:eastAsia="楷体_GB2312" w:cs="Calibri"/>
          <w:b/>
          <w:bCs/>
          <w:color w:val="23558C"/>
          <w:sz w:val="28"/>
          <w:szCs w:val="28"/>
        </w:rPr>
        <w:t>RISK</w:t>
      </w:r>
      <w:bookmarkEnd w:id="37"/>
    </w:p>
    <w:p w14:paraId="79667D45">
      <w:pPr>
        <w:jc w:val="both"/>
        <w:rPr>
          <w:rFonts w:hint="default" w:ascii="Calibri" w:hAnsi="Calibri" w:eastAsia="楷体_GB2312" w:cs="Calibri"/>
          <w:sz w:val="10"/>
        </w:rPr>
      </w:pPr>
      <w:r>
        <w:rPr>
          <w:rFonts w:hint="default" w:ascii="Calibri" w:hAnsi="Calibri" w:eastAsia="楷体_GB2312" w:cs="Calibri"/>
          <w:sz w:val="22"/>
          <w:szCs w:val="22"/>
        </w:rPr>
        <w:t>Raw material price fluctuations; supply chain disruptions; intensified market competition; changes in customer demand and preferences.</w:t>
      </w:r>
    </w:p>
    <w:p w14:paraId="6BE0BC85">
      <w:pPr>
        <w:pStyle w:val="20"/>
        <w:rPr>
          <w:rFonts w:hint="default" w:ascii="Calibri" w:hAnsi="Calibri" w:eastAsia="楷体_GB2312" w:cs="Calibri"/>
          <w:lang w:eastAsia="zh-CN"/>
        </w:rPr>
      </w:pPr>
    </w:p>
    <w:p w14:paraId="4C3AB946">
      <w:pPr>
        <w:pStyle w:val="20"/>
        <w:rPr>
          <w:rFonts w:hint="default" w:ascii="Calibri" w:hAnsi="Calibri" w:eastAsia="楷体_GB2312" w:cs="Calibri"/>
          <w:lang w:eastAsia="zh-CN"/>
        </w:rPr>
      </w:pPr>
    </w:p>
    <w:p w14:paraId="03E29C4F">
      <w:pPr>
        <w:pStyle w:val="20"/>
        <w:rPr>
          <w:rFonts w:hint="default" w:ascii="Calibri" w:hAnsi="Calibri" w:eastAsia="楷体_GB2312" w:cs="Calibri"/>
          <w:lang w:eastAsia="zh-CN"/>
        </w:rPr>
      </w:pPr>
    </w:p>
    <w:p w14:paraId="27932910">
      <w:pPr>
        <w:pStyle w:val="20"/>
        <w:rPr>
          <w:rFonts w:hint="default" w:ascii="Calibri" w:hAnsi="Calibri" w:eastAsia="楷体_GB2312" w:cs="Calibri"/>
          <w:sz w:val="4"/>
          <w:szCs w:val="4"/>
          <w:lang w:eastAsia="zh-CN"/>
        </w:rPr>
      </w:pPr>
    </w:p>
    <w:p w14:paraId="539B24A7">
      <w:pPr>
        <w:pStyle w:val="20"/>
        <w:rPr>
          <w:rFonts w:hint="default" w:ascii="Calibri" w:hAnsi="Calibri" w:eastAsia="楷体_GB2312" w:cs="Calibri"/>
          <w:lang w:eastAsia="zh-CN"/>
        </w:rPr>
        <w:sectPr>
          <w:headerReference r:id="rId9" w:type="default"/>
          <w:footerReference r:id="rId10" w:type="default"/>
          <w:pgSz w:w="11909" w:h="16834"/>
          <w:pgMar w:top="1599" w:right="851" w:bottom="1680" w:left="3600" w:header="720" w:footer="881" w:gutter="0"/>
          <w:cols w:space="720" w:num="1"/>
          <w:docGrid w:linePitch="360" w:charSpace="0"/>
        </w:sectPr>
      </w:pPr>
    </w:p>
    <w:tbl>
      <w:tblPr>
        <w:tblStyle w:val="13"/>
        <w:tblW w:w="11199" w:type="dxa"/>
        <w:tblCaption w:val="[Table_APPENDIX]"/>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78"/>
        <w:gridCol w:w="21"/>
      </w:tblGrid>
      <w:tr w14:paraId="4836250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11199" w:type="dxa"/>
            <w:gridSpan w:val="2"/>
          </w:tcPr>
          <w:p w14:paraId="42CCDC8F">
            <w:pPr>
              <w:rPr>
                <w:rFonts w:hint="default" w:ascii="Calibri" w:hAnsi="Calibri" w:eastAsia="楷体_GB2312" w:cs="Calibri"/>
                <w:lang w:eastAsia="zh-CN"/>
              </w:rPr>
            </w:pPr>
            <w:r>
              <w:rPr>
                <w:rFonts w:hint="default" w:ascii="Calibri" w:hAnsi="Calibri" w:eastAsia="楷体_GB2312" w:cs="Calibri"/>
                <w:lang w:eastAsia="zh-CN"/>
              </w:rPr>
              <w:t>[Table_APPENDIX]</w:t>
            </w:r>
          </w:p>
        </w:tc>
      </w:tr>
      <w:tr w14:paraId="2077FCB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gridSpan w:val="2"/>
          </w:tcPr>
          <w:tbl>
            <w:tblPr>
              <w:tblStyle w:val="13"/>
              <w:tblW w:w="11113"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1113"/>
            </w:tblGrid>
            <w:tr w14:paraId="71A1F85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1113" w:type="dxa"/>
                  <w:tcBorders>
                    <w:top w:val="nil"/>
                    <w:bottom w:val="single" w:color="C0C0C0" w:sz="4" w:space="0"/>
                  </w:tcBorders>
                </w:tcPr>
                <w:p w14:paraId="759F0C26">
                  <w:pPr>
                    <w:pStyle w:val="26"/>
                    <w:spacing w:after="60"/>
                    <w:rPr>
                      <w:rFonts w:hint="default" w:ascii="Calibri" w:hAnsi="Calibri" w:eastAsia="楷体_GB2312" w:cs="Calibri"/>
                      <w:b/>
                      <w:bCs/>
                      <w:w w:val="70"/>
                      <w:sz w:val="22"/>
                      <w:szCs w:val="22"/>
                    </w:rPr>
                  </w:pPr>
                  <w:r>
                    <w:rPr>
                      <w:rFonts w:hint="default" w:ascii="Calibri" w:hAnsi="Calibri" w:eastAsia="楷体_GB2312" w:cs="Calibri"/>
                      <w:b/>
                      <w:bCs/>
                      <w:color w:val="FFFFFF" w:themeColor="background1"/>
                      <w:w w:val="70"/>
                      <w:sz w:val="22"/>
                      <w:szCs w:val="22"/>
                      <w14:textFill>
                        <w14:solidFill>
                          <w14:schemeClr w14:val="bg1"/>
                        </w14:solidFill>
                      </w14:textFill>
                    </w:rPr>
                    <w:t>[Table_disclaimer]</w:t>
                  </w:r>
                </w:p>
              </w:tc>
            </w:tr>
            <w:tr w14:paraId="776486E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24" w:space="0"/>
                  </w:tcBorders>
                </w:tcPr>
                <w:p w14:paraId="70583AC4">
                  <w:pPr>
                    <w:pStyle w:val="26"/>
                    <w:spacing w:after="60"/>
                    <w:rPr>
                      <w:rFonts w:hint="default" w:ascii="Calibri" w:hAnsi="Calibri" w:eastAsia="楷体_GB2312" w:cs="Calibri"/>
                      <w:b/>
                      <w:bCs/>
                      <w:w w:val="70"/>
                      <w:sz w:val="22"/>
                      <w:szCs w:val="22"/>
                      <w:lang w:eastAsia="zh-CN"/>
                    </w:rPr>
                  </w:pPr>
                  <w:r>
                    <w:rPr>
                      <w:rFonts w:hint="default" w:ascii="Calibri" w:hAnsi="Calibri" w:eastAsia="楷体_GB2312" w:cs="Calibri"/>
                      <w:b/>
                      <w:bCs/>
                      <w:w w:val="70"/>
                      <w:sz w:val="22"/>
                      <w:szCs w:val="22"/>
                    </w:rPr>
                    <w:t>APPENDIX</w:t>
                  </w:r>
                </w:p>
                <w:p w14:paraId="03D354DD">
                  <w:pPr>
                    <w:pStyle w:val="26"/>
                    <w:rPr>
                      <w:rFonts w:hint="default" w:ascii="Calibri" w:hAnsi="Calibri" w:eastAsia="楷体_GB2312" w:cs="Calibri"/>
                      <w:b/>
                      <w:bCs/>
                      <w:w w:val="70"/>
                      <w:sz w:val="20"/>
                      <w:szCs w:val="20"/>
                    </w:rPr>
                  </w:pPr>
                  <w:r>
                    <w:rPr>
                      <w:rFonts w:hint="default" w:ascii="Calibri" w:hAnsi="Calibri" w:eastAsia="楷体_GB2312" w:cs="Calibri"/>
                      <w:b/>
                      <w:bCs/>
                      <w:w w:val="70"/>
                      <w:sz w:val="20"/>
                      <w:szCs w:val="20"/>
                    </w:rPr>
                    <w:t>IMPORTANT DISCLOSURES</w:t>
                  </w:r>
                </w:p>
                <w:p w14:paraId="5D6B45E0">
                  <w:pPr>
                    <w:pStyle w:val="26"/>
                    <w:spacing w:after="60"/>
                    <w:rPr>
                      <w:rFonts w:hint="default" w:ascii="Calibri" w:hAnsi="Calibri" w:eastAsia="楷体_GB2312" w:cs="Calibri"/>
                      <w:lang w:eastAsia="zh-CN"/>
                    </w:rPr>
                  </w:pPr>
                  <w:r>
                    <w:rPr>
                      <w:rFonts w:hint="default" w:ascii="Calibri" w:hAnsi="Calibri" w:eastAsia="楷体_GB2312" w:cs="Calibri"/>
                      <w:w w:val="70"/>
                      <w:sz w:val="20"/>
                      <w:szCs w:val="20"/>
                    </w:rPr>
                    <w:t xml:space="preserve">This research report is distributed by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w:t>
                  </w:r>
                  <w:r>
                    <w:rPr>
                      <w:rFonts w:hint="default" w:ascii="Calibri" w:hAnsi="Calibri" w:eastAsia="楷体_GB2312" w:cs="Calibri"/>
                      <w:w w:val="70"/>
                      <w:sz w:val="20"/>
                      <w:szCs w:val="20"/>
                      <w:lang w:eastAsia="zh-CN"/>
                    </w:rPr>
                    <w:t xml:space="preserve"> (HK) Financial Holdings Limited (referred as HuaFu International below)</w:t>
                  </w:r>
                  <w:r>
                    <w:rPr>
                      <w:rFonts w:hint="default" w:ascii="Calibri" w:hAnsi="Calibri" w:eastAsia="楷体_GB2312" w:cs="Calibri"/>
                      <w:w w:val="70"/>
                      <w:sz w:val="20"/>
                      <w:szCs w:val="20"/>
                    </w:rPr>
                    <w:t xml:space="preserve">, </w:t>
                  </w:r>
                  <w:r>
                    <w:rPr>
                      <w:rFonts w:hint="default" w:ascii="Calibri" w:hAnsi="Calibri" w:eastAsia="楷体_GB2312" w:cs="Calibri"/>
                      <w:w w:val="70"/>
                      <w:sz w:val="20"/>
                      <w:szCs w:val="20"/>
                      <w:lang w:eastAsia="zh-CN"/>
                    </w:rPr>
                    <w:t>which</w:t>
                  </w:r>
                  <w:r>
                    <w:rPr>
                      <w:rFonts w:hint="default" w:ascii="Calibri" w:hAnsi="Calibri" w:eastAsia="楷体_GB2312" w:cs="Calibri"/>
                      <w:w w:val="70"/>
                      <w:sz w:val="20"/>
                      <w:szCs w:val="20"/>
                    </w:rPr>
                    <w:t xml:space="preserve"> </w:t>
                  </w:r>
                  <w:r>
                    <w:rPr>
                      <w:rFonts w:hint="default" w:ascii="Calibri" w:hAnsi="Calibri" w:eastAsia="楷体_GB2312" w:cs="Calibri"/>
                      <w:w w:val="70"/>
                      <w:sz w:val="20"/>
                      <w:szCs w:val="20"/>
                      <w:lang w:eastAsia="zh-CN"/>
                    </w:rPr>
                    <w:t xml:space="preserve">is </w:t>
                  </w:r>
                  <w:r>
                    <w:rPr>
                      <w:rFonts w:hint="default" w:ascii="Calibri" w:hAnsi="Calibri" w:eastAsia="楷体_GB2312" w:cs="Calibri"/>
                      <w:w w:val="70"/>
                      <w:sz w:val="20"/>
                      <w:szCs w:val="20"/>
                    </w:rPr>
                    <w:t>authorized to engage in securities activities in its respective jurisdiction.</w:t>
                  </w:r>
                </w:p>
              </w:tc>
            </w:tr>
            <w:tr w14:paraId="1CCCD58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24" w:space="0"/>
                  </w:tcBorders>
                </w:tcPr>
                <w:p w14:paraId="66992928">
                  <w:pPr>
                    <w:pStyle w:val="26"/>
                    <w:spacing w:after="48" w:afterLines="20"/>
                    <w:rPr>
                      <w:rFonts w:hint="default" w:ascii="Calibri" w:hAnsi="Calibri" w:eastAsia="楷体_GB2312" w:cs="Calibri"/>
                      <w:w w:val="70"/>
                      <w:sz w:val="20"/>
                      <w:szCs w:val="20"/>
                    </w:rPr>
                  </w:pPr>
                  <w:r>
                    <w:rPr>
                      <w:rFonts w:hint="default" w:ascii="Calibri" w:hAnsi="Calibri" w:eastAsia="楷体_GB2312" w:cs="Calibri"/>
                      <w:b/>
                      <w:w w:val="70"/>
                      <w:sz w:val="20"/>
                      <w:szCs w:val="20"/>
                    </w:rPr>
                    <w:t>Analyst Certification</w:t>
                  </w:r>
                  <w:r>
                    <w:rPr>
                      <w:rFonts w:hint="default" w:ascii="Calibri" w:hAnsi="Calibri" w:eastAsia="楷体_GB2312" w:cs="Calibri"/>
                      <w:w w:val="70"/>
                      <w:sz w:val="20"/>
                      <w:szCs w:val="20"/>
                    </w:rPr>
                    <w:t>:</w:t>
                  </w:r>
                </w:p>
              </w:tc>
            </w:tr>
            <w:tr w14:paraId="73D6904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bottom w:val="single" w:color="C0C0C0" w:sz="24" w:space="0"/>
                  </w:tcBorders>
                </w:tcPr>
                <w:p w14:paraId="79274D8A">
                  <w:pPr>
                    <w:jc w:val="both"/>
                    <w:rPr>
                      <w:rFonts w:hint="default" w:ascii="Calibri" w:hAnsi="Calibri" w:eastAsia="楷体_GB2312" w:cs="Calibri"/>
                      <w:w w:val="70"/>
                      <w:sz w:val="20"/>
                      <w:szCs w:val="20"/>
                      <w:lang w:eastAsia="zh-CN"/>
                    </w:rPr>
                  </w:pPr>
                  <w:r>
                    <w:rPr>
                      <w:rFonts w:ascii="Calibri" w:eastAsia="楷体_GB2312"/>
                      <w:b w:val="0"/>
                      <w:i w:val="0"/>
                      <w:color w:val="000000"/>
                      <w:w w:val="70"/>
                      <w:sz w:val="20"/>
                    </w:rPr>
                    <w:t>I, Bin Yang, certify that (i)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14:paraId="1D5DE70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24" w:space="0"/>
                    <w:bottom w:val="nil"/>
                  </w:tcBorders>
                </w:tcPr>
                <w:p w14:paraId="096907D3">
                  <w:pPr>
                    <w:pStyle w:val="26"/>
                    <w:spacing w:after="48" w:afterLines="20"/>
                    <w:rPr>
                      <w:rFonts w:hint="default" w:ascii="Calibri" w:hAnsi="Calibri" w:eastAsia="楷体_GB2312" w:cs="Calibri"/>
                      <w:b/>
                      <w:bCs/>
                      <w:w w:val="70"/>
                      <w:sz w:val="20"/>
                      <w:szCs w:val="20"/>
                    </w:rPr>
                  </w:pPr>
                  <w:r>
                    <w:rPr>
                      <w:rFonts w:hint="default" w:ascii="Calibri" w:hAnsi="Calibri" w:eastAsia="楷体_GB2312" w:cs="Calibri"/>
                      <w:b/>
                      <w:bCs/>
                      <w:w w:val="70"/>
                      <w:sz w:val="20"/>
                      <w:szCs w:val="20"/>
                    </w:rPr>
                    <w:t>Conflict of Interest Disclosures</w:t>
                  </w:r>
                </w:p>
              </w:tc>
            </w:tr>
            <w:tr w14:paraId="3F50B00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nil"/>
                    <w:bottom w:val="single" w:color="C0C0C0" w:sz="4" w:space="0"/>
                  </w:tcBorders>
                </w:tcPr>
                <w:p w14:paraId="2DB6225A">
                  <w:pPr>
                    <w:pStyle w:val="26"/>
                    <w:rPr>
                      <w:rFonts w:hint="default" w:ascii="Calibri" w:hAnsi="Calibri" w:eastAsia="楷体_GB2312" w:cs="Calibri"/>
                      <w:b/>
                      <w:bCs/>
                      <w:w w:val="70"/>
                      <w:sz w:val="20"/>
                      <w:szCs w:val="20"/>
                      <w:lang w:eastAsia="zh-CN"/>
                    </w:rPr>
                  </w:pP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hint="default" w:ascii="Calibri" w:hAnsi="Calibri" w:eastAsia="楷体_GB2312" w:cs="Calibri"/>
                      <w:color w:val="000000" w:themeColor="text1"/>
                      <w:w w:val="70"/>
                      <w:sz w:val="20"/>
                      <w:szCs w:val="20"/>
                      <w14:textFill>
                        <w14:solidFill>
                          <w14:schemeClr w14:val="tx1"/>
                        </w14:solidFill>
                      </w14:textFill>
                    </w:rPr>
                    <w:t xml:space="preserve">please send an email to </w:t>
                  </w:r>
                  <w:r>
                    <w:rPr>
                      <w:rFonts w:hint="default" w:ascii="Calibri" w:hAnsi="Calibri" w:eastAsia="楷体_GB2312" w:cs="Calibri"/>
                      <w:color w:val="000000" w:themeColor="text1"/>
                      <w:w w:val="70"/>
                      <w:sz w:val="20"/>
                      <w:szCs w:val="20"/>
                      <w:lang w:eastAsia="zh-CN"/>
                      <w14:textFill>
                        <w14:solidFill>
                          <w14:schemeClr w14:val="tx1"/>
                        </w14:solidFill>
                      </w14:textFill>
                    </w:rPr>
                    <w:t>lcd</w:t>
                  </w:r>
                  <w:r>
                    <w:rPr>
                      <w:rFonts w:hint="default" w:ascii="Calibri" w:hAnsi="Calibri" w:eastAsia="楷体_GB2312" w:cs="Calibri"/>
                      <w:color w:val="000000" w:themeColor="text1"/>
                      <w:w w:val="70"/>
                      <w:sz w:val="20"/>
                      <w:szCs w:val="20"/>
                      <w14:textFill>
                        <w14:solidFill>
                          <w14:schemeClr w14:val="tx1"/>
                        </w14:solidFill>
                      </w14:textFill>
                    </w:rPr>
                    <w:t>@</w:t>
                  </w:r>
                  <w:r>
                    <w:rPr>
                      <w:rFonts w:hint="default" w:ascii="Calibri" w:hAnsi="Calibri" w:eastAsia="楷体_GB2312" w:cs="Calibri"/>
                      <w:color w:val="000000" w:themeColor="text1"/>
                      <w:w w:val="70"/>
                      <w:sz w:val="20"/>
                      <w:szCs w:val="20"/>
                      <w:lang w:eastAsia="zh-CN"/>
                      <w14:textFill>
                        <w14:solidFill>
                          <w14:schemeClr w14:val="tx1"/>
                        </w14:solidFill>
                      </w14:textFill>
                    </w:rPr>
                    <w:t>hfisec</w:t>
                  </w:r>
                  <w:r>
                    <w:rPr>
                      <w:rFonts w:hint="default" w:ascii="Calibri" w:hAnsi="Calibri" w:eastAsia="楷体_GB2312" w:cs="Calibri"/>
                      <w:color w:val="000000" w:themeColor="text1"/>
                      <w:w w:val="70"/>
                      <w:sz w:val="20"/>
                      <w:szCs w:val="20"/>
                      <w14:textFill>
                        <w14:solidFill>
                          <w14:schemeClr w14:val="tx1"/>
                        </w14:solidFill>
                      </w14:textFill>
                    </w:rPr>
                    <w:t>.com</w:t>
                  </w:r>
                  <w:r>
                    <w:rPr>
                      <w:rFonts w:hint="default" w:ascii="Calibri" w:hAnsi="Calibri" w:eastAsia="楷体_GB2312" w:cs="Calibri"/>
                      <w:color w:val="000000" w:themeColor="text1"/>
                      <w:w w:val="70"/>
                      <w:sz w:val="20"/>
                      <w:szCs w:val="20"/>
                      <w:lang w:eastAsia="zh-CN"/>
                      <w14:textFill>
                        <w14:solidFill>
                          <w14:schemeClr w14:val="tx1"/>
                        </w14:solidFill>
                      </w14:textFill>
                    </w:rPr>
                    <w:t>.hk</w:t>
                  </w:r>
                  <w:r>
                    <w:rPr>
                      <w:rFonts w:hint="default" w:ascii="Calibri" w:hAnsi="Calibri" w:eastAsia="楷体_GB2312" w:cs="Calibri"/>
                      <w:color w:val="000000" w:themeColor="text1"/>
                      <w:w w:val="70"/>
                      <w:sz w:val="20"/>
                      <w:szCs w:val="20"/>
                      <w14:textFill>
                        <w14:solidFill>
                          <w14:schemeClr w14:val="tx1"/>
                        </w14:solidFill>
                      </w14:textFill>
                    </w:rPr>
                    <w:t xml:space="preserve"> if </w:t>
                  </w:r>
                  <w:r>
                    <w:rPr>
                      <w:rFonts w:hint="default" w:ascii="Calibri" w:hAnsi="Calibri" w:eastAsia="楷体_GB2312" w:cs="Calibri"/>
                      <w:color w:val="000000" w:themeColor="text1"/>
                      <w:w w:val="70"/>
                      <w:sz w:val="20"/>
                      <w:szCs w:val="20"/>
                      <w:lang w:eastAsia="zh-CN"/>
                      <w14:textFill>
                        <w14:solidFill>
                          <w14:schemeClr w14:val="tx1"/>
                        </w14:solidFill>
                      </w14:textFill>
                    </w:rPr>
                    <w:t>the</w:t>
                  </w:r>
                  <w:r>
                    <w:rPr>
                      <w:rFonts w:hint="default" w:ascii="Calibri" w:hAnsi="Calibri" w:eastAsia="楷体_GB2312" w:cs="Calibri"/>
                      <w:color w:val="000000" w:themeColor="text1"/>
                      <w:w w:val="70"/>
                      <w:sz w:val="20"/>
                      <w:szCs w:val="20"/>
                      <w14:textFill>
                        <w14:solidFill>
                          <w14:schemeClr w14:val="tx1"/>
                        </w14:solidFill>
                      </w14:textFill>
                    </w:rPr>
                    <w:t xml:space="preserve"> information </w:t>
                  </w:r>
                  <w:r>
                    <w:rPr>
                      <w:rFonts w:hint="default" w:ascii="Calibri" w:hAnsi="Calibri"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hint="default" w:ascii="Calibri" w:hAnsi="Calibri" w:eastAsia="楷体_GB2312" w:cs="Calibri"/>
                      <w:color w:val="000000" w:themeColor="text1"/>
                      <w:w w:val="70"/>
                      <w:sz w:val="20"/>
                      <w:szCs w:val="20"/>
                      <w14:textFill>
                        <w14:solidFill>
                          <w14:schemeClr w14:val="tx1"/>
                        </w14:solidFill>
                      </w14:textFill>
                    </w:rPr>
                    <w:t>is needed).</w:t>
                  </w:r>
                </w:p>
              </w:tc>
            </w:tr>
            <w:tr w14:paraId="7DCE683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157D2A59">
                  <w:pPr>
                    <w:pStyle w:val="26"/>
                    <w:rPr>
                      <w:rFonts w:hint="default" w:ascii="Calibri" w:hAnsi="Calibri" w:eastAsia="楷体_GB2312" w:cs="Calibri"/>
                      <w:w w:val="70"/>
                      <w:sz w:val="20"/>
                      <w:szCs w:val="20"/>
                    </w:rPr>
                  </w:pPr>
                </w:p>
              </w:tc>
            </w:tr>
            <w:tr w14:paraId="32FD246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3595" w:hRule="atLeast"/>
              </w:trPr>
              <w:tc>
                <w:tcPr>
                  <w:tcW w:w="11113" w:type="dxa"/>
                  <w:tcBorders>
                    <w:top w:val="single" w:color="C0C0C0" w:sz="4" w:space="0"/>
                  </w:tcBorders>
                </w:tcPr>
                <w:p w14:paraId="5DB9520B">
                  <w:pPr>
                    <w:pStyle w:val="26"/>
                    <w:rPr>
                      <w:rFonts w:hint="default" w:ascii="Calibri" w:hAnsi="Calibri" w:eastAsia="楷体_GB2312" w:cs="Calibri"/>
                      <w:w w:val="79"/>
                      <w:sz w:val="20"/>
                      <w:szCs w:val="20"/>
                    </w:rPr>
                  </w:pPr>
                  <w:r>
                    <w:rPr>
                      <w:rFonts w:hint="default" w:ascii="Calibri" w:hAnsi="Calibri" w:eastAsia="楷体_GB2312" w:cs="Calibri"/>
                      <w:b/>
                      <w:w w:val="79"/>
                      <w:sz w:val="20"/>
                      <w:szCs w:val="20"/>
                    </w:rPr>
                    <w:t xml:space="preserve">Ratings Definitions (from 1 Jul 2020): </w:t>
                  </w:r>
                </w:p>
                <w:p w14:paraId="298D6603">
                  <w:pPr>
                    <w:pStyle w:val="26"/>
                    <w:rPr>
                      <w:rFonts w:hint="default" w:ascii="Calibri" w:hAnsi="Calibri" w:eastAsia="楷体_GB2312" w:cs="Calibri"/>
                      <w:w w:val="79"/>
                      <w:sz w:val="20"/>
                      <w:szCs w:val="20"/>
                    </w:rPr>
                  </w:pPr>
                  <w:r>
                    <w:rPr>
                      <w:rFonts w:hint="default" w:ascii="Calibri" w:hAnsi="Calibri" w:eastAsia="楷体_GB2312" w:cs="Calibri"/>
                      <w:w w:val="79"/>
                      <w:sz w:val="20"/>
                      <w:szCs w:val="20"/>
                      <w:lang w:eastAsia="zh-CN"/>
                    </w:rPr>
                    <w:t>HuaFu</w:t>
                  </w:r>
                  <w:r>
                    <w:rPr>
                      <w:rFonts w:hint="default" w:ascii="Calibri" w:hAnsi="Calibri" w:eastAsia="楷体_GB2312" w:cs="Calibri"/>
                      <w:w w:val="79"/>
                      <w:sz w:val="20"/>
                      <w:szCs w:val="20"/>
                    </w:rPr>
                    <w:t xml:space="preserve"> International uses a relative rating system using </w:t>
                  </w:r>
                  <w:r>
                    <w:rPr>
                      <w:rFonts w:hint="default" w:ascii="Calibri" w:hAnsi="Calibri" w:eastAsia="楷体_GB2312" w:cs="Calibri"/>
                      <w:w w:val="79"/>
                      <w:sz w:val="20"/>
                      <w:szCs w:val="20"/>
                      <w:lang w:eastAsia="zh-HK"/>
                    </w:rPr>
                    <w:t>Outperform</w:t>
                  </w:r>
                  <w:r>
                    <w:rPr>
                      <w:rFonts w:hint="default" w:ascii="Calibri" w:hAnsi="Calibri" w:eastAsia="楷体_GB2312" w:cs="Calibri"/>
                      <w:w w:val="79"/>
                      <w:sz w:val="20"/>
                      <w:szCs w:val="20"/>
                    </w:rPr>
                    <w:t>, Neutral</w:t>
                  </w:r>
                  <w:r>
                    <w:rPr>
                      <w:rFonts w:hint="default" w:ascii="Calibri" w:hAnsi="Calibri" w:eastAsia="楷体_GB2312" w:cs="Calibri"/>
                      <w:w w:val="79"/>
                      <w:sz w:val="20"/>
                      <w:szCs w:val="20"/>
                      <w:lang w:eastAsia="zh-HK"/>
                    </w:rPr>
                    <w:t>,</w:t>
                  </w:r>
                  <w:r>
                    <w:rPr>
                      <w:rFonts w:hint="default" w:ascii="Calibri" w:hAnsi="Calibri" w:eastAsia="楷体_GB2312" w:cs="Calibri"/>
                      <w:w w:val="79"/>
                      <w:sz w:val="20"/>
                      <w:szCs w:val="20"/>
                    </w:rPr>
                    <w:t xml:space="preserve"> or </w:t>
                  </w:r>
                  <w:r>
                    <w:rPr>
                      <w:rFonts w:hint="default" w:ascii="Calibri" w:hAnsi="Calibri" w:eastAsia="楷体_GB2312" w:cs="Calibri"/>
                      <w:w w:val="79"/>
                      <w:sz w:val="20"/>
                      <w:szCs w:val="20"/>
                      <w:lang w:eastAsia="zh-HK"/>
                    </w:rPr>
                    <w:t xml:space="preserve">Underperform </w:t>
                  </w:r>
                  <w:r>
                    <w:rPr>
                      <w:rFonts w:hint="default" w:ascii="Calibri" w:hAnsi="Calibri" w:eastAsia="楷体_GB2312" w:cs="Calibri"/>
                      <w:w w:val="79"/>
                      <w:sz w:val="20"/>
                      <w:szCs w:val="20"/>
                    </w:rPr>
                    <w:t xml:space="preserve">for recommending the stocks we cover to investors. Investors should carefully read the definitions of all ratings used in </w:t>
                  </w:r>
                  <w:r>
                    <w:rPr>
                      <w:rFonts w:hint="default" w:ascii="Calibri" w:hAnsi="Calibri" w:eastAsia="楷体_GB2312" w:cs="Calibri"/>
                      <w:w w:val="79"/>
                      <w:sz w:val="20"/>
                      <w:szCs w:val="20"/>
                      <w:lang w:eastAsia="zh-CN"/>
                    </w:rPr>
                    <w:t>HuaFu</w:t>
                  </w:r>
                  <w:r>
                    <w:rPr>
                      <w:rFonts w:hint="default" w:ascii="Calibri" w:hAnsi="Calibri" w:eastAsia="楷体_GB2312" w:cs="Calibri"/>
                      <w:w w:val="79"/>
                      <w:sz w:val="20"/>
                      <w:szCs w:val="20"/>
                    </w:rPr>
                    <w:t xml:space="preserve"> International Research. In addition, since </w:t>
                  </w:r>
                  <w:r>
                    <w:rPr>
                      <w:rFonts w:hint="default" w:ascii="Calibri" w:hAnsi="Calibri" w:eastAsia="楷体_GB2312" w:cs="Calibri"/>
                      <w:w w:val="79"/>
                      <w:sz w:val="20"/>
                      <w:szCs w:val="20"/>
                      <w:lang w:eastAsia="zh-CN"/>
                    </w:rPr>
                    <w:t>HuaFu</w:t>
                  </w:r>
                  <w:r>
                    <w:rPr>
                      <w:rFonts w:hint="default" w:ascii="Calibri" w:hAnsi="Calibri" w:eastAsia="楷体_GB2312" w:cs="Calibri"/>
                      <w:w w:val="79"/>
                      <w:sz w:val="20"/>
                      <w:szCs w:val="20"/>
                    </w:rPr>
                    <w:t xml:space="preserve"> International Research contains more complete information concerning the analyst's views, investors should carefully read </w:t>
                  </w:r>
                  <w:r>
                    <w:rPr>
                      <w:rFonts w:hint="default" w:ascii="Calibri" w:hAnsi="Calibri" w:eastAsia="楷体_GB2312" w:cs="Calibri"/>
                      <w:w w:val="79"/>
                      <w:sz w:val="20"/>
                      <w:szCs w:val="20"/>
                      <w:lang w:eastAsia="zh-CN"/>
                    </w:rPr>
                    <w:t xml:space="preserve">HuaFu </w:t>
                  </w:r>
                  <w:r>
                    <w:rPr>
                      <w:rFonts w:hint="default" w:ascii="Calibri" w:hAnsi="Calibri"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14:paraId="308F37CA">
                  <w:pPr>
                    <w:pStyle w:val="26"/>
                    <w:rPr>
                      <w:rFonts w:hint="default" w:ascii="Calibri" w:hAnsi="Calibri" w:eastAsia="楷体_GB2312" w:cs="Calibri"/>
                      <w:b/>
                      <w:w w:val="79"/>
                      <w:sz w:val="20"/>
                      <w:szCs w:val="20"/>
                    </w:rPr>
                  </w:pPr>
                  <w:r>
                    <w:rPr>
                      <w:rFonts w:hint="default" w:ascii="Calibri" w:hAnsi="Calibri" w:eastAsia="楷体_GB2312" w:cs="Calibri"/>
                      <w:b/>
                      <w:w w:val="79"/>
                      <w:sz w:val="20"/>
                      <w:szCs w:val="20"/>
                    </w:rPr>
                    <w:t>Analyst Stock Ratings</w:t>
                  </w:r>
                </w:p>
                <w:p w14:paraId="015C0ACA">
                  <w:pPr>
                    <w:pStyle w:val="26"/>
                    <w:rPr>
                      <w:rFonts w:hint="default" w:ascii="Calibri" w:hAnsi="Calibri" w:eastAsia="楷体_GB2312" w:cs="Calibri"/>
                      <w:w w:val="79"/>
                      <w:sz w:val="20"/>
                      <w:szCs w:val="20"/>
                    </w:rPr>
                  </w:pPr>
                  <w:r>
                    <w:rPr>
                      <w:rFonts w:hint="default" w:ascii="Calibri" w:hAnsi="Calibri" w:eastAsia="楷体_GB2312" w:cs="Calibri"/>
                      <w:b/>
                      <w:w w:val="79"/>
                      <w:sz w:val="20"/>
                      <w:szCs w:val="20"/>
                      <w:lang w:eastAsia="zh-HK"/>
                    </w:rPr>
                    <w:t>Outperform</w:t>
                  </w:r>
                  <w:r>
                    <w:rPr>
                      <w:rFonts w:hint="default" w:ascii="Calibri" w:hAnsi="Calibri" w:eastAsia="楷体_GB2312" w:cs="Calibri"/>
                      <w:b/>
                      <w:w w:val="79"/>
                      <w:sz w:val="20"/>
                      <w:szCs w:val="20"/>
                    </w:rPr>
                    <w:t>:</w:t>
                  </w:r>
                  <w:r>
                    <w:rPr>
                      <w:rFonts w:hint="default" w:ascii="Calibri" w:hAnsi="Calibri" w:eastAsia="楷体_GB2312" w:cs="Calibri"/>
                      <w:w w:val="79"/>
                      <w:sz w:val="20"/>
                      <w:szCs w:val="20"/>
                    </w:rPr>
                    <w:t xml:space="preserve"> The stock’s total return over the next 12-18 months is expected to exceed the return of its relevant broad market benchmark</w:t>
                  </w:r>
                  <w:r>
                    <w:rPr>
                      <w:rFonts w:hint="default" w:ascii="Calibri" w:hAnsi="Calibri" w:eastAsia="楷体_GB2312" w:cs="Calibri"/>
                      <w:w w:val="79"/>
                      <w:sz w:val="20"/>
                      <w:szCs w:val="20"/>
                      <w:lang w:eastAsia="zh-CN"/>
                    </w:rPr>
                    <w:t xml:space="preserve"> by over 10%</w:t>
                  </w:r>
                  <w:r>
                    <w:rPr>
                      <w:rFonts w:hint="default" w:ascii="Calibri" w:hAnsi="Calibri" w:eastAsia="楷体_GB2312" w:cs="Calibri"/>
                      <w:w w:val="79"/>
                      <w:sz w:val="20"/>
                      <w:szCs w:val="20"/>
                    </w:rPr>
                    <w:t xml:space="preserve">, as indicated below. </w:t>
                  </w:r>
                </w:p>
                <w:p w14:paraId="4316A905">
                  <w:pPr>
                    <w:pStyle w:val="26"/>
                    <w:rPr>
                      <w:rFonts w:hint="default" w:ascii="Calibri" w:hAnsi="Calibri" w:eastAsia="楷体_GB2312" w:cs="Calibri"/>
                      <w:w w:val="79"/>
                      <w:sz w:val="20"/>
                      <w:szCs w:val="20"/>
                    </w:rPr>
                  </w:pPr>
                  <w:r>
                    <w:rPr>
                      <w:rFonts w:hint="default" w:ascii="Calibri" w:hAnsi="Calibri" w:eastAsia="楷体_GB2312" w:cs="Calibri"/>
                      <w:b/>
                      <w:w w:val="79"/>
                      <w:sz w:val="20"/>
                      <w:szCs w:val="20"/>
                    </w:rPr>
                    <w:t>Neutral:</w:t>
                  </w:r>
                  <w:r>
                    <w:rPr>
                      <w:rFonts w:hint="default" w:ascii="Calibri" w:hAnsi="Calibri" w:eastAsia="楷体_GB2312" w:cs="Calibri"/>
                      <w:w w:val="79"/>
                      <w:sz w:val="20"/>
                      <w:szCs w:val="20"/>
                    </w:rPr>
                    <w:t xml:space="preserve"> The stock’s total return over the next 12-18 months is expected to be in line with the return of its relevant broad market benchmark, as indicated below. </w:t>
                  </w:r>
                  <w:r>
                    <w:rPr>
                      <w:rFonts w:hint="default" w:ascii="Calibri" w:hAnsi="Calibri" w:eastAsia="楷体_GB2312" w:cs="Calibri"/>
                      <w:b/>
                      <w:w w:val="79"/>
                      <w:sz w:val="20"/>
                      <w:szCs w:val="20"/>
                      <w:lang w:eastAsia="zh-HK"/>
                    </w:rPr>
                    <w:t>Underperform</w:t>
                  </w:r>
                  <w:r>
                    <w:rPr>
                      <w:rFonts w:hint="default" w:ascii="Calibri" w:hAnsi="Calibri" w:eastAsia="楷体_GB2312" w:cs="Calibri"/>
                      <w:b/>
                      <w:w w:val="79"/>
                      <w:sz w:val="20"/>
                      <w:szCs w:val="20"/>
                    </w:rPr>
                    <w:t>:</w:t>
                  </w:r>
                  <w:r>
                    <w:rPr>
                      <w:rFonts w:hint="default" w:ascii="Calibri" w:hAnsi="Calibri" w:eastAsia="楷体_GB2312" w:cs="Calibri"/>
                      <w:w w:val="79"/>
                      <w:sz w:val="20"/>
                      <w:szCs w:val="20"/>
                    </w:rPr>
                    <w:t xml:space="preserve"> The stock’s total return over the next 12-18 months is expected to be below the return of its relevant broad market benchmark</w:t>
                  </w:r>
                  <w:r>
                    <w:rPr>
                      <w:rFonts w:hint="default" w:ascii="Calibri" w:hAnsi="Calibri" w:eastAsia="楷体_GB2312" w:cs="Calibri"/>
                      <w:w w:val="79"/>
                      <w:sz w:val="20"/>
                      <w:szCs w:val="20"/>
                      <w:lang w:eastAsia="zh-CN"/>
                    </w:rPr>
                    <w:t xml:space="preserve"> by over 10%</w:t>
                  </w:r>
                  <w:r>
                    <w:rPr>
                      <w:rFonts w:hint="default" w:ascii="Calibri" w:hAnsi="Calibri" w:eastAsia="楷体_GB2312" w:cs="Calibri"/>
                      <w:w w:val="79"/>
                      <w:sz w:val="20"/>
                      <w:szCs w:val="20"/>
                    </w:rPr>
                    <w:t>, as indicated below.</w:t>
                  </w:r>
                </w:p>
                <w:p w14:paraId="575F0327">
                  <w:pPr>
                    <w:pStyle w:val="26"/>
                    <w:rPr>
                      <w:rFonts w:hint="default" w:ascii="Calibri" w:hAnsi="Calibri" w:eastAsia="楷体_GB2312" w:cs="Calibri"/>
                      <w:b/>
                      <w:w w:val="79"/>
                      <w:sz w:val="20"/>
                      <w:szCs w:val="20"/>
                    </w:rPr>
                  </w:pPr>
                  <w:r>
                    <w:rPr>
                      <w:rFonts w:hint="default" w:ascii="Calibri" w:hAnsi="Calibri" w:eastAsia="楷体_GB2312" w:cs="Calibri"/>
                      <w:b/>
                      <w:w w:val="79"/>
                      <w:sz w:val="20"/>
                      <w:szCs w:val="20"/>
                    </w:rPr>
                    <w:t>Benchmarks for each stock’s listed region are as follows: Japan – TOPIX, Korea – KOSPI, Taiwan – TAIEX, India – Nifty100, US – SP500; for all other China-concept stocks – MSCI China.</w:t>
                  </w:r>
                </w:p>
                <w:p w14:paraId="7308C868">
                  <w:pPr>
                    <w:pStyle w:val="26"/>
                    <w:rPr>
                      <w:rFonts w:hint="default" w:ascii="Calibri" w:hAnsi="Calibri" w:eastAsia="楷体_GB2312" w:cs="Calibri"/>
                      <w:w w:val="70"/>
                      <w:sz w:val="20"/>
                      <w:szCs w:val="20"/>
                      <w:lang w:eastAsia="zh-CN"/>
                    </w:rPr>
                  </w:pPr>
                </w:p>
              </w:tc>
            </w:tr>
            <w:tr w14:paraId="0C26502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1CABF6C3">
                  <w:pPr>
                    <w:pStyle w:val="26"/>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lang w:eastAsia="zh-CN"/>
                    </w:rPr>
                    <w:t>HuaFu</w:t>
                  </w:r>
                  <w:r>
                    <w:rPr>
                      <w:rFonts w:hint="default" w:ascii="Calibri" w:hAnsi="Calibri" w:eastAsia="楷体_GB2312" w:cs="Calibri"/>
                      <w:b/>
                      <w:w w:val="70"/>
                      <w:sz w:val="20"/>
                      <w:szCs w:val="20"/>
                    </w:rPr>
                    <w:t xml:space="preserve"> International Non-Rated Research</w:t>
                  </w:r>
                  <w:r>
                    <w:rPr>
                      <w:rFonts w:hint="default" w:ascii="Calibri" w:hAnsi="Calibri" w:eastAsia="楷体_GB2312" w:cs="Calibri"/>
                      <w:b/>
                      <w:bCs/>
                      <w:w w:val="70"/>
                      <w:sz w:val="20"/>
                      <w:szCs w:val="20"/>
                    </w:rPr>
                    <w:t>:</w:t>
                  </w:r>
                  <w:r>
                    <w:rPr>
                      <w:rFonts w:hint="default" w:ascii="Calibri" w:hAnsi="Calibri" w:eastAsia="楷体_GB2312" w:cs="Calibri"/>
                      <w:w w:val="70"/>
                      <w:sz w:val="20"/>
                      <w:szCs w:val="20"/>
                    </w:rPr>
                    <w:t xml:space="preserve">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14:paraId="0AFF670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45A5F6F1">
                  <w:pPr>
                    <w:pStyle w:val="26"/>
                    <w:rPr>
                      <w:rFonts w:hint="default" w:ascii="Calibri" w:hAnsi="Calibri" w:eastAsia="楷体_GB2312" w:cs="Calibri"/>
                      <w:w w:val="70"/>
                      <w:sz w:val="20"/>
                      <w:szCs w:val="20"/>
                    </w:rPr>
                  </w:pPr>
                  <w:r>
                    <w:rPr>
                      <w:rFonts w:hint="default" w:ascii="Calibri" w:hAnsi="Calibri" w:eastAsia="楷体_GB2312" w:cs="Calibri"/>
                      <w:b/>
                      <w:w w:val="70"/>
                      <w:sz w:val="20"/>
                      <w:szCs w:val="20"/>
                      <w:lang w:eastAsia="zh-CN"/>
                    </w:rPr>
                    <w:t>HuaFu</w:t>
                  </w:r>
                  <w:r>
                    <w:rPr>
                      <w:rFonts w:hint="default" w:ascii="Calibri" w:hAnsi="Calibri" w:eastAsia="楷体_GB2312" w:cs="Calibri"/>
                      <w:b/>
                      <w:w w:val="70"/>
                      <w:sz w:val="20"/>
                      <w:szCs w:val="20"/>
                    </w:rPr>
                    <w:t xml:space="preserve"> International Coverage of A-Shares</w:t>
                  </w:r>
                  <w:r>
                    <w:rPr>
                      <w:rFonts w:hint="default" w:ascii="Calibri" w:hAnsi="Calibri" w:eastAsia="楷体_GB2312" w:cs="Calibri"/>
                      <w:b/>
                      <w:bCs/>
                      <w:w w:val="70"/>
                      <w:sz w:val="20"/>
                      <w:szCs w:val="20"/>
                    </w:rPr>
                    <w:t>:</w:t>
                  </w:r>
                  <w:r>
                    <w:rPr>
                      <w:rFonts w:hint="default" w:ascii="Calibri" w:hAnsi="Calibri" w:eastAsia="楷体_GB2312" w:cs="Calibri"/>
                      <w:w w:val="70"/>
                      <w:sz w:val="20"/>
                      <w:szCs w:val="20"/>
                    </w:rPr>
                    <w:t xml:space="preserve">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 may cover and rate A-Shares .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Securities, the ultimate parent company of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based in </w:t>
                  </w:r>
                  <w:r>
                    <w:rPr>
                      <w:rFonts w:hint="default" w:ascii="Calibri" w:hAnsi="Calibri" w:eastAsia="楷体_GB2312" w:cs="Calibri"/>
                      <w:w w:val="70"/>
                      <w:sz w:val="20"/>
                      <w:szCs w:val="20"/>
                      <w:lang w:eastAsia="zh-CN"/>
                    </w:rPr>
                    <w:t>FuZhou</w:t>
                  </w:r>
                  <w:r>
                    <w:rPr>
                      <w:rFonts w:hint="default" w:ascii="Calibri" w:hAnsi="Calibri" w:eastAsia="楷体_GB2312" w:cs="Calibri"/>
                      <w:w w:val="70"/>
                      <w:sz w:val="20"/>
                      <w:szCs w:val="20"/>
                    </w:rPr>
                    <w:t>, covers and publishes research on these same A-Shares for distribution in mainland China. However, the rating system employed by H</w:t>
                  </w:r>
                  <w:r>
                    <w:rPr>
                      <w:rFonts w:hint="default" w:ascii="Calibri" w:hAnsi="Calibri" w:eastAsia="楷体_GB2312" w:cs="Calibri"/>
                      <w:w w:val="70"/>
                      <w:sz w:val="20"/>
                      <w:szCs w:val="20"/>
                      <w:lang w:eastAsia="zh-CN"/>
                    </w:rPr>
                    <w:t>uaFu International</w:t>
                  </w:r>
                  <w:r>
                    <w:rPr>
                      <w:rFonts w:hint="default" w:ascii="Calibri" w:hAnsi="Calibri" w:eastAsia="楷体_GB2312" w:cs="Calibri"/>
                      <w:w w:val="70"/>
                      <w:sz w:val="20"/>
                      <w:szCs w:val="20"/>
                    </w:rPr>
                    <w:t xml:space="preserve"> differs from that used by </w:t>
                  </w:r>
                  <w:r>
                    <w:rPr>
                      <w:rFonts w:hint="default" w:ascii="Calibri" w:hAnsi="Calibri" w:eastAsia="楷体_GB2312" w:cs="Calibri"/>
                      <w:w w:val="70"/>
                      <w:sz w:val="20"/>
                      <w:szCs w:val="20"/>
                      <w:lang w:eastAsia="zh-CN"/>
                    </w:rPr>
                    <w:t>HuaFu Securites</w:t>
                  </w:r>
                  <w:r>
                    <w:rPr>
                      <w:rFonts w:hint="default" w:ascii="Calibri" w:hAnsi="Calibri" w:eastAsia="楷体_GB2312" w:cs="Calibri"/>
                      <w:w w:val="70"/>
                      <w:sz w:val="20"/>
                      <w:szCs w:val="20"/>
                    </w:rPr>
                    <w:t xml:space="preserve"> and </w:t>
                  </w:r>
                  <w:r>
                    <w:rPr>
                      <w:rFonts w:hint="default" w:ascii="Calibri" w:hAnsi="Calibri" w:eastAsia="楷体_GB2312" w:cs="Calibri"/>
                      <w:w w:val="70"/>
                      <w:sz w:val="20"/>
                      <w:szCs w:val="20"/>
                      <w:lang w:eastAsia="zh-CN"/>
                    </w:rPr>
                    <w:t xml:space="preserve">even the teams covering the same A-share stocks might be totally independently different, </w:t>
                  </w:r>
                  <w:r>
                    <w:rPr>
                      <w:rFonts w:hint="default" w:ascii="Calibri" w:hAnsi="Calibri" w:eastAsia="楷体_GB2312" w:cs="Calibri"/>
                      <w:w w:val="70"/>
                      <w:sz w:val="20"/>
                      <w:szCs w:val="20"/>
                    </w:rPr>
                    <w:t xml:space="preserve">as a result there may be a difference in </w:t>
                  </w:r>
                  <w:r>
                    <w:rPr>
                      <w:rFonts w:hint="default" w:ascii="Calibri" w:hAnsi="Calibri" w:eastAsia="楷体_GB2312" w:cs="Calibri"/>
                      <w:w w:val="70"/>
                      <w:sz w:val="20"/>
                      <w:szCs w:val="20"/>
                      <w:lang w:eastAsia="zh-CN"/>
                    </w:rPr>
                    <w:t>their coverage</w:t>
                  </w:r>
                  <w:r>
                    <w:rPr>
                      <w:rFonts w:hint="default" w:ascii="Calibri" w:hAnsi="Calibri" w:eastAsia="楷体_GB2312" w:cs="Calibri"/>
                      <w:w w:val="70"/>
                      <w:sz w:val="20"/>
                      <w:szCs w:val="20"/>
                    </w:rPr>
                    <w:t xml:space="preserve"> ratings</w:t>
                  </w:r>
                  <w:r>
                    <w:rPr>
                      <w:rFonts w:hint="default" w:ascii="Calibri" w:hAnsi="Calibri" w:eastAsia="楷体_GB2312" w:cs="Calibri"/>
                      <w:w w:val="70"/>
                      <w:sz w:val="20"/>
                      <w:szCs w:val="20"/>
                      <w:lang w:eastAsia="zh-CN"/>
                    </w:rPr>
                    <w:t>, target prices</w:t>
                  </w:r>
                  <w:r>
                    <w:rPr>
                      <w:rFonts w:hint="default" w:ascii="Calibri" w:hAnsi="Calibri" w:eastAsia="楷体_GB2312" w:cs="Calibri"/>
                      <w:w w:val="70"/>
                      <w:sz w:val="20"/>
                      <w:szCs w:val="20"/>
                    </w:rPr>
                    <w:t xml:space="preserve"> </w:t>
                  </w:r>
                  <w:r>
                    <w:rPr>
                      <w:rFonts w:hint="default" w:ascii="Calibri" w:hAnsi="Calibri" w:eastAsia="楷体_GB2312" w:cs="Calibri"/>
                      <w:w w:val="70"/>
                      <w:sz w:val="20"/>
                      <w:szCs w:val="20"/>
                      <w:lang w:eastAsia="zh-CN"/>
                    </w:rPr>
                    <w:t xml:space="preserve">and research logics </w:t>
                  </w:r>
                  <w:r>
                    <w:rPr>
                      <w:rFonts w:hint="default" w:ascii="Calibri" w:hAnsi="Calibri" w:eastAsia="楷体_GB2312" w:cs="Calibri"/>
                      <w:w w:val="70"/>
                      <w:sz w:val="20"/>
                      <w:szCs w:val="20"/>
                    </w:rPr>
                    <w:t>for the same A-share stocks.</w:t>
                  </w:r>
                </w:p>
              </w:tc>
            </w:tr>
            <w:tr w14:paraId="5E98A0B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031F309D">
                  <w:pPr>
                    <w:pStyle w:val="26"/>
                    <w:rPr>
                      <w:rFonts w:hint="default" w:ascii="Calibri" w:hAnsi="Calibri" w:eastAsia="楷体_GB2312" w:cs="Calibri"/>
                      <w:w w:val="70"/>
                      <w:sz w:val="20"/>
                      <w:szCs w:val="20"/>
                    </w:rPr>
                  </w:pPr>
                </w:p>
              </w:tc>
            </w:tr>
            <w:tr w14:paraId="3A574BD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649BF108">
                  <w:pPr>
                    <w:pStyle w:val="26"/>
                    <w:spacing w:after="40"/>
                    <w:rPr>
                      <w:rFonts w:hint="default" w:ascii="Calibri" w:hAnsi="Calibri" w:eastAsia="楷体_GB2312" w:cs="Calibri"/>
                      <w:b/>
                      <w:bCs/>
                      <w:w w:val="70"/>
                      <w:sz w:val="20"/>
                      <w:szCs w:val="20"/>
                    </w:rPr>
                  </w:pPr>
                  <w:r>
                    <w:rPr>
                      <w:rFonts w:hint="default" w:ascii="Calibri" w:hAnsi="Calibri" w:eastAsia="楷体_GB2312" w:cs="Calibri"/>
                      <w:b/>
                      <w:bCs/>
                      <w:w w:val="70"/>
                      <w:sz w:val="20"/>
                      <w:szCs w:val="20"/>
                    </w:rPr>
                    <w:t>IMPORTANT DISCLAIMER</w:t>
                  </w:r>
                </w:p>
                <w:p w14:paraId="4D7AA043">
                  <w:pPr>
                    <w:pStyle w:val="26"/>
                    <w:spacing w:after="40"/>
                    <w:rPr>
                      <w:rFonts w:hint="default" w:ascii="Calibri" w:hAnsi="Calibri" w:eastAsia="楷体_GB2312" w:cs="Calibri"/>
                      <w:w w:val="70"/>
                      <w:sz w:val="20"/>
                      <w:szCs w:val="20"/>
                    </w:rPr>
                  </w:pPr>
                  <w:r>
                    <w:rPr>
                      <w:rFonts w:hint="default" w:ascii="Calibri" w:hAnsi="Calibri" w:eastAsia="楷体_GB2312" w:cs="Calibri"/>
                      <w:w w:val="70"/>
                      <w:sz w:val="20"/>
                      <w:szCs w:val="20"/>
                    </w:rPr>
                    <w:t xml:space="preserve">The research report is issued by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w:t>
                  </w:r>
                  <w:r>
                    <w:rPr>
                      <w:rFonts w:hint="default" w:ascii="Calibri" w:hAnsi="Calibri" w:eastAsia="楷体_GB2312" w:cs="Calibri"/>
                      <w:w w:val="70"/>
                      <w:sz w:val="20"/>
                      <w:szCs w:val="20"/>
                      <w:lang w:eastAsia="zh-CN"/>
                    </w:rPr>
                    <w:t xml:space="preserve">, </w:t>
                  </w:r>
                  <w:r>
                    <w:rPr>
                      <w:rFonts w:hint="default" w:ascii="Calibri" w:hAnsi="Calibri" w:eastAsia="楷体_GB2312" w:cs="Calibri"/>
                      <w:w w:val="70"/>
                      <w:sz w:val="20"/>
                      <w:szCs w:val="20"/>
                    </w:rPr>
                    <w:t>a licensed corporation to carry on Type 4 regulated activity (advising on securities) for the purpose of the Securities and Futures Ordinance (Cap. 571)</w:t>
                  </w:r>
                  <w:r>
                    <w:rPr>
                      <w:rFonts w:hint="default" w:ascii="Calibri" w:hAnsi="Calibri" w:eastAsia="楷体_GB2312" w:cs="Calibri"/>
                      <w:w w:val="70"/>
                      <w:sz w:val="20"/>
                      <w:szCs w:val="20"/>
                      <w:lang w:eastAsia="zh-HK"/>
                    </w:rPr>
                    <w:t xml:space="preserve"> of Hong Kong</w:t>
                  </w:r>
                  <w:r>
                    <w:rPr>
                      <w:rFonts w:hint="default" w:ascii="Calibri" w:hAnsi="Calibri" w:eastAsia="楷体_GB2312" w:cs="Calibri"/>
                      <w:w w:val="70"/>
                      <w:sz w:val="20"/>
                      <w:szCs w:val="20"/>
                    </w:rPr>
                    <w:t>.</w:t>
                  </w:r>
                </w:p>
                <w:p w14:paraId="74631ACE">
                  <w:pPr>
                    <w:pStyle w:val="26"/>
                    <w:spacing w:after="40"/>
                    <w:rPr>
                      <w:rFonts w:hint="default" w:ascii="Calibri" w:hAnsi="Calibri" w:eastAsia="楷体_GB2312" w:cs="Calibri"/>
                      <w:w w:val="70"/>
                      <w:sz w:val="20"/>
                      <w:szCs w:val="20"/>
                    </w:rPr>
                  </w:pPr>
                  <w:r>
                    <w:rPr>
                      <w:rFonts w:hint="default" w:ascii="Calibri" w:hAnsi="Calibri"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or any other </w:t>
                  </w:r>
                  <w:r>
                    <w:rPr>
                      <w:rFonts w:hint="default" w:ascii="Calibri" w:hAnsi="Calibri" w:eastAsia="楷体_GB2312" w:cs="Calibri"/>
                      <w:w w:val="70"/>
                      <w:sz w:val="20"/>
                      <w:szCs w:val="20"/>
                      <w:lang w:eastAsia="zh-CN"/>
                    </w:rPr>
                    <w:t xml:space="preserve">related </w:t>
                  </w:r>
                  <w:r>
                    <w:rPr>
                      <w:rFonts w:hint="default" w:ascii="Calibri" w:hAnsi="Calibri" w:eastAsia="楷体_GB2312" w:cs="Calibri"/>
                      <w:w w:val="70"/>
                      <w:sz w:val="20"/>
                      <w:szCs w:val="20"/>
                    </w:rPr>
                    <w:t>members</w:t>
                  </w:r>
                  <w:r>
                    <w:rPr>
                      <w:rFonts w:hint="default" w:ascii="Calibri" w:hAnsi="Calibri" w:eastAsia="楷体_GB2312" w:cs="Calibri"/>
                      <w:w w:val="70"/>
                      <w:sz w:val="20"/>
                      <w:szCs w:val="20"/>
                      <w:lang w:eastAsia="zh-CN"/>
                    </w:rPr>
                    <w:t xml:space="preserve"> </w:t>
                  </w:r>
                  <w:r>
                    <w:rPr>
                      <w:rFonts w:hint="default" w:ascii="Calibri" w:hAnsi="Calibri"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14:paraId="19084354">
                  <w:pPr>
                    <w:pStyle w:val="26"/>
                    <w:spacing w:after="40"/>
                    <w:rPr>
                      <w:rFonts w:hint="default" w:ascii="Calibri" w:hAnsi="Calibri" w:eastAsia="楷体_GB2312" w:cs="Calibri"/>
                      <w:w w:val="70"/>
                      <w:sz w:val="20"/>
                      <w:szCs w:val="20"/>
                    </w:rPr>
                  </w:pP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and </w:t>
                  </w:r>
                  <w:r>
                    <w:rPr>
                      <w:rFonts w:hint="default" w:ascii="Calibri" w:hAnsi="Calibri" w:eastAsia="楷体_GB2312" w:cs="Calibri"/>
                      <w:w w:val="70"/>
                      <w:sz w:val="20"/>
                      <w:szCs w:val="20"/>
                      <w:lang w:eastAsia="zh-CN"/>
                    </w:rPr>
                    <w:t>its</w:t>
                  </w:r>
                  <w:r>
                    <w:rPr>
                      <w:rFonts w:hint="default" w:ascii="Calibri" w:hAnsi="Calibri"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hint="default" w:ascii="Calibri" w:hAnsi="Calibri" w:eastAsia="楷体_GB2312" w:cs="Calibri"/>
                      <w:w w:val="70"/>
                      <w:sz w:val="20"/>
                      <w:szCs w:val="20"/>
                      <w:lang w:eastAsia="zh-CN"/>
                    </w:rPr>
                    <w:t xml:space="preserve">HuaFu International </w:t>
                  </w:r>
                  <w:r>
                    <w:rPr>
                      <w:rFonts w:hint="default" w:ascii="Calibri" w:hAnsi="Calibri" w:eastAsia="楷体_GB2312" w:cs="Calibri"/>
                      <w:w w:val="70"/>
                      <w:sz w:val="20"/>
                      <w:szCs w:val="20"/>
                    </w:rPr>
                    <w:t xml:space="preserve">may provide oral or written market commentary or trading strategies to the relevant clients and the companies within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that reflect opinions that are contrary to the opinions expressed in this research report. </w:t>
                  </w:r>
                  <w:r>
                    <w:rPr>
                      <w:rFonts w:hint="default" w:ascii="Calibri" w:hAnsi="Calibri" w:eastAsia="楷体_GB2312" w:cs="Calibri"/>
                      <w:w w:val="70"/>
                      <w:sz w:val="20"/>
                      <w:szCs w:val="20"/>
                      <w:lang w:eastAsia="zh-CN"/>
                    </w:rPr>
                    <w:t>HuaFu Internatioal</w:t>
                  </w:r>
                  <w:r>
                    <w:rPr>
                      <w:rFonts w:hint="default" w:ascii="Calibri" w:hAnsi="Calibri" w:eastAsia="楷体_GB2312" w:cs="Calibri"/>
                      <w:w w:val="70"/>
                      <w:sz w:val="20"/>
                      <w:szCs w:val="20"/>
                    </w:rPr>
                    <w:t xml:space="preserve"> may make investment decisions that are inconsistent with the recommendations or views expressed in this research report. </w:t>
                  </w:r>
                  <w:r>
                    <w:rPr>
                      <w:rFonts w:hint="default" w:ascii="Calibri" w:hAnsi="Calibri" w:eastAsia="楷体_GB2312" w:cs="Calibri"/>
                      <w:w w:val="70"/>
                      <w:sz w:val="20"/>
                      <w:szCs w:val="20"/>
                      <w:lang w:eastAsia="zh-CN"/>
                    </w:rPr>
                    <w:t xml:space="preserve">HuaFu International </w:t>
                  </w:r>
                  <w:r>
                    <w:rPr>
                      <w:rFonts w:hint="default" w:ascii="Calibri" w:hAnsi="Calibri" w:eastAsia="楷体_GB2312" w:cs="Calibri"/>
                      <w:w w:val="70"/>
                      <w:sz w:val="20"/>
                      <w:szCs w:val="20"/>
                    </w:rPr>
                    <w:t>is under no obligation to ensure that such other trading decisions, ideas or recommendations are brought to the attention of any recipient of this research report.</w:t>
                  </w:r>
                </w:p>
                <w:p w14:paraId="6D0BB5F8">
                  <w:pPr>
                    <w:pStyle w:val="26"/>
                    <w:spacing w:after="40"/>
                    <w:rPr>
                      <w:rFonts w:hint="default" w:ascii="Calibri" w:hAnsi="Calibri" w:eastAsia="楷体_GB2312" w:cs="Calibri"/>
                      <w:bCs/>
                      <w:w w:val="70"/>
                      <w:sz w:val="20"/>
                      <w:szCs w:val="20"/>
                    </w:rPr>
                  </w:pPr>
                  <w:r>
                    <w:rPr>
                      <w:rFonts w:hint="default" w:ascii="Calibri" w:hAnsi="Calibri" w:eastAsia="楷体_GB2312" w:cs="Calibri"/>
                      <w:bCs/>
                      <w:w w:val="70"/>
                      <w:sz w:val="20"/>
                      <w:szCs w:val="20"/>
                    </w:rPr>
                    <w:t xml:space="preserve">Please refer to </w:t>
                  </w:r>
                  <w:r>
                    <w:rPr>
                      <w:rFonts w:hint="default" w:ascii="Calibri" w:hAnsi="Calibri" w:eastAsia="楷体_GB2312" w:cs="Calibri"/>
                      <w:bCs/>
                      <w:w w:val="70"/>
                      <w:sz w:val="20"/>
                      <w:szCs w:val="20"/>
                      <w:lang w:eastAsia="zh-CN"/>
                    </w:rPr>
                    <w:t>HuaFu International’s</w:t>
                  </w:r>
                  <w:r>
                    <w:rPr>
                      <w:rFonts w:hint="default" w:ascii="Calibri" w:hAnsi="Calibri" w:eastAsia="楷体_GB2312" w:cs="Calibri"/>
                      <w:bCs/>
                      <w:w w:val="70"/>
                      <w:sz w:val="20"/>
                      <w:szCs w:val="20"/>
                    </w:rPr>
                    <w:t xml:space="preserve"> website </w:t>
                  </w:r>
                  <w:r>
                    <w:rPr>
                      <w:rFonts w:hint="default" w:ascii="Calibri" w:hAnsi="Calibri" w:eastAsia="楷体_GB2312" w:cs="Calibri"/>
                      <w:bCs/>
                      <w:w w:val="70"/>
                      <w:sz w:val="20"/>
                      <w:szCs w:val="20"/>
                    </w:rPr>
                    <w:fldChar w:fldCharType="begin"/>
                  </w:r>
                  <w:r>
                    <w:rPr>
                      <w:rFonts w:hint="default" w:ascii="Calibri" w:hAnsi="Calibri" w:eastAsia="楷体_GB2312" w:cs="Calibri"/>
                      <w:bCs/>
                      <w:w w:val="70"/>
                      <w:sz w:val="20"/>
                      <w:szCs w:val="20"/>
                    </w:rPr>
                    <w:instrText xml:space="preserve"> HYPERLINK "http://www.hfisec.com.hk" </w:instrText>
                  </w:r>
                  <w:r>
                    <w:rPr>
                      <w:rFonts w:hint="default" w:ascii="Calibri" w:hAnsi="Calibri" w:eastAsia="楷体_GB2312" w:cs="Calibri"/>
                      <w:bCs/>
                      <w:w w:val="70"/>
                      <w:sz w:val="20"/>
                      <w:szCs w:val="20"/>
                    </w:rPr>
                    <w:fldChar w:fldCharType="separate"/>
                  </w:r>
                  <w:r>
                    <w:rPr>
                      <w:rStyle w:val="16"/>
                      <w:rFonts w:hint="default" w:ascii="Calibri" w:hAnsi="Calibri" w:eastAsia="楷体_GB2312" w:cs="Calibri"/>
                      <w:bCs/>
                      <w:w w:val="70"/>
                      <w:sz w:val="20"/>
                      <w:szCs w:val="20"/>
                    </w:rPr>
                    <w:t xml:space="preserve">www.hfisec.com.hk </w:t>
                  </w:r>
                  <w:r>
                    <w:rPr>
                      <w:rFonts w:hint="default" w:ascii="Calibri" w:hAnsi="Calibri" w:eastAsia="楷体_GB2312" w:cs="Calibri"/>
                      <w:bCs/>
                      <w:w w:val="70"/>
                      <w:sz w:val="20"/>
                      <w:szCs w:val="20"/>
                    </w:rPr>
                    <w:fldChar w:fldCharType="end"/>
                  </w:r>
                  <w:r>
                    <w:rPr>
                      <w:rFonts w:hint="default" w:ascii="Calibri" w:hAnsi="Calibri" w:eastAsia="楷体_GB2312" w:cs="Calibri"/>
                      <w:bCs/>
                      <w:w w:val="70"/>
                      <w:sz w:val="20"/>
                      <w:szCs w:val="20"/>
                    </w:rPr>
                    <w:t xml:space="preserve">for further </w:t>
                  </w:r>
                  <w:r>
                    <w:rPr>
                      <w:rFonts w:hint="default" w:ascii="Calibri" w:hAnsi="Calibri" w:eastAsia="楷体_GB2312" w:cs="Calibri"/>
                      <w:w w:val="70"/>
                      <w:sz w:val="20"/>
                      <w:szCs w:val="20"/>
                    </w:rPr>
                    <w:t>information</w:t>
                  </w:r>
                  <w:r>
                    <w:rPr>
                      <w:rFonts w:hint="default" w:ascii="Calibri" w:hAnsi="Calibri" w:eastAsia="楷体_GB2312" w:cs="Calibri"/>
                      <w:bCs/>
                      <w:w w:val="70"/>
                      <w:sz w:val="20"/>
                      <w:szCs w:val="20"/>
                    </w:rPr>
                    <w:t xml:space="preserve"> on </w:t>
                  </w:r>
                  <w:r>
                    <w:rPr>
                      <w:rFonts w:hint="default" w:ascii="Calibri" w:hAnsi="Calibri" w:eastAsia="楷体_GB2312" w:cs="Calibri"/>
                      <w:bCs/>
                      <w:w w:val="70"/>
                      <w:sz w:val="20"/>
                      <w:szCs w:val="20"/>
                      <w:lang w:eastAsia="zh-CN"/>
                    </w:rPr>
                    <w:t xml:space="preserve">HuaFu International’s </w:t>
                  </w:r>
                  <w:r>
                    <w:rPr>
                      <w:rFonts w:hint="default" w:ascii="Calibri" w:hAnsi="Calibri" w:eastAsia="楷体_GB2312" w:cs="Calibri"/>
                      <w:bCs/>
                      <w:w w:val="70"/>
                      <w:sz w:val="20"/>
                      <w:szCs w:val="20"/>
                    </w:rPr>
                    <w:t>organizational and administrative arrangements set up for the prevention and avoidance of conflicts of interest with respect to Research.</w:t>
                  </w:r>
                </w:p>
                <w:p w14:paraId="7550DDBB">
                  <w:pPr>
                    <w:pStyle w:val="26"/>
                    <w:spacing w:after="60"/>
                    <w:rPr>
                      <w:rFonts w:hint="default" w:ascii="Calibri" w:hAnsi="Calibri" w:eastAsia="楷体_GB2312" w:cs="Calibri"/>
                      <w:b/>
                      <w:w w:val="70"/>
                      <w:sz w:val="20"/>
                      <w:szCs w:val="20"/>
                    </w:rPr>
                  </w:pPr>
                </w:p>
              </w:tc>
            </w:tr>
            <w:tr w14:paraId="1342A94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7FFA4B3C">
                  <w:pPr>
                    <w:pStyle w:val="26"/>
                    <w:spacing w:after="40"/>
                    <w:rPr>
                      <w:rFonts w:hint="default" w:ascii="Calibri" w:hAnsi="Calibri" w:eastAsia="楷体_GB2312" w:cs="Calibri"/>
                      <w:b/>
                      <w:bCs/>
                      <w:w w:val="70"/>
                      <w:sz w:val="20"/>
                      <w:szCs w:val="20"/>
                    </w:rPr>
                  </w:pPr>
                  <w:r>
                    <w:rPr>
                      <w:rFonts w:hint="default" w:ascii="Calibri" w:hAnsi="Calibri" w:eastAsia="楷体_GB2312" w:cs="Calibri"/>
                      <w:b/>
                      <w:bCs/>
                      <w:w w:val="70"/>
                      <w:sz w:val="20"/>
                      <w:szCs w:val="20"/>
                    </w:rPr>
                    <w:t>DISTRIBUTION AND REGIONAL NOTICES</w:t>
                  </w:r>
                </w:p>
                <w:p w14:paraId="402543E5">
                  <w:pPr>
                    <w:pStyle w:val="26"/>
                    <w:spacing w:after="40"/>
                    <w:rPr>
                      <w:rFonts w:hint="default" w:ascii="Calibri" w:hAnsi="Calibri" w:eastAsia="楷体_GB2312" w:cs="Calibri"/>
                      <w:w w:val="70"/>
                      <w:sz w:val="20"/>
                      <w:szCs w:val="20"/>
                    </w:rPr>
                  </w:pPr>
                  <w:r>
                    <w:rPr>
                      <w:rFonts w:hint="default" w:ascii="Calibri" w:hAnsi="Calibri" w:eastAsia="楷体_GB2312" w:cs="Calibri"/>
                      <w:w w:val="70"/>
                      <w:sz w:val="20"/>
                      <w:szCs w:val="20"/>
                    </w:rPr>
                    <w:t xml:space="preserve">Except as otherwise indicated below, any Recipient wishing to discuss this research report or effect any transaction in any security discussed in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’s research should contact the </w:t>
                  </w:r>
                  <w:r>
                    <w:rPr>
                      <w:rFonts w:hint="default" w:ascii="Calibri" w:hAnsi="Calibri" w:eastAsia="楷体_GB2312" w:cs="Calibri"/>
                      <w:w w:val="70"/>
                      <w:sz w:val="20"/>
                      <w:szCs w:val="20"/>
                      <w:lang w:eastAsia="zh-CN"/>
                    </w:rPr>
                    <w:t xml:space="preserve">HuaFu </w:t>
                  </w:r>
                  <w:r>
                    <w:rPr>
                      <w:rFonts w:hint="default" w:ascii="Calibri" w:hAnsi="Calibri" w:eastAsia="楷体_GB2312" w:cs="Calibri"/>
                      <w:w w:val="70"/>
                      <w:sz w:val="20"/>
                      <w:szCs w:val="20"/>
                    </w:rPr>
                    <w:t xml:space="preserve">International salesperson in their own country or region.  </w:t>
                  </w:r>
                </w:p>
                <w:p w14:paraId="70AA6ED9">
                  <w:pPr>
                    <w:pStyle w:val="26"/>
                    <w:spacing w:after="40"/>
                    <w:rPr>
                      <w:rFonts w:hint="default" w:ascii="Calibri" w:hAnsi="Calibri" w:eastAsia="楷体_GB2312" w:cs="Calibri"/>
                      <w:w w:val="70"/>
                      <w:sz w:val="20"/>
                      <w:szCs w:val="20"/>
                    </w:rPr>
                  </w:pPr>
                  <w:r>
                    <w:rPr>
                      <w:rFonts w:hint="default" w:ascii="Calibri" w:hAnsi="Calibri" w:eastAsia="楷体_GB2312" w:cs="Calibri"/>
                      <w:b/>
                      <w:bCs/>
                      <w:w w:val="70"/>
                      <w:sz w:val="20"/>
                      <w:szCs w:val="20"/>
                    </w:rPr>
                    <w:t xml:space="preserve">Notice to Hong Kong investors: </w:t>
                  </w:r>
                  <w:r>
                    <w:rPr>
                      <w:rFonts w:hint="default" w:ascii="Calibri" w:hAnsi="Calibri" w:eastAsia="楷体_GB2312" w:cs="Calibri"/>
                      <w:w w:val="70"/>
                      <w:sz w:val="20"/>
                      <w:szCs w:val="20"/>
                    </w:rPr>
                    <w:t xml:space="preserve">The research report is distributed by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salespersons in respect of any matters arising from, or in connection with, the research report.</w:t>
                  </w:r>
                </w:p>
                <w:p w14:paraId="556B5FAF">
                  <w:pPr>
                    <w:pStyle w:val="26"/>
                    <w:spacing w:after="60"/>
                    <w:rPr>
                      <w:rFonts w:hint="default" w:ascii="Calibri" w:hAnsi="Calibri" w:eastAsia="楷体_GB2312" w:cs="Calibri"/>
                      <w:b/>
                      <w:w w:val="70"/>
                      <w:sz w:val="20"/>
                      <w:szCs w:val="20"/>
                    </w:rPr>
                  </w:pPr>
                </w:p>
              </w:tc>
            </w:tr>
            <w:tr w14:paraId="0573043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1CCCA22C">
                  <w:pPr>
                    <w:pStyle w:val="26"/>
                    <w:spacing w:after="120"/>
                    <w:rPr>
                      <w:rFonts w:hint="default" w:ascii="Calibri" w:hAnsi="Calibri" w:eastAsia="楷体_GB2312" w:cs="Calibri"/>
                      <w:w w:val="70"/>
                      <w:sz w:val="20"/>
                      <w:szCs w:val="20"/>
                    </w:rPr>
                  </w:pPr>
                  <w:r>
                    <w:rPr>
                      <w:rFonts w:hint="default" w:ascii="Calibri" w:hAnsi="Calibri" w:eastAsia="楷体_GB2312" w:cs="Calibri"/>
                      <w:b/>
                      <w:w w:val="70"/>
                      <w:sz w:val="20"/>
                      <w:szCs w:val="20"/>
                    </w:rPr>
                    <w:t>People’s Republic of China (PRC):</w:t>
                  </w:r>
                  <w:r>
                    <w:rPr>
                      <w:rFonts w:hint="default" w:ascii="Calibri" w:hAnsi="Calibri"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14:paraId="71763365">
                  <w:pPr>
                    <w:pStyle w:val="26"/>
                    <w:spacing w:after="120"/>
                    <w:rPr>
                      <w:rFonts w:hint="default" w:ascii="Calibri" w:hAnsi="Calibri" w:eastAsia="楷体_GB2312" w:cs="Calibri"/>
                      <w:w w:val="70"/>
                      <w:sz w:val="20"/>
                      <w:szCs w:val="20"/>
                    </w:rPr>
                  </w:pPr>
                  <w:r>
                    <w:rPr>
                      <w:rFonts w:hint="default" w:ascii="Calibri" w:hAnsi="Calibri" w:eastAsia="楷体_GB2312" w:cs="Calibri"/>
                      <w:w w:val="70"/>
                      <w:sz w:val="20"/>
                      <w:szCs w:val="20"/>
                    </w:rPr>
                    <w:t xml:space="preserve">This research report is intended for the recipients only and may not be reproduced or redistributed without the written consent of an authorized signatory of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w:t>
                  </w:r>
                </w:p>
                <w:p w14:paraId="5E9E997C">
                  <w:pPr>
                    <w:pStyle w:val="26"/>
                    <w:spacing w:after="60"/>
                    <w:rPr>
                      <w:rFonts w:hint="default" w:ascii="Calibri" w:hAnsi="Calibri" w:eastAsia="楷体_GB2312" w:cs="Calibri"/>
                      <w:b/>
                      <w:w w:val="70"/>
                      <w:sz w:val="20"/>
                      <w:szCs w:val="20"/>
                    </w:rPr>
                  </w:pPr>
                  <w:r>
                    <w:rPr>
                      <w:rFonts w:hint="default" w:ascii="Calibri" w:hAnsi="Calibri" w:eastAsia="楷体_GB2312" w:cs="Calibri"/>
                      <w:w w:val="70"/>
                      <w:sz w:val="20"/>
                      <w:szCs w:val="20"/>
                    </w:rPr>
                    <w:t xml:space="preserve">Copyright: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 </w:t>
                  </w:r>
                  <w:r>
                    <w:rPr>
                      <w:rFonts w:hint="default" w:ascii="Calibri" w:hAnsi="Calibri" w:eastAsia="楷体_GB2312" w:cs="Calibri"/>
                      <w:w w:val="70"/>
                      <w:sz w:val="20"/>
                      <w:szCs w:val="20"/>
                      <w:lang w:eastAsia="zh-CN"/>
                    </w:rPr>
                    <w:t>2025</w:t>
                  </w:r>
                  <w:r>
                    <w:rPr>
                      <w:rFonts w:hint="default" w:ascii="Calibri" w:hAnsi="Calibri" w:eastAsia="楷体_GB2312" w:cs="Calibri"/>
                      <w:w w:val="70"/>
                      <w:sz w:val="20"/>
                      <w:szCs w:val="20"/>
                    </w:rPr>
                    <w:t>. All rights reserved</w:t>
                  </w:r>
                </w:p>
              </w:tc>
            </w:tr>
            <w:tr w14:paraId="1577D8A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28746C9F">
                  <w:pPr>
                    <w:pStyle w:val="26"/>
                    <w:spacing w:after="60"/>
                    <w:rPr>
                      <w:rFonts w:hint="default" w:ascii="Calibri" w:hAnsi="Calibri" w:eastAsia="楷体_GB2312" w:cs="Calibri"/>
                      <w:b/>
                      <w:w w:val="70"/>
                      <w:sz w:val="20"/>
                      <w:szCs w:val="20"/>
                    </w:rPr>
                  </w:pPr>
                </w:p>
              </w:tc>
            </w:tr>
            <w:tr w14:paraId="2A2E2D8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nil"/>
                  </w:tcBorders>
                </w:tcPr>
                <w:p w14:paraId="31BFE7D9">
                  <w:pPr>
                    <w:pStyle w:val="26"/>
                    <w:spacing w:after="60"/>
                    <w:rPr>
                      <w:rFonts w:hint="default" w:ascii="Calibri" w:hAnsi="Calibri" w:eastAsia="楷体_GB2312" w:cs="Calibri"/>
                      <w:b/>
                      <w:w w:val="70"/>
                      <w:sz w:val="20"/>
                      <w:szCs w:val="20"/>
                      <w:lang w:eastAsia="zh-CN"/>
                    </w:rPr>
                  </w:pPr>
                </w:p>
              </w:tc>
            </w:tr>
          </w:tbl>
          <w:p w14:paraId="2E54ADC1">
            <w:pPr>
              <w:pStyle w:val="72"/>
              <w:rPr>
                <w:rFonts w:hint="default" w:ascii="Calibri" w:hAnsi="Calibri" w:eastAsia="楷体_GB2312" w:cs="Calibri"/>
                <w:sz w:val="16"/>
              </w:rPr>
            </w:pPr>
          </w:p>
          <w:p w14:paraId="51D982B3">
            <w:pPr>
              <w:rPr>
                <w:rFonts w:hint="default" w:ascii="Calibri" w:hAnsi="Calibri" w:eastAsia="楷体_GB2312" w:cs="Calibri"/>
                <w:sz w:val="20"/>
                <w:szCs w:val="20"/>
              </w:rPr>
            </w:pPr>
          </w:p>
        </w:tc>
      </w:tr>
      <w:tr w14:paraId="7C7F230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gridAfter w:val="1"/>
          <w:wAfter w:w="28" w:type="dxa"/>
          <w:trHeight w:val="5409" w:hRule="atLeast"/>
        </w:trPr>
        <w:tc>
          <w:tcPr>
            <w:tcW w:w="11199" w:type="dxa"/>
          </w:tcPr>
          <w:p w14:paraId="3627FE8F">
            <w:pPr>
              <w:pStyle w:val="26"/>
              <w:rPr>
                <w:rFonts w:hint="default" w:ascii="Calibri" w:hAnsi="Calibri" w:eastAsia="楷体_GB2312" w:cs="Calibri"/>
                <w:b/>
                <w:w w:val="70"/>
                <w:sz w:val="20"/>
                <w:szCs w:val="20"/>
              </w:rPr>
            </w:pPr>
            <w:r>
              <w:rPr>
                <w:rFonts w:hint="default" w:ascii="Calibri" w:hAnsi="Calibri" w:eastAsia="楷体_GB2312" w:cs="Calibri"/>
                <w:b/>
                <w:w w:val="70"/>
                <w:sz w:val="20"/>
                <w:szCs w:val="20"/>
              </w:rPr>
              <w:t>Recommendation Chart</w:t>
            </w:r>
          </w:p>
          <w:tbl>
            <w:tblPr>
              <w:tblStyle w:val="13"/>
              <w:tblW w:w="0" w:type="auto"/>
              <w:tblCaption w:val="[Table_RecommendationChar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78"/>
            </w:tblGrid>
            <w:tr w14:paraId="18E7A92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8" w:hRule="exact"/>
              </w:trPr>
              <w:tc>
                <w:tcPr>
                  <w:tcW w:w="11199" w:type="dxa"/>
                </w:tcPr>
                <w:p w14:paraId="375D7F41">
                  <w:pPr>
                    <w:pStyle w:val="26"/>
                    <w:rPr>
                      <w:rFonts w:hint="default" w:ascii="Calibri" w:hAnsi="Calibri" w:eastAsia="楷体_GB2312" w:cs="Calibri"/>
                      <w:b/>
                      <w:w w:val="70"/>
                      <w:sz w:val="20"/>
                      <w:szCs w:val="20"/>
                      <w:lang w:eastAsia="zh-CN"/>
                    </w:rPr>
                  </w:pPr>
                  <w:r>
                    <w:rPr>
                      <w:rFonts w:hint="default" w:ascii="Calibri" w:hAnsi="Calibri" w:eastAsia="楷体_GB2312" w:cs="Calibri"/>
                      <w:b/>
                      <w:w w:val="70"/>
                      <w:sz w:val="20"/>
                      <w:szCs w:val="20"/>
                      <w:lang w:eastAsia="zh-CN"/>
                    </w:rPr>
                    <w:t>[Table_RecommendationChart]</w:t>
                  </w:r>
                </w:p>
              </w:tc>
            </w:tr>
            <w:tr w14:paraId="5770093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p w14:paraId="0A50C3B1">
                  <w:pPr>
                    <w:pStyle w:val="26"/>
                    <w:rPr>
                      <w:rFonts w:hint="default" w:ascii="Calibri" w:hAnsi="Calibri" w:eastAsia="楷体_GB2312" w:cs="Calibri"/>
                      <w:b/>
                      <w:w w:val="70"/>
                      <w:sz w:val="20"/>
                      <w:szCs w:val="20"/>
                    </w:rPr>
                  </w:pPr>
                  <w:r>
                    <w:rPr>
                      <w:rFonts w:ascii="Calibri" w:eastAsia="楷体_GB2312"/>
                    </w:rPr>
                    <w:drawing>
                      <wp:inline distT="0" distB="0" distL="0" distR="0">
                        <wp:extent cx="6350000" cy="3810000"/>
                        <wp:effectExtent l="0" t="0" r="5080" b="0"/>
                        <wp:docPr id="50" name="Drawing 50" descr="/data/deploy/attachments/file/temp/202603/1773664916303_QfV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Drawing 50" descr="/data/deploy/attachments/file/temp/202603/1773664916303_QfVPt.png"/>
                                <pic:cNvPicPr>
                                  <a:picLocks noChangeAspect="1"/>
                                </pic:cNvPicPr>
                              </pic:nvPicPr>
                              <pic:blipFill>
                                <a:blip r:embed="rId61"/>
                                <a:stretch>
                                  <a:fillRect/>
                                </a:stretch>
                              </pic:blipFill>
                              <pic:spPr>
                                <a:xfrm>
                                  <a:off x="0" y="0"/>
                                  <a:ext cx="6350000" cy="3810000"/>
                                </a:xfrm>
                                <a:prstGeom prst="rect">
                                  <a:avLst/>
                                </a:prstGeom>
                              </pic:spPr>
                            </pic:pic>
                          </a:graphicData>
                        </a:graphic>
                      </wp:inline>
                    </w:drawing>
                  </w:r>
                </w:p>
              </w:tc>
            </w:tr>
            <w:tr w14:paraId="1EE5DD2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c>
                <w:tcPr>
                  <w:tcW w:w="11199" w:type="dxa"/>
                </w:tcPr>
                <w:p w14:paraId="001E2108">
                  <w:pPr>
                    <w:pStyle w:val="26"/>
                    <w:rPr>
                      <w:rFonts w:hint="default" w:ascii="Calibri" w:hAnsi="Calibri" w:eastAsia="楷体_GB2312" w:cs="Calibri"/>
                      <w:b/>
                      <w:w w:val="70"/>
                      <w:sz w:val="20"/>
                      <w:szCs w:val="20"/>
                    </w:rPr>
                  </w:pPr>
                  <w:r>
                    <w:rPr>
                      <w:rFonts w:ascii="Calibri" w:eastAsia="楷体_GB2312"/>
                      <w:b w:val="0"/>
                      <w:i/>
                      <w:color w:val="000000"/>
                      <w:sz w:val="12"/>
                    </w:rPr>
                    <w:t>Source: Company data Bloomberg, HFI estimates</w:t>
                  </w:r>
                </w:p>
              </w:tc>
            </w:tr>
          </w:tbl>
          <w:p w14:paraId="73626302">
            <w:pPr>
              <w:pStyle w:val="72"/>
              <w:rPr>
                <w:rFonts w:hint="default" w:ascii="Calibri" w:hAnsi="Calibri" w:eastAsia="楷体_GB2312" w:cs="Calibri"/>
                <w:w w:val="70"/>
                <w:sz w:val="20"/>
                <w:szCs w:val="20"/>
              </w:rPr>
            </w:pPr>
          </w:p>
          <w:p w14:paraId="207D2848">
            <w:pPr>
              <w:pStyle w:val="72"/>
              <w:rPr>
                <w:rFonts w:hint="default" w:ascii="Calibri" w:hAnsi="Calibri" w:eastAsia="楷体_GB2312" w:cs="Calibri"/>
              </w:rPr>
            </w:pPr>
          </w:p>
        </w:tc>
      </w:tr>
    </w:tbl>
    <w:p w14:paraId="346EB6D4">
      <w:pPr>
        <w:pStyle w:val="72"/>
        <w:rPr>
          <w:rFonts w:hint="default" w:ascii="Calibri" w:hAnsi="Calibri" w:eastAsia="楷体_GB2312" w:cs="Calibri"/>
          <w:sz w:val="20"/>
          <w:szCs w:val="20"/>
        </w:rPr>
      </w:pPr>
    </w:p>
    <w:sectPr>
      <w:headerReference r:id="rId12" w:type="first"/>
      <w:footerReference r:id="rId14" w:type="first"/>
      <w:headerReference r:id="rId11" w:type="default"/>
      <w:footerReference r:id="rId13" w:type="default"/>
      <w:pgSz w:w="11909" w:h="16834"/>
      <w:pgMar w:top="1077" w:right="567" w:bottom="1021" w:left="329" w:header="720" w:footer="144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汉仪大黑简">
    <w:altName w:val="微软雅黑"/>
    <w:panose1 w:val="00000000000000000000"/>
    <w:charset w:val="86"/>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PMingLiU">
    <w:altName w:val="Segoe Print"/>
    <w:panose1 w:val="00000000000000000000"/>
    <w:charset w:val="00"/>
    <w:family w:val="auto"/>
    <w:pitch w:val="default"/>
    <w:sig w:usb0="00000000" w:usb1="00000000" w:usb2="00000000" w:usb3="00000000" w:csb0="00000000" w:csb1="00000000"/>
  </w:font>
  <w:font w:name="Wingdings 3">
    <w:panose1 w:val="050401020108070707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楷体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06D7A">
    <w:pPr>
      <w:pStyle w:val="22"/>
    </w:pPr>
    <w:r>
      <w:rPr>
        <w:lang w:eastAsia="zh-CN"/>
      </w:rPr>
      <mc:AlternateContent>
        <mc:Choice Requires="wps">
          <w:drawing>
            <wp:anchor distT="0" distB="0" distL="114300" distR="114300" simplePos="0" relativeHeight="251660288" behindDoc="0" locked="0" layoutInCell="1" allowOverlap="1">
              <wp:simplePos x="0" y="0"/>
              <wp:positionH relativeFrom="page">
                <wp:posOffset>88900</wp:posOffset>
              </wp:positionH>
              <wp:positionV relativeFrom="page">
                <wp:posOffset>9791700</wp:posOffset>
              </wp:positionV>
              <wp:extent cx="7404100" cy="50165"/>
              <wp:effectExtent l="0" t="0" r="6350" b="6985"/>
              <wp:wrapNone/>
              <wp:docPr id="21"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404100" cy="50165"/>
                      </a:xfrm>
                      <a:prstGeom prst="rect">
                        <a:avLst/>
                      </a:prstGeom>
                      <a:solidFill>
                        <a:srgbClr val="005BAC"/>
                      </a:solidFill>
                      <a:ln>
                        <a:noFill/>
                      </a:ln>
                    </wps:spPr>
                    <wps:txbx>
                      <w:txbxContent>
                        <w:p w14:paraId="43D0A7AB">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left:7pt;margin-top:771pt;height:3.95pt;width:583pt;mso-position-horizontal-relative:page;mso-position-vertical-relative:page;z-index:251660288;mso-width-relative:page;mso-height-relative:page;" fillcolor="#005BAC" filled="t" stroked="f" coordsize="21600,21600" o:gfxdata="UEsDBAoAAAAAAIdO4kAAAAAAAAAAAAAAAAAEAAAAZHJzL1BLAwQUAAAACACHTuJAXeOWrtgAAAAN&#10;AQAADwAAAGRycy9kb3ducmV2LnhtbE1PQU7DMBC8I/EHa5G4IGqnClWbxukBiUockCDhAW68jaPG&#10;dhQ7dft7tlzgtDO7o9mZcnexAzvjFHrvJGQLAQxd63XvOgnfzdvzGliIymk1eIcSrhhgV93flarQ&#10;PrkvPNexY2TiQqEkmBjHgvPQGrQqLPyIjm5HP1kViU4d15NKZG4HvhRixa3qHX0wasRXg+2pnq2E&#10;sJ+bU5M+6s/8mpLJ45z2709SPj5kYgss4iX+ieEWn6JDRZkOfnY6sIF4TlUizZd8SeimyNaC0OF3&#10;t9kAr0r+v0X1A1BLAwQUAAAACACHTuJArWeXVh0CAAA+BAAADgAAAGRycy9lMm9Eb2MueG1srVNN&#10;b9swDL0P2H8QdF9sZ0m7GXGKNEGHAV03oN0PkGU5FmaLGqXEzn79KNnNsu7Swy6C+KFHvkdqdTN0&#10;LTsqdBpMwbNZypkyEipt9gX//nT37gNnzgtTiRaMKvhJOX6zfvtm1dtczaGBtlLICMS4vLcFb7y3&#10;eZI42ahOuBlYZShYA3bCk4n7pELRE3rXJvM0vUp6wMoiSOUceXdjkE+I+BpAqGst1Q7koVPGj6io&#10;WuGJkmu0dXwdu61rJf3XunbKs7bgxNTHk4rQvQxnsl6JfI/CNlpOLYjXtPCCUye0oaJnqJ3wgh1Q&#10;/wPVaYngoPYzCV0yEomKEIssfaHNYyOsilxIamfPorv/Bysfjt+Q6arg84wzIzqa+JMaPLuFgV2/&#10;D/r01uWU9mgp0Q/kp62JXJ29B/nDMQPbRpi92iBC3yhRUX9ZeJlcPB1xXAAp+y9QUR1x8BCBhhq7&#10;IB7JwQidZnM6zyb0Isl5vUgXWUohSbFlml0tYwWRPz+26PwnBR0Ll4IjjT6Ci+O986EZkT+nhFoO&#10;Wl3d6baNBu7LbYvsKMKapMvbzXZC/yutNSHZQHg2IgZPZBmIjRT9UA6TaiVUJ+KLMK4dfTq6NIC/&#10;OOtp5Qrufh4EKs7az4Y0+5gtFmFHo7FYXs/JwMtIeRkRRhJUwT1n43Xrx70+WNT7hiqNUzKwIZ1r&#10;HTUIAxm7mvqmtYrSTF8g7O2lHbP+fPv1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F3jlq7YAAAA&#10;DQEAAA8AAAAAAAAAAQAgAAAAIgAAAGRycy9kb3ducmV2LnhtbFBLAQIUABQAAAAIAIdO4kCtZ5dW&#10;HQIAAD4EAAAOAAAAAAAAAAEAIAAAACcBAABkcnMvZTJvRG9jLnhtbFBLBQYAAAAABgAGAFkBAAC2&#10;BQAAAAA=&#10;">
              <v:fill on="t" focussize="0,0"/>
              <v:stroke on="f"/>
              <v:imagedata o:title=""/>
              <o:lock v:ext="edit" aspectratio="f"/>
              <v:textbox>
                <w:txbxContent>
                  <w:p w14:paraId="43D0A7AB">
                    <w:pPr>
                      <w:ind w:left="-180"/>
                    </w:pPr>
                  </w:p>
                </w:txbxContent>
              </v:textbox>
            </v:shape>
          </w:pict>
        </mc:Fallback>
      </mc:AlternateContent>
    </w:r>
    <w:r>
      <w:rPr>
        <w:lang w:eastAsia="zh-CN"/>
      </w:rPr>
      <mc:AlternateContent>
        <mc:Choice Requires="wps">
          <w:drawing>
            <wp:anchor distT="0" distB="0" distL="114300" distR="114300" simplePos="0" relativeHeight="251663360" behindDoc="0" locked="1" layoutInCell="1" allowOverlap="1">
              <wp:simplePos x="0" y="0"/>
              <wp:positionH relativeFrom="column">
                <wp:posOffset>-3192780</wp:posOffset>
              </wp:positionH>
              <wp:positionV relativeFrom="page">
                <wp:posOffset>9837420</wp:posOffset>
              </wp:positionV>
              <wp:extent cx="7437120" cy="807720"/>
              <wp:effectExtent l="0" t="0" r="11430" b="1143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437120" cy="807720"/>
                      </a:xfrm>
                      <a:prstGeom prst="rect">
                        <a:avLst/>
                      </a:prstGeom>
                      <a:noFill/>
                      <a:ln>
                        <a:noFill/>
                      </a:ln>
                    </wps:spPr>
                    <wps:txbx>
                      <w:txbxContent>
                        <w:tbl>
                          <w:tblPr>
                            <w:tblStyle w:val="13"/>
                            <w:tblW w:w="0" w:type="auto"/>
                            <w:tblCaption w:val="[Table_yejiao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680"/>
                          </w:tblGrid>
                          <w:tr w14:paraId="3B78B18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11583" w:type="dxa"/>
                              </w:tcPr>
                              <w:p w14:paraId="10B644C3">
                                <w:pPr>
                                  <w:pStyle w:val="143"/>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2375275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680" w:type="dxa"/>
                              </w:tcPr>
                              <w:p w14:paraId="203EC76B">
                                <w:pPr>
                                  <w:pStyle w:val="143"/>
                                  <w:rPr>
                                    <w:rFonts w:cs="Calibri"/>
                                    <w:b w:val="0"/>
                                    <w:sz w:val="21"/>
                                    <w:szCs w:val="21"/>
                                    <w:lang w:eastAsia="zh-CN"/>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60731BC8">
                          <w:pPr>
                            <w:pStyle w:val="143"/>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left:-251.4pt;margin-top:774.6pt;height:63.6pt;width:585.6pt;mso-position-vertical-relative:page;z-index:251663360;mso-width-relative:page;mso-height-relative:page;" filled="f" stroked="f" coordsize="21600,21600" o:gfxdata="UEsDBAoAAAAAAIdO4kAAAAAAAAAAAAAAAAAEAAAAZHJzL1BLAwQUAAAACACHTuJAhz43G9wAAAAO&#10;AQAADwAAAGRycy9kb3ducmV2LnhtbE2PzU7DMBCE70h9B2srcWvtRqlpQ5wKITghIdJw4OjEbhI1&#10;XofY/eHtWU70ODujmW/z3dUN7Gyn0HtUsFoKYBYbb3psFXxWr4sNsBA1Gj14tAp+bIBdMbvLdWb8&#10;BUt73seWUQmGTCvoYhwzzkPTWafD0o8WyTv4yelIcmq5mfSFyt3AEyEkd7pHWuj0aJ872xz3J6fg&#10;6QvLl/77vf4oD2VfVVuBb/Ko1P18JR6BRXuN/2H4wyd0KIip9ic0gQ0KFmuREHskZ51uE2CUkXKT&#10;AqvpJB9kCrzI+e0bxS9QSwMEFAAAAAgAh07iQKiIjKf9AQAABwQAAA4AAABkcnMvZTJvRG9jLnht&#10;bK1TTW8bIRC9V+p/QNzrtd2qtlZeR2msVJXSDynpD2BZ1ou6MHRgvev++g5gu2lyySEXNDAzj/ce&#10;w+ZqMj07KPQabMUXszlnykpotN1X/OfD7bs1Zz4I24gerKr4UXl+tX37ZjO6Ui2hg75RyAjE+nJ0&#10;Fe9CcGVReNkpI/wMnLKUbAGNCLTFfdGgGAnd9MVyPv9YjICNQ5DKezrd5SQ/IeJLAKFttVQ7kINR&#10;NmRUVL0IJMl32nm+TWzbVsnwvW29CqyvOCkNaaVLKK7jWmw3otyjcJ2WJwriJRSeaDJCW7r0ArUT&#10;QbAB9TMooyWChzbMJJgiC0mOkIrF/Ik3951wKmkhq727mO5fD1Z+O/xAppuKL8kSKwy9+IOaAvsE&#10;E1uuF9Gg0fmS6u4dVYaJEjQ2Sax3dyB/eWbhphN2r64RYeyUaIhg6iwetWYcH0Hq8Ss0dJEYAiSg&#10;qUUT3SM/GKETk+PlcSIZSYerD+9Xi0hSUm49X60oJnKFKM/dDn34rMCwGFQc6fETujjc+ZBLzyXx&#10;Mgu3uu/TAPT2vwPCjCeJfSScqYepnk5u1NAcSQdCnif6TRR0gH84G2mWKu5/DwIVZ/0XS14Q6XAO&#10;8BzU50BYSa0VD5zl8CbkAR0c6n1HyNltC9fkV6uTlGhsZnHiSfORzDjNchzAx/tU9e//bv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hz43G9wAAAAOAQAADwAAAAAAAAABACAAAAAiAAAAZHJzL2Rv&#10;d25yZXYueG1sUEsBAhQAFAAAAAgAh07iQKiIjKf9AQAABwQAAA4AAAAAAAAAAQAgAAAAKwEAAGRy&#10;cy9lMm9Eb2MueG1sUEsFBgAAAAAGAAYAWQEAAJoFAAAAAA==&#10;">
              <v:fill on="f" focussize="0,0"/>
              <v:stroke on="f"/>
              <v:imagedata o:title=""/>
              <o:lock v:ext="edit" aspectratio="f"/>
              <v:textbox inset="0mm,0mm,0mm,0mm">
                <w:txbxContent>
                  <w:tbl>
                    <w:tblPr>
                      <w:tblStyle w:val="13"/>
                      <w:tblW w:w="0" w:type="auto"/>
                      <w:tblCaption w:val="[Table_yejiao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680"/>
                    </w:tblGrid>
                    <w:tr w14:paraId="3B78B18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11583" w:type="dxa"/>
                        </w:tcPr>
                        <w:p w14:paraId="10B644C3">
                          <w:pPr>
                            <w:pStyle w:val="143"/>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2375275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680" w:type="dxa"/>
                        </w:tcPr>
                        <w:p w14:paraId="203EC76B">
                          <w:pPr>
                            <w:pStyle w:val="143"/>
                            <w:rPr>
                              <w:rFonts w:cs="Calibri"/>
                              <w:b w:val="0"/>
                              <w:sz w:val="21"/>
                              <w:szCs w:val="21"/>
                              <w:lang w:eastAsia="zh-CN"/>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60731BC8">
                    <w:pPr>
                      <w:pStyle w:val="143"/>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9B830">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18746">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1D57A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79DFE4C1">
          <w:pPr>
            <w:pStyle w:val="31"/>
            <w:framePr w:wrap="auto" w:vAnchor="margin" w:hAnchor="text" w:xAlign="left" w:yAlign="inline"/>
          </w:pPr>
          <w:r>
            <w:fldChar w:fldCharType="begin"/>
          </w:r>
          <w:r>
            <w:instrText xml:space="preserve"> DATE  \@ "d MMM yyyy"  \* MERGEFORMAT </w:instrText>
          </w:r>
          <w:r>
            <w:fldChar w:fldCharType="separate"/>
          </w:r>
          <w:r>
            <w:t>16 Mar 2026</w:t>
          </w:r>
          <w:r>
            <w:fldChar w:fldCharType="end"/>
          </w:r>
          <w:r>
            <w:tab/>
          </w:r>
          <w:r>
            <w:fldChar w:fldCharType="begin"/>
          </w:r>
          <w:r>
            <w:instrText xml:space="preserve"> PAGE </w:instrText>
          </w:r>
          <w:r>
            <w:fldChar w:fldCharType="separate"/>
          </w:r>
          <w:r>
            <w:t>2</w:t>
          </w:r>
          <w:r>
            <w:fldChar w:fldCharType="end"/>
          </w:r>
        </w:p>
      </w:tc>
    </w:tr>
  </w:tbl>
  <w:p w14:paraId="47B974EF">
    <w:pPr>
      <w:pStyle w:val="22"/>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pPr w:vertAnchor="page" w:horzAnchor="page" w:tblpX="347" w:tblpY="15481"/>
      <w:tblOverlap w:val="never"/>
      <w:tblW w:w="107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1"/>
    </w:tblGrid>
    <w:tr w14:paraId="187AB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721" w:type="dxa"/>
          <w:tcBorders>
            <w:top w:val="nil"/>
            <w:left w:val="nil"/>
            <w:bottom w:val="nil"/>
            <w:right w:val="nil"/>
          </w:tcBorders>
          <w:vAlign w:val="center"/>
        </w:tcPr>
        <w:p w14:paraId="05AEA849">
          <w:pPr>
            <w:pStyle w:val="31"/>
            <w:framePr w:wrap="auto" w:vAnchor="margin" w:hAnchor="text" w:xAlign="left" w:yAlign="inline"/>
          </w:pPr>
          <w:r>
            <w:tab/>
          </w:r>
          <w:r>
            <w:fldChar w:fldCharType="begin"/>
          </w:r>
          <w:r>
            <w:instrText xml:space="preserve"> PAGE </w:instrText>
          </w:r>
          <w:r>
            <w:fldChar w:fldCharType="separate"/>
          </w:r>
          <w:r>
            <w:t>8</w:t>
          </w:r>
          <w:r>
            <w:fldChar w:fldCharType="end"/>
          </w:r>
        </w:p>
      </w:tc>
    </w:tr>
  </w:tbl>
  <w:p w14:paraId="36CE942B">
    <w:pPr>
      <w:pStyle w:val="2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D223C">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C52F0">
    <w:pPr>
      <w:pStyle w:val="22"/>
    </w:pPr>
    <w:r>
      <w:rPr>
        <w:snapToGrid/>
      </w:rPr>
      <w:drawing>
        <wp:anchor distT="0" distB="0" distL="114300" distR="114300" simplePos="0" relativeHeight="251664384" behindDoc="0" locked="0" layoutInCell="1" allowOverlap="1">
          <wp:simplePos x="0" y="0"/>
          <wp:positionH relativeFrom="margin">
            <wp:posOffset>1752600</wp:posOffset>
          </wp:positionH>
          <wp:positionV relativeFrom="paragraph">
            <wp:posOffset>269240</wp:posOffset>
          </wp:positionV>
          <wp:extent cx="1925955" cy="651510"/>
          <wp:effectExtent l="0" t="0" r="0" b="0"/>
          <wp:wrapNone/>
          <wp:docPr id="1012953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53970"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6000" cy="651600"/>
                  </a:xfrm>
                  <a:prstGeom prst="rect">
                    <a:avLst/>
                  </a:prstGeom>
                </pic:spPr>
              </pic:pic>
            </a:graphicData>
          </a:graphic>
        </wp:anchor>
      </w:drawing>
    </w:r>
    <w:r>
      <w:rPr>
        <w:lang w:eastAsia="zh-CN"/>
      </w:rPr>
      <mc:AlternateContent>
        <mc:Choice Requires="wps">
          <w:drawing>
            <wp:anchor distT="0" distB="0" distL="114300" distR="114300" simplePos="0" relativeHeight="251661312" behindDoc="0" locked="0" layoutInCell="1" allowOverlap="1">
              <wp:simplePos x="0" y="0"/>
              <wp:positionH relativeFrom="column">
                <wp:posOffset>-2705100</wp:posOffset>
              </wp:positionH>
              <wp:positionV relativeFrom="paragraph">
                <wp:posOffset>1724660</wp:posOffset>
              </wp:positionV>
              <wp:extent cx="2291715" cy="274320"/>
              <wp:effectExtent l="0" t="0" r="0" b="0"/>
              <wp:wrapNone/>
              <wp:docPr id="30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291715" cy="274320"/>
                      </a:xfrm>
                      <a:prstGeom prst="rect">
                        <a:avLst/>
                      </a:prstGeom>
                      <a:noFill/>
                      <a:ln w="9525">
                        <a:noFill/>
                        <a:miter lim="800000"/>
                      </a:ln>
                    </wps:spPr>
                    <wps:txbx>
                      <w:txbxContent>
                        <w:tbl>
                          <w:tblPr>
                            <w:tblStyle w:val="13"/>
                            <w:tblW w:w="0" w:type="auto"/>
                            <w:tblCaption w:val="[Table_yemei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12"/>
                          </w:tblGrid>
                          <w:tr w14:paraId="55F4C5F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12" w:type="dxa"/>
                              </w:tcPr>
                              <w:p w14:paraId="677D88C4">
                                <w:pPr>
                                  <w:rPr>
                                    <w:rFonts w:eastAsia="楷体_GB2312"/>
                                    <w:color w:val="23558C"/>
                                    <w:sz w:val="20"/>
                                    <w:szCs w:val="20"/>
                                  </w:rPr>
                                </w:pPr>
                                <w:r>
                                  <w:rPr>
                                    <w:rFonts w:eastAsia="楷体_GB2312"/>
                                    <w:color w:val="FFFFFF" w:themeColor="background1"/>
                                    <w:sz w:val="20"/>
                                    <w:szCs w:val="20"/>
                                    <w14:textFill>
                                      <w14:solidFill>
                                        <w14:schemeClr w14:val="bg1"/>
                                      </w14:solidFill>
                                    </w14:textFill>
                                  </w:rPr>
                                  <w:t>[Table_yemei1]</w:t>
                                </w:r>
                              </w:p>
                            </w:tc>
                          </w:tr>
                          <w:tr w14:paraId="299B099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12" w:type="dxa"/>
                              </w:tcPr>
                              <w:p w14:paraId="2A5C14E9">
                                <w:pPr>
                                  <w:rPr>
                                    <w:color w:val="23558C"/>
                                    <w:sz w:val="20"/>
                                    <w:szCs w:val="20"/>
                                  </w:rPr>
                                </w:pPr>
                                <w:r>
                                  <w:rPr>
                                    <w:rFonts w:hint="eastAsia" w:eastAsia="楷体_GB2312"/>
                                    <w:color w:val="23558C"/>
                                    <w:sz w:val="20"/>
                                    <w:szCs w:val="20"/>
                                    <w:lang w:eastAsia="zh-CN"/>
                                  </w:rPr>
                                  <w:t>Investment Focus</w:t>
                                </w:r>
                              </w:p>
                            </w:tc>
                          </w:tr>
                        </w:tbl>
                        <w:p w14:paraId="7A91B522">
                          <w:pPr>
                            <w:rPr>
                              <w:rFonts w:eastAsia="楷体_GB2312"/>
                              <w:color w:val="23558C"/>
                              <w:sz w:val="20"/>
                              <w:szCs w:val="20"/>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13pt;margin-top:135.8pt;height:21.6pt;width:180.45pt;z-index:251661312;mso-width-relative:page;mso-height-relative:page;" filled="f" stroked="f" coordsize="21600,21600" o:gfxdata="UEsDBAoAAAAAAIdO4kAAAAAAAAAAAAAAAAAEAAAAZHJzL1BLAwQUAAAACACHTuJAc8sAY9oAAAAM&#10;AQAADwAAAGRycy9kb3ducmV2LnhtbE2PzU7DMBCE70i8g7VI3FI7IQ0lZNMDiCuI8iNxc+NtEhGv&#10;o9htwttjTvQ4mtHMN9V2sYM40eR7xwjpSoEgbpzpuUV4f3tKNiB80Gz04JgQfsjDtr68qHRp3Myv&#10;dNqFVsQS9qVG6EIYSyl905HVfuVG4ugd3GR1iHJqpZn0HMvtIDOlCml1z3Gh0yM9dNR8744W4eP5&#10;8PWZq5f20a7H2S1Ksr2TiNdXqboHEWgJ/2H4w4/oUEemvTuy8WJASPKsiGcCQnabFiBiJCnWKYg9&#10;wk2ab0DWlTw/Uf8CUEsDBBQAAAAIAIdO4kAP/NNMJgIAACsEAAAOAAAAZHJzL2Uyb0RvYy54bWyt&#10;U0tu2zAQ3RfoHQjua31i17FgOUhjpCiQfoC0B6ApyiIqcliStuQeoL1BV91033P5HB1Simukmyyq&#10;hUByOG/mvXlcXvWqJXthnQRd0mySUiI0h0rqbUk/fbx9cUmJ80xXrAUtSnoQjl6tnj9bdqYQOTTQ&#10;VsISBNGu6ExJG+9NkSSON0IxNwEjNAZrsIp53NptUlnWIbpqkzxNXyYd2MpY4MI5PF0PQToi2qcA&#10;Ql1LLtbAd0poP6Ba0TKPlFwjjaOr2G1dC+7f17UTnrQlRaY+/rEIrjfhn6yWrNhaZhrJxxbYU1p4&#10;xEkxqbHoCWrNPCM7K/+BUpJbcFD7CQeVDESiIsgiSx9pc98wIyIXlNqZk+ju/8Hyd/sPlsiqpBfp&#10;nBLNFI78+OP78efv469vJA8CdcYVeO/e4E3fv4IebRPJOnMH/LMjGm4aprfi2lroGsEqbDALmclZ&#10;6oDjAsimewsV1mE7DxGor60K6qEeBNFxOIfTcETvCcfDPF9k82xGCcdYPp9e5HF6CSseso11/rUA&#10;RcKipBaHH9HZ/s750A0rHq6EYhpuZdtGA7SadCVdzPJZTDiLKOnR7a1UJb1MwxdpsaLVI7tAaKDm&#10;+00/qrWB6oA8LQx+w9eGiwbsV0o69FpJ3Zcds4KS9o1GrRbZdBrMGTfT2RyZEXse2ZxHmOYIVVJP&#10;ybC88dHQA6dr1LSWkW4Qf+hk7BU9FFUY/R5Mer6Pt/6+8d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c8sAY9oAAAAMAQAADwAAAAAAAAABACAAAAAiAAAAZHJzL2Rvd25yZXYueG1sUEsBAhQAFAAA&#10;AAgAh07iQA/800wmAgAAKwQAAA4AAAAAAAAAAQAgAAAAKQEAAGRycy9lMm9Eb2MueG1sUEsFBgAA&#10;AAAGAAYAWQEAAMEFAAAAAA==&#10;">
              <v:fill on="f" focussize="0,0"/>
              <v:stroke on="f" miterlimit="8" joinstyle="miter"/>
              <v:imagedata o:title=""/>
              <o:lock v:ext="edit" aspectratio="f"/>
              <v:textbox>
                <w:txbxContent>
                  <w:tbl>
                    <w:tblPr>
                      <w:tblStyle w:val="13"/>
                      <w:tblW w:w="0" w:type="auto"/>
                      <w:tblCaption w:val="[Table_yemei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12"/>
                    </w:tblGrid>
                    <w:tr w14:paraId="55F4C5F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12" w:type="dxa"/>
                        </w:tcPr>
                        <w:p w14:paraId="677D88C4">
                          <w:pPr>
                            <w:rPr>
                              <w:rFonts w:eastAsia="楷体_GB2312"/>
                              <w:color w:val="23558C"/>
                              <w:sz w:val="20"/>
                              <w:szCs w:val="20"/>
                            </w:rPr>
                          </w:pPr>
                          <w:r>
                            <w:rPr>
                              <w:rFonts w:eastAsia="楷体_GB2312"/>
                              <w:color w:val="FFFFFF" w:themeColor="background1"/>
                              <w:sz w:val="20"/>
                              <w:szCs w:val="20"/>
                              <w14:textFill>
                                <w14:solidFill>
                                  <w14:schemeClr w14:val="bg1"/>
                                </w14:solidFill>
                              </w14:textFill>
                            </w:rPr>
                            <w:t>[Table_yemei1]</w:t>
                          </w:r>
                        </w:p>
                      </w:tc>
                    </w:tr>
                    <w:tr w14:paraId="299B099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12" w:type="dxa"/>
                        </w:tcPr>
                        <w:p w14:paraId="2A5C14E9">
                          <w:pPr>
                            <w:rPr>
                              <w:color w:val="23558C"/>
                              <w:sz w:val="20"/>
                              <w:szCs w:val="20"/>
                            </w:rPr>
                          </w:pPr>
                          <w:r>
                            <w:rPr>
                              <w:rFonts w:hint="eastAsia" w:eastAsia="楷体_GB2312"/>
                              <w:color w:val="23558C"/>
                              <w:sz w:val="20"/>
                              <w:szCs w:val="20"/>
                              <w:lang w:eastAsia="zh-CN"/>
                            </w:rPr>
                            <w:t>Investment Focus</w:t>
                          </w:r>
                        </w:p>
                      </w:tc>
                    </w:tr>
                  </w:tbl>
                  <w:p w14:paraId="7A91B522">
                    <w:pPr>
                      <w:rPr>
                        <w:rFonts w:eastAsia="楷体_GB2312"/>
                        <w:color w:val="23558C"/>
                        <w:sz w:val="20"/>
                        <w:szCs w:val="20"/>
                      </w:rPr>
                    </w:pPr>
                  </w:p>
                </w:txbxContent>
              </v:textbox>
            </v:shape>
          </w:pict>
        </mc:Fallback>
      </mc:AlternateContent>
    </w:r>
    <w:r>
      <w:rPr>
        <w:lang w:eastAsia="zh-CN"/>
      </w:rPr>
      <w:drawing>
        <wp:anchor distT="0" distB="0" distL="114300" distR="114300" simplePos="0" relativeHeight="251662336" behindDoc="1" locked="0" layoutInCell="1" allowOverlap="1">
          <wp:simplePos x="0" y="0"/>
          <wp:positionH relativeFrom="column">
            <wp:posOffset>-3052445</wp:posOffset>
          </wp:positionH>
          <wp:positionV relativeFrom="paragraph">
            <wp:posOffset>1760220</wp:posOffset>
          </wp:positionV>
          <wp:extent cx="356235" cy="179705"/>
          <wp:effectExtent l="0" t="0" r="5715"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356400" cy="180000"/>
                  </a:xfrm>
                  <a:prstGeom prst="rect">
                    <a:avLst/>
                  </a:prstGeom>
                </pic:spPr>
              </pic:pic>
            </a:graphicData>
          </a:graphic>
        </wp:anchor>
      </w:drawing>
    </w:r>
    <w:r>
      <w:rPr>
        <w:lang w:eastAsia="zh-CN"/>
      </w:rPr>
      <mc:AlternateContent>
        <mc:Choice Requires="wps">
          <w:drawing>
            <wp:anchor distT="0" distB="0" distL="114300" distR="114300" simplePos="0" relativeHeight="251659264" behindDoc="0" locked="0" layoutInCell="1" hidden="1" allowOverlap="1">
              <wp:simplePos x="0" y="0"/>
              <wp:positionH relativeFrom="page">
                <wp:posOffset>234950</wp:posOffset>
              </wp:positionH>
              <wp:positionV relativeFrom="page">
                <wp:posOffset>174625</wp:posOffset>
              </wp:positionV>
              <wp:extent cx="2962275" cy="385445"/>
              <wp:effectExtent l="0" t="3175" r="3175" b="1905"/>
              <wp:wrapNone/>
              <wp:docPr id="24" name="shLogo_HTI" hidden="1"/>
              <wp:cNvGraphicFramePr/>
              <a:graphic xmlns:a="http://schemas.openxmlformats.org/drawingml/2006/main">
                <a:graphicData uri="http://schemas.microsoft.com/office/word/2010/wordprocessingShape">
                  <wps:wsp>
                    <wps:cNvSpPr txBox="1">
                      <a:spLocks noChangeArrowheads="1"/>
                    </wps:cNvSpPr>
                    <wps:spPr bwMode="auto">
                      <a:xfrm>
                        <a:off x="0" y="0"/>
                        <a:ext cx="2962275" cy="385445"/>
                      </a:xfrm>
                      <a:prstGeom prst="rect">
                        <a:avLst/>
                      </a:prstGeom>
                      <a:solidFill>
                        <a:srgbClr val="005BAC"/>
                      </a:solidFill>
                      <a:ln>
                        <a:noFill/>
                      </a:ln>
                    </wps:spPr>
                    <wps:txbx>
                      <w:txbxContent>
                        <w:p w14:paraId="7A1EF066">
                          <w:pPr>
                            <w:pStyle w:val="22"/>
                            <w:spacing w:before="120"/>
                            <w:rPr>
                              <w:color w:val="FFFFFF"/>
                              <w:sz w:val="32"/>
                              <w:szCs w:val="32"/>
                            </w:rPr>
                          </w:pPr>
                          <w:r>
                            <w:rPr>
                              <w:color w:val="FFFFFF"/>
                              <w:sz w:val="32"/>
                              <w:szCs w:val="32"/>
                            </w:rPr>
                            <w:t xml:space="preserve">Equity – </w:t>
                          </w:r>
                          <w:r>
                            <w:rPr>
                              <w:rFonts w:hint="eastAsia"/>
                              <w:color w:val="FFFFFF"/>
                              <w:sz w:val="32"/>
                              <w:szCs w:val="32"/>
                            </w:rPr>
                            <w:t>Asia</w:t>
                          </w:r>
                          <w:r>
                            <w:rPr>
                              <w:color w:val="FFFFFF"/>
                              <w:sz w:val="32"/>
                              <w:szCs w:val="32"/>
                            </w:rPr>
                            <w:t xml:space="preserve"> Research</w:t>
                          </w:r>
                        </w:p>
                        <w:p w14:paraId="0FF974FD"/>
                      </w:txbxContent>
                    </wps:txbx>
                    <wps:bodyPr rot="0" vert="horz" wrap="square" lIns="74295" tIns="0" rIns="74295" bIns="0" anchor="ctr" anchorCtr="0" upright="1">
                      <a:noAutofit/>
                    </wps:bodyPr>
                  </wps:wsp>
                </a:graphicData>
              </a:graphic>
            </wp:anchor>
          </w:drawing>
        </mc:Choice>
        <mc:Fallback>
          <w:pict>
            <v:shape id="shLogo_HTI" o:spid="_x0000_s1026" o:spt="202" type="#_x0000_t202" style="position:absolute;left:0pt;margin-left:18.5pt;margin-top:13.75pt;height:30.35pt;width:233.25pt;mso-position-horizontal-relative:page;mso-position-vertical-relative:page;visibility:hidden;z-index:251659264;v-text-anchor:middle;mso-width-relative:page;mso-height-relative:page;" fillcolor="#005BAC" filled="t" stroked="f" coordsize="21600,21600" o:gfxdata="UEsDBAoAAAAAAIdO4kAAAAAAAAAAAAAAAAAEAAAAZHJzL1BLAwQUAAAACACHTuJAystNOtgAAAAI&#10;AQAADwAAAGRycy9kb3ducmV2LnhtbE2PzU7DMBCE70i8g7VIXBC1k9I2CnF6qMSBCxIBJI5uvMQW&#10;/gmx04a3Z7kgbjua0ew3zX7xjp1wSjYGCcVKAMPQR23DIOH15eG2ApayClq5GFDCNybYt5cXjap1&#10;PIdnPHV5YFQSUq0kmJzHmvPUG/QqreKIgbyPOHmVSU4D15M6U7l3vBRiy72ygT4YNeLBYP/ZzV7C&#10;kg82b7/ehzfr7qbCzE/d43Ij5fVVIe6BZaTAXxh+8QkdWmI6xjnoxJyE9Y6mZAnlbgOM/I1Y03GU&#10;UFUl8Lbh/we0P1BLAwQUAAAACACHTuJAGNvJUiMCAABDBAAADgAAAGRycy9lMm9Eb2MueG1srVNN&#10;b9swDL0P2H8QdF+cekk/jDhFmqBbge4DaHceFFm2hdmiRimx018/SnayoLv0sIsgUuQj3yO1uO3b&#10;hu0VOg0m5xeTKWfKSCi0qXL+4/n+wzVnzgtTiAaMyvlBOX67fP9u0dlMpVBDUyhkBGJc1tmc197b&#10;LEmcrFUr3ASsMvRYArbCk4lVUqDoCL1tknQ6vUw6wMIiSOUceTfDIx8R8S2AUJZaqg3IXauMH1BR&#10;NcITJVdr6/gydluWSvpvZemUZ03OiamPJxWh+zacyXIhsgqFrbUcWxBvaeEVp1ZoQ0VPUBvhBduh&#10;/geq1RLBQeknEtpkIBIVIRYX01faPNXCqsiFpHb2JLr7f7Dy6/47Ml3kPJ1xZkRLE3f1I1Tw8/Pz&#10;A2e1LgoV9iQo1VmXUcKTpRTf30Ef/IG1s48gfzlmYF0LU6kVInS1EgV1GjOTs9QBxwWQbfcFCqoo&#10;dh4iUF9iGwBJGEboNKXDaUqq90ySM725TNOrOWeS3j5ez2ezeWguEdkx26LznxS0LFxyjrQFEV3s&#10;H50fQo8hsXtodHGvmyYaWG3XDbK9CBsznd+t1iO6Ow9rTAg2ENIGxOCJNAOzgaPvt/0o2xaKAxFG&#10;GDaQ/h9dasAXzjraPhL9906g4qx5MCTa1Sy9IYY+GqQCnnu3R68wkiByLj1yNhhrPyz3zqKuaqox&#10;DMjAiiQudWQfZjH0M3ZMuxX1G/9BWN5zO0b9/fvL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rL&#10;TTrYAAAACAEAAA8AAAAAAAAAAQAgAAAAIgAAAGRycy9kb3ducmV2LnhtbFBLAQIUABQAAAAIAIdO&#10;4kAY28lSIwIAAEMEAAAOAAAAAAAAAAEAIAAAACcBAABkcnMvZTJvRG9jLnhtbFBLBQYAAAAABgAG&#10;AFkBAAC8BQAAAAA=&#10;">
              <v:fill on="t" focussize="0,0"/>
              <v:stroke on="f"/>
              <v:imagedata o:title=""/>
              <o:lock v:ext="edit" aspectratio="f"/>
              <v:textbox inset="2.06375mm,0mm,2.06375mm,0mm">
                <w:txbxContent>
                  <w:p w14:paraId="7A1EF066">
                    <w:pPr>
                      <w:pStyle w:val="22"/>
                      <w:spacing w:before="120"/>
                      <w:rPr>
                        <w:color w:val="FFFFFF"/>
                        <w:sz w:val="32"/>
                        <w:szCs w:val="32"/>
                      </w:rPr>
                    </w:pPr>
                    <w:r>
                      <w:rPr>
                        <w:color w:val="FFFFFF"/>
                        <w:sz w:val="32"/>
                        <w:szCs w:val="32"/>
                      </w:rPr>
                      <w:t xml:space="preserve">Equity – </w:t>
                    </w:r>
                    <w:r>
                      <w:rPr>
                        <w:rFonts w:hint="eastAsia"/>
                        <w:color w:val="FFFFFF"/>
                        <w:sz w:val="32"/>
                        <w:szCs w:val="32"/>
                      </w:rPr>
                      <w:t>Asia</w:t>
                    </w:r>
                    <w:r>
                      <w:rPr>
                        <w:color w:val="FFFFFF"/>
                        <w:sz w:val="32"/>
                        <w:szCs w:val="32"/>
                      </w:rPr>
                      <w:t xml:space="preserve"> Research</w:t>
                    </w:r>
                  </w:p>
                  <w:p w14:paraId="0FF974FD"/>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FF23EF">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4CFB4">
    <w:pPr>
      <w:pStyle w:val="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3"/>
      <w:tblpPr w:leftFromText="180" w:rightFromText="180" w:vertAnchor="text" w:tblpX="-3312" w:tblpY="1"/>
      <w:tblOverlap w:val="never"/>
      <w:tblW w:w="10774" w:type="dxa"/>
      <w:tblCaption w:val="[Table_header1]"/>
      <w:tblDescription w:val="表格隐藏标识（请勿删除或修改）"/>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466"/>
      <w:gridCol w:w="4308"/>
    </w:tblGrid>
    <w:tr w14:paraId="7341FE47">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466" w:type="dxa"/>
          <w:tcBorders>
            <w:top w:val="nil"/>
            <w:bottom w:val="nil"/>
          </w:tcBorders>
          <w:vAlign w:val="center"/>
        </w:tcPr>
        <w:p w14:paraId="354888BE">
          <w:pPr>
            <w:pStyle w:val="22"/>
            <w:rPr>
              <w:rFonts w:eastAsia="楷体_GB2312"/>
              <w:color w:val="005BAC"/>
              <w:sz w:val="24"/>
              <w:szCs w:val="24"/>
            </w:rPr>
          </w:pPr>
          <w:r>
            <w:rPr>
              <w:rFonts w:eastAsia="楷体_GB2312"/>
              <w:color w:val="FFFFFF" w:themeColor="background1"/>
              <w:sz w:val="24"/>
              <w:szCs w:val="24"/>
              <w14:textFill>
                <w14:solidFill>
                  <w14:schemeClr w14:val="bg1"/>
                </w14:solidFill>
              </w14:textFill>
            </w:rPr>
            <w:t>[Table_header1]</w:t>
          </w:r>
        </w:p>
      </w:tc>
      <w:tc>
        <w:tcPr>
          <w:tcW w:w="4308" w:type="dxa"/>
          <w:tcBorders>
            <w:top w:val="nil"/>
            <w:bottom w:val="nil"/>
          </w:tcBorders>
          <w:vAlign w:val="center"/>
        </w:tcPr>
        <w:p w14:paraId="3AB2AA74">
          <w:pPr>
            <w:pStyle w:val="22"/>
            <w:jc w:val="right"/>
            <w:rPr>
              <w:rStyle w:val="64"/>
              <w:rFonts w:eastAsia="楷体_GB2312"/>
              <w:color w:val="005BAC"/>
              <w:sz w:val="24"/>
              <w:lang w:eastAsia="zh-CN"/>
            </w:rPr>
          </w:pPr>
        </w:p>
      </w:tc>
    </w:tr>
    <w:tr w14:paraId="4BFB4A0E">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466" w:type="dxa"/>
          <w:tcBorders>
            <w:top w:val="nil"/>
          </w:tcBorders>
          <w:vAlign w:val="center"/>
        </w:tcPr>
        <w:p w14:paraId="45C4D757">
          <w:pPr>
            <w:pStyle w:val="22"/>
            <w:rPr>
              <w:rFonts w:eastAsia="楷体_GB2312" w:cs="Calibri"/>
              <w:color w:val="005BAC"/>
              <w:sz w:val="24"/>
              <w:szCs w:val="24"/>
              <w:lang w:eastAsia="zh-CN"/>
            </w:rPr>
          </w:pPr>
          <w:r>
            <w:rPr>
              <w:rFonts w:ascii="Calibri" w:eastAsia="楷体_GB2312"/>
              <w:b/>
              <w:i w:val="0"/>
              <w:color w:val="215E99"/>
              <w:sz w:val="24"/>
            </w:rPr>
            <w:t>L'Oréal Group(OR PA)</w:t>
          </w:r>
        </w:p>
      </w:tc>
      <w:tc>
        <w:tcPr>
          <w:tcW w:w="4308" w:type="dxa"/>
          <w:tcBorders>
            <w:top w:val="nil"/>
          </w:tcBorders>
          <w:vAlign w:val="center"/>
        </w:tcPr>
        <w:p w14:paraId="2B85EDAA">
          <w:pPr>
            <w:pStyle w:val="22"/>
            <w:wordWrap w:val="0"/>
            <w:jc w:val="right"/>
            <w:rPr>
              <w:rStyle w:val="64"/>
              <w:rFonts w:eastAsia="楷体_GB2312" w:cs="Calibri"/>
              <w:color w:val="005BAC"/>
              <w:sz w:val="24"/>
              <w:lang w:eastAsia="zh-CN"/>
            </w:rPr>
          </w:pPr>
          <w:r>
            <w:rPr>
              <w:rFonts w:ascii="Calibri" w:eastAsia="楷体_GB2312"/>
              <w:b/>
              <w:i w:val="0"/>
              <w:color w:val="215E99"/>
              <w:sz w:val="24"/>
            </w:rPr>
            <w:t>Initiate with OUTPERFORM</w:t>
          </w:r>
        </w:p>
      </w:tc>
    </w:tr>
  </w:tbl>
  <w:p w14:paraId="06552642">
    <w:pPr>
      <w:pStyle w:val="22"/>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1C4B3">
    <w:pPr>
      <w:pStyle w:val="22"/>
      <w:spacing w:line="360" w:lineRule="auto"/>
    </w:pPr>
  </w:p>
  <w:p w14:paraId="7FAD4701">
    <w:pPr>
      <w:pStyle w:val="22"/>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3D2D97">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935DA5"/>
    <w:multiLevelType w:val="multilevel"/>
    <w:tmpl w:val="03935DA5"/>
    <w:lvl w:ilvl="0" w:tentative="0">
      <w:start w:val="1"/>
      <w:numFmt w:val="bullet"/>
      <w:pStyle w:val="28"/>
      <w:lvlText w:val=""/>
      <w:lvlJc w:val="left"/>
      <w:pPr>
        <w:ind w:left="720" w:hanging="360"/>
      </w:pPr>
      <w:rPr>
        <w:rFonts w:hint="default" w:ascii="Wingdings" w:hAnsi="Wingdings"/>
        <w:b w:val="0"/>
        <w:i w:val="0"/>
        <w:color w:val="3333AD"/>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4957F20"/>
    <w:multiLevelType w:val="multilevel"/>
    <w:tmpl w:val="04957F20"/>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14AA7E4D"/>
    <w:multiLevelType w:val="multilevel"/>
    <w:tmpl w:val="14AA7E4D"/>
    <w:lvl w:ilvl="0" w:tentative="0">
      <w:start w:val="1"/>
      <w:numFmt w:val="decimal"/>
      <w:lvlText w:val="%1)"/>
      <w:lvlJc w:val="left"/>
      <w:pPr>
        <w:ind w:left="360" w:hanging="360"/>
      </w:pPr>
      <w:rPr>
        <w:rFonts w:hint="default" w:eastAsiaTheme="minor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331A2D25"/>
    <w:multiLevelType w:val="multilevel"/>
    <w:tmpl w:val="331A2D25"/>
    <w:lvl w:ilvl="0" w:tentative="0">
      <w:start w:val="1"/>
      <w:numFmt w:val="bullet"/>
      <w:pStyle w:val="57"/>
      <w:lvlText w:val=""/>
      <w:lvlJc w:val="left"/>
      <w:pPr>
        <w:ind w:left="720" w:hanging="360"/>
      </w:pPr>
      <w:rPr>
        <w:rFonts w:hint="default" w:ascii="Wingdings" w:hAnsi="Wingdings"/>
        <w:b w:val="0"/>
        <w:i w:val="0"/>
        <w:color w:val="A5879B"/>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3BBF48C1"/>
    <w:multiLevelType w:val="multilevel"/>
    <w:tmpl w:val="3BBF48C1"/>
    <w:lvl w:ilvl="0" w:tentative="0">
      <w:start w:val="1"/>
      <w:numFmt w:val="bullet"/>
      <w:pStyle w:val="103"/>
      <w:lvlText w:val=""/>
      <w:lvlJc w:val="left"/>
      <w:pPr>
        <w:ind w:left="480" w:hanging="4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5">
    <w:nsid w:val="41772804"/>
    <w:multiLevelType w:val="multilevel"/>
    <w:tmpl w:val="41772804"/>
    <w:lvl w:ilvl="0" w:tentative="0">
      <w:start w:val="1"/>
      <w:numFmt w:val="bullet"/>
      <w:pStyle w:val="56"/>
      <w:lvlText w:val=""/>
      <w:lvlJc w:val="left"/>
      <w:pPr>
        <w:ind w:left="720" w:hanging="360"/>
      </w:pPr>
      <w:rPr>
        <w:rFonts w:hint="default" w:ascii="Wingdings" w:hAnsi="Wingdings"/>
        <w:b w:val="0"/>
        <w:i w:val="0"/>
        <w:color w:val="99CCFF"/>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479321DC"/>
    <w:multiLevelType w:val="multilevel"/>
    <w:tmpl w:val="479321DC"/>
    <w:lvl w:ilvl="0" w:tentative="0">
      <w:start w:val="1"/>
      <w:numFmt w:val="bullet"/>
      <w:pStyle w:val="19"/>
      <w:lvlText w:val=""/>
      <w:lvlJc w:val="left"/>
      <w:pPr>
        <w:ind w:left="720" w:hanging="360"/>
      </w:pPr>
      <w:rPr>
        <w:rFonts w:hint="default" w:ascii="Wingdings 3" w:hAnsi="Wingdings 3"/>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4EDF7737"/>
    <w:multiLevelType w:val="multilevel"/>
    <w:tmpl w:val="4EDF773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8">
    <w:nsid w:val="56F37A37"/>
    <w:multiLevelType w:val="multilevel"/>
    <w:tmpl w:val="56F37A37"/>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662B5102"/>
    <w:multiLevelType w:val="multilevel"/>
    <w:tmpl w:val="662B5102"/>
    <w:lvl w:ilvl="0" w:tentative="0">
      <w:start w:val="1"/>
      <w:numFmt w:val="bullet"/>
      <w:pStyle w:val="88"/>
      <w:lvlText w:val=""/>
      <w:lvlJc w:val="left"/>
      <w:pPr>
        <w:ind w:left="280" w:hanging="2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10">
    <w:nsid w:val="6C4E34EC"/>
    <w:multiLevelType w:val="multilevel"/>
    <w:tmpl w:val="6C4E34EC"/>
    <w:lvl w:ilvl="0" w:tentative="0">
      <w:start w:val="1"/>
      <w:numFmt w:val="bullet"/>
      <w:pStyle w:val="55"/>
      <w:lvlText w:val=""/>
      <w:lvlJc w:val="left"/>
      <w:pPr>
        <w:ind w:left="720" w:hanging="360"/>
      </w:pPr>
      <w:rPr>
        <w:rFonts w:hint="default" w:ascii="Wingdings" w:hAnsi="Wingdings"/>
        <w:b w:val="0"/>
        <w:i w:val="0"/>
        <w:color w:val="86C091"/>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6"/>
  </w:num>
  <w:num w:numId="2">
    <w:abstractNumId w:val="0"/>
  </w:num>
  <w:num w:numId="3">
    <w:abstractNumId w:val="10"/>
  </w:num>
  <w:num w:numId="4">
    <w:abstractNumId w:val="5"/>
  </w:num>
  <w:num w:numId="5">
    <w:abstractNumId w:val="3"/>
  </w:num>
  <w:num w:numId="6">
    <w:abstractNumId w:val="9"/>
  </w:num>
  <w:num w:numId="7">
    <w:abstractNumId w:val="4"/>
  </w:num>
  <w:num w:numId="8">
    <w:abstractNumId w:val="2"/>
  </w:num>
  <w:num w:numId="9">
    <w:abstractNumId w:val="1"/>
  </w:num>
  <w:num w:numId="10">
    <w:abstractNumId w:val="8"/>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attachedTemplate r:id="rId1"/>
  <w:documentProtection w:enforcement="0"/>
  <w:defaultTabStop w:val="403"/>
  <w:drawingGridHorizontalSpacing w:val="80"/>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PWAFNeedToUniquify" w:val="false"/>
    <w:docVar w:name="APWAFVersion" w:val="5.0"/>
    <w:docVar w:name="EFAAccountID" w:val="1010"/>
    <w:docVar w:name="EFAAnnMonth" w:val="12"/>
    <w:docVar w:name="EFAAnnualise" w:val="False"/>
    <w:docVar w:name="EFAAuthorEmails" w:val="amber.lh.zhou@htisec.com"/>
    <w:docVar w:name="EFAAuthorIDs" w:val="2106"/>
    <w:docVar w:name="EFAAuthorNames" w:val="Amber Zhou"/>
    <w:docVar w:name="EFAComputerName" w:val="DESKTOP-MVATU3E"/>
    <w:docVar w:name="EFACoName" w:val="AAC Technologies Holdings"/>
    <w:docVar w:name="EFACorpID" w:val="846"/>
    <w:docVar w:name="EFACorpMentionIDs" w:val="846"/>
    <w:docVar w:name="EFACorpMentionNames" w:val="AAC Technologies Holdings"/>
    <w:docVar w:name="EFACorpMentionShortNames" w:val="AAC Technologies Holdings"/>
    <w:docVar w:name="EFACoShortName" w:val="AAC Technologies Holdings"/>
    <w:docVar w:name="EFACustomLink_SCNetVisit" w:val="http://equities.htisec.com/x/research?isin="/>
    <w:docVar w:name="EFACustomTextShowHideStyle" w:val="EFATxtHTIPortfolios|EFAFP_Tagging|EFAHiddenText%%EFATxtHTIThemes|EFAFP_Tagging|EFAHiddenText%%EFATxtSCNetVisits|EFATagging|EFAHiddenText"/>
    <w:docVar w:name="EFADefaultPriceDate" w:val="True"/>
    <w:docVar w:name="EFADevData" w:val="False"/>
    <w:docVar w:name="EFADisclaimerHiddenTextStyle" w:val="EFADisclaimerHiddenText"/>
    <w:docVar w:name="EFADisclaimerTextStyle" w:val="EFADisclaimerText"/>
    <w:docVar w:name="EFADocID" w:val="39600"/>
    <w:docVar w:name="EFADocTemplateVer" w:val="HaiTong"/>
    <w:docVar w:name="EFAExcelVersion" w:val="14"/>
    <w:docVar w:name="EFAFirstIntOffset" w:val="1"/>
    <w:docVar w:name="EFAIndustryID" w:val="19"/>
    <w:docVar w:name="EFAIntEndYear" w:val="0"/>
    <w:docVar w:name="EFAIntPeriodNumber" w:val="0"/>
    <w:docVar w:name="EFAIntStartYear" w:val="0"/>
    <w:docVar w:name="EFALanguageID" w:val="2057"/>
    <w:docVar w:name="EFALastRefreshDate" w:val="20190903 09:07:58"/>
    <w:docVar w:name="EFALogonSvr" w:val="\\DESKTOP-MVATU3E"/>
    <w:docVar w:name="EFAMarket" w:val="HK"/>
    <w:docVar w:name="EFAModel" w:val="INDUSTRIAL"/>
    <w:docVar w:name="EFAOperatingSys" w:val="Windows_NT"/>
    <w:docVar w:name="EFAPageCount" w:val="8"/>
    <w:docVar w:name="EFAPriceDate" w:val="20190902 00:00:00"/>
    <w:docVar w:name="EFASectorID" w:val="5"/>
    <w:docVar w:name="EFASecurityID" w:val="2018 HK"/>
    <w:docVar w:name="EFASecurityIndex" w:val="842"/>
    <w:docVar w:name="EFAStartYear" w:val="0"/>
    <w:docVar w:name="EFATemplate" w:val="The Scoop - HTI.dotx"/>
    <w:docVar w:name="EFATemplateID" w:val="201"/>
    <w:docVar w:name="EFAUnits" w:val="Use Default"/>
    <w:docVar w:name="EFAUseIntTables" w:val="False"/>
    <w:docVar w:name="EFAUserID" w:val="2106"/>
    <w:docVar w:name="EFAUserName" w:val="Amber Zhou"/>
    <w:docVar w:name="EFAUsrDomain" w:val="DESKTOP-MVATU3E"/>
    <w:docVar w:name="EFAWinUserName" w:val="HaiTong-Amber Zhou"/>
    <w:docVar w:name="EFAWordVersion" w:val="14"/>
  </w:docVars>
  <w:rsids>
    <w:rsidRoot w:val="004917E9"/>
    <w:rsid w:val="0000020F"/>
    <w:rsid w:val="00001979"/>
    <w:rsid w:val="000019ED"/>
    <w:rsid w:val="00001C0E"/>
    <w:rsid w:val="00002DDC"/>
    <w:rsid w:val="00003317"/>
    <w:rsid w:val="000038CE"/>
    <w:rsid w:val="00003E75"/>
    <w:rsid w:val="00004053"/>
    <w:rsid w:val="00004FB5"/>
    <w:rsid w:val="000063F1"/>
    <w:rsid w:val="0000703D"/>
    <w:rsid w:val="00007318"/>
    <w:rsid w:val="00010774"/>
    <w:rsid w:val="0001184F"/>
    <w:rsid w:val="000130D9"/>
    <w:rsid w:val="00013244"/>
    <w:rsid w:val="0001353C"/>
    <w:rsid w:val="00013C0A"/>
    <w:rsid w:val="000145D2"/>
    <w:rsid w:val="000146CB"/>
    <w:rsid w:val="00014903"/>
    <w:rsid w:val="000171D2"/>
    <w:rsid w:val="000201AE"/>
    <w:rsid w:val="00020B7A"/>
    <w:rsid w:val="00021DAC"/>
    <w:rsid w:val="00021DD0"/>
    <w:rsid w:val="000228DF"/>
    <w:rsid w:val="00022C11"/>
    <w:rsid w:val="00023367"/>
    <w:rsid w:val="000234C5"/>
    <w:rsid w:val="000235E3"/>
    <w:rsid w:val="0002434D"/>
    <w:rsid w:val="00024F59"/>
    <w:rsid w:val="0002500A"/>
    <w:rsid w:val="000251C8"/>
    <w:rsid w:val="000255D9"/>
    <w:rsid w:val="00025E71"/>
    <w:rsid w:val="00025F59"/>
    <w:rsid w:val="000267AC"/>
    <w:rsid w:val="00026B55"/>
    <w:rsid w:val="00026DCC"/>
    <w:rsid w:val="00027183"/>
    <w:rsid w:val="00027FEF"/>
    <w:rsid w:val="00032B31"/>
    <w:rsid w:val="00033DF7"/>
    <w:rsid w:val="000347D5"/>
    <w:rsid w:val="00035535"/>
    <w:rsid w:val="00035E45"/>
    <w:rsid w:val="0003686B"/>
    <w:rsid w:val="00041A6F"/>
    <w:rsid w:val="0004283E"/>
    <w:rsid w:val="00043062"/>
    <w:rsid w:val="00043657"/>
    <w:rsid w:val="0004399F"/>
    <w:rsid w:val="00044570"/>
    <w:rsid w:val="00047D52"/>
    <w:rsid w:val="000516AD"/>
    <w:rsid w:val="00051EC9"/>
    <w:rsid w:val="00052DCF"/>
    <w:rsid w:val="00053BBB"/>
    <w:rsid w:val="00053F18"/>
    <w:rsid w:val="00054224"/>
    <w:rsid w:val="00054231"/>
    <w:rsid w:val="0005444B"/>
    <w:rsid w:val="00054451"/>
    <w:rsid w:val="000548F3"/>
    <w:rsid w:val="000551D4"/>
    <w:rsid w:val="00055381"/>
    <w:rsid w:val="0005652E"/>
    <w:rsid w:val="00056B03"/>
    <w:rsid w:val="00057779"/>
    <w:rsid w:val="00062452"/>
    <w:rsid w:val="00062CC5"/>
    <w:rsid w:val="00063976"/>
    <w:rsid w:val="00063EA0"/>
    <w:rsid w:val="000640E9"/>
    <w:rsid w:val="00064BEB"/>
    <w:rsid w:val="00065200"/>
    <w:rsid w:val="000662BB"/>
    <w:rsid w:val="00066838"/>
    <w:rsid w:val="00067C6F"/>
    <w:rsid w:val="000700E0"/>
    <w:rsid w:val="00070B53"/>
    <w:rsid w:val="0007309A"/>
    <w:rsid w:val="00073BEB"/>
    <w:rsid w:val="000746CD"/>
    <w:rsid w:val="0007570F"/>
    <w:rsid w:val="00075771"/>
    <w:rsid w:val="00077BA0"/>
    <w:rsid w:val="00080296"/>
    <w:rsid w:val="000810B3"/>
    <w:rsid w:val="00081E65"/>
    <w:rsid w:val="00085E3F"/>
    <w:rsid w:val="000860EA"/>
    <w:rsid w:val="00086E96"/>
    <w:rsid w:val="0008775D"/>
    <w:rsid w:val="0009175B"/>
    <w:rsid w:val="00091895"/>
    <w:rsid w:val="00091AFF"/>
    <w:rsid w:val="000920C4"/>
    <w:rsid w:val="00092279"/>
    <w:rsid w:val="000924C1"/>
    <w:rsid w:val="00093274"/>
    <w:rsid w:val="00094A4C"/>
    <w:rsid w:val="00094B1D"/>
    <w:rsid w:val="00094FAC"/>
    <w:rsid w:val="000958A7"/>
    <w:rsid w:val="000964A0"/>
    <w:rsid w:val="000964CE"/>
    <w:rsid w:val="00096909"/>
    <w:rsid w:val="00096986"/>
    <w:rsid w:val="00096A8E"/>
    <w:rsid w:val="00096FC5"/>
    <w:rsid w:val="000974BE"/>
    <w:rsid w:val="00097FD4"/>
    <w:rsid w:val="000A0458"/>
    <w:rsid w:val="000A0550"/>
    <w:rsid w:val="000A07D7"/>
    <w:rsid w:val="000A2C9D"/>
    <w:rsid w:val="000A30E9"/>
    <w:rsid w:val="000A461B"/>
    <w:rsid w:val="000A52C2"/>
    <w:rsid w:val="000A6794"/>
    <w:rsid w:val="000A6EAE"/>
    <w:rsid w:val="000A6FBA"/>
    <w:rsid w:val="000A7E66"/>
    <w:rsid w:val="000B13C1"/>
    <w:rsid w:val="000B18D6"/>
    <w:rsid w:val="000B2336"/>
    <w:rsid w:val="000B465C"/>
    <w:rsid w:val="000B5622"/>
    <w:rsid w:val="000B6286"/>
    <w:rsid w:val="000B7DE2"/>
    <w:rsid w:val="000C02F6"/>
    <w:rsid w:val="000C1F65"/>
    <w:rsid w:val="000C2E9E"/>
    <w:rsid w:val="000C3D03"/>
    <w:rsid w:val="000C627B"/>
    <w:rsid w:val="000C6614"/>
    <w:rsid w:val="000C7E1A"/>
    <w:rsid w:val="000D158C"/>
    <w:rsid w:val="000D1903"/>
    <w:rsid w:val="000D19B0"/>
    <w:rsid w:val="000D1A3C"/>
    <w:rsid w:val="000D2D34"/>
    <w:rsid w:val="000D576C"/>
    <w:rsid w:val="000D61EA"/>
    <w:rsid w:val="000E1100"/>
    <w:rsid w:val="000E1A93"/>
    <w:rsid w:val="000E1FB8"/>
    <w:rsid w:val="000E35E3"/>
    <w:rsid w:val="000E38B5"/>
    <w:rsid w:val="000E3BD4"/>
    <w:rsid w:val="000E3E8B"/>
    <w:rsid w:val="000E4F8C"/>
    <w:rsid w:val="000E5287"/>
    <w:rsid w:val="000E5D6F"/>
    <w:rsid w:val="000E664D"/>
    <w:rsid w:val="000F2165"/>
    <w:rsid w:val="000F240F"/>
    <w:rsid w:val="000F2DBB"/>
    <w:rsid w:val="000F3079"/>
    <w:rsid w:val="000F344B"/>
    <w:rsid w:val="000F3823"/>
    <w:rsid w:val="000F445A"/>
    <w:rsid w:val="000F4524"/>
    <w:rsid w:val="000F48CA"/>
    <w:rsid w:val="000F4B02"/>
    <w:rsid w:val="000F4E66"/>
    <w:rsid w:val="000F520F"/>
    <w:rsid w:val="000F587B"/>
    <w:rsid w:val="000F58C6"/>
    <w:rsid w:val="000F5BDB"/>
    <w:rsid w:val="000F6139"/>
    <w:rsid w:val="000F626D"/>
    <w:rsid w:val="000F6300"/>
    <w:rsid w:val="000F6823"/>
    <w:rsid w:val="00103CDB"/>
    <w:rsid w:val="00105436"/>
    <w:rsid w:val="001059C9"/>
    <w:rsid w:val="0010656E"/>
    <w:rsid w:val="00106DF2"/>
    <w:rsid w:val="00110FF3"/>
    <w:rsid w:val="0011166A"/>
    <w:rsid w:val="001131F1"/>
    <w:rsid w:val="00113DC0"/>
    <w:rsid w:val="001143AA"/>
    <w:rsid w:val="00114D8A"/>
    <w:rsid w:val="001154B0"/>
    <w:rsid w:val="00115807"/>
    <w:rsid w:val="0011588A"/>
    <w:rsid w:val="001164AF"/>
    <w:rsid w:val="00117571"/>
    <w:rsid w:val="00117C9F"/>
    <w:rsid w:val="00120621"/>
    <w:rsid w:val="00120A7B"/>
    <w:rsid w:val="00123AC1"/>
    <w:rsid w:val="0012412A"/>
    <w:rsid w:val="00124271"/>
    <w:rsid w:val="00125D88"/>
    <w:rsid w:val="0012686A"/>
    <w:rsid w:val="00126871"/>
    <w:rsid w:val="00127CD0"/>
    <w:rsid w:val="00130841"/>
    <w:rsid w:val="00130BC2"/>
    <w:rsid w:val="001311FC"/>
    <w:rsid w:val="0013302A"/>
    <w:rsid w:val="00133D86"/>
    <w:rsid w:val="001345B6"/>
    <w:rsid w:val="00135A41"/>
    <w:rsid w:val="00136803"/>
    <w:rsid w:val="00137678"/>
    <w:rsid w:val="00140D27"/>
    <w:rsid w:val="00140E2E"/>
    <w:rsid w:val="00143223"/>
    <w:rsid w:val="001447D7"/>
    <w:rsid w:val="00146B74"/>
    <w:rsid w:val="001472F8"/>
    <w:rsid w:val="00147D4C"/>
    <w:rsid w:val="00147D9D"/>
    <w:rsid w:val="00150630"/>
    <w:rsid w:val="00151197"/>
    <w:rsid w:val="001513EB"/>
    <w:rsid w:val="0015270C"/>
    <w:rsid w:val="00152755"/>
    <w:rsid w:val="001529C2"/>
    <w:rsid w:val="0015302E"/>
    <w:rsid w:val="00153A16"/>
    <w:rsid w:val="00153A6A"/>
    <w:rsid w:val="00153D09"/>
    <w:rsid w:val="00155466"/>
    <w:rsid w:val="001565F2"/>
    <w:rsid w:val="00156799"/>
    <w:rsid w:val="00157949"/>
    <w:rsid w:val="00157B99"/>
    <w:rsid w:val="00160B12"/>
    <w:rsid w:val="00161F35"/>
    <w:rsid w:val="001629C1"/>
    <w:rsid w:val="00163E16"/>
    <w:rsid w:val="00164CA4"/>
    <w:rsid w:val="00165926"/>
    <w:rsid w:val="00165FE3"/>
    <w:rsid w:val="00166E15"/>
    <w:rsid w:val="00167695"/>
    <w:rsid w:val="00167C6C"/>
    <w:rsid w:val="00170455"/>
    <w:rsid w:val="00170631"/>
    <w:rsid w:val="00170DCB"/>
    <w:rsid w:val="00171BCA"/>
    <w:rsid w:val="001721EC"/>
    <w:rsid w:val="00175F0D"/>
    <w:rsid w:val="001763B0"/>
    <w:rsid w:val="0017673B"/>
    <w:rsid w:val="0017675F"/>
    <w:rsid w:val="001771D0"/>
    <w:rsid w:val="00177FA4"/>
    <w:rsid w:val="00181893"/>
    <w:rsid w:val="001851F4"/>
    <w:rsid w:val="0018583D"/>
    <w:rsid w:val="00185B06"/>
    <w:rsid w:val="00186D51"/>
    <w:rsid w:val="001872F4"/>
    <w:rsid w:val="001875FC"/>
    <w:rsid w:val="0019111C"/>
    <w:rsid w:val="001922CB"/>
    <w:rsid w:val="0019383A"/>
    <w:rsid w:val="00194662"/>
    <w:rsid w:val="00195043"/>
    <w:rsid w:val="00195A3F"/>
    <w:rsid w:val="00195C32"/>
    <w:rsid w:val="00197CAF"/>
    <w:rsid w:val="001A0B14"/>
    <w:rsid w:val="001A3692"/>
    <w:rsid w:val="001A4F63"/>
    <w:rsid w:val="001A563D"/>
    <w:rsid w:val="001A571E"/>
    <w:rsid w:val="001A6C17"/>
    <w:rsid w:val="001A6DCA"/>
    <w:rsid w:val="001A7AE5"/>
    <w:rsid w:val="001B02EC"/>
    <w:rsid w:val="001B0473"/>
    <w:rsid w:val="001B1F03"/>
    <w:rsid w:val="001B3090"/>
    <w:rsid w:val="001B31CA"/>
    <w:rsid w:val="001B3D32"/>
    <w:rsid w:val="001B3E45"/>
    <w:rsid w:val="001B45FD"/>
    <w:rsid w:val="001B572E"/>
    <w:rsid w:val="001B69E6"/>
    <w:rsid w:val="001B72B7"/>
    <w:rsid w:val="001C020B"/>
    <w:rsid w:val="001C0553"/>
    <w:rsid w:val="001C105A"/>
    <w:rsid w:val="001C2549"/>
    <w:rsid w:val="001C3243"/>
    <w:rsid w:val="001C3C78"/>
    <w:rsid w:val="001C5458"/>
    <w:rsid w:val="001C556D"/>
    <w:rsid w:val="001C577A"/>
    <w:rsid w:val="001C5D7B"/>
    <w:rsid w:val="001C62E1"/>
    <w:rsid w:val="001C637C"/>
    <w:rsid w:val="001C6401"/>
    <w:rsid w:val="001C777D"/>
    <w:rsid w:val="001C77F6"/>
    <w:rsid w:val="001C7FED"/>
    <w:rsid w:val="001D00D0"/>
    <w:rsid w:val="001D0994"/>
    <w:rsid w:val="001D159F"/>
    <w:rsid w:val="001D23B8"/>
    <w:rsid w:val="001D2579"/>
    <w:rsid w:val="001D2DEF"/>
    <w:rsid w:val="001D3574"/>
    <w:rsid w:val="001D4C97"/>
    <w:rsid w:val="001D58D6"/>
    <w:rsid w:val="001D663F"/>
    <w:rsid w:val="001D6B4F"/>
    <w:rsid w:val="001E0900"/>
    <w:rsid w:val="001E288F"/>
    <w:rsid w:val="001E4AE1"/>
    <w:rsid w:val="001E4BA2"/>
    <w:rsid w:val="001E56F2"/>
    <w:rsid w:val="001E59E2"/>
    <w:rsid w:val="001E60AA"/>
    <w:rsid w:val="001E6C6E"/>
    <w:rsid w:val="001E7BEF"/>
    <w:rsid w:val="001E7FF3"/>
    <w:rsid w:val="001F016C"/>
    <w:rsid w:val="001F02B2"/>
    <w:rsid w:val="001F0651"/>
    <w:rsid w:val="001F0A69"/>
    <w:rsid w:val="001F1225"/>
    <w:rsid w:val="001F1746"/>
    <w:rsid w:val="001F1C59"/>
    <w:rsid w:val="001F23E4"/>
    <w:rsid w:val="001F2D29"/>
    <w:rsid w:val="001F3F20"/>
    <w:rsid w:val="001F4135"/>
    <w:rsid w:val="001F4DE7"/>
    <w:rsid w:val="001F52A9"/>
    <w:rsid w:val="001F53E7"/>
    <w:rsid w:val="001F5547"/>
    <w:rsid w:val="001F5572"/>
    <w:rsid w:val="001F5A51"/>
    <w:rsid w:val="001F75AC"/>
    <w:rsid w:val="001F78F7"/>
    <w:rsid w:val="00200B71"/>
    <w:rsid w:val="00201113"/>
    <w:rsid w:val="0020168F"/>
    <w:rsid w:val="002017C5"/>
    <w:rsid w:val="0020268B"/>
    <w:rsid w:val="0020295D"/>
    <w:rsid w:val="00203E93"/>
    <w:rsid w:val="002047C0"/>
    <w:rsid w:val="00205DDC"/>
    <w:rsid w:val="00205F60"/>
    <w:rsid w:val="0020724C"/>
    <w:rsid w:val="00207881"/>
    <w:rsid w:val="002110FC"/>
    <w:rsid w:val="0021325D"/>
    <w:rsid w:val="00214810"/>
    <w:rsid w:val="00214CA6"/>
    <w:rsid w:val="00215AB9"/>
    <w:rsid w:val="00215D4D"/>
    <w:rsid w:val="002179B7"/>
    <w:rsid w:val="0022007B"/>
    <w:rsid w:val="002207F6"/>
    <w:rsid w:val="00221B13"/>
    <w:rsid w:val="00221CAF"/>
    <w:rsid w:val="002229E1"/>
    <w:rsid w:val="00222AEC"/>
    <w:rsid w:val="0022396B"/>
    <w:rsid w:val="00225ADD"/>
    <w:rsid w:val="00226246"/>
    <w:rsid w:val="00226F87"/>
    <w:rsid w:val="00227B8A"/>
    <w:rsid w:val="00227E8E"/>
    <w:rsid w:val="0023015F"/>
    <w:rsid w:val="00231C8E"/>
    <w:rsid w:val="00231DD0"/>
    <w:rsid w:val="002323DB"/>
    <w:rsid w:val="00232B04"/>
    <w:rsid w:val="00233031"/>
    <w:rsid w:val="002333C1"/>
    <w:rsid w:val="00237463"/>
    <w:rsid w:val="0023779B"/>
    <w:rsid w:val="00240167"/>
    <w:rsid w:val="0024040E"/>
    <w:rsid w:val="00240493"/>
    <w:rsid w:val="002408B0"/>
    <w:rsid w:val="00240D3A"/>
    <w:rsid w:val="002417E6"/>
    <w:rsid w:val="00242E7B"/>
    <w:rsid w:val="0024314C"/>
    <w:rsid w:val="00243BC1"/>
    <w:rsid w:val="00244462"/>
    <w:rsid w:val="00245858"/>
    <w:rsid w:val="00246972"/>
    <w:rsid w:val="00247965"/>
    <w:rsid w:val="002501F5"/>
    <w:rsid w:val="0025139A"/>
    <w:rsid w:val="00251EC5"/>
    <w:rsid w:val="00252AD7"/>
    <w:rsid w:val="00252B64"/>
    <w:rsid w:val="00253320"/>
    <w:rsid w:val="00253D92"/>
    <w:rsid w:val="0025406B"/>
    <w:rsid w:val="00255AF2"/>
    <w:rsid w:val="00255E22"/>
    <w:rsid w:val="00256095"/>
    <w:rsid w:val="002562BC"/>
    <w:rsid w:val="002567B0"/>
    <w:rsid w:val="00257D8E"/>
    <w:rsid w:val="0026081D"/>
    <w:rsid w:val="002608E9"/>
    <w:rsid w:val="00261434"/>
    <w:rsid w:val="00262C21"/>
    <w:rsid w:val="0026432E"/>
    <w:rsid w:val="00264B84"/>
    <w:rsid w:val="00265FB5"/>
    <w:rsid w:val="002666AC"/>
    <w:rsid w:val="00266921"/>
    <w:rsid w:val="00267171"/>
    <w:rsid w:val="00267EFE"/>
    <w:rsid w:val="00270C4E"/>
    <w:rsid w:val="002716F0"/>
    <w:rsid w:val="002721BC"/>
    <w:rsid w:val="0027305C"/>
    <w:rsid w:val="00275A6D"/>
    <w:rsid w:val="00275B79"/>
    <w:rsid w:val="00275CDD"/>
    <w:rsid w:val="00276A7D"/>
    <w:rsid w:val="00276B51"/>
    <w:rsid w:val="00276D38"/>
    <w:rsid w:val="002772E9"/>
    <w:rsid w:val="002777FE"/>
    <w:rsid w:val="00280FB4"/>
    <w:rsid w:val="00281553"/>
    <w:rsid w:val="00281946"/>
    <w:rsid w:val="00282413"/>
    <w:rsid w:val="0028248E"/>
    <w:rsid w:val="00282A74"/>
    <w:rsid w:val="00282B2F"/>
    <w:rsid w:val="00282B6C"/>
    <w:rsid w:val="002833B6"/>
    <w:rsid w:val="00283532"/>
    <w:rsid w:val="00283A36"/>
    <w:rsid w:val="00283A64"/>
    <w:rsid w:val="002843D0"/>
    <w:rsid w:val="002846D0"/>
    <w:rsid w:val="00284A68"/>
    <w:rsid w:val="00286353"/>
    <w:rsid w:val="00286C1A"/>
    <w:rsid w:val="00286C20"/>
    <w:rsid w:val="00286E37"/>
    <w:rsid w:val="0029111D"/>
    <w:rsid w:val="00293C73"/>
    <w:rsid w:val="00293E45"/>
    <w:rsid w:val="0029503A"/>
    <w:rsid w:val="00295407"/>
    <w:rsid w:val="002969CE"/>
    <w:rsid w:val="00297FB7"/>
    <w:rsid w:val="002A002B"/>
    <w:rsid w:val="002A0452"/>
    <w:rsid w:val="002A0FF7"/>
    <w:rsid w:val="002A1AF8"/>
    <w:rsid w:val="002A20F7"/>
    <w:rsid w:val="002A2451"/>
    <w:rsid w:val="002A2EB2"/>
    <w:rsid w:val="002A3710"/>
    <w:rsid w:val="002A38F3"/>
    <w:rsid w:val="002A3A91"/>
    <w:rsid w:val="002A5BD9"/>
    <w:rsid w:val="002A5E0B"/>
    <w:rsid w:val="002A65E2"/>
    <w:rsid w:val="002A6643"/>
    <w:rsid w:val="002A7BB7"/>
    <w:rsid w:val="002B03B4"/>
    <w:rsid w:val="002B0BE1"/>
    <w:rsid w:val="002B15B5"/>
    <w:rsid w:val="002B1747"/>
    <w:rsid w:val="002B1CC9"/>
    <w:rsid w:val="002B2987"/>
    <w:rsid w:val="002B2C18"/>
    <w:rsid w:val="002B4AC7"/>
    <w:rsid w:val="002B516B"/>
    <w:rsid w:val="002B6571"/>
    <w:rsid w:val="002B68AF"/>
    <w:rsid w:val="002B7296"/>
    <w:rsid w:val="002C07D1"/>
    <w:rsid w:val="002C0CCE"/>
    <w:rsid w:val="002C1857"/>
    <w:rsid w:val="002C1C8D"/>
    <w:rsid w:val="002C2D27"/>
    <w:rsid w:val="002C3E56"/>
    <w:rsid w:val="002C51E2"/>
    <w:rsid w:val="002C5BFC"/>
    <w:rsid w:val="002C609E"/>
    <w:rsid w:val="002C6476"/>
    <w:rsid w:val="002C68FB"/>
    <w:rsid w:val="002C6FAE"/>
    <w:rsid w:val="002C7902"/>
    <w:rsid w:val="002C7CC5"/>
    <w:rsid w:val="002D1C70"/>
    <w:rsid w:val="002D3D8A"/>
    <w:rsid w:val="002D524C"/>
    <w:rsid w:val="002D7C1D"/>
    <w:rsid w:val="002D7CB8"/>
    <w:rsid w:val="002E3842"/>
    <w:rsid w:val="002E400B"/>
    <w:rsid w:val="002E4281"/>
    <w:rsid w:val="002E5175"/>
    <w:rsid w:val="002E6900"/>
    <w:rsid w:val="002F00B0"/>
    <w:rsid w:val="002F00E8"/>
    <w:rsid w:val="002F09F8"/>
    <w:rsid w:val="002F0EEC"/>
    <w:rsid w:val="002F113C"/>
    <w:rsid w:val="002F1C9A"/>
    <w:rsid w:val="002F3F48"/>
    <w:rsid w:val="002F437F"/>
    <w:rsid w:val="002F65E1"/>
    <w:rsid w:val="002F79B1"/>
    <w:rsid w:val="00301355"/>
    <w:rsid w:val="003015C5"/>
    <w:rsid w:val="0030327A"/>
    <w:rsid w:val="00303949"/>
    <w:rsid w:val="00303F8F"/>
    <w:rsid w:val="00304304"/>
    <w:rsid w:val="00304467"/>
    <w:rsid w:val="00304E2E"/>
    <w:rsid w:val="003053EE"/>
    <w:rsid w:val="00305579"/>
    <w:rsid w:val="003057B2"/>
    <w:rsid w:val="00305FAD"/>
    <w:rsid w:val="003104B3"/>
    <w:rsid w:val="003111EE"/>
    <w:rsid w:val="003122D1"/>
    <w:rsid w:val="003137DC"/>
    <w:rsid w:val="003142B9"/>
    <w:rsid w:val="003170E4"/>
    <w:rsid w:val="00317870"/>
    <w:rsid w:val="003200D1"/>
    <w:rsid w:val="003206AC"/>
    <w:rsid w:val="00320995"/>
    <w:rsid w:val="00320FC6"/>
    <w:rsid w:val="00322628"/>
    <w:rsid w:val="0032349C"/>
    <w:rsid w:val="003248CF"/>
    <w:rsid w:val="00325A77"/>
    <w:rsid w:val="0032665B"/>
    <w:rsid w:val="0032754A"/>
    <w:rsid w:val="00327AC8"/>
    <w:rsid w:val="00327B32"/>
    <w:rsid w:val="0033069E"/>
    <w:rsid w:val="00330915"/>
    <w:rsid w:val="00330EE9"/>
    <w:rsid w:val="00330F1A"/>
    <w:rsid w:val="0033109E"/>
    <w:rsid w:val="00331A3F"/>
    <w:rsid w:val="00332B39"/>
    <w:rsid w:val="00333D24"/>
    <w:rsid w:val="003353E1"/>
    <w:rsid w:val="00336395"/>
    <w:rsid w:val="003366F9"/>
    <w:rsid w:val="0033757D"/>
    <w:rsid w:val="00337CD7"/>
    <w:rsid w:val="003404EB"/>
    <w:rsid w:val="003408AF"/>
    <w:rsid w:val="00340B1A"/>
    <w:rsid w:val="003418D2"/>
    <w:rsid w:val="00342E7B"/>
    <w:rsid w:val="00343447"/>
    <w:rsid w:val="003451F5"/>
    <w:rsid w:val="00346D6E"/>
    <w:rsid w:val="00347720"/>
    <w:rsid w:val="0035072E"/>
    <w:rsid w:val="003514ED"/>
    <w:rsid w:val="003519F8"/>
    <w:rsid w:val="003533A0"/>
    <w:rsid w:val="0035369E"/>
    <w:rsid w:val="00353C4B"/>
    <w:rsid w:val="00353F59"/>
    <w:rsid w:val="00353FA6"/>
    <w:rsid w:val="003548FE"/>
    <w:rsid w:val="0035632D"/>
    <w:rsid w:val="003568F8"/>
    <w:rsid w:val="00356924"/>
    <w:rsid w:val="00356FAA"/>
    <w:rsid w:val="00357B9C"/>
    <w:rsid w:val="00357DED"/>
    <w:rsid w:val="003602E4"/>
    <w:rsid w:val="00360CFB"/>
    <w:rsid w:val="003620E0"/>
    <w:rsid w:val="00363BD9"/>
    <w:rsid w:val="00364B54"/>
    <w:rsid w:val="00365E9C"/>
    <w:rsid w:val="00366310"/>
    <w:rsid w:val="00366ED6"/>
    <w:rsid w:val="0036739C"/>
    <w:rsid w:val="003677DE"/>
    <w:rsid w:val="003722C0"/>
    <w:rsid w:val="0037232D"/>
    <w:rsid w:val="003729F7"/>
    <w:rsid w:val="00372B4C"/>
    <w:rsid w:val="00373938"/>
    <w:rsid w:val="00373BBC"/>
    <w:rsid w:val="003742A7"/>
    <w:rsid w:val="003747D4"/>
    <w:rsid w:val="00375A75"/>
    <w:rsid w:val="00375F8D"/>
    <w:rsid w:val="00377181"/>
    <w:rsid w:val="003807D7"/>
    <w:rsid w:val="00380DEA"/>
    <w:rsid w:val="0038264E"/>
    <w:rsid w:val="003827A2"/>
    <w:rsid w:val="003837D4"/>
    <w:rsid w:val="00383DC8"/>
    <w:rsid w:val="00385A0D"/>
    <w:rsid w:val="0038635C"/>
    <w:rsid w:val="00387071"/>
    <w:rsid w:val="00387C20"/>
    <w:rsid w:val="00387F76"/>
    <w:rsid w:val="003902FB"/>
    <w:rsid w:val="003919AC"/>
    <w:rsid w:val="00392785"/>
    <w:rsid w:val="00392793"/>
    <w:rsid w:val="00393AE5"/>
    <w:rsid w:val="00393CDF"/>
    <w:rsid w:val="003946A4"/>
    <w:rsid w:val="00394F50"/>
    <w:rsid w:val="0039579D"/>
    <w:rsid w:val="00396480"/>
    <w:rsid w:val="003965D7"/>
    <w:rsid w:val="00397950"/>
    <w:rsid w:val="003A019D"/>
    <w:rsid w:val="003A0567"/>
    <w:rsid w:val="003A0765"/>
    <w:rsid w:val="003A0D47"/>
    <w:rsid w:val="003A0D79"/>
    <w:rsid w:val="003A1161"/>
    <w:rsid w:val="003A16B2"/>
    <w:rsid w:val="003A21C1"/>
    <w:rsid w:val="003A3982"/>
    <w:rsid w:val="003A5479"/>
    <w:rsid w:val="003A57A3"/>
    <w:rsid w:val="003A5A36"/>
    <w:rsid w:val="003A60B2"/>
    <w:rsid w:val="003A6201"/>
    <w:rsid w:val="003A76FD"/>
    <w:rsid w:val="003B2E59"/>
    <w:rsid w:val="003B3DFE"/>
    <w:rsid w:val="003B3E37"/>
    <w:rsid w:val="003B3E41"/>
    <w:rsid w:val="003B509D"/>
    <w:rsid w:val="003B53AD"/>
    <w:rsid w:val="003B5E82"/>
    <w:rsid w:val="003B69AF"/>
    <w:rsid w:val="003B7A01"/>
    <w:rsid w:val="003C0B2E"/>
    <w:rsid w:val="003C0CEC"/>
    <w:rsid w:val="003C2B67"/>
    <w:rsid w:val="003C3701"/>
    <w:rsid w:val="003C3ED1"/>
    <w:rsid w:val="003C630B"/>
    <w:rsid w:val="003C635C"/>
    <w:rsid w:val="003D0442"/>
    <w:rsid w:val="003D2049"/>
    <w:rsid w:val="003D220D"/>
    <w:rsid w:val="003D2FBC"/>
    <w:rsid w:val="003D4C53"/>
    <w:rsid w:val="003D5B68"/>
    <w:rsid w:val="003D60E8"/>
    <w:rsid w:val="003E0642"/>
    <w:rsid w:val="003E095A"/>
    <w:rsid w:val="003E1544"/>
    <w:rsid w:val="003E1742"/>
    <w:rsid w:val="003E1947"/>
    <w:rsid w:val="003E20CF"/>
    <w:rsid w:val="003E36AF"/>
    <w:rsid w:val="003E4225"/>
    <w:rsid w:val="003E46AE"/>
    <w:rsid w:val="003E6A30"/>
    <w:rsid w:val="003F0B9B"/>
    <w:rsid w:val="003F1C5D"/>
    <w:rsid w:val="003F3133"/>
    <w:rsid w:val="003F3890"/>
    <w:rsid w:val="003F3B50"/>
    <w:rsid w:val="003F3D61"/>
    <w:rsid w:val="003F471A"/>
    <w:rsid w:val="003F53D2"/>
    <w:rsid w:val="003F6324"/>
    <w:rsid w:val="003F7730"/>
    <w:rsid w:val="00401985"/>
    <w:rsid w:val="00401B4F"/>
    <w:rsid w:val="00402599"/>
    <w:rsid w:val="00402B6F"/>
    <w:rsid w:val="00402DAC"/>
    <w:rsid w:val="00403664"/>
    <w:rsid w:val="004040BC"/>
    <w:rsid w:val="00406080"/>
    <w:rsid w:val="00407691"/>
    <w:rsid w:val="00407D23"/>
    <w:rsid w:val="00410565"/>
    <w:rsid w:val="00410C8E"/>
    <w:rsid w:val="0041116F"/>
    <w:rsid w:val="0041162A"/>
    <w:rsid w:val="00411712"/>
    <w:rsid w:val="00411C25"/>
    <w:rsid w:val="00411D19"/>
    <w:rsid w:val="00411FBC"/>
    <w:rsid w:val="0041212F"/>
    <w:rsid w:val="0041218C"/>
    <w:rsid w:val="0041231B"/>
    <w:rsid w:val="004128B0"/>
    <w:rsid w:val="004133EF"/>
    <w:rsid w:val="0041342D"/>
    <w:rsid w:val="00413DA3"/>
    <w:rsid w:val="00413FAA"/>
    <w:rsid w:val="004165D1"/>
    <w:rsid w:val="00420FFA"/>
    <w:rsid w:val="00423186"/>
    <w:rsid w:val="00424323"/>
    <w:rsid w:val="00425552"/>
    <w:rsid w:val="00425799"/>
    <w:rsid w:val="004268E2"/>
    <w:rsid w:val="00426C76"/>
    <w:rsid w:val="00426E9A"/>
    <w:rsid w:val="004308C2"/>
    <w:rsid w:val="0043142D"/>
    <w:rsid w:val="004317E7"/>
    <w:rsid w:val="00432736"/>
    <w:rsid w:val="004343C0"/>
    <w:rsid w:val="004358FB"/>
    <w:rsid w:val="00436E43"/>
    <w:rsid w:val="00437AE7"/>
    <w:rsid w:val="00437C5D"/>
    <w:rsid w:val="004419D5"/>
    <w:rsid w:val="00441A02"/>
    <w:rsid w:val="004427CF"/>
    <w:rsid w:val="0044308E"/>
    <w:rsid w:val="004459F7"/>
    <w:rsid w:val="00445B35"/>
    <w:rsid w:val="0044603F"/>
    <w:rsid w:val="00446483"/>
    <w:rsid w:val="00446E1E"/>
    <w:rsid w:val="00447892"/>
    <w:rsid w:val="00447F55"/>
    <w:rsid w:val="00450236"/>
    <w:rsid w:val="00451B81"/>
    <w:rsid w:val="00451D9F"/>
    <w:rsid w:val="00452258"/>
    <w:rsid w:val="0045342C"/>
    <w:rsid w:val="00454315"/>
    <w:rsid w:val="00455784"/>
    <w:rsid w:val="0045656D"/>
    <w:rsid w:val="00457009"/>
    <w:rsid w:val="004614F7"/>
    <w:rsid w:val="004625C9"/>
    <w:rsid w:val="00463078"/>
    <w:rsid w:val="0046476B"/>
    <w:rsid w:val="00466070"/>
    <w:rsid w:val="00466A33"/>
    <w:rsid w:val="00467369"/>
    <w:rsid w:val="004675DB"/>
    <w:rsid w:val="00471878"/>
    <w:rsid w:val="00471D17"/>
    <w:rsid w:val="00473208"/>
    <w:rsid w:val="00473EEA"/>
    <w:rsid w:val="00475951"/>
    <w:rsid w:val="00477B76"/>
    <w:rsid w:val="0048066D"/>
    <w:rsid w:val="00480CEB"/>
    <w:rsid w:val="00480F4A"/>
    <w:rsid w:val="00482A55"/>
    <w:rsid w:val="00482B8A"/>
    <w:rsid w:val="004852CC"/>
    <w:rsid w:val="004858DE"/>
    <w:rsid w:val="00486709"/>
    <w:rsid w:val="004868B3"/>
    <w:rsid w:val="00487835"/>
    <w:rsid w:val="00487D32"/>
    <w:rsid w:val="00490C1E"/>
    <w:rsid w:val="00490D07"/>
    <w:rsid w:val="004917E9"/>
    <w:rsid w:val="00491C58"/>
    <w:rsid w:val="004921D5"/>
    <w:rsid w:val="00492629"/>
    <w:rsid w:val="004926F7"/>
    <w:rsid w:val="00492B91"/>
    <w:rsid w:val="00493114"/>
    <w:rsid w:val="00493228"/>
    <w:rsid w:val="00493ED4"/>
    <w:rsid w:val="00494369"/>
    <w:rsid w:val="004957E9"/>
    <w:rsid w:val="00495A6D"/>
    <w:rsid w:val="00496684"/>
    <w:rsid w:val="00496F1D"/>
    <w:rsid w:val="004A10C4"/>
    <w:rsid w:val="004A1510"/>
    <w:rsid w:val="004A1571"/>
    <w:rsid w:val="004A16A4"/>
    <w:rsid w:val="004A363C"/>
    <w:rsid w:val="004A4BA6"/>
    <w:rsid w:val="004A5666"/>
    <w:rsid w:val="004A58D1"/>
    <w:rsid w:val="004A69D0"/>
    <w:rsid w:val="004A6B1C"/>
    <w:rsid w:val="004A6CFA"/>
    <w:rsid w:val="004A7634"/>
    <w:rsid w:val="004B0D20"/>
    <w:rsid w:val="004B1788"/>
    <w:rsid w:val="004B1AB5"/>
    <w:rsid w:val="004B2AB5"/>
    <w:rsid w:val="004B2C55"/>
    <w:rsid w:val="004B4042"/>
    <w:rsid w:val="004B4238"/>
    <w:rsid w:val="004C086D"/>
    <w:rsid w:val="004C0B5E"/>
    <w:rsid w:val="004C349E"/>
    <w:rsid w:val="004C3FF4"/>
    <w:rsid w:val="004C4436"/>
    <w:rsid w:val="004C581E"/>
    <w:rsid w:val="004C6485"/>
    <w:rsid w:val="004C6B74"/>
    <w:rsid w:val="004C6ECB"/>
    <w:rsid w:val="004D07D7"/>
    <w:rsid w:val="004D08FF"/>
    <w:rsid w:val="004D0B93"/>
    <w:rsid w:val="004D179A"/>
    <w:rsid w:val="004D2B04"/>
    <w:rsid w:val="004D414B"/>
    <w:rsid w:val="004D5D78"/>
    <w:rsid w:val="004D63DD"/>
    <w:rsid w:val="004D7D4B"/>
    <w:rsid w:val="004D7E88"/>
    <w:rsid w:val="004E1401"/>
    <w:rsid w:val="004E1DBE"/>
    <w:rsid w:val="004E22AD"/>
    <w:rsid w:val="004E24CF"/>
    <w:rsid w:val="004E251B"/>
    <w:rsid w:val="004E2814"/>
    <w:rsid w:val="004E44EA"/>
    <w:rsid w:val="004E503B"/>
    <w:rsid w:val="004E5961"/>
    <w:rsid w:val="004E5ADB"/>
    <w:rsid w:val="004E6DFD"/>
    <w:rsid w:val="004E75C0"/>
    <w:rsid w:val="004F01A1"/>
    <w:rsid w:val="004F045F"/>
    <w:rsid w:val="004F0C7B"/>
    <w:rsid w:val="004F10EF"/>
    <w:rsid w:val="004F240C"/>
    <w:rsid w:val="004F2DCA"/>
    <w:rsid w:val="004F43A8"/>
    <w:rsid w:val="004F54F7"/>
    <w:rsid w:val="005008CD"/>
    <w:rsid w:val="00500910"/>
    <w:rsid w:val="00501824"/>
    <w:rsid w:val="00502CBA"/>
    <w:rsid w:val="0050337A"/>
    <w:rsid w:val="00504579"/>
    <w:rsid w:val="005046B3"/>
    <w:rsid w:val="005058BF"/>
    <w:rsid w:val="0050605B"/>
    <w:rsid w:val="005061B9"/>
    <w:rsid w:val="00506667"/>
    <w:rsid w:val="00506C1E"/>
    <w:rsid w:val="00507CBE"/>
    <w:rsid w:val="00510770"/>
    <w:rsid w:val="005121D1"/>
    <w:rsid w:val="00512B60"/>
    <w:rsid w:val="00514459"/>
    <w:rsid w:val="005162B9"/>
    <w:rsid w:val="00516335"/>
    <w:rsid w:val="00516B61"/>
    <w:rsid w:val="0051783A"/>
    <w:rsid w:val="00520C2A"/>
    <w:rsid w:val="0052229B"/>
    <w:rsid w:val="005232E3"/>
    <w:rsid w:val="00526CF6"/>
    <w:rsid w:val="005278BB"/>
    <w:rsid w:val="00530EA3"/>
    <w:rsid w:val="005322A6"/>
    <w:rsid w:val="0053303A"/>
    <w:rsid w:val="00533A32"/>
    <w:rsid w:val="005345BE"/>
    <w:rsid w:val="00534B5F"/>
    <w:rsid w:val="00535196"/>
    <w:rsid w:val="005353F3"/>
    <w:rsid w:val="00535B57"/>
    <w:rsid w:val="00535FC6"/>
    <w:rsid w:val="00536353"/>
    <w:rsid w:val="005368CB"/>
    <w:rsid w:val="00537C21"/>
    <w:rsid w:val="00540A1F"/>
    <w:rsid w:val="00540E1E"/>
    <w:rsid w:val="00541053"/>
    <w:rsid w:val="00541FF6"/>
    <w:rsid w:val="00543926"/>
    <w:rsid w:val="00543C68"/>
    <w:rsid w:val="00543D0D"/>
    <w:rsid w:val="00544B2A"/>
    <w:rsid w:val="00545CAF"/>
    <w:rsid w:val="00546EDD"/>
    <w:rsid w:val="00547212"/>
    <w:rsid w:val="0055185B"/>
    <w:rsid w:val="00552ABB"/>
    <w:rsid w:val="00552EA0"/>
    <w:rsid w:val="00553786"/>
    <w:rsid w:val="00553847"/>
    <w:rsid w:val="0055395D"/>
    <w:rsid w:val="00553ED4"/>
    <w:rsid w:val="00554097"/>
    <w:rsid w:val="00554174"/>
    <w:rsid w:val="005543BE"/>
    <w:rsid w:val="005545B6"/>
    <w:rsid w:val="005554D3"/>
    <w:rsid w:val="00555A69"/>
    <w:rsid w:val="00556102"/>
    <w:rsid w:val="0055727A"/>
    <w:rsid w:val="0055730F"/>
    <w:rsid w:val="00560063"/>
    <w:rsid w:val="005600C6"/>
    <w:rsid w:val="00560847"/>
    <w:rsid w:val="00560D70"/>
    <w:rsid w:val="00561FC9"/>
    <w:rsid w:val="005625E4"/>
    <w:rsid w:val="00562E67"/>
    <w:rsid w:val="005631DD"/>
    <w:rsid w:val="0056356D"/>
    <w:rsid w:val="00564933"/>
    <w:rsid w:val="005654CF"/>
    <w:rsid w:val="005702AC"/>
    <w:rsid w:val="005706CD"/>
    <w:rsid w:val="00570B4D"/>
    <w:rsid w:val="00570D9C"/>
    <w:rsid w:val="00570E72"/>
    <w:rsid w:val="00570EC0"/>
    <w:rsid w:val="00576317"/>
    <w:rsid w:val="005777CB"/>
    <w:rsid w:val="005779C2"/>
    <w:rsid w:val="00577DCE"/>
    <w:rsid w:val="005805F8"/>
    <w:rsid w:val="00580CF8"/>
    <w:rsid w:val="005811FD"/>
    <w:rsid w:val="00582AE8"/>
    <w:rsid w:val="0058321A"/>
    <w:rsid w:val="00584671"/>
    <w:rsid w:val="0058516B"/>
    <w:rsid w:val="00585434"/>
    <w:rsid w:val="00585902"/>
    <w:rsid w:val="00585A30"/>
    <w:rsid w:val="00587EA1"/>
    <w:rsid w:val="005901EF"/>
    <w:rsid w:val="00591701"/>
    <w:rsid w:val="00591B49"/>
    <w:rsid w:val="005928A7"/>
    <w:rsid w:val="00592C37"/>
    <w:rsid w:val="00594CC3"/>
    <w:rsid w:val="00596D1A"/>
    <w:rsid w:val="0059729D"/>
    <w:rsid w:val="00597D00"/>
    <w:rsid w:val="005A1166"/>
    <w:rsid w:val="005A1312"/>
    <w:rsid w:val="005A15D6"/>
    <w:rsid w:val="005A16E9"/>
    <w:rsid w:val="005A171B"/>
    <w:rsid w:val="005A1749"/>
    <w:rsid w:val="005A1AE3"/>
    <w:rsid w:val="005A4568"/>
    <w:rsid w:val="005A6767"/>
    <w:rsid w:val="005A69D6"/>
    <w:rsid w:val="005A6E86"/>
    <w:rsid w:val="005A70A6"/>
    <w:rsid w:val="005A7259"/>
    <w:rsid w:val="005A773F"/>
    <w:rsid w:val="005A77B9"/>
    <w:rsid w:val="005B0456"/>
    <w:rsid w:val="005B0707"/>
    <w:rsid w:val="005B0BAC"/>
    <w:rsid w:val="005B174E"/>
    <w:rsid w:val="005B18D4"/>
    <w:rsid w:val="005B2275"/>
    <w:rsid w:val="005B2D1A"/>
    <w:rsid w:val="005B403B"/>
    <w:rsid w:val="005B434C"/>
    <w:rsid w:val="005B4BA6"/>
    <w:rsid w:val="005B5EA9"/>
    <w:rsid w:val="005B6311"/>
    <w:rsid w:val="005B6506"/>
    <w:rsid w:val="005B7391"/>
    <w:rsid w:val="005C04B0"/>
    <w:rsid w:val="005C18C3"/>
    <w:rsid w:val="005C1CF1"/>
    <w:rsid w:val="005C274F"/>
    <w:rsid w:val="005C31A9"/>
    <w:rsid w:val="005C61D7"/>
    <w:rsid w:val="005C6F27"/>
    <w:rsid w:val="005D03EA"/>
    <w:rsid w:val="005D1D7B"/>
    <w:rsid w:val="005D2BEF"/>
    <w:rsid w:val="005D33F1"/>
    <w:rsid w:val="005D57C0"/>
    <w:rsid w:val="005D5E45"/>
    <w:rsid w:val="005D6BB5"/>
    <w:rsid w:val="005E20FD"/>
    <w:rsid w:val="005E261A"/>
    <w:rsid w:val="005E3B1F"/>
    <w:rsid w:val="005E3B8F"/>
    <w:rsid w:val="005E3F8F"/>
    <w:rsid w:val="005E420F"/>
    <w:rsid w:val="005E437D"/>
    <w:rsid w:val="005E46DB"/>
    <w:rsid w:val="005E53EB"/>
    <w:rsid w:val="005E665B"/>
    <w:rsid w:val="005E699B"/>
    <w:rsid w:val="005F115F"/>
    <w:rsid w:val="005F1C13"/>
    <w:rsid w:val="005F1EE6"/>
    <w:rsid w:val="005F2F76"/>
    <w:rsid w:val="005F388B"/>
    <w:rsid w:val="005F39C6"/>
    <w:rsid w:val="005F3BA0"/>
    <w:rsid w:val="005F4C10"/>
    <w:rsid w:val="005F5414"/>
    <w:rsid w:val="005F59A7"/>
    <w:rsid w:val="005F5CBE"/>
    <w:rsid w:val="005F6E18"/>
    <w:rsid w:val="005F6E38"/>
    <w:rsid w:val="005F772D"/>
    <w:rsid w:val="005F7FAB"/>
    <w:rsid w:val="0060090A"/>
    <w:rsid w:val="00600D92"/>
    <w:rsid w:val="00600DB7"/>
    <w:rsid w:val="00601CF5"/>
    <w:rsid w:val="00602D99"/>
    <w:rsid w:val="00602DD5"/>
    <w:rsid w:val="006037B8"/>
    <w:rsid w:val="00603EB2"/>
    <w:rsid w:val="00603F0D"/>
    <w:rsid w:val="00604103"/>
    <w:rsid w:val="00604EA4"/>
    <w:rsid w:val="0060511B"/>
    <w:rsid w:val="00607E41"/>
    <w:rsid w:val="00610DF7"/>
    <w:rsid w:val="00612089"/>
    <w:rsid w:val="0061306B"/>
    <w:rsid w:val="00613770"/>
    <w:rsid w:val="0061378B"/>
    <w:rsid w:val="00613888"/>
    <w:rsid w:val="0061515D"/>
    <w:rsid w:val="006158CD"/>
    <w:rsid w:val="00616808"/>
    <w:rsid w:val="00617AA6"/>
    <w:rsid w:val="006203C0"/>
    <w:rsid w:val="00620A28"/>
    <w:rsid w:val="00620A3C"/>
    <w:rsid w:val="00620A80"/>
    <w:rsid w:val="00621E59"/>
    <w:rsid w:val="006234FF"/>
    <w:rsid w:val="00624B75"/>
    <w:rsid w:val="00625A26"/>
    <w:rsid w:val="006260F8"/>
    <w:rsid w:val="00626CAD"/>
    <w:rsid w:val="0063008E"/>
    <w:rsid w:val="00630818"/>
    <w:rsid w:val="006322FD"/>
    <w:rsid w:val="00633456"/>
    <w:rsid w:val="00634861"/>
    <w:rsid w:val="00634A29"/>
    <w:rsid w:val="00634D33"/>
    <w:rsid w:val="00635858"/>
    <w:rsid w:val="00635C8B"/>
    <w:rsid w:val="00636FAA"/>
    <w:rsid w:val="0063744B"/>
    <w:rsid w:val="00637601"/>
    <w:rsid w:val="00637824"/>
    <w:rsid w:val="00637B27"/>
    <w:rsid w:val="00640134"/>
    <w:rsid w:val="00640F23"/>
    <w:rsid w:val="00641930"/>
    <w:rsid w:val="00641D04"/>
    <w:rsid w:val="00643514"/>
    <w:rsid w:val="006459A5"/>
    <w:rsid w:val="00646BA7"/>
    <w:rsid w:val="00647178"/>
    <w:rsid w:val="00647698"/>
    <w:rsid w:val="0065015C"/>
    <w:rsid w:val="006510CB"/>
    <w:rsid w:val="00651357"/>
    <w:rsid w:val="006525C9"/>
    <w:rsid w:val="0065371E"/>
    <w:rsid w:val="00654941"/>
    <w:rsid w:val="0065545D"/>
    <w:rsid w:val="006554AB"/>
    <w:rsid w:val="00656700"/>
    <w:rsid w:val="00657A3D"/>
    <w:rsid w:val="00657E2E"/>
    <w:rsid w:val="0066094D"/>
    <w:rsid w:val="00661496"/>
    <w:rsid w:val="006627B3"/>
    <w:rsid w:val="0066297C"/>
    <w:rsid w:val="00663003"/>
    <w:rsid w:val="0066338C"/>
    <w:rsid w:val="00665CA9"/>
    <w:rsid w:val="00666BD8"/>
    <w:rsid w:val="006671B2"/>
    <w:rsid w:val="00667E63"/>
    <w:rsid w:val="00670489"/>
    <w:rsid w:val="00671B9B"/>
    <w:rsid w:val="006726FB"/>
    <w:rsid w:val="00672D5A"/>
    <w:rsid w:val="00673EA7"/>
    <w:rsid w:val="00674CFB"/>
    <w:rsid w:val="006752CF"/>
    <w:rsid w:val="00675993"/>
    <w:rsid w:val="00675F54"/>
    <w:rsid w:val="00676860"/>
    <w:rsid w:val="00676DE9"/>
    <w:rsid w:val="006772FC"/>
    <w:rsid w:val="006778E8"/>
    <w:rsid w:val="00680135"/>
    <w:rsid w:val="0068066B"/>
    <w:rsid w:val="00680B25"/>
    <w:rsid w:val="00681037"/>
    <w:rsid w:val="0068149B"/>
    <w:rsid w:val="006816FD"/>
    <w:rsid w:val="006819DE"/>
    <w:rsid w:val="00682641"/>
    <w:rsid w:val="00682E7B"/>
    <w:rsid w:val="006832EE"/>
    <w:rsid w:val="00683475"/>
    <w:rsid w:val="006834A1"/>
    <w:rsid w:val="00684FDE"/>
    <w:rsid w:val="006850A8"/>
    <w:rsid w:val="0068626B"/>
    <w:rsid w:val="00687A44"/>
    <w:rsid w:val="00687E1E"/>
    <w:rsid w:val="00690DED"/>
    <w:rsid w:val="00692376"/>
    <w:rsid w:val="00692771"/>
    <w:rsid w:val="00692E5F"/>
    <w:rsid w:val="00693AB3"/>
    <w:rsid w:val="00694022"/>
    <w:rsid w:val="0069527F"/>
    <w:rsid w:val="00695726"/>
    <w:rsid w:val="006962D7"/>
    <w:rsid w:val="00697704"/>
    <w:rsid w:val="006A014D"/>
    <w:rsid w:val="006A1255"/>
    <w:rsid w:val="006A3270"/>
    <w:rsid w:val="006A3A3C"/>
    <w:rsid w:val="006A3FE7"/>
    <w:rsid w:val="006A4D7D"/>
    <w:rsid w:val="006A4FE9"/>
    <w:rsid w:val="006A560C"/>
    <w:rsid w:val="006A5DC7"/>
    <w:rsid w:val="006A63C1"/>
    <w:rsid w:val="006A654F"/>
    <w:rsid w:val="006A6A56"/>
    <w:rsid w:val="006A7843"/>
    <w:rsid w:val="006A78F5"/>
    <w:rsid w:val="006B0382"/>
    <w:rsid w:val="006B0999"/>
    <w:rsid w:val="006B0DB1"/>
    <w:rsid w:val="006B11A7"/>
    <w:rsid w:val="006B276F"/>
    <w:rsid w:val="006B2C43"/>
    <w:rsid w:val="006B33C4"/>
    <w:rsid w:val="006B3688"/>
    <w:rsid w:val="006B5712"/>
    <w:rsid w:val="006B59B3"/>
    <w:rsid w:val="006B5B89"/>
    <w:rsid w:val="006B5F1F"/>
    <w:rsid w:val="006B62B1"/>
    <w:rsid w:val="006B72FC"/>
    <w:rsid w:val="006B797F"/>
    <w:rsid w:val="006C09B8"/>
    <w:rsid w:val="006C0D83"/>
    <w:rsid w:val="006C1052"/>
    <w:rsid w:val="006C2CCC"/>
    <w:rsid w:val="006C319B"/>
    <w:rsid w:val="006C34CB"/>
    <w:rsid w:val="006C4687"/>
    <w:rsid w:val="006C478B"/>
    <w:rsid w:val="006C5C78"/>
    <w:rsid w:val="006C61E6"/>
    <w:rsid w:val="006C7548"/>
    <w:rsid w:val="006C7F7F"/>
    <w:rsid w:val="006D14C1"/>
    <w:rsid w:val="006D14EC"/>
    <w:rsid w:val="006D1E8A"/>
    <w:rsid w:val="006D3905"/>
    <w:rsid w:val="006D3B72"/>
    <w:rsid w:val="006D3D1D"/>
    <w:rsid w:val="006D48DE"/>
    <w:rsid w:val="006D4B64"/>
    <w:rsid w:val="006D4E13"/>
    <w:rsid w:val="006D5FAE"/>
    <w:rsid w:val="006D65DC"/>
    <w:rsid w:val="006D6C59"/>
    <w:rsid w:val="006D7950"/>
    <w:rsid w:val="006D797C"/>
    <w:rsid w:val="006E0668"/>
    <w:rsid w:val="006E0FB2"/>
    <w:rsid w:val="006E109A"/>
    <w:rsid w:val="006E1402"/>
    <w:rsid w:val="006E2309"/>
    <w:rsid w:val="006E4225"/>
    <w:rsid w:val="006E6A4C"/>
    <w:rsid w:val="006E6C49"/>
    <w:rsid w:val="006E746C"/>
    <w:rsid w:val="006F4323"/>
    <w:rsid w:val="006F4BB4"/>
    <w:rsid w:val="006F5B75"/>
    <w:rsid w:val="006F5CF7"/>
    <w:rsid w:val="006F5F73"/>
    <w:rsid w:val="006F6893"/>
    <w:rsid w:val="006F6BCC"/>
    <w:rsid w:val="006F7249"/>
    <w:rsid w:val="006F73EC"/>
    <w:rsid w:val="006F7776"/>
    <w:rsid w:val="006F7F16"/>
    <w:rsid w:val="00700C42"/>
    <w:rsid w:val="00700FC4"/>
    <w:rsid w:val="00700FFC"/>
    <w:rsid w:val="00701493"/>
    <w:rsid w:val="00701859"/>
    <w:rsid w:val="0070263D"/>
    <w:rsid w:val="00702F23"/>
    <w:rsid w:val="0070326F"/>
    <w:rsid w:val="007033D2"/>
    <w:rsid w:val="00703F83"/>
    <w:rsid w:val="007056D7"/>
    <w:rsid w:val="007059DF"/>
    <w:rsid w:val="00706C26"/>
    <w:rsid w:val="00706EC1"/>
    <w:rsid w:val="00707768"/>
    <w:rsid w:val="00710759"/>
    <w:rsid w:val="00711654"/>
    <w:rsid w:val="0071239E"/>
    <w:rsid w:val="007133D1"/>
    <w:rsid w:val="00714ABF"/>
    <w:rsid w:val="00717115"/>
    <w:rsid w:val="0072046F"/>
    <w:rsid w:val="007207EC"/>
    <w:rsid w:val="007224DE"/>
    <w:rsid w:val="00722AAD"/>
    <w:rsid w:val="007234E6"/>
    <w:rsid w:val="0072445F"/>
    <w:rsid w:val="007269BB"/>
    <w:rsid w:val="00730428"/>
    <w:rsid w:val="00731D6D"/>
    <w:rsid w:val="00733A7D"/>
    <w:rsid w:val="00733B2D"/>
    <w:rsid w:val="007345FF"/>
    <w:rsid w:val="00735B26"/>
    <w:rsid w:val="0073669C"/>
    <w:rsid w:val="0073677A"/>
    <w:rsid w:val="0073771D"/>
    <w:rsid w:val="007402BF"/>
    <w:rsid w:val="007405CD"/>
    <w:rsid w:val="00740E08"/>
    <w:rsid w:val="00740F14"/>
    <w:rsid w:val="007414B7"/>
    <w:rsid w:val="00741671"/>
    <w:rsid w:val="00741897"/>
    <w:rsid w:val="00741B9F"/>
    <w:rsid w:val="00741E18"/>
    <w:rsid w:val="0074206B"/>
    <w:rsid w:val="00742C0B"/>
    <w:rsid w:val="0074407E"/>
    <w:rsid w:val="00746029"/>
    <w:rsid w:val="00746511"/>
    <w:rsid w:val="00747BC9"/>
    <w:rsid w:val="00750AD1"/>
    <w:rsid w:val="0075187E"/>
    <w:rsid w:val="00751E5C"/>
    <w:rsid w:val="00752269"/>
    <w:rsid w:val="00752ED0"/>
    <w:rsid w:val="0075313B"/>
    <w:rsid w:val="00753930"/>
    <w:rsid w:val="00753B92"/>
    <w:rsid w:val="00754036"/>
    <w:rsid w:val="0075418A"/>
    <w:rsid w:val="00754422"/>
    <w:rsid w:val="00754DC7"/>
    <w:rsid w:val="007569CD"/>
    <w:rsid w:val="00756CCA"/>
    <w:rsid w:val="0076152D"/>
    <w:rsid w:val="00761FB9"/>
    <w:rsid w:val="0076241B"/>
    <w:rsid w:val="007632A8"/>
    <w:rsid w:val="007635F6"/>
    <w:rsid w:val="00764320"/>
    <w:rsid w:val="00764F15"/>
    <w:rsid w:val="00764F27"/>
    <w:rsid w:val="00765210"/>
    <w:rsid w:val="00765255"/>
    <w:rsid w:val="00765F03"/>
    <w:rsid w:val="00765FA0"/>
    <w:rsid w:val="007660BB"/>
    <w:rsid w:val="00766973"/>
    <w:rsid w:val="0076715E"/>
    <w:rsid w:val="00770365"/>
    <w:rsid w:val="007705B0"/>
    <w:rsid w:val="0077147E"/>
    <w:rsid w:val="00771E4E"/>
    <w:rsid w:val="00771E96"/>
    <w:rsid w:val="0077545F"/>
    <w:rsid w:val="00775636"/>
    <w:rsid w:val="007757AF"/>
    <w:rsid w:val="00776FDA"/>
    <w:rsid w:val="00781411"/>
    <w:rsid w:val="0078218B"/>
    <w:rsid w:val="00783043"/>
    <w:rsid w:val="0078393B"/>
    <w:rsid w:val="007849F9"/>
    <w:rsid w:val="00784ACD"/>
    <w:rsid w:val="00784C5B"/>
    <w:rsid w:val="0078589A"/>
    <w:rsid w:val="00785D74"/>
    <w:rsid w:val="00786B39"/>
    <w:rsid w:val="0078790B"/>
    <w:rsid w:val="00787E95"/>
    <w:rsid w:val="007903C3"/>
    <w:rsid w:val="0079180D"/>
    <w:rsid w:val="00791E51"/>
    <w:rsid w:val="007928DE"/>
    <w:rsid w:val="0079367A"/>
    <w:rsid w:val="007938EA"/>
    <w:rsid w:val="00793AD5"/>
    <w:rsid w:val="0079434C"/>
    <w:rsid w:val="00794CF1"/>
    <w:rsid w:val="00794E8C"/>
    <w:rsid w:val="00795A24"/>
    <w:rsid w:val="00795AC2"/>
    <w:rsid w:val="00796CB0"/>
    <w:rsid w:val="00796EDB"/>
    <w:rsid w:val="00796FE4"/>
    <w:rsid w:val="007A0124"/>
    <w:rsid w:val="007A03CF"/>
    <w:rsid w:val="007A0ED1"/>
    <w:rsid w:val="007A124E"/>
    <w:rsid w:val="007A385B"/>
    <w:rsid w:val="007A3FB9"/>
    <w:rsid w:val="007A41F0"/>
    <w:rsid w:val="007A42AA"/>
    <w:rsid w:val="007A4335"/>
    <w:rsid w:val="007B213E"/>
    <w:rsid w:val="007B26C7"/>
    <w:rsid w:val="007B3CA5"/>
    <w:rsid w:val="007B49B6"/>
    <w:rsid w:val="007B6782"/>
    <w:rsid w:val="007B6957"/>
    <w:rsid w:val="007B7581"/>
    <w:rsid w:val="007C06C1"/>
    <w:rsid w:val="007C1AF4"/>
    <w:rsid w:val="007C2643"/>
    <w:rsid w:val="007C29E7"/>
    <w:rsid w:val="007C40E0"/>
    <w:rsid w:val="007C4B87"/>
    <w:rsid w:val="007C56ED"/>
    <w:rsid w:val="007C5CF4"/>
    <w:rsid w:val="007C60BE"/>
    <w:rsid w:val="007C60F0"/>
    <w:rsid w:val="007C6FEA"/>
    <w:rsid w:val="007D0947"/>
    <w:rsid w:val="007D20BA"/>
    <w:rsid w:val="007D459A"/>
    <w:rsid w:val="007D5851"/>
    <w:rsid w:val="007D5C3C"/>
    <w:rsid w:val="007D64F5"/>
    <w:rsid w:val="007D6A26"/>
    <w:rsid w:val="007D6A4B"/>
    <w:rsid w:val="007D6FBB"/>
    <w:rsid w:val="007D71D0"/>
    <w:rsid w:val="007D7F44"/>
    <w:rsid w:val="007D7F76"/>
    <w:rsid w:val="007D7FF3"/>
    <w:rsid w:val="007E0534"/>
    <w:rsid w:val="007E0753"/>
    <w:rsid w:val="007E0EEE"/>
    <w:rsid w:val="007E3200"/>
    <w:rsid w:val="007E3865"/>
    <w:rsid w:val="007E3C27"/>
    <w:rsid w:val="007E429C"/>
    <w:rsid w:val="007E5DB9"/>
    <w:rsid w:val="007E6A26"/>
    <w:rsid w:val="007E744F"/>
    <w:rsid w:val="007E7F70"/>
    <w:rsid w:val="007F0B02"/>
    <w:rsid w:val="007F1586"/>
    <w:rsid w:val="007F17DD"/>
    <w:rsid w:val="007F25B0"/>
    <w:rsid w:val="007F276A"/>
    <w:rsid w:val="007F5BDA"/>
    <w:rsid w:val="007F706B"/>
    <w:rsid w:val="007F776D"/>
    <w:rsid w:val="008003F4"/>
    <w:rsid w:val="00802793"/>
    <w:rsid w:val="008029D0"/>
    <w:rsid w:val="008033AA"/>
    <w:rsid w:val="0080360A"/>
    <w:rsid w:val="00803B22"/>
    <w:rsid w:val="008040D6"/>
    <w:rsid w:val="00804BE0"/>
    <w:rsid w:val="0080519A"/>
    <w:rsid w:val="00805ED6"/>
    <w:rsid w:val="00806538"/>
    <w:rsid w:val="00806B89"/>
    <w:rsid w:val="00806D1E"/>
    <w:rsid w:val="0080735B"/>
    <w:rsid w:val="008076C1"/>
    <w:rsid w:val="008102A6"/>
    <w:rsid w:val="00810CFE"/>
    <w:rsid w:val="00810F07"/>
    <w:rsid w:val="0081109E"/>
    <w:rsid w:val="00811498"/>
    <w:rsid w:val="00811534"/>
    <w:rsid w:val="00811A5B"/>
    <w:rsid w:val="008124F4"/>
    <w:rsid w:val="00812543"/>
    <w:rsid w:val="0081294C"/>
    <w:rsid w:val="00813B68"/>
    <w:rsid w:val="00813C51"/>
    <w:rsid w:val="0081487D"/>
    <w:rsid w:val="00814C25"/>
    <w:rsid w:val="008157EC"/>
    <w:rsid w:val="0081608B"/>
    <w:rsid w:val="00816811"/>
    <w:rsid w:val="008205E9"/>
    <w:rsid w:val="00820657"/>
    <w:rsid w:val="00821076"/>
    <w:rsid w:val="008227EF"/>
    <w:rsid w:val="00823286"/>
    <w:rsid w:val="0082334C"/>
    <w:rsid w:val="00823775"/>
    <w:rsid w:val="008239BD"/>
    <w:rsid w:val="00823B5C"/>
    <w:rsid w:val="00824955"/>
    <w:rsid w:val="00824EAB"/>
    <w:rsid w:val="008259DF"/>
    <w:rsid w:val="00825CDA"/>
    <w:rsid w:val="00825F4A"/>
    <w:rsid w:val="00826CA7"/>
    <w:rsid w:val="008271D6"/>
    <w:rsid w:val="00827430"/>
    <w:rsid w:val="008276D2"/>
    <w:rsid w:val="00830CAF"/>
    <w:rsid w:val="0083248F"/>
    <w:rsid w:val="00834600"/>
    <w:rsid w:val="00834875"/>
    <w:rsid w:val="0083496D"/>
    <w:rsid w:val="00835155"/>
    <w:rsid w:val="008352A7"/>
    <w:rsid w:val="00836421"/>
    <w:rsid w:val="00836F18"/>
    <w:rsid w:val="00837129"/>
    <w:rsid w:val="00837B3D"/>
    <w:rsid w:val="0084074A"/>
    <w:rsid w:val="00842805"/>
    <w:rsid w:val="008433DF"/>
    <w:rsid w:val="008442F5"/>
    <w:rsid w:val="00844992"/>
    <w:rsid w:val="008452D7"/>
    <w:rsid w:val="0084555C"/>
    <w:rsid w:val="008472D0"/>
    <w:rsid w:val="0085010E"/>
    <w:rsid w:val="00850BF8"/>
    <w:rsid w:val="00851C99"/>
    <w:rsid w:val="00851FD3"/>
    <w:rsid w:val="00852341"/>
    <w:rsid w:val="00852D66"/>
    <w:rsid w:val="00855A34"/>
    <w:rsid w:val="00856F39"/>
    <w:rsid w:val="00857BF5"/>
    <w:rsid w:val="00857F05"/>
    <w:rsid w:val="00860402"/>
    <w:rsid w:val="00861A1F"/>
    <w:rsid w:val="00861A3A"/>
    <w:rsid w:val="00861E51"/>
    <w:rsid w:val="0086276F"/>
    <w:rsid w:val="008627E9"/>
    <w:rsid w:val="00862E13"/>
    <w:rsid w:val="00863349"/>
    <w:rsid w:val="008638D2"/>
    <w:rsid w:val="00863DAF"/>
    <w:rsid w:val="00863ED1"/>
    <w:rsid w:val="00864B81"/>
    <w:rsid w:val="00865F16"/>
    <w:rsid w:val="0086689F"/>
    <w:rsid w:val="00867F11"/>
    <w:rsid w:val="008718D1"/>
    <w:rsid w:val="00872A74"/>
    <w:rsid w:val="00873693"/>
    <w:rsid w:val="00874319"/>
    <w:rsid w:val="00874960"/>
    <w:rsid w:val="00874D24"/>
    <w:rsid w:val="00875719"/>
    <w:rsid w:val="00875D97"/>
    <w:rsid w:val="008760E1"/>
    <w:rsid w:val="00877C59"/>
    <w:rsid w:val="008802BF"/>
    <w:rsid w:val="00880DA8"/>
    <w:rsid w:val="00881B0F"/>
    <w:rsid w:val="00881B5D"/>
    <w:rsid w:val="008830C3"/>
    <w:rsid w:val="0088398F"/>
    <w:rsid w:val="00883CEC"/>
    <w:rsid w:val="008845D7"/>
    <w:rsid w:val="00886B9B"/>
    <w:rsid w:val="00887955"/>
    <w:rsid w:val="00890CDB"/>
    <w:rsid w:val="00891AFC"/>
    <w:rsid w:val="00891D6D"/>
    <w:rsid w:val="00891FDB"/>
    <w:rsid w:val="008920E3"/>
    <w:rsid w:val="008929A5"/>
    <w:rsid w:val="00893041"/>
    <w:rsid w:val="00895031"/>
    <w:rsid w:val="00897D5C"/>
    <w:rsid w:val="008A053A"/>
    <w:rsid w:val="008A1623"/>
    <w:rsid w:val="008A269D"/>
    <w:rsid w:val="008A35E2"/>
    <w:rsid w:val="008A3ED4"/>
    <w:rsid w:val="008A436D"/>
    <w:rsid w:val="008A5986"/>
    <w:rsid w:val="008A5B6E"/>
    <w:rsid w:val="008A6029"/>
    <w:rsid w:val="008A638A"/>
    <w:rsid w:val="008B0BC4"/>
    <w:rsid w:val="008B0DBE"/>
    <w:rsid w:val="008B12C1"/>
    <w:rsid w:val="008B156A"/>
    <w:rsid w:val="008B1576"/>
    <w:rsid w:val="008B1BF4"/>
    <w:rsid w:val="008B1E0D"/>
    <w:rsid w:val="008B3BC9"/>
    <w:rsid w:val="008B462F"/>
    <w:rsid w:val="008B786E"/>
    <w:rsid w:val="008C034F"/>
    <w:rsid w:val="008C0421"/>
    <w:rsid w:val="008C04FE"/>
    <w:rsid w:val="008C0AE4"/>
    <w:rsid w:val="008C0F64"/>
    <w:rsid w:val="008C130F"/>
    <w:rsid w:val="008C3D68"/>
    <w:rsid w:val="008C4022"/>
    <w:rsid w:val="008C55B9"/>
    <w:rsid w:val="008C7D99"/>
    <w:rsid w:val="008D00A2"/>
    <w:rsid w:val="008D00B7"/>
    <w:rsid w:val="008D04A2"/>
    <w:rsid w:val="008D0826"/>
    <w:rsid w:val="008D1558"/>
    <w:rsid w:val="008D1C72"/>
    <w:rsid w:val="008D3A2B"/>
    <w:rsid w:val="008D4565"/>
    <w:rsid w:val="008D476D"/>
    <w:rsid w:val="008D479D"/>
    <w:rsid w:val="008D4A46"/>
    <w:rsid w:val="008D5313"/>
    <w:rsid w:val="008D5CBB"/>
    <w:rsid w:val="008D6ABE"/>
    <w:rsid w:val="008E02C4"/>
    <w:rsid w:val="008E0A2E"/>
    <w:rsid w:val="008E1B77"/>
    <w:rsid w:val="008E2F9B"/>
    <w:rsid w:val="008E33C0"/>
    <w:rsid w:val="008E3C50"/>
    <w:rsid w:val="008E4920"/>
    <w:rsid w:val="008E5146"/>
    <w:rsid w:val="008E5B1A"/>
    <w:rsid w:val="008E5E24"/>
    <w:rsid w:val="008E5F12"/>
    <w:rsid w:val="008E5F49"/>
    <w:rsid w:val="008E612D"/>
    <w:rsid w:val="008E651E"/>
    <w:rsid w:val="008E7944"/>
    <w:rsid w:val="008F0B3A"/>
    <w:rsid w:val="008F0D41"/>
    <w:rsid w:val="008F13E3"/>
    <w:rsid w:val="008F3387"/>
    <w:rsid w:val="008F37C6"/>
    <w:rsid w:val="008F52E0"/>
    <w:rsid w:val="008F77A6"/>
    <w:rsid w:val="009004AA"/>
    <w:rsid w:val="00900647"/>
    <w:rsid w:val="009007C7"/>
    <w:rsid w:val="00900F7A"/>
    <w:rsid w:val="009013F5"/>
    <w:rsid w:val="00902758"/>
    <w:rsid w:val="00904623"/>
    <w:rsid w:val="009049C8"/>
    <w:rsid w:val="00904C4A"/>
    <w:rsid w:val="0090788B"/>
    <w:rsid w:val="00910871"/>
    <w:rsid w:val="009117F0"/>
    <w:rsid w:val="009118EE"/>
    <w:rsid w:val="00912305"/>
    <w:rsid w:val="009123BE"/>
    <w:rsid w:val="00912B3D"/>
    <w:rsid w:val="00912C52"/>
    <w:rsid w:val="0091317C"/>
    <w:rsid w:val="00913F76"/>
    <w:rsid w:val="0091421D"/>
    <w:rsid w:val="009157EA"/>
    <w:rsid w:val="00915DDC"/>
    <w:rsid w:val="00920242"/>
    <w:rsid w:val="00920744"/>
    <w:rsid w:val="0092240B"/>
    <w:rsid w:val="00922908"/>
    <w:rsid w:val="00922BEA"/>
    <w:rsid w:val="0092338F"/>
    <w:rsid w:val="009239C7"/>
    <w:rsid w:val="009241AB"/>
    <w:rsid w:val="00924CE6"/>
    <w:rsid w:val="00924E6A"/>
    <w:rsid w:val="00927DBB"/>
    <w:rsid w:val="009301FE"/>
    <w:rsid w:val="009302FC"/>
    <w:rsid w:val="0093064E"/>
    <w:rsid w:val="009311CE"/>
    <w:rsid w:val="00932222"/>
    <w:rsid w:val="00933975"/>
    <w:rsid w:val="009340C4"/>
    <w:rsid w:val="00934232"/>
    <w:rsid w:val="00934EB1"/>
    <w:rsid w:val="00934FDB"/>
    <w:rsid w:val="009352A6"/>
    <w:rsid w:val="009352C4"/>
    <w:rsid w:val="00935923"/>
    <w:rsid w:val="00935CAD"/>
    <w:rsid w:val="00935F05"/>
    <w:rsid w:val="00937073"/>
    <w:rsid w:val="009377BA"/>
    <w:rsid w:val="00940E4B"/>
    <w:rsid w:val="009411B9"/>
    <w:rsid w:val="00943A4D"/>
    <w:rsid w:val="00944425"/>
    <w:rsid w:val="00944A7C"/>
    <w:rsid w:val="00944DC6"/>
    <w:rsid w:val="00946FED"/>
    <w:rsid w:val="0094759D"/>
    <w:rsid w:val="00953E9E"/>
    <w:rsid w:val="00954096"/>
    <w:rsid w:val="009552BF"/>
    <w:rsid w:val="009557B6"/>
    <w:rsid w:val="0095597C"/>
    <w:rsid w:val="009562F4"/>
    <w:rsid w:val="00956388"/>
    <w:rsid w:val="00956504"/>
    <w:rsid w:val="009566AB"/>
    <w:rsid w:val="00956744"/>
    <w:rsid w:val="00957131"/>
    <w:rsid w:val="009604C0"/>
    <w:rsid w:val="00960B97"/>
    <w:rsid w:val="00962ADE"/>
    <w:rsid w:val="00963062"/>
    <w:rsid w:val="00963396"/>
    <w:rsid w:val="00963506"/>
    <w:rsid w:val="00963963"/>
    <w:rsid w:val="00963F76"/>
    <w:rsid w:val="009641ED"/>
    <w:rsid w:val="009642A3"/>
    <w:rsid w:val="009656C9"/>
    <w:rsid w:val="00965CDA"/>
    <w:rsid w:val="009661D3"/>
    <w:rsid w:val="00967118"/>
    <w:rsid w:val="0096727C"/>
    <w:rsid w:val="00967931"/>
    <w:rsid w:val="0097068C"/>
    <w:rsid w:val="009708EE"/>
    <w:rsid w:val="0097094C"/>
    <w:rsid w:val="009713BB"/>
    <w:rsid w:val="00972CE0"/>
    <w:rsid w:val="0097356D"/>
    <w:rsid w:val="009736D7"/>
    <w:rsid w:val="00974333"/>
    <w:rsid w:val="009743DE"/>
    <w:rsid w:val="00974D40"/>
    <w:rsid w:val="0097633E"/>
    <w:rsid w:val="0097686A"/>
    <w:rsid w:val="009772F1"/>
    <w:rsid w:val="009801CE"/>
    <w:rsid w:val="00980E77"/>
    <w:rsid w:val="00981726"/>
    <w:rsid w:val="00981943"/>
    <w:rsid w:val="009820F7"/>
    <w:rsid w:val="00982BA2"/>
    <w:rsid w:val="0098383D"/>
    <w:rsid w:val="00984EDD"/>
    <w:rsid w:val="0098612C"/>
    <w:rsid w:val="009864DF"/>
    <w:rsid w:val="0098686E"/>
    <w:rsid w:val="00986CDA"/>
    <w:rsid w:val="00990575"/>
    <w:rsid w:val="00990938"/>
    <w:rsid w:val="00991BC3"/>
    <w:rsid w:val="009922E0"/>
    <w:rsid w:val="00992B2F"/>
    <w:rsid w:val="00994446"/>
    <w:rsid w:val="00994A9A"/>
    <w:rsid w:val="009957DE"/>
    <w:rsid w:val="00995D4D"/>
    <w:rsid w:val="00995E92"/>
    <w:rsid w:val="00996AAC"/>
    <w:rsid w:val="009970F9"/>
    <w:rsid w:val="009A03A3"/>
    <w:rsid w:val="009A1350"/>
    <w:rsid w:val="009A1AD0"/>
    <w:rsid w:val="009A2C3B"/>
    <w:rsid w:val="009A4935"/>
    <w:rsid w:val="009A4E27"/>
    <w:rsid w:val="009A5625"/>
    <w:rsid w:val="009A6A61"/>
    <w:rsid w:val="009A73FC"/>
    <w:rsid w:val="009B0AA1"/>
    <w:rsid w:val="009B19B4"/>
    <w:rsid w:val="009B1E6D"/>
    <w:rsid w:val="009B29A2"/>
    <w:rsid w:val="009B30B8"/>
    <w:rsid w:val="009B344B"/>
    <w:rsid w:val="009B43F6"/>
    <w:rsid w:val="009B4D3E"/>
    <w:rsid w:val="009B61A9"/>
    <w:rsid w:val="009B7610"/>
    <w:rsid w:val="009C13A3"/>
    <w:rsid w:val="009C35E1"/>
    <w:rsid w:val="009C4F95"/>
    <w:rsid w:val="009C5919"/>
    <w:rsid w:val="009C5D54"/>
    <w:rsid w:val="009C5DD4"/>
    <w:rsid w:val="009C7409"/>
    <w:rsid w:val="009C76B8"/>
    <w:rsid w:val="009D1062"/>
    <w:rsid w:val="009D21B2"/>
    <w:rsid w:val="009D34CF"/>
    <w:rsid w:val="009D3F35"/>
    <w:rsid w:val="009D3F59"/>
    <w:rsid w:val="009D47C2"/>
    <w:rsid w:val="009D47F3"/>
    <w:rsid w:val="009D4CB6"/>
    <w:rsid w:val="009D6000"/>
    <w:rsid w:val="009D6593"/>
    <w:rsid w:val="009D71D0"/>
    <w:rsid w:val="009D7F09"/>
    <w:rsid w:val="009E0380"/>
    <w:rsid w:val="009E148A"/>
    <w:rsid w:val="009E2B8F"/>
    <w:rsid w:val="009E38A0"/>
    <w:rsid w:val="009E3F27"/>
    <w:rsid w:val="009E5144"/>
    <w:rsid w:val="009E532C"/>
    <w:rsid w:val="009E6FC1"/>
    <w:rsid w:val="009E752B"/>
    <w:rsid w:val="009F0AF0"/>
    <w:rsid w:val="009F1749"/>
    <w:rsid w:val="009F2B81"/>
    <w:rsid w:val="009F2CCD"/>
    <w:rsid w:val="009F37AF"/>
    <w:rsid w:val="009F399F"/>
    <w:rsid w:val="009F41E5"/>
    <w:rsid w:val="009F4B84"/>
    <w:rsid w:val="009F5B76"/>
    <w:rsid w:val="009F5E85"/>
    <w:rsid w:val="009F62BD"/>
    <w:rsid w:val="009F68EE"/>
    <w:rsid w:val="00A01CE2"/>
    <w:rsid w:val="00A0269F"/>
    <w:rsid w:val="00A029B0"/>
    <w:rsid w:val="00A02FFF"/>
    <w:rsid w:val="00A0555E"/>
    <w:rsid w:val="00A0603A"/>
    <w:rsid w:val="00A06629"/>
    <w:rsid w:val="00A07B48"/>
    <w:rsid w:val="00A07E9F"/>
    <w:rsid w:val="00A108FA"/>
    <w:rsid w:val="00A109FF"/>
    <w:rsid w:val="00A11C71"/>
    <w:rsid w:val="00A12085"/>
    <w:rsid w:val="00A1275A"/>
    <w:rsid w:val="00A13870"/>
    <w:rsid w:val="00A13DED"/>
    <w:rsid w:val="00A14AF7"/>
    <w:rsid w:val="00A15859"/>
    <w:rsid w:val="00A16500"/>
    <w:rsid w:val="00A167A3"/>
    <w:rsid w:val="00A170EC"/>
    <w:rsid w:val="00A177C4"/>
    <w:rsid w:val="00A17F9F"/>
    <w:rsid w:val="00A20F34"/>
    <w:rsid w:val="00A220A2"/>
    <w:rsid w:val="00A2243C"/>
    <w:rsid w:val="00A23607"/>
    <w:rsid w:val="00A23800"/>
    <w:rsid w:val="00A24EC6"/>
    <w:rsid w:val="00A25182"/>
    <w:rsid w:val="00A25A13"/>
    <w:rsid w:val="00A25CDC"/>
    <w:rsid w:val="00A27C46"/>
    <w:rsid w:val="00A30D22"/>
    <w:rsid w:val="00A32571"/>
    <w:rsid w:val="00A35C44"/>
    <w:rsid w:val="00A3682A"/>
    <w:rsid w:val="00A36AC4"/>
    <w:rsid w:val="00A37F08"/>
    <w:rsid w:val="00A40F4A"/>
    <w:rsid w:val="00A422D9"/>
    <w:rsid w:val="00A42474"/>
    <w:rsid w:val="00A42E9A"/>
    <w:rsid w:val="00A43113"/>
    <w:rsid w:val="00A43A56"/>
    <w:rsid w:val="00A45BA9"/>
    <w:rsid w:val="00A469B1"/>
    <w:rsid w:val="00A46BAE"/>
    <w:rsid w:val="00A47406"/>
    <w:rsid w:val="00A474ED"/>
    <w:rsid w:val="00A50290"/>
    <w:rsid w:val="00A502C7"/>
    <w:rsid w:val="00A518E4"/>
    <w:rsid w:val="00A54E3C"/>
    <w:rsid w:val="00A55D34"/>
    <w:rsid w:val="00A56331"/>
    <w:rsid w:val="00A56429"/>
    <w:rsid w:val="00A5693F"/>
    <w:rsid w:val="00A57BB5"/>
    <w:rsid w:val="00A605BB"/>
    <w:rsid w:val="00A62AF2"/>
    <w:rsid w:val="00A630C4"/>
    <w:rsid w:val="00A63499"/>
    <w:rsid w:val="00A64C5A"/>
    <w:rsid w:val="00A6698E"/>
    <w:rsid w:val="00A66AC5"/>
    <w:rsid w:val="00A66C44"/>
    <w:rsid w:val="00A67409"/>
    <w:rsid w:val="00A702A0"/>
    <w:rsid w:val="00A70D62"/>
    <w:rsid w:val="00A7204F"/>
    <w:rsid w:val="00A736F1"/>
    <w:rsid w:val="00A748D2"/>
    <w:rsid w:val="00A766C3"/>
    <w:rsid w:val="00A769FE"/>
    <w:rsid w:val="00A7717F"/>
    <w:rsid w:val="00A77FDC"/>
    <w:rsid w:val="00A80990"/>
    <w:rsid w:val="00A80C68"/>
    <w:rsid w:val="00A80E75"/>
    <w:rsid w:val="00A80FB5"/>
    <w:rsid w:val="00A816FA"/>
    <w:rsid w:val="00A81DF9"/>
    <w:rsid w:val="00A829DD"/>
    <w:rsid w:val="00A83BC7"/>
    <w:rsid w:val="00A8479A"/>
    <w:rsid w:val="00A8485C"/>
    <w:rsid w:val="00A861EE"/>
    <w:rsid w:val="00A867FC"/>
    <w:rsid w:val="00A8751B"/>
    <w:rsid w:val="00A90C94"/>
    <w:rsid w:val="00A91C02"/>
    <w:rsid w:val="00A93235"/>
    <w:rsid w:val="00A96347"/>
    <w:rsid w:val="00A972B4"/>
    <w:rsid w:val="00A97E9A"/>
    <w:rsid w:val="00AA1F05"/>
    <w:rsid w:val="00AA3A64"/>
    <w:rsid w:val="00AA6479"/>
    <w:rsid w:val="00AA785F"/>
    <w:rsid w:val="00AA7EF4"/>
    <w:rsid w:val="00AB1AC6"/>
    <w:rsid w:val="00AB1AE9"/>
    <w:rsid w:val="00AB29FC"/>
    <w:rsid w:val="00AB2AB5"/>
    <w:rsid w:val="00AB306B"/>
    <w:rsid w:val="00AB337B"/>
    <w:rsid w:val="00AB6B96"/>
    <w:rsid w:val="00AB7470"/>
    <w:rsid w:val="00AC133B"/>
    <w:rsid w:val="00AC1564"/>
    <w:rsid w:val="00AC227D"/>
    <w:rsid w:val="00AC23A8"/>
    <w:rsid w:val="00AC260D"/>
    <w:rsid w:val="00AC2A2B"/>
    <w:rsid w:val="00AC2C96"/>
    <w:rsid w:val="00AC2CDC"/>
    <w:rsid w:val="00AC4A4F"/>
    <w:rsid w:val="00AC578B"/>
    <w:rsid w:val="00AC590D"/>
    <w:rsid w:val="00AC5D5D"/>
    <w:rsid w:val="00AC6B46"/>
    <w:rsid w:val="00AC6E35"/>
    <w:rsid w:val="00AC6EFD"/>
    <w:rsid w:val="00AC7BD2"/>
    <w:rsid w:val="00AD006D"/>
    <w:rsid w:val="00AD04F0"/>
    <w:rsid w:val="00AD0905"/>
    <w:rsid w:val="00AD1581"/>
    <w:rsid w:val="00AD1DA1"/>
    <w:rsid w:val="00AD1DE8"/>
    <w:rsid w:val="00AD24B4"/>
    <w:rsid w:val="00AD2734"/>
    <w:rsid w:val="00AD2804"/>
    <w:rsid w:val="00AD2C32"/>
    <w:rsid w:val="00AD2D10"/>
    <w:rsid w:val="00AD3520"/>
    <w:rsid w:val="00AD3BBC"/>
    <w:rsid w:val="00AD3D89"/>
    <w:rsid w:val="00AD6253"/>
    <w:rsid w:val="00AD6310"/>
    <w:rsid w:val="00AD735C"/>
    <w:rsid w:val="00AD73CE"/>
    <w:rsid w:val="00AD7F41"/>
    <w:rsid w:val="00AD7F44"/>
    <w:rsid w:val="00AE1D91"/>
    <w:rsid w:val="00AE233C"/>
    <w:rsid w:val="00AE3992"/>
    <w:rsid w:val="00AE442C"/>
    <w:rsid w:val="00AE46F9"/>
    <w:rsid w:val="00AE56D3"/>
    <w:rsid w:val="00AE5BE3"/>
    <w:rsid w:val="00AE688C"/>
    <w:rsid w:val="00AE6CAB"/>
    <w:rsid w:val="00AE6EDE"/>
    <w:rsid w:val="00AE70BF"/>
    <w:rsid w:val="00AE7465"/>
    <w:rsid w:val="00AE74BA"/>
    <w:rsid w:val="00AF009B"/>
    <w:rsid w:val="00AF0C2C"/>
    <w:rsid w:val="00AF18E4"/>
    <w:rsid w:val="00AF2AD8"/>
    <w:rsid w:val="00AF37D3"/>
    <w:rsid w:val="00AF38E9"/>
    <w:rsid w:val="00AF3A97"/>
    <w:rsid w:val="00AF471D"/>
    <w:rsid w:val="00AF4FDD"/>
    <w:rsid w:val="00AF608F"/>
    <w:rsid w:val="00AF724B"/>
    <w:rsid w:val="00B00072"/>
    <w:rsid w:val="00B00508"/>
    <w:rsid w:val="00B00516"/>
    <w:rsid w:val="00B0053A"/>
    <w:rsid w:val="00B00EE7"/>
    <w:rsid w:val="00B01140"/>
    <w:rsid w:val="00B01EF9"/>
    <w:rsid w:val="00B02045"/>
    <w:rsid w:val="00B035F5"/>
    <w:rsid w:val="00B0389A"/>
    <w:rsid w:val="00B03B69"/>
    <w:rsid w:val="00B03C2B"/>
    <w:rsid w:val="00B04931"/>
    <w:rsid w:val="00B051F8"/>
    <w:rsid w:val="00B060DC"/>
    <w:rsid w:val="00B063A2"/>
    <w:rsid w:val="00B0667C"/>
    <w:rsid w:val="00B06B06"/>
    <w:rsid w:val="00B06FA5"/>
    <w:rsid w:val="00B107CE"/>
    <w:rsid w:val="00B11D91"/>
    <w:rsid w:val="00B13458"/>
    <w:rsid w:val="00B13DF4"/>
    <w:rsid w:val="00B15A48"/>
    <w:rsid w:val="00B17430"/>
    <w:rsid w:val="00B17B0D"/>
    <w:rsid w:val="00B20715"/>
    <w:rsid w:val="00B213E2"/>
    <w:rsid w:val="00B21427"/>
    <w:rsid w:val="00B21775"/>
    <w:rsid w:val="00B229F1"/>
    <w:rsid w:val="00B22E62"/>
    <w:rsid w:val="00B24A34"/>
    <w:rsid w:val="00B24BBD"/>
    <w:rsid w:val="00B25A3C"/>
    <w:rsid w:val="00B25BB7"/>
    <w:rsid w:val="00B2628A"/>
    <w:rsid w:val="00B26CC0"/>
    <w:rsid w:val="00B26D0E"/>
    <w:rsid w:val="00B27FFE"/>
    <w:rsid w:val="00B30D92"/>
    <w:rsid w:val="00B30FB0"/>
    <w:rsid w:val="00B312F9"/>
    <w:rsid w:val="00B315FB"/>
    <w:rsid w:val="00B324AB"/>
    <w:rsid w:val="00B33824"/>
    <w:rsid w:val="00B341BA"/>
    <w:rsid w:val="00B342BA"/>
    <w:rsid w:val="00B342FA"/>
    <w:rsid w:val="00B34CC6"/>
    <w:rsid w:val="00B353E8"/>
    <w:rsid w:val="00B3764A"/>
    <w:rsid w:val="00B403F9"/>
    <w:rsid w:val="00B40C36"/>
    <w:rsid w:val="00B40F68"/>
    <w:rsid w:val="00B42732"/>
    <w:rsid w:val="00B43126"/>
    <w:rsid w:val="00B436FC"/>
    <w:rsid w:val="00B43723"/>
    <w:rsid w:val="00B44135"/>
    <w:rsid w:val="00B45751"/>
    <w:rsid w:val="00B4661E"/>
    <w:rsid w:val="00B46C01"/>
    <w:rsid w:val="00B5001E"/>
    <w:rsid w:val="00B5065C"/>
    <w:rsid w:val="00B516D4"/>
    <w:rsid w:val="00B51B91"/>
    <w:rsid w:val="00B52274"/>
    <w:rsid w:val="00B525C0"/>
    <w:rsid w:val="00B541B3"/>
    <w:rsid w:val="00B54342"/>
    <w:rsid w:val="00B554CA"/>
    <w:rsid w:val="00B561AB"/>
    <w:rsid w:val="00B56B85"/>
    <w:rsid w:val="00B56E8B"/>
    <w:rsid w:val="00B57698"/>
    <w:rsid w:val="00B57A82"/>
    <w:rsid w:val="00B60541"/>
    <w:rsid w:val="00B6066B"/>
    <w:rsid w:val="00B60AC1"/>
    <w:rsid w:val="00B61A7B"/>
    <w:rsid w:val="00B63D00"/>
    <w:rsid w:val="00B646F2"/>
    <w:rsid w:val="00B64F5F"/>
    <w:rsid w:val="00B653F7"/>
    <w:rsid w:val="00B677AF"/>
    <w:rsid w:val="00B67BD1"/>
    <w:rsid w:val="00B70A7F"/>
    <w:rsid w:val="00B722E5"/>
    <w:rsid w:val="00B72AEA"/>
    <w:rsid w:val="00B73586"/>
    <w:rsid w:val="00B73D63"/>
    <w:rsid w:val="00B740DB"/>
    <w:rsid w:val="00B75927"/>
    <w:rsid w:val="00B75C2D"/>
    <w:rsid w:val="00B76378"/>
    <w:rsid w:val="00B76523"/>
    <w:rsid w:val="00B779A3"/>
    <w:rsid w:val="00B77B9A"/>
    <w:rsid w:val="00B77DF3"/>
    <w:rsid w:val="00B803D9"/>
    <w:rsid w:val="00B8145D"/>
    <w:rsid w:val="00B821C4"/>
    <w:rsid w:val="00B82347"/>
    <w:rsid w:val="00B83123"/>
    <w:rsid w:val="00B83A29"/>
    <w:rsid w:val="00B8775E"/>
    <w:rsid w:val="00B8791D"/>
    <w:rsid w:val="00B917BE"/>
    <w:rsid w:val="00B91D4D"/>
    <w:rsid w:val="00B92922"/>
    <w:rsid w:val="00B92D2E"/>
    <w:rsid w:val="00B93174"/>
    <w:rsid w:val="00B939FD"/>
    <w:rsid w:val="00B947A1"/>
    <w:rsid w:val="00B94FE3"/>
    <w:rsid w:val="00B9593D"/>
    <w:rsid w:val="00B96024"/>
    <w:rsid w:val="00B96C6D"/>
    <w:rsid w:val="00B96E45"/>
    <w:rsid w:val="00B96E77"/>
    <w:rsid w:val="00B9729F"/>
    <w:rsid w:val="00BA006E"/>
    <w:rsid w:val="00BA0283"/>
    <w:rsid w:val="00BA0CBF"/>
    <w:rsid w:val="00BA25F6"/>
    <w:rsid w:val="00BA4713"/>
    <w:rsid w:val="00BA4DAF"/>
    <w:rsid w:val="00BA53AB"/>
    <w:rsid w:val="00BA5875"/>
    <w:rsid w:val="00BA59FB"/>
    <w:rsid w:val="00BA746F"/>
    <w:rsid w:val="00BA7ADC"/>
    <w:rsid w:val="00BB1AB3"/>
    <w:rsid w:val="00BB3511"/>
    <w:rsid w:val="00BB3D1F"/>
    <w:rsid w:val="00BB50EF"/>
    <w:rsid w:val="00BB547C"/>
    <w:rsid w:val="00BB5D0F"/>
    <w:rsid w:val="00BB663A"/>
    <w:rsid w:val="00BC01C9"/>
    <w:rsid w:val="00BC03A0"/>
    <w:rsid w:val="00BC043B"/>
    <w:rsid w:val="00BC0901"/>
    <w:rsid w:val="00BC0BE9"/>
    <w:rsid w:val="00BC278D"/>
    <w:rsid w:val="00BC2F60"/>
    <w:rsid w:val="00BC3DF7"/>
    <w:rsid w:val="00BC3FF0"/>
    <w:rsid w:val="00BC446F"/>
    <w:rsid w:val="00BC4E3A"/>
    <w:rsid w:val="00BC55E1"/>
    <w:rsid w:val="00BC5879"/>
    <w:rsid w:val="00BC5E68"/>
    <w:rsid w:val="00BC6C84"/>
    <w:rsid w:val="00BC726E"/>
    <w:rsid w:val="00BD0140"/>
    <w:rsid w:val="00BD0472"/>
    <w:rsid w:val="00BD09B9"/>
    <w:rsid w:val="00BD19BF"/>
    <w:rsid w:val="00BD3E93"/>
    <w:rsid w:val="00BD444B"/>
    <w:rsid w:val="00BD45A1"/>
    <w:rsid w:val="00BD4933"/>
    <w:rsid w:val="00BD5EE3"/>
    <w:rsid w:val="00BE1986"/>
    <w:rsid w:val="00BE211C"/>
    <w:rsid w:val="00BE2538"/>
    <w:rsid w:val="00BE38C9"/>
    <w:rsid w:val="00BE42FB"/>
    <w:rsid w:val="00BE5BA7"/>
    <w:rsid w:val="00BE6A80"/>
    <w:rsid w:val="00BE6F02"/>
    <w:rsid w:val="00BF1B4D"/>
    <w:rsid w:val="00BF22BC"/>
    <w:rsid w:val="00BF2D5C"/>
    <w:rsid w:val="00BF32A2"/>
    <w:rsid w:val="00BF3C85"/>
    <w:rsid w:val="00BF425F"/>
    <w:rsid w:val="00BF4A39"/>
    <w:rsid w:val="00BF4F35"/>
    <w:rsid w:val="00BF5A1F"/>
    <w:rsid w:val="00C0086C"/>
    <w:rsid w:val="00C00C0A"/>
    <w:rsid w:val="00C0229C"/>
    <w:rsid w:val="00C023E0"/>
    <w:rsid w:val="00C03C87"/>
    <w:rsid w:val="00C044ED"/>
    <w:rsid w:val="00C05571"/>
    <w:rsid w:val="00C0573A"/>
    <w:rsid w:val="00C06C88"/>
    <w:rsid w:val="00C06D0A"/>
    <w:rsid w:val="00C07480"/>
    <w:rsid w:val="00C07E3A"/>
    <w:rsid w:val="00C10FAC"/>
    <w:rsid w:val="00C11020"/>
    <w:rsid w:val="00C1119D"/>
    <w:rsid w:val="00C11A78"/>
    <w:rsid w:val="00C11BEE"/>
    <w:rsid w:val="00C120C8"/>
    <w:rsid w:val="00C12446"/>
    <w:rsid w:val="00C12A35"/>
    <w:rsid w:val="00C134C5"/>
    <w:rsid w:val="00C13584"/>
    <w:rsid w:val="00C139EE"/>
    <w:rsid w:val="00C145D4"/>
    <w:rsid w:val="00C16B7A"/>
    <w:rsid w:val="00C16FF4"/>
    <w:rsid w:val="00C20CEA"/>
    <w:rsid w:val="00C21794"/>
    <w:rsid w:val="00C217A5"/>
    <w:rsid w:val="00C21BCB"/>
    <w:rsid w:val="00C224D3"/>
    <w:rsid w:val="00C22B4F"/>
    <w:rsid w:val="00C23539"/>
    <w:rsid w:val="00C23BAD"/>
    <w:rsid w:val="00C24702"/>
    <w:rsid w:val="00C247B9"/>
    <w:rsid w:val="00C25020"/>
    <w:rsid w:val="00C25700"/>
    <w:rsid w:val="00C25EA7"/>
    <w:rsid w:val="00C27899"/>
    <w:rsid w:val="00C300AC"/>
    <w:rsid w:val="00C324DA"/>
    <w:rsid w:val="00C32A43"/>
    <w:rsid w:val="00C337A2"/>
    <w:rsid w:val="00C372EC"/>
    <w:rsid w:val="00C4087E"/>
    <w:rsid w:val="00C40F41"/>
    <w:rsid w:val="00C439E9"/>
    <w:rsid w:val="00C4424F"/>
    <w:rsid w:val="00C4475E"/>
    <w:rsid w:val="00C4523C"/>
    <w:rsid w:val="00C45E4A"/>
    <w:rsid w:val="00C46975"/>
    <w:rsid w:val="00C46AE7"/>
    <w:rsid w:val="00C46B02"/>
    <w:rsid w:val="00C47C0A"/>
    <w:rsid w:val="00C47D70"/>
    <w:rsid w:val="00C50235"/>
    <w:rsid w:val="00C5125F"/>
    <w:rsid w:val="00C52A1D"/>
    <w:rsid w:val="00C52D29"/>
    <w:rsid w:val="00C53C26"/>
    <w:rsid w:val="00C547B7"/>
    <w:rsid w:val="00C54862"/>
    <w:rsid w:val="00C54B6B"/>
    <w:rsid w:val="00C557D5"/>
    <w:rsid w:val="00C55C55"/>
    <w:rsid w:val="00C55E58"/>
    <w:rsid w:val="00C57013"/>
    <w:rsid w:val="00C57F58"/>
    <w:rsid w:val="00C60175"/>
    <w:rsid w:val="00C62DCD"/>
    <w:rsid w:val="00C63AB1"/>
    <w:rsid w:val="00C63DD9"/>
    <w:rsid w:val="00C64010"/>
    <w:rsid w:val="00C64242"/>
    <w:rsid w:val="00C64CFB"/>
    <w:rsid w:val="00C64F6C"/>
    <w:rsid w:val="00C6550C"/>
    <w:rsid w:val="00C66182"/>
    <w:rsid w:val="00C6630B"/>
    <w:rsid w:val="00C6664A"/>
    <w:rsid w:val="00C67387"/>
    <w:rsid w:val="00C675B7"/>
    <w:rsid w:val="00C676E5"/>
    <w:rsid w:val="00C70506"/>
    <w:rsid w:val="00C70D01"/>
    <w:rsid w:val="00C71BA1"/>
    <w:rsid w:val="00C720DE"/>
    <w:rsid w:val="00C72546"/>
    <w:rsid w:val="00C72D97"/>
    <w:rsid w:val="00C746A5"/>
    <w:rsid w:val="00C75704"/>
    <w:rsid w:val="00C7574E"/>
    <w:rsid w:val="00C75ADD"/>
    <w:rsid w:val="00C81010"/>
    <w:rsid w:val="00C81797"/>
    <w:rsid w:val="00C819A6"/>
    <w:rsid w:val="00C81A01"/>
    <w:rsid w:val="00C82085"/>
    <w:rsid w:val="00C823F2"/>
    <w:rsid w:val="00C82A0B"/>
    <w:rsid w:val="00C8353A"/>
    <w:rsid w:val="00C8383F"/>
    <w:rsid w:val="00C842FE"/>
    <w:rsid w:val="00C8641D"/>
    <w:rsid w:val="00C866C6"/>
    <w:rsid w:val="00C86A89"/>
    <w:rsid w:val="00C86B25"/>
    <w:rsid w:val="00C86F65"/>
    <w:rsid w:val="00C91DCB"/>
    <w:rsid w:val="00C91F21"/>
    <w:rsid w:val="00C93A4E"/>
    <w:rsid w:val="00C94A7B"/>
    <w:rsid w:val="00C94FA8"/>
    <w:rsid w:val="00C9501D"/>
    <w:rsid w:val="00C95A9C"/>
    <w:rsid w:val="00CA043C"/>
    <w:rsid w:val="00CA0C07"/>
    <w:rsid w:val="00CA1ED3"/>
    <w:rsid w:val="00CA2B69"/>
    <w:rsid w:val="00CA30BB"/>
    <w:rsid w:val="00CA3591"/>
    <w:rsid w:val="00CA3A94"/>
    <w:rsid w:val="00CA3E00"/>
    <w:rsid w:val="00CA428A"/>
    <w:rsid w:val="00CA463C"/>
    <w:rsid w:val="00CA5D7B"/>
    <w:rsid w:val="00CB04F1"/>
    <w:rsid w:val="00CB1674"/>
    <w:rsid w:val="00CB1E1D"/>
    <w:rsid w:val="00CB1FB9"/>
    <w:rsid w:val="00CB218A"/>
    <w:rsid w:val="00CB2DFD"/>
    <w:rsid w:val="00CB344D"/>
    <w:rsid w:val="00CB514A"/>
    <w:rsid w:val="00CB5B9D"/>
    <w:rsid w:val="00CB73B5"/>
    <w:rsid w:val="00CB76EF"/>
    <w:rsid w:val="00CC046B"/>
    <w:rsid w:val="00CC0BD3"/>
    <w:rsid w:val="00CC22A7"/>
    <w:rsid w:val="00CC23EB"/>
    <w:rsid w:val="00CC46F1"/>
    <w:rsid w:val="00CC5170"/>
    <w:rsid w:val="00CC5EDE"/>
    <w:rsid w:val="00CC60D1"/>
    <w:rsid w:val="00CC6182"/>
    <w:rsid w:val="00CC6310"/>
    <w:rsid w:val="00CC64E8"/>
    <w:rsid w:val="00CC6DD5"/>
    <w:rsid w:val="00CC7BBA"/>
    <w:rsid w:val="00CD0F83"/>
    <w:rsid w:val="00CD1452"/>
    <w:rsid w:val="00CD16B2"/>
    <w:rsid w:val="00CD24E9"/>
    <w:rsid w:val="00CD24EB"/>
    <w:rsid w:val="00CD3563"/>
    <w:rsid w:val="00CD451A"/>
    <w:rsid w:val="00CD52B2"/>
    <w:rsid w:val="00CD554B"/>
    <w:rsid w:val="00CD57AF"/>
    <w:rsid w:val="00CD5933"/>
    <w:rsid w:val="00CD6E99"/>
    <w:rsid w:val="00CD7C37"/>
    <w:rsid w:val="00CE05C9"/>
    <w:rsid w:val="00CE078D"/>
    <w:rsid w:val="00CE0E7D"/>
    <w:rsid w:val="00CE0ED0"/>
    <w:rsid w:val="00CE1894"/>
    <w:rsid w:val="00CE1DA5"/>
    <w:rsid w:val="00CE2063"/>
    <w:rsid w:val="00CE2C2E"/>
    <w:rsid w:val="00CE3183"/>
    <w:rsid w:val="00CE55D8"/>
    <w:rsid w:val="00CE5783"/>
    <w:rsid w:val="00CE5E93"/>
    <w:rsid w:val="00CE61F4"/>
    <w:rsid w:val="00CE700F"/>
    <w:rsid w:val="00CE7E64"/>
    <w:rsid w:val="00CF0EC1"/>
    <w:rsid w:val="00CF15BC"/>
    <w:rsid w:val="00CF16D6"/>
    <w:rsid w:val="00CF199B"/>
    <w:rsid w:val="00CF26EA"/>
    <w:rsid w:val="00CF277D"/>
    <w:rsid w:val="00CF3565"/>
    <w:rsid w:val="00CF3BC6"/>
    <w:rsid w:val="00CF3F04"/>
    <w:rsid w:val="00CF40B8"/>
    <w:rsid w:val="00CF59C9"/>
    <w:rsid w:val="00CF5E5C"/>
    <w:rsid w:val="00D01930"/>
    <w:rsid w:val="00D01DC4"/>
    <w:rsid w:val="00D02025"/>
    <w:rsid w:val="00D02120"/>
    <w:rsid w:val="00D03123"/>
    <w:rsid w:val="00D037DA"/>
    <w:rsid w:val="00D03987"/>
    <w:rsid w:val="00D03DA8"/>
    <w:rsid w:val="00D04B94"/>
    <w:rsid w:val="00D04CB7"/>
    <w:rsid w:val="00D06043"/>
    <w:rsid w:val="00D07CD9"/>
    <w:rsid w:val="00D12D05"/>
    <w:rsid w:val="00D136E5"/>
    <w:rsid w:val="00D14130"/>
    <w:rsid w:val="00D148F1"/>
    <w:rsid w:val="00D149E0"/>
    <w:rsid w:val="00D14AC9"/>
    <w:rsid w:val="00D15962"/>
    <w:rsid w:val="00D15F89"/>
    <w:rsid w:val="00D16375"/>
    <w:rsid w:val="00D16CE9"/>
    <w:rsid w:val="00D16F8F"/>
    <w:rsid w:val="00D172DA"/>
    <w:rsid w:val="00D1781A"/>
    <w:rsid w:val="00D17D04"/>
    <w:rsid w:val="00D206E9"/>
    <w:rsid w:val="00D21943"/>
    <w:rsid w:val="00D22DFE"/>
    <w:rsid w:val="00D22F72"/>
    <w:rsid w:val="00D242B5"/>
    <w:rsid w:val="00D2493A"/>
    <w:rsid w:val="00D24A86"/>
    <w:rsid w:val="00D24E76"/>
    <w:rsid w:val="00D24F4A"/>
    <w:rsid w:val="00D272C3"/>
    <w:rsid w:val="00D27520"/>
    <w:rsid w:val="00D306DB"/>
    <w:rsid w:val="00D31565"/>
    <w:rsid w:val="00D31645"/>
    <w:rsid w:val="00D34687"/>
    <w:rsid w:val="00D353C6"/>
    <w:rsid w:val="00D361F8"/>
    <w:rsid w:val="00D36541"/>
    <w:rsid w:val="00D366F4"/>
    <w:rsid w:val="00D3709E"/>
    <w:rsid w:val="00D40097"/>
    <w:rsid w:val="00D40D11"/>
    <w:rsid w:val="00D40EDC"/>
    <w:rsid w:val="00D410EF"/>
    <w:rsid w:val="00D41A7E"/>
    <w:rsid w:val="00D42C02"/>
    <w:rsid w:val="00D44724"/>
    <w:rsid w:val="00D44AC4"/>
    <w:rsid w:val="00D45610"/>
    <w:rsid w:val="00D45E85"/>
    <w:rsid w:val="00D46012"/>
    <w:rsid w:val="00D46451"/>
    <w:rsid w:val="00D46484"/>
    <w:rsid w:val="00D507B7"/>
    <w:rsid w:val="00D5265A"/>
    <w:rsid w:val="00D52894"/>
    <w:rsid w:val="00D53298"/>
    <w:rsid w:val="00D54C4A"/>
    <w:rsid w:val="00D563AE"/>
    <w:rsid w:val="00D57A66"/>
    <w:rsid w:val="00D57DB7"/>
    <w:rsid w:val="00D6071D"/>
    <w:rsid w:val="00D61312"/>
    <w:rsid w:val="00D6185B"/>
    <w:rsid w:val="00D61A69"/>
    <w:rsid w:val="00D61AC1"/>
    <w:rsid w:val="00D61D31"/>
    <w:rsid w:val="00D61D8B"/>
    <w:rsid w:val="00D6265D"/>
    <w:rsid w:val="00D63A1D"/>
    <w:rsid w:val="00D63B73"/>
    <w:rsid w:val="00D649CF"/>
    <w:rsid w:val="00D6637C"/>
    <w:rsid w:val="00D70B3A"/>
    <w:rsid w:val="00D71850"/>
    <w:rsid w:val="00D731EE"/>
    <w:rsid w:val="00D734D0"/>
    <w:rsid w:val="00D74513"/>
    <w:rsid w:val="00D74B98"/>
    <w:rsid w:val="00D761C2"/>
    <w:rsid w:val="00D76BDD"/>
    <w:rsid w:val="00D81068"/>
    <w:rsid w:val="00D811F9"/>
    <w:rsid w:val="00D8128D"/>
    <w:rsid w:val="00D8152F"/>
    <w:rsid w:val="00D815FB"/>
    <w:rsid w:val="00D83134"/>
    <w:rsid w:val="00D83A62"/>
    <w:rsid w:val="00D840B6"/>
    <w:rsid w:val="00D840BE"/>
    <w:rsid w:val="00D84CA6"/>
    <w:rsid w:val="00D8505F"/>
    <w:rsid w:val="00D856C9"/>
    <w:rsid w:val="00D85E50"/>
    <w:rsid w:val="00D87829"/>
    <w:rsid w:val="00D90ADC"/>
    <w:rsid w:val="00D90C06"/>
    <w:rsid w:val="00D91250"/>
    <w:rsid w:val="00D91A22"/>
    <w:rsid w:val="00D92E24"/>
    <w:rsid w:val="00D93FAE"/>
    <w:rsid w:val="00D94043"/>
    <w:rsid w:val="00D95AA6"/>
    <w:rsid w:val="00D95BBB"/>
    <w:rsid w:val="00D9634B"/>
    <w:rsid w:val="00D974BE"/>
    <w:rsid w:val="00DA0E91"/>
    <w:rsid w:val="00DA0F5B"/>
    <w:rsid w:val="00DA2219"/>
    <w:rsid w:val="00DA2ED0"/>
    <w:rsid w:val="00DA4528"/>
    <w:rsid w:val="00DA502B"/>
    <w:rsid w:val="00DA6755"/>
    <w:rsid w:val="00DA6AE3"/>
    <w:rsid w:val="00DA6D39"/>
    <w:rsid w:val="00DA72A4"/>
    <w:rsid w:val="00DB0086"/>
    <w:rsid w:val="00DB05C0"/>
    <w:rsid w:val="00DB0846"/>
    <w:rsid w:val="00DB0DEA"/>
    <w:rsid w:val="00DB1134"/>
    <w:rsid w:val="00DB1804"/>
    <w:rsid w:val="00DB1945"/>
    <w:rsid w:val="00DB1A45"/>
    <w:rsid w:val="00DB39CD"/>
    <w:rsid w:val="00DB3AC0"/>
    <w:rsid w:val="00DB3CE7"/>
    <w:rsid w:val="00DB42A5"/>
    <w:rsid w:val="00DB486F"/>
    <w:rsid w:val="00DB4C15"/>
    <w:rsid w:val="00DB5004"/>
    <w:rsid w:val="00DB5579"/>
    <w:rsid w:val="00DB57C1"/>
    <w:rsid w:val="00DB582C"/>
    <w:rsid w:val="00DB7B99"/>
    <w:rsid w:val="00DC0526"/>
    <w:rsid w:val="00DC05CD"/>
    <w:rsid w:val="00DC15AA"/>
    <w:rsid w:val="00DC16A9"/>
    <w:rsid w:val="00DC1B4A"/>
    <w:rsid w:val="00DC26F3"/>
    <w:rsid w:val="00DC2833"/>
    <w:rsid w:val="00DC2EAD"/>
    <w:rsid w:val="00DC3031"/>
    <w:rsid w:val="00DC3550"/>
    <w:rsid w:val="00DC46C3"/>
    <w:rsid w:val="00DC5172"/>
    <w:rsid w:val="00DC53B9"/>
    <w:rsid w:val="00DC54D4"/>
    <w:rsid w:val="00DC6D07"/>
    <w:rsid w:val="00DC6DA6"/>
    <w:rsid w:val="00DC6F1D"/>
    <w:rsid w:val="00DC72BA"/>
    <w:rsid w:val="00DC7749"/>
    <w:rsid w:val="00DC790A"/>
    <w:rsid w:val="00DD012A"/>
    <w:rsid w:val="00DD0630"/>
    <w:rsid w:val="00DD0972"/>
    <w:rsid w:val="00DD2540"/>
    <w:rsid w:val="00DD4E09"/>
    <w:rsid w:val="00DD537A"/>
    <w:rsid w:val="00DD58E2"/>
    <w:rsid w:val="00DD61C1"/>
    <w:rsid w:val="00DD65CD"/>
    <w:rsid w:val="00DE0A1B"/>
    <w:rsid w:val="00DE109D"/>
    <w:rsid w:val="00DE1D00"/>
    <w:rsid w:val="00DE2114"/>
    <w:rsid w:val="00DE2151"/>
    <w:rsid w:val="00DE2A0D"/>
    <w:rsid w:val="00DE2A5D"/>
    <w:rsid w:val="00DE5966"/>
    <w:rsid w:val="00DE678F"/>
    <w:rsid w:val="00DF053D"/>
    <w:rsid w:val="00DF1E1E"/>
    <w:rsid w:val="00DF1F4D"/>
    <w:rsid w:val="00DF2C80"/>
    <w:rsid w:val="00DF2CB6"/>
    <w:rsid w:val="00DF37FD"/>
    <w:rsid w:val="00DF45F7"/>
    <w:rsid w:val="00DF5B27"/>
    <w:rsid w:val="00DF62EB"/>
    <w:rsid w:val="00DF6873"/>
    <w:rsid w:val="00E00B0A"/>
    <w:rsid w:val="00E00BB5"/>
    <w:rsid w:val="00E02523"/>
    <w:rsid w:val="00E026BA"/>
    <w:rsid w:val="00E03417"/>
    <w:rsid w:val="00E0436B"/>
    <w:rsid w:val="00E044E3"/>
    <w:rsid w:val="00E06CD6"/>
    <w:rsid w:val="00E07328"/>
    <w:rsid w:val="00E075B9"/>
    <w:rsid w:val="00E105AC"/>
    <w:rsid w:val="00E112D0"/>
    <w:rsid w:val="00E1189E"/>
    <w:rsid w:val="00E1258A"/>
    <w:rsid w:val="00E12D6F"/>
    <w:rsid w:val="00E12E6E"/>
    <w:rsid w:val="00E130B4"/>
    <w:rsid w:val="00E13CF8"/>
    <w:rsid w:val="00E13E4E"/>
    <w:rsid w:val="00E14465"/>
    <w:rsid w:val="00E14935"/>
    <w:rsid w:val="00E14C01"/>
    <w:rsid w:val="00E15431"/>
    <w:rsid w:val="00E156ED"/>
    <w:rsid w:val="00E158B1"/>
    <w:rsid w:val="00E17812"/>
    <w:rsid w:val="00E17CFE"/>
    <w:rsid w:val="00E20351"/>
    <w:rsid w:val="00E21433"/>
    <w:rsid w:val="00E21913"/>
    <w:rsid w:val="00E2231A"/>
    <w:rsid w:val="00E23031"/>
    <w:rsid w:val="00E23901"/>
    <w:rsid w:val="00E23BE3"/>
    <w:rsid w:val="00E24FF2"/>
    <w:rsid w:val="00E27BD4"/>
    <w:rsid w:val="00E30523"/>
    <w:rsid w:val="00E3076A"/>
    <w:rsid w:val="00E3141A"/>
    <w:rsid w:val="00E31B7A"/>
    <w:rsid w:val="00E321A0"/>
    <w:rsid w:val="00E3347D"/>
    <w:rsid w:val="00E34219"/>
    <w:rsid w:val="00E34981"/>
    <w:rsid w:val="00E3525D"/>
    <w:rsid w:val="00E35490"/>
    <w:rsid w:val="00E35604"/>
    <w:rsid w:val="00E36A82"/>
    <w:rsid w:val="00E36E68"/>
    <w:rsid w:val="00E37B9D"/>
    <w:rsid w:val="00E41EDB"/>
    <w:rsid w:val="00E43AD4"/>
    <w:rsid w:val="00E44F02"/>
    <w:rsid w:val="00E46546"/>
    <w:rsid w:val="00E46E2E"/>
    <w:rsid w:val="00E50765"/>
    <w:rsid w:val="00E51172"/>
    <w:rsid w:val="00E51E14"/>
    <w:rsid w:val="00E528A5"/>
    <w:rsid w:val="00E532CB"/>
    <w:rsid w:val="00E55C6C"/>
    <w:rsid w:val="00E56453"/>
    <w:rsid w:val="00E564AA"/>
    <w:rsid w:val="00E60005"/>
    <w:rsid w:val="00E60F0A"/>
    <w:rsid w:val="00E65EFB"/>
    <w:rsid w:val="00E663FB"/>
    <w:rsid w:val="00E6700A"/>
    <w:rsid w:val="00E70BA0"/>
    <w:rsid w:val="00E71FF3"/>
    <w:rsid w:val="00E72601"/>
    <w:rsid w:val="00E72F29"/>
    <w:rsid w:val="00E73423"/>
    <w:rsid w:val="00E73754"/>
    <w:rsid w:val="00E73838"/>
    <w:rsid w:val="00E74601"/>
    <w:rsid w:val="00E74672"/>
    <w:rsid w:val="00E75A5B"/>
    <w:rsid w:val="00E76521"/>
    <w:rsid w:val="00E7663C"/>
    <w:rsid w:val="00E772D4"/>
    <w:rsid w:val="00E806C6"/>
    <w:rsid w:val="00E8208F"/>
    <w:rsid w:val="00E82255"/>
    <w:rsid w:val="00E82757"/>
    <w:rsid w:val="00E85DE8"/>
    <w:rsid w:val="00E85E6C"/>
    <w:rsid w:val="00E87D5F"/>
    <w:rsid w:val="00E90BF1"/>
    <w:rsid w:val="00E91109"/>
    <w:rsid w:val="00E912F1"/>
    <w:rsid w:val="00E91318"/>
    <w:rsid w:val="00E91320"/>
    <w:rsid w:val="00E919C6"/>
    <w:rsid w:val="00E91F1B"/>
    <w:rsid w:val="00E924E8"/>
    <w:rsid w:val="00E93276"/>
    <w:rsid w:val="00E9516E"/>
    <w:rsid w:val="00E96EB7"/>
    <w:rsid w:val="00E973F0"/>
    <w:rsid w:val="00E97851"/>
    <w:rsid w:val="00EA0627"/>
    <w:rsid w:val="00EA1175"/>
    <w:rsid w:val="00EA1C8E"/>
    <w:rsid w:val="00EA2CD4"/>
    <w:rsid w:val="00EA30F0"/>
    <w:rsid w:val="00EA45A0"/>
    <w:rsid w:val="00EA6802"/>
    <w:rsid w:val="00EA6C77"/>
    <w:rsid w:val="00EA7DB0"/>
    <w:rsid w:val="00EB00E6"/>
    <w:rsid w:val="00EB02B4"/>
    <w:rsid w:val="00EB12CA"/>
    <w:rsid w:val="00EB22F0"/>
    <w:rsid w:val="00EB259D"/>
    <w:rsid w:val="00EB2B2D"/>
    <w:rsid w:val="00EB2E83"/>
    <w:rsid w:val="00EB37A4"/>
    <w:rsid w:val="00EB40ED"/>
    <w:rsid w:val="00EB422B"/>
    <w:rsid w:val="00EB4B23"/>
    <w:rsid w:val="00EB56B3"/>
    <w:rsid w:val="00EB5C15"/>
    <w:rsid w:val="00EB5EB0"/>
    <w:rsid w:val="00EB647D"/>
    <w:rsid w:val="00EB671E"/>
    <w:rsid w:val="00EB7131"/>
    <w:rsid w:val="00EB75F1"/>
    <w:rsid w:val="00EC0627"/>
    <w:rsid w:val="00EC08E6"/>
    <w:rsid w:val="00EC17B0"/>
    <w:rsid w:val="00EC2AC7"/>
    <w:rsid w:val="00EC3D41"/>
    <w:rsid w:val="00EC4090"/>
    <w:rsid w:val="00EC4DE6"/>
    <w:rsid w:val="00EC5F94"/>
    <w:rsid w:val="00EC61CF"/>
    <w:rsid w:val="00EC7B38"/>
    <w:rsid w:val="00EC7BDB"/>
    <w:rsid w:val="00EC7C78"/>
    <w:rsid w:val="00ED00C4"/>
    <w:rsid w:val="00ED12D7"/>
    <w:rsid w:val="00ED18FE"/>
    <w:rsid w:val="00ED224C"/>
    <w:rsid w:val="00ED2B5D"/>
    <w:rsid w:val="00ED3CF0"/>
    <w:rsid w:val="00ED48C9"/>
    <w:rsid w:val="00ED5DC3"/>
    <w:rsid w:val="00ED7950"/>
    <w:rsid w:val="00ED7F3C"/>
    <w:rsid w:val="00EE1978"/>
    <w:rsid w:val="00EE2014"/>
    <w:rsid w:val="00EE2CDE"/>
    <w:rsid w:val="00EE30DA"/>
    <w:rsid w:val="00EE3795"/>
    <w:rsid w:val="00EE398E"/>
    <w:rsid w:val="00EE3A25"/>
    <w:rsid w:val="00EE3DD7"/>
    <w:rsid w:val="00EE72DF"/>
    <w:rsid w:val="00EE7B1A"/>
    <w:rsid w:val="00EF1256"/>
    <w:rsid w:val="00EF1360"/>
    <w:rsid w:val="00EF23AF"/>
    <w:rsid w:val="00EF2504"/>
    <w:rsid w:val="00EF2E9C"/>
    <w:rsid w:val="00EF3C31"/>
    <w:rsid w:val="00EF4D87"/>
    <w:rsid w:val="00EF5193"/>
    <w:rsid w:val="00EF5927"/>
    <w:rsid w:val="00EF6176"/>
    <w:rsid w:val="00EF7D8F"/>
    <w:rsid w:val="00F00043"/>
    <w:rsid w:val="00F0088D"/>
    <w:rsid w:val="00F00C22"/>
    <w:rsid w:val="00F00C33"/>
    <w:rsid w:val="00F01184"/>
    <w:rsid w:val="00F01234"/>
    <w:rsid w:val="00F01F0E"/>
    <w:rsid w:val="00F03A18"/>
    <w:rsid w:val="00F04691"/>
    <w:rsid w:val="00F0497A"/>
    <w:rsid w:val="00F04BD6"/>
    <w:rsid w:val="00F053DC"/>
    <w:rsid w:val="00F05553"/>
    <w:rsid w:val="00F055C4"/>
    <w:rsid w:val="00F057AB"/>
    <w:rsid w:val="00F05948"/>
    <w:rsid w:val="00F06FD4"/>
    <w:rsid w:val="00F102AD"/>
    <w:rsid w:val="00F1092C"/>
    <w:rsid w:val="00F10A55"/>
    <w:rsid w:val="00F1179A"/>
    <w:rsid w:val="00F123CA"/>
    <w:rsid w:val="00F12723"/>
    <w:rsid w:val="00F1274F"/>
    <w:rsid w:val="00F12B57"/>
    <w:rsid w:val="00F13196"/>
    <w:rsid w:val="00F133F1"/>
    <w:rsid w:val="00F13A83"/>
    <w:rsid w:val="00F13B8F"/>
    <w:rsid w:val="00F13E92"/>
    <w:rsid w:val="00F169DB"/>
    <w:rsid w:val="00F170B0"/>
    <w:rsid w:val="00F1772A"/>
    <w:rsid w:val="00F218A0"/>
    <w:rsid w:val="00F218F9"/>
    <w:rsid w:val="00F21EBF"/>
    <w:rsid w:val="00F225DE"/>
    <w:rsid w:val="00F229D3"/>
    <w:rsid w:val="00F238C3"/>
    <w:rsid w:val="00F2529E"/>
    <w:rsid w:val="00F252D3"/>
    <w:rsid w:val="00F256D1"/>
    <w:rsid w:val="00F25A22"/>
    <w:rsid w:val="00F2600B"/>
    <w:rsid w:val="00F27459"/>
    <w:rsid w:val="00F27705"/>
    <w:rsid w:val="00F305B3"/>
    <w:rsid w:val="00F3067D"/>
    <w:rsid w:val="00F30F81"/>
    <w:rsid w:val="00F32BFD"/>
    <w:rsid w:val="00F32C42"/>
    <w:rsid w:val="00F3359C"/>
    <w:rsid w:val="00F33E79"/>
    <w:rsid w:val="00F353D2"/>
    <w:rsid w:val="00F35A6D"/>
    <w:rsid w:val="00F363B2"/>
    <w:rsid w:val="00F404E0"/>
    <w:rsid w:val="00F41F92"/>
    <w:rsid w:val="00F4208D"/>
    <w:rsid w:val="00F42E84"/>
    <w:rsid w:val="00F434AF"/>
    <w:rsid w:val="00F44026"/>
    <w:rsid w:val="00F44374"/>
    <w:rsid w:val="00F45299"/>
    <w:rsid w:val="00F45B43"/>
    <w:rsid w:val="00F4678A"/>
    <w:rsid w:val="00F506AF"/>
    <w:rsid w:val="00F50E04"/>
    <w:rsid w:val="00F51153"/>
    <w:rsid w:val="00F52C34"/>
    <w:rsid w:val="00F53547"/>
    <w:rsid w:val="00F54B1C"/>
    <w:rsid w:val="00F55DEA"/>
    <w:rsid w:val="00F55EF6"/>
    <w:rsid w:val="00F56C7C"/>
    <w:rsid w:val="00F56C9E"/>
    <w:rsid w:val="00F60267"/>
    <w:rsid w:val="00F60304"/>
    <w:rsid w:val="00F604A0"/>
    <w:rsid w:val="00F60C61"/>
    <w:rsid w:val="00F61248"/>
    <w:rsid w:val="00F64195"/>
    <w:rsid w:val="00F64550"/>
    <w:rsid w:val="00F64CD8"/>
    <w:rsid w:val="00F652E7"/>
    <w:rsid w:val="00F65C6C"/>
    <w:rsid w:val="00F66B4E"/>
    <w:rsid w:val="00F67EED"/>
    <w:rsid w:val="00F7014B"/>
    <w:rsid w:val="00F70294"/>
    <w:rsid w:val="00F7075E"/>
    <w:rsid w:val="00F7089C"/>
    <w:rsid w:val="00F70ED2"/>
    <w:rsid w:val="00F7117D"/>
    <w:rsid w:val="00F715EB"/>
    <w:rsid w:val="00F7264F"/>
    <w:rsid w:val="00F73412"/>
    <w:rsid w:val="00F737C8"/>
    <w:rsid w:val="00F74BF7"/>
    <w:rsid w:val="00F74C11"/>
    <w:rsid w:val="00F757C9"/>
    <w:rsid w:val="00F75FEB"/>
    <w:rsid w:val="00F764F0"/>
    <w:rsid w:val="00F76CE8"/>
    <w:rsid w:val="00F7710C"/>
    <w:rsid w:val="00F776F8"/>
    <w:rsid w:val="00F77FCE"/>
    <w:rsid w:val="00F80938"/>
    <w:rsid w:val="00F81BED"/>
    <w:rsid w:val="00F821DB"/>
    <w:rsid w:val="00F82C66"/>
    <w:rsid w:val="00F841BF"/>
    <w:rsid w:val="00F85F67"/>
    <w:rsid w:val="00F86C95"/>
    <w:rsid w:val="00F86D7A"/>
    <w:rsid w:val="00F8706F"/>
    <w:rsid w:val="00F90448"/>
    <w:rsid w:val="00F90D29"/>
    <w:rsid w:val="00F9156A"/>
    <w:rsid w:val="00F917FF"/>
    <w:rsid w:val="00F92721"/>
    <w:rsid w:val="00F93A03"/>
    <w:rsid w:val="00F94D99"/>
    <w:rsid w:val="00F95741"/>
    <w:rsid w:val="00F959B1"/>
    <w:rsid w:val="00F95B12"/>
    <w:rsid w:val="00F95BC2"/>
    <w:rsid w:val="00F96282"/>
    <w:rsid w:val="00F974B4"/>
    <w:rsid w:val="00FA01A3"/>
    <w:rsid w:val="00FA0819"/>
    <w:rsid w:val="00FA2298"/>
    <w:rsid w:val="00FA2786"/>
    <w:rsid w:val="00FA2A2D"/>
    <w:rsid w:val="00FA2DAD"/>
    <w:rsid w:val="00FA41CF"/>
    <w:rsid w:val="00FA5DCF"/>
    <w:rsid w:val="00FA5FF1"/>
    <w:rsid w:val="00FA6D4D"/>
    <w:rsid w:val="00FA705E"/>
    <w:rsid w:val="00FA79B9"/>
    <w:rsid w:val="00FB0362"/>
    <w:rsid w:val="00FB132D"/>
    <w:rsid w:val="00FB1BC9"/>
    <w:rsid w:val="00FB1FEE"/>
    <w:rsid w:val="00FB4389"/>
    <w:rsid w:val="00FB4401"/>
    <w:rsid w:val="00FB4D50"/>
    <w:rsid w:val="00FB4FA4"/>
    <w:rsid w:val="00FB78FD"/>
    <w:rsid w:val="00FB7A30"/>
    <w:rsid w:val="00FB7EAD"/>
    <w:rsid w:val="00FC312B"/>
    <w:rsid w:val="00FC435B"/>
    <w:rsid w:val="00FC474F"/>
    <w:rsid w:val="00FC5466"/>
    <w:rsid w:val="00FC54F6"/>
    <w:rsid w:val="00FC5E3E"/>
    <w:rsid w:val="00FC628B"/>
    <w:rsid w:val="00FC6339"/>
    <w:rsid w:val="00FC6A51"/>
    <w:rsid w:val="00FC7DA5"/>
    <w:rsid w:val="00FC7E91"/>
    <w:rsid w:val="00FD3120"/>
    <w:rsid w:val="00FD3B9C"/>
    <w:rsid w:val="00FD4102"/>
    <w:rsid w:val="00FD6993"/>
    <w:rsid w:val="00FD6A65"/>
    <w:rsid w:val="00FD7A36"/>
    <w:rsid w:val="00FD7C9C"/>
    <w:rsid w:val="00FE0EA2"/>
    <w:rsid w:val="00FE1438"/>
    <w:rsid w:val="00FE1B2D"/>
    <w:rsid w:val="00FE1B73"/>
    <w:rsid w:val="00FE1F98"/>
    <w:rsid w:val="00FE27BF"/>
    <w:rsid w:val="00FE443A"/>
    <w:rsid w:val="00FE446F"/>
    <w:rsid w:val="00FE4954"/>
    <w:rsid w:val="00FE4BBD"/>
    <w:rsid w:val="00FE5FB5"/>
    <w:rsid w:val="00FE61E2"/>
    <w:rsid w:val="00FE61FA"/>
    <w:rsid w:val="00FE657D"/>
    <w:rsid w:val="00FE6A57"/>
    <w:rsid w:val="00FF01C2"/>
    <w:rsid w:val="00FF0288"/>
    <w:rsid w:val="00FF0DB4"/>
    <w:rsid w:val="00FF1124"/>
    <w:rsid w:val="00FF11FF"/>
    <w:rsid w:val="00FF22EF"/>
    <w:rsid w:val="00FF557C"/>
    <w:rsid w:val="00FF68BE"/>
    <w:rsid w:val="00FF6BF5"/>
    <w:rsid w:val="00FF7280"/>
    <w:rsid w:val="00FF7DAE"/>
    <w:rsid w:val="0C551318"/>
    <w:rsid w:val="0C892FBC"/>
    <w:rsid w:val="0E205A62"/>
    <w:rsid w:val="16705428"/>
    <w:rsid w:val="220E2A73"/>
    <w:rsid w:val="31306953"/>
    <w:rsid w:val="4AEC698D"/>
    <w:rsid w:val="64821589"/>
    <w:rsid w:val="6C2C0569"/>
    <w:rsid w:val="70383246"/>
    <w:rsid w:val="778D2024"/>
    <w:rsid w:val="77A82DF3"/>
    <w:rsid w:val="792D6FF2"/>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MS Mincho"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qFormat="1" w:unhideWhenUsed="0" w:uiPriority="0" w:semiHidden="0" w:name="Block Text"/>
    <w:lsdException w:qFormat="1" w:unhideWhenUsed="0" w:uiPriority="99" w:semiHidden="0" w:name="Hyperlink"/>
    <w:lsdException w:uiPriority="0" w:name="FollowedHyperlink"/>
    <w:lsdException w:qFormat="1" w:unhideWhenUsed="0" w:uiPriority="22" w:semiHidden="0" w:name="Strong"/>
    <w:lsdException w:qFormat="1" w:unhideWhenUsed="0" w:uiPriority="0" w:semiHidden="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MS Mincho" w:cs="Times New Roman"/>
      <w:snapToGrid w:val="0"/>
      <w:sz w:val="16"/>
      <w:szCs w:val="16"/>
      <w:lang w:val="en-US" w:eastAsia="ja-JP" w:bidi="ar-SA"/>
    </w:rPr>
  </w:style>
  <w:style w:type="paragraph" w:styleId="2">
    <w:name w:val="heading 1"/>
    <w:basedOn w:val="1"/>
    <w:next w:val="1"/>
    <w:qFormat/>
    <w:uiPriority w:val="0"/>
    <w:pPr>
      <w:keepNext/>
      <w:spacing w:before="240" w:after="60"/>
      <w:outlineLvl w:val="0"/>
    </w:pPr>
    <w:rPr>
      <w:rFonts w:cs="Arial"/>
      <w:b/>
      <w:bCs/>
      <w:kern w:val="32"/>
      <w:sz w:val="24"/>
      <w:szCs w:val="32"/>
    </w:rPr>
  </w:style>
  <w:style w:type="paragraph" w:styleId="3">
    <w:name w:val="heading 2"/>
    <w:basedOn w:val="1"/>
    <w:next w:val="1"/>
    <w:qFormat/>
    <w:uiPriority w:val="0"/>
    <w:pPr>
      <w:keepNext/>
      <w:spacing w:before="120" w:after="60"/>
      <w:outlineLvl w:val="1"/>
    </w:pPr>
    <w:rPr>
      <w:rFonts w:cs="Arial"/>
      <w:b/>
      <w:bCs/>
      <w:iCs/>
      <w:sz w:val="20"/>
      <w:szCs w:val="28"/>
    </w:rPr>
  </w:style>
  <w:style w:type="paragraph" w:styleId="4">
    <w:name w:val="heading 3"/>
    <w:basedOn w:val="1"/>
    <w:next w:val="1"/>
    <w:qFormat/>
    <w:uiPriority w:val="0"/>
    <w:pPr>
      <w:keepNext/>
      <w:spacing w:before="60" w:after="60"/>
      <w:outlineLvl w:val="2"/>
    </w:pPr>
    <w:rPr>
      <w:rFonts w:cs="Arial"/>
      <w:b/>
      <w:bCs/>
      <w:szCs w:val="26"/>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Block Text"/>
    <w:basedOn w:val="1"/>
    <w:qFormat/>
    <w:uiPriority w:val="0"/>
    <w:pPr>
      <w:widowControl w:val="0"/>
      <w:ind w:left="3261" w:leftChars="1553" w:right="55" w:rightChars="26" w:firstLine="1"/>
    </w:pPr>
    <w:rPr>
      <w:rFonts w:ascii="Times New Roman" w:hAnsi="Times New Roman" w:eastAsia="汉仪大黑简"/>
      <w:snapToGrid/>
      <w:color w:val="000000"/>
      <w:kern w:val="2"/>
      <w:sz w:val="18"/>
      <w:szCs w:val="24"/>
      <w:lang w:eastAsia="zh-CN"/>
    </w:rPr>
  </w:style>
  <w:style w:type="paragraph" w:styleId="6">
    <w:name w:val="Balloon Text"/>
    <w:basedOn w:val="1"/>
    <w:link w:val="17"/>
    <w:qFormat/>
    <w:uiPriority w:val="0"/>
    <w:rPr>
      <w:rFonts w:ascii="Tahoma" w:hAnsi="Tahoma" w:cs="Tahoma"/>
    </w:rPr>
  </w:style>
  <w:style w:type="paragraph" w:styleId="7">
    <w:name w:val="footer"/>
    <w:basedOn w:val="1"/>
    <w:qFormat/>
    <w:uiPriority w:val="0"/>
    <w:pPr>
      <w:tabs>
        <w:tab w:val="center" w:pos="4419"/>
        <w:tab w:val="right" w:pos="8838"/>
      </w:tabs>
    </w:pPr>
  </w:style>
  <w:style w:type="paragraph" w:styleId="8">
    <w:name w:val="header"/>
    <w:basedOn w:val="1"/>
    <w:qFormat/>
    <w:uiPriority w:val="0"/>
    <w:pPr>
      <w:tabs>
        <w:tab w:val="center" w:pos="4419"/>
        <w:tab w:val="right" w:pos="8838"/>
      </w:tabs>
    </w:pPr>
  </w:style>
  <w:style w:type="paragraph" w:styleId="9">
    <w:name w:val="toc 1"/>
    <w:basedOn w:val="1"/>
    <w:next w:val="1"/>
    <w:unhideWhenUsed/>
    <w:qFormat/>
    <w:uiPriority w:val="39"/>
    <w:pPr>
      <w:spacing w:after="100" w:line="259" w:lineRule="auto"/>
    </w:pPr>
    <w:rPr>
      <w:rFonts w:asciiTheme="minorHAnsi" w:hAnsiTheme="minorHAnsi" w:eastAsiaTheme="minorEastAsia"/>
      <w:snapToGrid/>
      <w:sz w:val="22"/>
      <w:szCs w:val="22"/>
    </w:rPr>
  </w:style>
  <w:style w:type="paragraph" w:styleId="10">
    <w:name w:val="toc 2"/>
    <w:basedOn w:val="1"/>
    <w:next w:val="1"/>
    <w:unhideWhenUsed/>
    <w:qFormat/>
    <w:uiPriority w:val="39"/>
    <w:pPr>
      <w:spacing w:after="100" w:line="259" w:lineRule="auto"/>
      <w:ind w:left="220"/>
    </w:pPr>
    <w:rPr>
      <w:rFonts w:asciiTheme="minorHAnsi" w:hAnsiTheme="minorHAnsi" w:eastAsiaTheme="minorEastAsia"/>
      <w:snapToGrid/>
      <w:sz w:val="22"/>
      <w:szCs w:val="22"/>
    </w:rPr>
  </w:style>
  <w:style w:type="paragraph" w:styleId="11">
    <w:name w:val="Normal (Web)"/>
    <w:basedOn w:val="1"/>
    <w:unhideWhenUsed/>
    <w:qFormat/>
    <w:uiPriority w:val="99"/>
    <w:rPr>
      <w:rFonts w:ascii="Times New Roman" w:hAnsi="Times New Roman"/>
      <w:sz w:val="24"/>
      <w:szCs w:val="24"/>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22"/>
    <w:rPr>
      <w:b/>
    </w:rPr>
  </w:style>
  <w:style w:type="character" w:styleId="16">
    <w:name w:val="Hyperlink"/>
    <w:basedOn w:val="14"/>
    <w:qFormat/>
    <w:uiPriority w:val="99"/>
    <w:rPr>
      <w:color w:val="0000FF"/>
      <w:u w:val="single"/>
    </w:rPr>
  </w:style>
  <w:style w:type="character" w:customStyle="1" w:styleId="17">
    <w:name w:val="批注框文本 字符"/>
    <w:basedOn w:val="14"/>
    <w:link w:val="6"/>
    <w:qFormat/>
    <w:uiPriority w:val="0"/>
    <w:rPr>
      <w:rFonts w:ascii="Tahoma" w:hAnsi="Tahoma" w:cs="Tahoma"/>
      <w:lang w:eastAsia="ja-JP"/>
    </w:rPr>
  </w:style>
  <w:style w:type="paragraph" w:customStyle="1" w:styleId="18">
    <w:name w:val="EFAFPReportType"/>
    <w:link w:val="82"/>
    <w:qFormat/>
    <w:uiPriority w:val="0"/>
    <w:pPr>
      <w:framePr w:w="10858" w:h="1520" w:hRule="exact" w:wrap="around" w:vAnchor="page" w:hAnchor="page" w:x="366" w:y="1071" w:anchorLock="1"/>
      <w:adjustRightInd w:val="0"/>
      <w:snapToGrid w:val="0"/>
    </w:pPr>
    <w:rPr>
      <w:rFonts w:ascii="Calibri" w:hAnsi="Calibri" w:eastAsia="MS Mincho" w:cs="Times New Roman"/>
      <w:snapToGrid w:val="0"/>
      <w:color w:val="23558C"/>
      <w:sz w:val="44"/>
      <w:szCs w:val="44"/>
      <w:lang w:val="en-US" w:eastAsia="ja-JP" w:bidi="ar-SA"/>
    </w:rPr>
  </w:style>
  <w:style w:type="paragraph" w:customStyle="1" w:styleId="19">
    <w:name w:val="EFABullet"/>
    <w:basedOn w:val="20"/>
    <w:qFormat/>
    <w:uiPriority w:val="99"/>
    <w:pPr>
      <w:numPr>
        <w:ilvl w:val="0"/>
        <w:numId w:val="1"/>
      </w:numPr>
      <w:tabs>
        <w:tab w:val="left" w:pos="480"/>
      </w:tabs>
      <w:ind w:left="192" w:firstLine="0"/>
    </w:pPr>
    <w:rPr>
      <w:szCs w:val="22"/>
    </w:rPr>
  </w:style>
  <w:style w:type="paragraph" w:customStyle="1" w:styleId="20">
    <w:name w:val="EFABodyText"/>
    <w:link w:val="38"/>
    <w:qFormat/>
    <w:uiPriority w:val="0"/>
    <w:pPr>
      <w:widowControl w:val="0"/>
      <w:adjustRightInd w:val="0"/>
      <w:snapToGrid w:val="0"/>
    </w:pPr>
    <w:rPr>
      <w:rFonts w:ascii="Calibri" w:hAnsi="Calibri" w:eastAsia="MS Mincho" w:cs="Times New Roman"/>
      <w:snapToGrid w:val="0"/>
      <w:sz w:val="20"/>
      <w:szCs w:val="16"/>
      <w:lang w:val="en-US" w:eastAsia="ja-JP" w:bidi="ar-SA"/>
    </w:rPr>
  </w:style>
  <w:style w:type="paragraph" w:customStyle="1" w:styleId="21">
    <w:name w:val="EFAButton"/>
    <w:basedOn w:val="22"/>
    <w:qFormat/>
    <w:uiPriority w:val="0"/>
    <w:rPr>
      <w:b/>
    </w:rPr>
  </w:style>
  <w:style w:type="paragraph" w:customStyle="1" w:styleId="22">
    <w:name w:val="EFANormal"/>
    <w:link w:val="37"/>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paragraph" w:customStyle="1" w:styleId="23">
    <w:name w:val="EFAFPCompanyInfo"/>
    <w:qFormat/>
    <w:uiPriority w:val="0"/>
    <w:pPr>
      <w:framePr w:w="10858" w:h="1520" w:hRule="exact" w:wrap="around" w:vAnchor="page" w:hAnchor="page" w:x="352" w:y="1106" w:anchorLock="1"/>
      <w:adjustRightInd w:val="0"/>
      <w:snapToGrid w:val="0"/>
    </w:pPr>
    <w:rPr>
      <w:rFonts w:ascii="Calibri" w:hAnsi="Calibri" w:eastAsia="MS Mincho" w:cs="Times New Roman"/>
      <w:b/>
      <w:snapToGrid w:val="0"/>
      <w:color w:val="23558C"/>
      <w:sz w:val="24"/>
      <w:szCs w:val="16"/>
      <w:lang w:val="en-US" w:eastAsia="ja-JP" w:bidi="ar-SA"/>
    </w:rPr>
  </w:style>
  <w:style w:type="paragraph" w:customStyle="1" w:styleId="24">
    <w:name w:val="EFAFPFrameText_11.5pt_Right"/>
    <w:basedOn w:val="25"/>
    <w:link w:val="113"/>
    <w:qFormat/>
    <w:uiPriority w:val="0"/>
    <w:pPr>
      <w:framePr w:wrap="around" w:xAlign="right" w:y="1"/>
      <w:suppressOverlap/>
      <w:jc w:val="right"/>
    </w:pPr>
    <w:rPr>
      <w:bCs/>
      <w:szCs w:val="32"/>
    </w:rPr>
  </w:style>
  <w:style w:type="paragraph" w:customStyle="1" w:styleId="25">
    <w:name w:val="EFAFPFrameText_11.5pt"/>
    <w:link w:val="111"/>
    <w:qFormat/>
    <w:uiPriority w:val="0"/>
    <w:pPr>
      <w:framePr w:wrap="around" w:vAnchor="margin" w:hAnchor="text" w:x="366" w:y="1071"/>
    </w:pPr>
    <w:rPr>
      <w:rFonts w:ascii="Calibri" w:hAnsi="Calibri" w:eastAsia="MS Mincho" w:cs="Times New Roman"/>
      <w:b/>
      <w:snapToGrid w:val="0"/>
      <w:color w:val="23558C"/>
      <w:sz w:val="24"/>
      <w:szCs w:val="16"/>
      <w:lang w:val="en-US" w:eastAsia="ja-JP" w:bidi="ar-SA"/>
    </w:rPr>
  </w:style>
  <w:style w:type="paragraph" w:customStyle="1" w:styleId="26">
    <w:name w:val="EFADisclaimerText"/>
    <w:basedOn w:val="22"/>
    <w:link w:val="141"/>
    <w:qFormat/>
    <w:uiPriority w:val="99"/>
    <w:pPr>
      <w:jc w:val="both"/>
    </w:pPr>
  </w:style>
  <w:style w:type="paragraph" w:styleId="27">
    <w:name w:val="List Paragraph"/>
    <w:basedOn w:val="1"/>
    <w:qFormat/>
    <w:uiPriority w:val="34"/>
    <w:pPr>
      <w:ind w:left="720"/>
      <w:contextualSpacing/>
    </w:pPr>
  </w:style>
  <w:style w:type="paragraph" w:customStyle="1" w:styleId="28">
    <w:name w:val="EFABullet_Red"/>
    <w:basedOn w:val="29"/>
    <w:qFormat/>
    <w:uiPriority w:val="99"/>
    <w:pPr>
      <w:numPr>
        <w:ilvl w:val="0"/>
        <w:numId w:val="2"/>
      </w:numPr>
      <w:tabs>
        <w:tab w:val="left" w:pos="481"/>
      </w:tabs>
      <w:ind w:left="0" w:firstLine="0"/>
    </w:pPr>
  </w:style>
  <w:style w:type="paragraph" w:customStyle="1" w:styleId="29">
    <w:name w:val="EFAFP_BodyText"/>
    <w:link w:val="39"/>
    <w:qFormat/>
    <w:uiPriority w:val="0"/>
    <w:pPr>
      <w:widowControl w:val="0"/>
      <w:adjustRightInd w:val="0"/>
      <w:snapToGrid w:val="0"/>
    </w:pPr>
    <w:rPr>
      <w:rFonts w:ascii="Calibri" w:hAnsi="Calibri" w:eastAsia="MS Mincho" w:cs="Times New Roman"/>
      <w:snapToGrid w:val="0"/>
      <w:sz w:val="20"/>
      <w:szCs w:val="16"/>
      <w:lang w:val="en-US" w:eastAsia="ja-JP" w:bidi="ar-SA"/>
    </w:rPr>
  </w:style>
  <w:style w:type="paragraph" w:customStyle="1" w:styleId="30">
    <w:name w:val="EFA2ndPageHeader"/>
    <w:basedOn w:val="22"/>
    <w:qFormat/>
    <w:uiPriority w:val="0"/>
    <w:pPr>
      <w:spacing w:before="40" w:after="40"/>
      <w:jc w:val="right"/>
    </w:pPr>
    <w:rPr>
      <w:color w:val="FF0000"/>
      <w:sz w:val="24"/>
    </w:rPr>
  </w:style>
  <w:style w:type="paragraph" w:customStyle="1" w:styleId="31">
    <w:name w:val="EFAPageFooter"/>
    <w:basedOn w:val="22"/>
    <w:qFormat/>
    <w:uiPriority w:val="0"/>
    <w:pPr>
      <w:framePr w:wrap="around" w:vAnchor="page" w:hAnchor="page" w:x="347" w:y="15481"/>
      <w:suppressOverlap/>
      <w:tabs>
        <w:tab w:val="center" w:pos="5165"/>
      </w:tabs>
    </w:pPr>
    <w:rPr>
      <w:b/>
      <w:sz w:val="20"/>
      <w:szCs w:val="20"/>
    </w:rPr>
  </w:style>
  <w:style w:type="paragraph" w:customStyle="1" w:styleId="32">
    <w:name w:val="EFAPageHeader"/>
    <w:basedOn w:val="22"/>
    <w:qFormat/>
    <w:uiPriority w:val="0"/>
    <w:pPr>
      <w:tabs>
        <w:tab w:val="right" w:pos="10692"/>
      </w:tabs>
      <w:spacing w:before="40" w:after="40"/>
    </w:pPr>
    <w:rPr>
      <w:color w:val="005BAC"/>
      <w:sz w:val="24"/>
    </w:rPr>
  </w:style>
  <w:style w:type="paragraph" w:customStyle="1" w:styleId="33">
    <w:name w:val="EFAHiddenBookmark"/>
    <w:basedOn w:val="1"/>
    <w:link w:val="34"/>
    <w:qFormat/>
    <w:uiPriority w:val="99"/>
    <w:pPr>
      <w:adjustRightInd w:val="0"/>
      <w:snapToGrid w:val="0"/>
      <w:spacing w:after="40" w:line="180" w:lineRule="exact"/>
    </w:pPr>
    <w:rPr>
      <w:rFonts w:ascii="Arial" w:hAnsi="Arial" w:eastAsia="Times New Roman"/>
      <w:vanish/>
      <w:kern w:val="2"/>
      <w:sz w:val="14"/>
      <w:szCs w:val="19"/>
      <w:lang w:val="en-GB" w:eastAsia="en-US"/>
    </w:rPr>
  </w:style>
  <w:style w:type="character" w:customStyle="1" w:styleId="34">
    <w:name w:val="EFAHiddenBookmark Char"/>
    <w:link w:val="33"/>
    <w:qFormat/>
    <w:uiPriority w:val="99"/>
    <w:rPr>
      <w:rFonts w:ascii="Arial" w:hAnsi="Arial" w:eastAsia="Times New Roman"/>
      <w:vanish/>
      <w:kern w:val="2"/>
      <w:sz w:val="14"/>
      <w:szCs w:val="19"/>
      <w:lang w:val="en-GB" w:eastAsia="en-US"/>
    </w:rPr>
  </w:style>
  <w:style w:type="paragraph" w:customStyle="1" w:styleId="35">
    <w:name w:val="EFAPoweredByEFA"/>
    <w:link w:val="36"/>
    <w:qFormat/>
    <w:uiPriority w:val="0"/>
    <w:pPr>
      <w:widowControl w:val="0"/>
      <w:tabs>
        <w:tab w:val="right" w:pos="6490"/>
      </w:tabs>
      <w:adjustRightInd w:val="0"/>
      <w:snapToGrid w:val="0"/>
      <w:ind w:left="-4186"/>
    </w:pPr>
    <w:rPr>
      <w:rFonts w:ascii="Arial" w:hAnsi="Arial" w:eastAsia="PMingLiU" w:cs="Times New Roman"/>
      <w:snapToGrid w:val="0"/>
      <w:color w:val="5A5A5A"/>
      <w:sz w:val="9"/>
      <w:szCs w:val="9"/>
      <w:lang w:val="en-US" w:eastAsia="zh-TW" w:bidi="ar-SA"/>
    </w:rPr>
  </w:style>
  <w:style w:type="character" w:customStyle="1" w:styleId="36">
    <w:name w:val="EFAPoweredByEFA Char"/>
    <w:link w:val="35"/>
    <w:qFormat/>
    <w:uiPriority w:val="0"/>
    <w:rPr>
      <w:rFonts w:ascii="Arial" w:hAnsi="Arial" w:eastAsia="PMingLiU"/>
      <w:color w:val="5A5A5A"/>
      <w:sz w:val="9"/>
      <w:szCs w:val="9"/>
      <w:lang w:eastAsia="zh-TW"/>
    </w:rPr>
  </w:style>
  <w:style w:type="character" w:customStyle="1" w:styleId="37">
    <w:name w:val="EFANormal Char"/>
    <w:basedOn w:val="14"/>
    <w:link w:val="22"/>
    <w:qFormat/>
    <w:uiPriority w:val="0"/>
    <w:rPr>
      <w:lang w:eastAsia="ja-JP"/>
    </w:rPr>
  </w:style>
  <w:style w:type="character" w:customStyle="1" w:styleId="38">
    <w:name w:val="EFABodyText Char"/>
    <w:basedOn w:val="14"/>
    <w:link w:val="20"/>
    <w:qFormat/>
    <w:uiPriority w:val="0"/>
    <w:rPr>
      <w:sz w:val="20"/>
      <w:lang w:eastAsia="ja-JP"/>
    </w:rPr>
  </w:style>
  <w:style w:type="character" w:customStyle="1" w:styleId="39">
    <w:name w:val="EFAFP_BodyText Char"/>
    <w:basedOn w:val="14"/>
    <w:link w:val="29"/>
    <w:qFormat/>
    <w:uiPriority w:val="0"/>
    <w:rPr>
      <w:sz w:val="20"/>
      <w:lang w:eastAsia="ja-JP"/>
    </w:rPr>
  </w:style>
  <w:style w:type="paragraph" w:customStyle="1" w:styleId="40">
    <w:name w:val="EFAFPTag"/>
    <w:basedOn w:val="22"/>
    <w:qFormat/>
    <w:uiPriority w:val="0"/>
    <w:pPr>
      <w:jc w:val="center"/>
    </w:pPr>
    <w:rPr>
      <w:b/>
    </w:rPr>
  </w:style>
  <w:style w:type="paragraph" w:customStyle="1" w:styleId="41">
    <w:name w:val="EFAFPFooter2"/>
    <w:link w:val="127"/>
    <w:qFormat/>
    <w:uiPriority w:val="0"/>
    <w:pPr>
      <w:tabs>
        <w:tab w:val="right" w:pos="11544"/>
      </w:tabs>
      <w:autoSpaceDE w:val="0"/>
      <w:autoSpaceDN w:val="0"/>
      <w:adjustRightInd w:val="0"/>
      <w:snapToGrid w:val="0"/>
      <w:spacing w:line="200" w:lineRule="exact"/>
      <w:jc w:val="both"/>
    </w:pPr>
    <w:rPr>
      <w:rFonts w:ascii="Calibri" w:hAnsi="Calibri" w:eastAsia="MS Mincho" w:cs="Arial"/>
      <w:snapToGrid w:val="0"/>
      <w:sz w:val="21"/>
      <w:szCs w:val="16"/>
      <w:lang w:val="en-US" w:eastAsia="ja-JP" w:bidi="ar-SA"/>
    </w:rPr>
  </w:style>
  <w:style w:type="character" w:customStyle="1" w:styleId="42">
    <w:name w:val="EFACharGrey"/>
    <w:qFormat/>
    <w:uiPriority w:val="1"/>
    <w:rPr>
      <w:color w:val="808080"/>
    </w:rPr>
  </w:style>
  <w:style w:type="paragraph" w:customStyle="1" w:styleId="43">
    <w:name w:val="EFAFPTitle"/>
    <w:link w:val="112"/>
    <w:qFormat/>
    <w:uiPriority w:val="0"/>
    <w:pPr>
      <w:framePr w:wrap="around" w:vAnchor="margin" w:hAnchor="text" w:xAlign="right" w:y="1"/>
      <w:suppressOverlap/>
      <w:tabs>
        <w:tab w:val="left" w:pos="240"/>
      </w:tabs>
      <w:ind w:left="240" w:right="220"/>
    </w:pPr>
    <w:rPr>
      <w:rFonts w:ascii="Calibri" w:hAnsi="Calibri" w:eastAsia="MS Mincho" w:cs="Times New Roman"/>
      <w:b/>
      <w:snapToGrid w:val="0"/>
      <w:color w:val="FFFFFF"/>
      <w:sz w:val="32"/>
      <w:szCs w:val="32"/>
      <w:lang w:val="en-US" w:eastAsia="ja-JP" w:bidi="ar-SA"/>
    </w:rPr>
  </w:style>
  <w:style w:type="paragraph" w:customStyle="1" w:styleId="44">
    <w:name w:val="EFAFPColFrameText"/>
    <w:link w:val="46"/>
    <w:qFormat/>
    <w:uiPriority w:val="0"/>
    <w:pPr>
      <w:framePr w:w="3045" w:h="12844" w:hRule="exact" w:hSpace="180" w:wrap="around" w:vAnchor="page" w:hAnchor="page" w:x="336" w:y="2721" w:anchorLock="1"/>
      <w:adjustRightInd w:val="0"/>
      <w:snapToGrid w:val="0"/>
    </w:pPr>
    <w:rPr>
      <w:rFonts w:ascii="Calibri" w:hAnsi="Calibri" w:eastAsia="MS Mincho" w:cs="Times New Roman"/>
      <w:snapToGrid w:val="0"/>
      <w:sz w:val="14"/>
      <w:szCs w:val="14"/>
      <w:lang w:val="en-US" w:eastAsia="zh-CN" w:bidi="ar-SA"/>
    </w:rPr>
  </w:style>
  <w:style w:type="paragraph" w:customStyle="1" w:styleId="45">
    <w:name w:val="EFAFPColFrameText_Right"/>
    <w:basedOn w:val="44"/>
    <w:qFormat/>
    <w:uiPriority w:val="0"/>
    <w:pPr>
      <w:framePr w:wrap="around"/>
      <w:jc w:val="right"/>
    </w:pPr>
  </w:style>
  <w:style w:type="character" w:customStyle="1" w:styleId="46">
    <w:name w:val="EFAFPColFrameText Char"/>
    <w:basedOn w:val="14"/>
    <w:link w:val="44"/>
    <w:qFormat/>
    <w:uiPriority w:val="0"/>
    <w:rPr>
      <w:sz w:val="14"/>
      <w:szCs w:val="14"/>
    </w:rPr>
  </w:style>
  <w:style w:type="paragraph" w:customStyle="1" w:styleId="47">
    <w:name w:val="EFAFPColFrameHeading"/>
    <w:basedOn w:val="44"/>
    <w:qFormat/>
    <w:uiPriority w:val="0"/>
    <w:pPr>
      <w:framePr w:wrap="around"/>
    </w:pPr>
    <w:rPr>
      <w:b/>
      <w:color w:val="23558C"/>
      <w:sz w:val="16"/>
    </w:rPr>
  </w:style>
  <w:style w:type="paragraph" w:customStyle="1" w:styleId="48">
    <w:name w:val="EFAFPColFrameText_Left"/>
    <w:basedOn w:val="44"/>
    <w:link w:val="70"/>
    <w:qFormat/>
    <w:uiPriority w:val="0"/>
    <w:pPr>
      <w:framePr w:wrap="around"/>
    </w:pPr>
  </w:style>
  <w:style w:type="paragraph" w:customStyle="1" w:styleId="49">
    <w:name w:val="EFAFPColFrame_Source"/>
    <w:basedOn w:val="48"/>
    <w:qFormat/>
    <w:uiPriority w:val="0"/>
    <w:pPr>
      <w:framePr w:wrap="around"/>
    </w:pPr>
    <w:rPr>
      <w:sz w:val="12"/>
      <w:szCs w:val="12"/>
    </w:rPr>
  </w:style>
  <w:style w:type="character" w:customStyle="1" w:styleId="50">
    <w:name w:val="EFACharBold"/>
    <w:basedOn w:val="14"/>
    <w:qFormat/>
    <w:uiPriority w:val="1"/>
    <w:rPr>
      <w:b/>
    </w:rPr>
  </w:style>
  <w:style w:type="paragraph" w:customStyle="1" w:styleId="51">
    <w:name w:val="EFAFPColFrame_AnalystName"/>
    <w:basedOn w:val="48"/>
    <w:qFormat/>
    <w:uiPriority w:val="0"/>
    <w:pPr>
      <w:framePr w:wrap="around"/>
    </w:pPr>
    <w:rPr>
      <w:b/>
      <w:sz w:val="16"/>
    </w:rPr>
  </w:style>
  <w:style w:type="paragraph" w:customStyle="1" w:styleId="52">
    <w:name w:val="EFAFPColFrameText_8pt"/>
    <w:basedOn w:val="48"/>
    <w:qFormat/>
    <w:uiPriority w:val="0"/>
    <w:pPr>
      <w:framePr w:wrap="around"/>
    </w:pPr>
    <w:rPr>
      <w:sz w:val="16"/>
    </w:rPr>
  </w:style>
  <w:style w:type="paragraph" w:customStyle="1" w:styleId="53">
    <w:name w:val="EFAFP_Source"/>
    <w:basedOn w:val="22"/>
    <w:qFormat/>
    <w:uiPriority w:val="0"/>
    <w:rPr>
      <w:sz w:val="12"/>
      <w:szCs w:val="12"/>
    </w:rPr>
  </w:style>
  <w:style w:type="paragraph" w:customStyle="1" w:styleId="54">
    <w:name w:val="EFAFP_Abstract"/>
    <w:qFormat/>
    <w:uiPriority w:val="0"/>
    <w:rPr>
      <w:rFonts w:ascii="Calibri" w:hAnsi="Calibri" w:eastAsia="MS Mincho" w:cs="Times New Roman"/>
      <w:snapToGrid w:val="0"/>
      <w:sz w:val="18"/>
      <w:szCs w:val="16"/>
      <w:lang w:val="en-US" w:eastAsia="ja-JP" w:bidi="ar-SA"/>
    </w:rPr>
  </w:style>
  <w:style w:type="paragraph" w:customStyle="1" w:styleId="55">
    <w:name w:val="EFABullet_Green"/>
    <w:basedOn w:val="29"/>
    <w:qFormat/>
    <w:uiPriority w:val="0"/>
    <w:pPr>
      <w:numPr>
        <w:ilvl w:val="0"/>
        <w:numId w:val="3"/>
      </w:numPr>
      <w:tabs>
        <w:tab w:val="left" w:pos="468"/>
      </w:tabs>
      <w:ind w:left="0" w:firstLine="0"/>
    </w:pPr>
  </w:style>
  <w:style w:type="paragraph" w:customStyle="1" w:styleId="56">
    <w:name w:val="EFABullet_Blue"/>
    <w:basedOn w:val="29"/>
    <w:qFormat/>
    <w:uiPriority w:val="0"/>
    <w:pPr>
      <w:numPr>
        <w:ilvl w:val="0"/>
        <w:numId w:val="4"/>
      </w:numPr>
      <w:tabs>
        <w:tab w:val="left" w:pos="468"/>
      </w:tabs>
      <w:ind w:left="0" w:firstLine="0"/>
    </w:pPr>
  </w:style>
  <w:style w:type="paragraph" w:customStyle="1" w:styleId="57">
    <w:name w:val="EFABullet_Yellow"/>
    <w:basedOn w:val="29"/>
    <w:qFormat/>
    <w:uiPriority w:val="0"/>
    <w:pPr>
      <w:numPr>
        <w:ilvl w:val="0"/>
        <w:numId w:val="5"/>
      </w:numPr>
      <w:tabs>
        <w:tab w:val="left" w:pos="468"/>
      </w:tabs>
      <w:ind w:left="0" w:firstLine="0"/>
    </w:pPr>
  </w:style>
  <w:style w:type="paragraph" w:customStyle="1" w:styleId="58">
    <w:name w:val="EFASource"/>
    <w:basedOn w:val="20"/>
    <w:qFormat/>
    <w:uiPriority w:val="0"/>
    <w:rPr>
      <w:sz w:val="12"/>
      <w:szCs w:val="14"/>
    </w:rPr>
  </w:style>
  <w:style w:type="paragraph" w:customStyle="1" w:styleId="59">
    <w:name w:val="EFASubHeader"/>
    <w:basedOn w:val="20"/>
    <w:next w:val="20"/>
    <w:link w:val="110"/>
    <w:qFormat/>
    <w:uiPriority w:val="0"/>
    <w:rPr>
      <w:b/>
      <w:bCs/>
    </w:rPr>
  </w:style>
  <w:style w:type="paragraph" w:customStyle="1" w:styleId="60">
    <w:name w:val="EFADisclaimerHeading"/>
    <w:basedOn w:val="26"/>
    <w:next w:val="26"/>
    <w:qFormat/>
    <w:uiPriority w:val="99"/>
    <w:rPr>
      <w:b/>
    </w:rPr>
  </w:style>
  <w:style w:type="paragraph" w:customStyle="1" w:styleId="61">
    <w:name w:val="EFADisclaimerHeading2"/>
    <w:basedOn w:val="26"/>
    <w:next w:val="26"/>
    <w:qFormat/>
    <w:uiPriority w:val="0"/>
    <w:rPr>
      <w:b/>
      <w:sz w:val="20"/>
      <w:szCs w:val="20"/>
    </w:rPr>
  </w:style>
  <w:style w:type="paragraph" w:customStyle="1" w:styleId="62">
    <w:name w:val="EFADisclaimerHeading3"/>
    <w:basedOn w:val="26"/>
    <w:qFormat/>
    <w:uiPriority w:val="0"/>
    <w:rPr>
      <w:b/>
      <w:sz w:val="18"/>
      <w:szCs w:val="18"/>
    </w:rPr>
  </w:style>
  <w:style w:type="paragraph" w:customStyle="1" w:styleId="63">
    <w:name w:val="EFASideComment"/>
    <w:basedOn w:val="20"/>
    <w:qFormat/>
    <w:uiPriority w:val="0"/>
    <w:pPr>
      <w:framePr w:w="2980" w:hSpace="180" w:wrap="around" w:vAnchor="text" w:hAnchor="text" w:x="-3250" w:y="160"/>
    </w:pPr>
  </w:style>
  <w:style w:type="character" w:customStyle="1" w:styleId="64">
    <w:name w:val="EFACharBold_and_AllCap"/>
    <w:qFormat/>
    <w:uiPriority w:val="1"/>
    <w:rPr>
      <w:b/>
      <w:caps/>
    </w:rPr>
  </w:style>
  <w:style w:type="paragraph" w:customStyle="1" w:styleId="65">
    <w:name w:val="__Table_Normal"/>
    <w:basedOn w:val="1"/>
    <w:link w:val="66"/>
    <w:qFormat/>
    <w:uiPriority w:val="0"/>
    <w:rPr>
      <w:snapToGrid/>
      <w:color w:val="000000"/>
      <w:kern w:val="28"/>
    </w:rPr>
  </w:style>
  <w:style w:type="character" w:customStyle="1" w:styleId="66">
    <w:name w:val="__Table_Normal Char"/>
    <w:basedOn w:val="14"/>
    <w:link w:val="65"/>
    <w:qFormat/>
    <w:uiPriority w:val="0"/>
    <w:rPr>
      <w:snapToGrid/>
      <w:color w:val="000000"/>
      <w:kern w:val="28"/>
      <w:lang w:eastAsia="ja-JP"/>
    </w:rPr>
  </w:style>
  <w:style w:type="paragraph" w:customStyle="1" w:styleId="67">
    <w:name w:val="Front pg Tbl left just 7 pt"/>
    <w:basedOn w:val="1"/>
    <w:link w:val="68"/>
    <w:qFormat/>
    <w:uiPriority w:val="0"/>
    <w:rPr>
      <w:snapToGrid/>
      <w:sz w:val="14"/>
      <w:szCs w:val="24"/>
    </w:rPr>
  </w:style>
  <w:style w:type="character" w:customStyle="1" w:styleId="68">
    <w:name w:val="Front pg Tbl left just 7 pt Char Char"/>
    <w:basedOn w:val="14"/>
    <w:link w:val="67"/>
    <w:qFormat/>
    <w:uiPriority w:val="0"/>
    <w:rPr>
      <w:snapToGrid/>
      <w:sz w:val="14"/>
      <w:szCs w:val="24"/>
      <w:lang w:eastAsia="ja-JP"/>
    </w:rPr>
  </w:style>
  <w:style w:type="paragraph" w:customStyle="1" w:styleId="69">
    <w:name w:val="EFAFPColFrameText_Center"/>
    <w:basedOn w:val="48"/>
    <w:link w:val="71"/>
    <w:qFormat/>
    <w:uiPriority w:val="0"/>
    <w:pPr>
      <w:framePr w:wrap="around"/>
    </w:pPr>
  </w:style>
  <w:style w:type="character" w:customStyle="1" w:styleId="70">
    <w:name w:val="EFAFPColFrameText_Left Char"/>
    <w:basedOn w:val="46"/>
    <w:link w:val="48"/>
    <w:qFormat/>
    <w:uiPriority w:val="0"/>
    <w:rPr>
      <w:sz w:val="14"/>
      <w:szCs w:val="14"/>
    </w:rPr>
  </w:style>
  <w:style w:type="character" w:customStyle="1" w:styleId="71">
    <w:name w:val="EFAFPColFrameText_Center Char"/>
    <w:basedOn w:val="70"/>
    <w:link w:val="69"/>
    <w:qFormat/>
    <w:uiPriority w:val="0"/>
    <w:rPr>
      <w:sz w:val="14"/>
      <w:szCs w:val="14"/>
    </w:rPr>
  </w:style>
  <w:style w:type="paragraph" w:customStyle="1" w:styleId="72">
    <w:name w:val="EFAAnchor"/>
    <w:basedOn w:val="22"/>
    <w:qFormat/>
    <w:uiPriority w:val="0"/>
    <w:rPr>
      <w:sz w:val="4"/>
      <w:lang w:eastAsia="zh-CN"/>
    </w:rPr>
  </w:style>
  <w:style w:type="paragraph" w:customStyle="1" w:styleId="73">
    <w:name w:val="EFAFPColFrameAnchor"/>
    <w:basedOn w:val="44"/>
    <w:qFormat/>
    <w:uiPriority w:val="0"/>
    <w:pPr>
      <w:framePr w:wrap="around"/>
    </w:pPr>
    <w:rPr>
      <w:sz w:val="4"/>
      <w:szCs w:val="4"/>
    </w:rPr>
  </w:style>
  <w:style w:type="paragraph" w:customStyle="1" w:styleId="74">
    <w:name w:val="EFAFigureTitle_SC"/>
    <w:basedOn w:val="20"/>
    <w:next w:val="20"/>
    <w:link w:val="76"/>
    <w:qFormat/>
    <w:uiPriority w:val="0"/>
    <w:pPr>
      <w:spacing w:before="40" w:after="40"/>
    </w:pPr>
    <w:rPr>
      <w:rFonts w:cs="Calibri"/>
      <w:b/>
      <w:sz w:val="17"/>
    </w:rPr>
  </w:style>
  <w:style w:type="paragraph" w:customStyle="1" w:styleId="75">
    <w:name w:val="EFASource_SC"/>
    <w:basedOn w:val="20"/>
    <w:next w:val="20"/>
    <w:qFormat/>
    <w:uiPriority w:val="0"/>
    <w:rPr>
      <w:sz w:val="12"/>
    </w:rPr>
  </w:style>
  <w:style w:type="character" w:customStyle="1" w:styleId="76">
    <w:name w:val="EFAFigureTitle_SC Char"/>
    <w:basedOn w:val="38"/>
    <w:link w:val="74"/>
    <w:qFormat/>
    <w:uiPriority w:val="0"/>
    <w:rPr>
      <w:rFonts w:cs="Calibri"/>
      <w:b/>
      <w:sz w:val="17"/>
      <w:lang w:eastAsia="ja-JP"/>
    </w:rPr>
  </w:style>
  <w:style w:type="paragraph" w:customStyle="1" w:styleId="77">
    <w:name w:val="EFAFPCol_Hdr2"/>
    <w:basedOn w:val="44"/>
    <w:link w:val="79"/>
    <w:qFormat/>
    <w:uiPriority w:val="0"/>
    <w:pPr>
      <w:framePr w:wrap="around"/>
      <w:jc w:val="both"/>
    </w:pPr>
    <w:rPr>
      <w:b/>
      <w:color w:val="808080"/>
      <w:sz w:val="24"/>
      <w:szCs w:val="24"/>
    </w:rPr>
  </w:style>
  <w:style w:type="paragraph" w:customStyle="1" w:styleId="78">
    <w:name w:val="EFAFP_CustomRec"/>
    <w:link w:val="81"/>
    <w:qFormat/>
    <w:uiPriority w:val="0"/>
    <w:rPr>
      <w:rFonts w:ascii="Calibri" w:hAnsi="Calibri" w:eastAsia="MS Mincho" w:cs="Times New Roman"/>
      <w:b/>
      <w:bCs/>
      <w:snapToGrid w:val="0"/>
      <w:color w:val="23558C"/>
      <w:sz w:val="40"/>
      <w:szCs w:val="24"/>
      <w:lang w:val="en-US" w:eastAsia="zh-CN" w:bidi="ar-SA"/>
    </w:rPr>
  </w:style>
  <w:style w:type="character" w:customStyle="1" w:styleId="79">
    <w:name w:val="EFAFPCol_Hdr2 Char"/>
    <w:basedOn w:val="46"/>
    <w:link w:val="77"/>
    <w:qFormat/>
    <w:uiPriority w:val="0"/>
    <w:rPr>
      <w:b/>
      <w:color w:val="808080"/>
      <w:sz w:val="24"/>
      <w:szCs w:val="24"/>
    </w:rPr>
  </w:style>
  <w:style w:type="paragraph" w:customStyle="1" w:styleId="80">
    <w:name w:val="EFAFP_Rec"/>
    <w:basedOn w:val="44"/>
    <w:link w:val="83"/>
    <w:qFormat/>
    <w:uiPriority w:val="0"/>
    <w:pPr>
      <w:framePr w:wrap="around"/>
    </w:pPr>
    <w:rPr>
      <w:b/>
      <w:bCs/>
      <w:color w:val="23558C"/>
      <w:sz w:val="36"/>
    </w:rPr>
  </w:style>
  <w:style w:type="character" w:customStyle="1" w:styleId="81">
    <w:name w:val="EFAFP_CustomRec Char"/>
    <w:basedOn w:val="14"/>
    <w:link w:val="78"/>
    <w:qFormat/>
    <w:uiPriority w:val="0"/>
    <w:rPr>
      <w:b/>
      <w:bCs/>
      <w:color w:val="23558C"/>
      <w:sz w:val="40"/>
      <w:szCs w:val="24"/>
    </w:rPr>
  </w:style>
  <w:style w:type="character" w:customStyle="1" w:styleId="82">
    <w:name w:val="EFAFPReportType Char"/>
    <w:basedOn w:val="14"/>
    <w:link w:val="18"/>
    <w:qFormat/>
    <w:uiPriority w:val="0"/>
    <w:rPr>
      <w:color w:val="23558C"/>
      <w:sz w:val="44"/>
      <w:szCs w:val="44"/>
      <w:lang w:eastAsia="ja-JP"/>
    </w:rPr>
  </w:style>
  <w:style w:type="character" w:customStyle="1" w:styleId="83">
    <w:name w:val="EFAFP_Rec Char"/>
    <w:basedOn w:val="79"/>
    <w:link w:val="80"/>
    <w:qFormat/>
    <w:uiPriority w:val="0"/>
    <w:rPr>
      <w:bCs/>
      <w:color w:val="23558C"/>
      <w:sz w:val="36"/>
      <w:szCs w:val="14"/>
    </w:rPr>
  </w:style>
  <w:style w:type="paragraph" w:customStyle="1" w:styleId="84">
    <w:name w:val="EFAFPHdrInfo"/>
    <w:link w:val="85"/>
    <w:qFormat/>
    <w:uiPriority w:val="0"/>
    <w:pPr>
      <w:framePr w:wrap="around" w:vAnchor="margin" w:hAnchor="text" w:xAlign="right" w:y="1"/>
      <w:suppressOverlap/>
      <w:ind w:left="240"/>
    </w:pPr>
    <w:rPr>
      <w:rFonts w:ascii="Calibri" w:hAnsi="Calibri" w:eastAsia="MS Mincho" w:cs="Times New Roman"/>
      <w:b/>
      <w:bCs/>
      <w:snapToGrid w:val="0"/>
      <w:color w:val="000000"/>
      <w:sz w:val="32"/>
      <w:szCs w:val="32"/>
      <w:lang w:val="en-US" w:eastAsia="ja-JP" w:bidi="ar-SA"/>
    </w:rPr>
  </w:style>
  <w:style w:type="character" w:customStyle="1" w:styleId="85">
    <w:name w:val="EFAFPHdrInfo Char"/>
    <w:basedOn w:val="82"/>
    <w:link w:val="84"/>
    <w:qFormat/>
    <w:uiPriority w:val="0"/>
    <w:rPr>
      <w:b/>
      <w:bCs/>
      <w:color w:val="000000"/>
      <w:sz w:val="32"/>
      <w:szCs w:val="32"/>
      <w:lang w:eastAsia="ja-JP"/>
    </w:rPr>
  </w:style>
  <w:style w:type="paragraph" w:customStyle="1" w:styleId="86">
    <w:name w:val="Style EFAFP_BodyText + After:  6 pt"/>
    <w:basedOn w:val="29"/>
    <w:qFormat/>
    <w:uiPriority w:val="0"/>
    <w:pPr>
      <w:spacing w:after="120"/>
    </w:pPr>
    <w:rPr>
      <w:rFonts w:eastAsia="Times New Roman"/>
      <w:snapToGrid/>
      <w:sz w:val="22"/>
      <w:szCs w:val="20"/>
    </w:rPr>
  </w:style>
  <w:style w:type="paragraph" w:customStyle="1" w:styleId="87">
    <w:name w:val="Style EFAFP_BodyText + 12 pt Bold Black After:  6 pt Kern at 14..."/>
    <w:basedOn w:val="29"/>
    <w:qFormat/>
    <w:uiPriority w:val="0"/>
    <w:pPr>
      <w:spacing w:after="120"/>
    </w:pPr>
    <w:rPr>
      <w:rFonts w:eastAsia="Times New Roman"/>
      <w:b/>
      <w:bCs/>
      <w:snapToGrid/>
      <w:color w:val="000000"/>
      <w:kern w:val="28"/>
      <w:sz w:val="26"/>
      <w:szCs w:val="20"/>
    </w:rPr>
  </w:style>
  <w:style w:type="paragraph" w:customStyle="1" w:styleId="88">
    <w:name w:val="EFAFP_Headline"/>
    <w:next w:val="89"/>
    <w:link w:val="90"/>
    <w:qFormat/>
    <w:uiPriority w:val="0"/>
    <w:pPr>
      <w:numPr>
        <w:ilvl w:val="0"/>
        <w:numId w:val="6"/>
      </w:numPr>
      <w:adjustRightInd w:val="0"/>
      <w:snapToGrid w:val="0"/>
    </w:pPr>
    <w:rPr>
      <w:rFonts w:ascii="Calibri" w:hAnsi="Calibri" w:eastAsia="Times New Roman" w:cs="Times New Roman"/>
      <w:b/>
      <w:bCs/>
      <w:snapToGrid/>
      <w:color w:val="23558C"/>
      <w:kern w:val="28"/>
      <w:sz w:val="28"/>
      <w:szCs w:val="20"/>
      <w:lang w:val="en-US" w:eastAsia="ja-JP" w:bidi="ar-SA"/>
    </w:rPr>
  </w:style>
  <w:style w:type="paragraph" w:customStyle="1" w:styleId="89">
    <w:name w:val="EFAFP_BodyText2"/>
    <w:link w:val="92"/>
    <w:qFormat/>
    <w:uiPriority w:val="0"/>
    <w:pPr>
      <w:adjustRightInd w:val="0"/>
      <w:snapToGrid w:val="0"/>
      <w:spacing w:after="120"/>
    </w:pPr>
    <w:rPr>
      <w:rFonts w:ascii="Calibri" w:hAnsi="Calibri" w:eastAsia="Times New Roman" w:cs="PMingLiU"/>
      <w:snapToGrid/>
      <w:sz w:val="20"/>
      <w:szCs w:val="20"/>
      <w:lang w:val="en-US" w:eastAsia="ja-JP" w:bidi="ar-SA"/>
    </w:rPr>
  </w:style>
  <w:style w:type="character" w:customStyle="1" w:styleId="90">
    <w:name w:val="EFAFP_Headline Char"/>
    <w:basedOn w:val="14"/>
    <w:link w:val="88"/>
    <w:qFormat/>
    <w:uiPriority w:val="0"/>
    <w:rPr>
      <w:rFonts w:eastAsia="Times New Roman"/>
      <w:b/>
      <w:bCs/>
      <w:snapToGrid/>
      <w:color w:val="23558C"/>
      <w:kern w:val="28"/>
      <w:sz w:val="28"/>
      <w:szCs w:val="20"/>
      <w:lang w:eastAsia="ja-JP"/>
    </w:rPr>
  </w:style>
  <w:style w:type="character" w:customStyle="1" w:styleId="91">
    <w:name w:val="EFABlueChar"/>
    <w:qFormat/>
    <w:uiPriority w:val="1"/>
    <w:rPr>
      <w:b/>
      <w:color w:val="23508C"/>
    </w:rPr>
  </w:style>
  <w:style w:type="character" w:customStyle="1" w:styleId="92">
    <w:name w:val="EFAFP_BodyText2 Char"/>
    <w:basedOn w:val="14"/>
    <w:link w:val="89"/>
    <w:qFormat/>
    <w:uiPriority w:val="0"/>
    <w:rPr>
      <w:rFonts w:eastAsia="Times New Roman" w:cs="PMingLiU"/>
      <w:snapToGrid/>
      <w:sz w:val="20"/>
      <w:szCs w:val="20"/>
      <w:lang w:eastAsia="ja-JP"/>
    </w:rPr>
  </w:style>
  <w:style w:type="paragraph" w:customStyle="1" w:styleId="93">
    <w:name w:val="EFAHeading2"/>
    <w:basedOn w:val="1"/>
    <w:link w:val="95"/>
    <w:qFormat/>
    <w:uiPriority w:val="0"/>
    <w:pPr>
      <w:widowControl w:val="0"/>
      <w:adjustRightInd w:val="0"/>
      <w:snapToGrid w:val="0"/>
      <w:spacing w:before="160"/>
    </w:pPr>
    <w:rPr>
      <w:color w:val="23558C"/>
      <w:kern w:val="28"/>
      <w:sz w:val="28"/>
    </w:rPr>
  </w:style>
  <w:style w:type="paragraph" w:customStyle="1" w:styleId="94">
    <w:name w:val="EFABodyText2"/>
    <w:basedOn w:val="20"/>
    <w:link w:val="97"/>
    <w:qFormat/>
    <w:uiPriority w:val="0"/>
    <w:rPr>
      <w:szCs w:val="22"/>
    </w:rPr>
  </w:style>
  <w:style w:type="character" w:customStyle="1" w:styleId="95">
    <w:name w:val="EFAHeading2 Char"/>
    <w:basedOn w:val="14"/>
    <w:link w:val="93"/>
    <w:qFormat/>
    <w:uiPriority w:val="0"/>
    <w:rPr>
      <w:color w:val="23558C"/>
      <w:kern w:val="28"/>
      <w:sz w:val="28"/>
      <w:lang w:eastAsia="ja-JP"/>
    </w:rPr>
  </w:style>
  <w:style w:type="paragraph" w:customStyle="1" w:styleId="96">
    <w:name w:val="EFAHeading_with_bullet"/>
    <w:basedOn w:val="1"/>
    <w:next w:val="94"/>
    <w:link w:val="98"/>
    <w:qFormat/>
    <w:uiPriority w:val="0"/>
    <w:pPr>
      <w:widowControl w:val="0"/>
      <w:tabs>
        <w:tab w:val="right" w:pos="7332"/>
      </w:tabs>
      <w:adjustRightInd w:val="0"/>
      <w:snapToGrid w:val="0"/>
      <w:spacing w:before="80"/>
      <w:ind w:left="360" w:hanging="360"/>
    </w:pPr>
    <w:rPr>
      <w:b/>
      <w:color w:val="23558C"/>
      <w:kern w:val="28"/>
      <w:sz w:val="28"/>
    </w:rPr>
  </w:style>
  <w:style w:type="character" w:customStyle="1" w:styleId="97">
    <w:name w:val="EFABodyText2 Char"/>
    <w:basedOn w:val="38"/>
    <w:link w:val="94"/>
    <w:qFormat/>
    <w:uiPriority w:val="0"/>
    <w:rPr>
      <w:sz w:val="20"/>
      <w:szCs w:val="22"/>
      <w:lang w:eastAsia="ja-JP"/>
    </w:rPr>
  </w:style>
  <w:style w:type="character" w:customStyle="1" w:styleId="98">
    <w:name w:val="EFAHeading_with_bullet Char"/>
    <w:basedOn w:val="14"/>
    <w:link w:val="96"/>
    <w:qFormat/>
    <w:uiPriority w:val="0"/>
    <w:rPr>
      <w:b/>
      <w:color w:val="23558C"/>
      <w:kern w:val="28"/>
      <w:sz w:val="28"/>
      <w:lang w:eastAsia="ja-JP"/>
    </w:rPr>
  </w:style>
  <w:style w:type="paragraph" w:customStyle="1" w:styleId="99">
    <w:name w:val="EFARiskText"/>
    <w:link w:val="101"/>
    <w:qFormat/>
    <w:uiPriority w:val="0"/>
    <w:pPr>
      <w:jc w:val="center"/>
    </w:pPr>
    <w:rPr>
      <w:rFonts w:ascii="Calibri" w:hAnsi="Calibri" w:eastAsia="MS Mincho" w:cs="Times New Roman"/>
      <w:snapToGrid/>
      <w:color w:val="23508C"/>
      <w:sz w:val="16"/>
      <w:szCs w:val="16"/>
      <w:lang w:val="en-US" w:eastAsia="ja-JP" w:bidi="ar-SA"/>
    </w:rPr>
  </w:style>
  <w:style w:type="paragraph" w:customStyle="1" w:styleId="100">
    <w:name w:val="EFARiskText_Inv"/>
    <w:basedOn w:val="99"/>
    <w:link w:val="102"/>
    <w:qFormat/>
    <w:uiPriority w:val="0"/>
    <w:rPr>
      <w:b/>
      <w:color w:val="FFFFFF"/>
    </w:rPr>
  </w:style>
  <w:style w:type="character" w:customStyle="1" w:styleId="101">
    <w:name w:val="EFARiskText Char"/>
    <w:basedOn w:val="14"/>
    <w:link w:val="99"/>
    <w:qFormat/>
    <w:uiPriority w:val="0"/>
    <w:rPr>
      <w:snapToGrid/>
      <w:color w:val="23508C"/>
      <w:lang w:eastAsia="ja-JP"/>
    </w:rPr>
  </w:style>
  <w:style w:type="character" w:customStyle="1" w:styleId="102">
    <w:name w:val="EFARiskText_Inv Char"/>
    <w:basedOn w:val="101"/>
    <w:link w:val="100"/>
    <w:qFormat/>
    <w:uiPriority w:val="0"/>
    <w:rPr>
      <w:b/>
      <w:snapToGrid/>
      <w:color w:val="FFFFFF"/>
      <w:lang w:eastAsia="ja-JP"/>
    </w:rPr>
  </w:style>
  <w:style w:type="paragraph" w:customStyle="1" w:styleId="103">
    <w:name w:val="EFAHeading3"/>
    <w:basedOn w:val="1"/>
    <w:link w:val="108"/>
    <w:qFormat/>
    <w:uiPriority w:val="0"/>
    <w:pPr>
      <w:widowControl w:val="0"/>
      <w:numPr>
        <w:ilvl w:val="0"/>
        <w:numId w:val="7"/>
      </w:numPr>
      <w:tabs>
        <w:tab w:val="right" w:pos="7308"/>
      </w:tabs>
      <w:adjustRightInd w:val="0"/>
      <w:snapToGrid w:val="0"/>
      <w:spacing w:before="160"/>
      <w:ind w:left="280" w:hanging="280"/>
    </w:pPr>
    <w:rPr>
      <w:b/>
      <w:color w:val="23558C"/>
      <w:kern w:val="28"/>
      <w:sz w:val="28"/>
    </w:rPr>
  </w:style>
  <w:style w:type="paragraph" w:customStyle="1" w:styleId="104">
    <w:name w:val="EFATextInBullet"/>
    <w:link w:val="106"/>
    <w:qFormat/>
    <w:uiPriority w:val="0"/>
    <w:pPr>
      <w:spacing w:line="200" w:lineRule="exact"/>
      <w:jc w:val="center"/>
    </w:pPr>
    <w:rPr>
      <w:rFonts w:ascii="Calibri" w:hAnsi="Calibri" w:eastAsia="MS Mincho" w:cs="Times New Roman"/>
      <w:b/>
      <w:bCs/>
      <w:snapToGrid w:val="0"/>
      <w:sz w:val="16"/>
      <w:szCs w:val="16"/>
      <w:lang w:val="en-US" w:eastAsia="ja-JP" w:bidi="ar-SA"/>
    </w:rPr>
  </w:style>
  <w:style w:type="paragraph" w:customStyle="1" w:styleId="105">
    <w:name w:val="EFATextInBullet_Inv"/>
    <w:basedOn w:val="104"/>
    <w:qFormat/>
    <w:uiPriority w:val="0"/>
    <w:rPr>
      <w:color w:val="FFFFFF" w:themeColor="background1"/>
      <w14:textFill>
        <w14:solidFill>
          <w14:schemeClr w14:val="bg1"/>
        </w14:solidFill>
      </w14:textFill>
    </w:rPr>
  </w:style>
  <w:style w:type="character" w:customStyle="1" w:styleId="106">
    <w:name w:val="EFATextInBullet Char"/>
    <w:basedOn w:val="14"/>
    <w:link w:val="104"/>
    <w:qFormat/>
    <w:uiPriority w:val="0"/>
    <w:rPr>
      <w:b/>
      <w:bCs/>
      <w:lang w:eastAsia="ja-JP"/>
    </w:rPr>
  </w:style>
  <w:style w:type="paragraph" w:customStyle="1" w:styleId="107">
    <w:name w:val="EFAHeading"/>
    <w:link w:val="109"/>
    <w:qFormat/>
    <w:uiPriority w:val="0"/>
    <w:rPr>
      <w:rFonts w:ascii="Calibri" w:hAnsi="Calibri" w:eastAsia="MS Mincho" w:cs="Times New Roman"/>
      <w:b/>
      <w:snapToGrid w:val="0"/>
      <w:color w:val="000000"/>
      <w:kern w:val="28"/>
      <w:sz w:val="24"/>
      <w:szCs w:val="14"/>
      <w:lang w:val="en-US" w:eastAsia="ja-JP" w:bidi="ar-SA"/>
    </w:rPr>
  </w:style>
  <w:style w:type="character" w:customStyle="1" w:styleId="108">
    <w:name w:val="EFAHeading3 Char"/>
    <w:basedOn w:val="14"/>
    <w:link w:val="103"/>
    <w:qFormat/>
    <w:uiPriority w:val="0"/>
    <w:rPr>
      <w:b/>
      <w:color w:val="23558C"/>
      <w:kern w:val="28"/>
      <w:sz w:val="28"/>
      <w:lang w:eastAsia="ja-JP"/>
    </w:rPr>
  </w:style>
  <w:style w:type="character" w:customStyle="1" w:styleId="109">
    <w:name w:val="EFAHeading Char"/>
    <w:basedOn w:val="14"/>
    <w:link w:val="107"/>
    <w:qFormat/>
    <w:uiPriority w:val="0"/>
    <w:rPr>
      <w:b/>
      <w:color w:val="000000"/>
      <w:kern w:val="28"/>
      <w:sz w:val="24"/>
      <w:szCs w:val="14"/>
      <w:lang w:eastAsia="ja-JP"/>
    </w:rPr>
  </w:style>
  <w:style w:type="character" w:customStyle="1" w:styleId="110">
    <w:name w:val="EFASubHeader Char"/>
    <w:basedOn w:val="38"/>
    <w:link w:val="59"/>
    <w:qFormat/>
    <w:uiPriority w:val="0"/>
    <w:rPr>
      <w:b/>
      <w:bCs/>
      <w:sz w:val="20"/>
      <w:lang w:eastAsia="ja-JP"/>
    </w:rPr>
  </w:style>
  <w:style w:type="character" w:customStyle="1" w:styleId="111">
    <w:name w:val="EFAFPFrameText_11.5pt Char"/>
    <w:basedOn w:val="14"/>
    <w:link w:val="25"/>
    <w:qFormat/>
    <w:uiPriority w:val="0"/>
    <w:rPr>
      <w:b/>
      <w:color w:val="23558C"/>
      <w:sz w:val="24"/>
      <w:lang w:eastAsia="ja-JP"/>
    </w:rPr>
  </w:style>
  <w:style w:type="character" w:customStyle="1" w:styleId="112">
    <w:name w:val="EFAFPTitle Char"/>
    <w:basedOn w:val="14"/>
    <w:link w:val="43"/>
    <w:qFormat/>
    <w:uiPriority w:val="0"/>
    <w:rPr>
      <w:b/>
      <w:color w:val="FFFFFF"/>
      <w:sz w:val="32"/>
      <w:szCs w:val="32"/>
      <w:lang w:eastAsia="ja-JP"/>
    </w:rPr>
  </w:style>
  <w:style w:type="character" w:customStyle="1" w:styleId="113">
    <w:name w:val="EFAFPFrameText_11.5pt_Right Char"/>
    <w:basedOn w:val="111"/>
    <w:link w:val="24"/>
    <w:qFormat/>
    <w:uiPriority w:val="0"/>
    <w:rPr>
      <w:bCs/>
      <w:color w:val="23558C"/>
      <w:sz w:val="24"/>
      <w:szCs w:val="32"/>
      <w:lang w:eastAsia="ja-JP"/>
    </w:rPr>
  </w:style>
  <w:style w:type="paragraph" w:customStyle="1" w:styleId="114">
    <w:name w:val="EFADisclaimerHiddenText"/>
    <w:link w:val="115"/>
    <w:qFormat/>
    <w:uiPriority w:val="0"/>
    <w:pPr>
      <w:spacing w:line="20" w:lineRule="exact"/>
    </w:pPr>
    <w:rPr>
      <w:rFonts w:ascii="Calibri" w:hAnsi="Calibri" w:eastAsia="MS Mincho" w:cs="Times New Roman"/>
      <w:snapToGrid w:val="0"/>
      <w:vanish/>
      <w:color w:val="FFFFFF"/>
      <w:sz w:val="2"/>
      <w:szCs w:val="16"/>
      <w:lang w:val="en-US" w:eastAsia="ja-JP" w:bidi="ar-SA"/>
    </w:rPr>
  </w:style>
  <w:style w:type="character" w:customStyle="1" w:styleId="115">
    <w:name w:val="EFADisclaimerHiddenText Char"/>
    <w:basedOn w:val="14"/>
    <w:link w:val="114"/>
    <w:qFormat/>
    <w:uiPriority w:val="0"/>
    <w:rPr>
      <w:vanish/>
      <w:color w:val="FFFFFF"/>
      <w:sz w:val="2"/>
      <w:lang w:eastAsia="ja-JP"/>
    </w:rPr>
  </w:style>
  <w:style w:type="paragraph" w:customStyle="1" w:styleId="116">
    <w:name w:val="EFATagging"/>
    <w:link w:val="117"/>
    <w:qFormat/>
    <w:uiPriority w:val="0"/>
    <w:pPr>
      <w:ind w:firstLine="280"/>
    </w:pPr>
    <w:rPr>
      <w:rFonts w:ascii="Calibri" w:hAnsi="Calibri" w:eastAsia="MS Mincho" w:cs="Times New Roman"/>
      <w:bCs/>
      <w:snapToGrid w:val="0"/>
      <w:color w:val="0066CC" w:themeColor="accent1" w:themeShade="80"/>
      <w:sz w:val="16"/>
      <w:szCs w:val="16"/>
      <w:lang w:val="en-US" w:eastAsia="ja-JP" w:bidi="ar-SA"/>
    </w:rPr>
  </w:style>
  <w:style w:type="character" w:customStyle="1" w:styleId="117">
    <w:name w:val="EFATagging Char"/>
    <w:basedOn w:val="14"/>
    <w:link w:val="116"/>
    <w:qFormat/>
    <w:uiPriority w:val="0"/>
    <w:rPr>
      <w:bCs/>
      <w:color w:val="0066CC" w:themeColor="accent1" w:themeShade="80"/>
      <w:lang w:eastAsia="ja-JP"/>
    </w:rPr>
  </w:style>
  <w:style w:type="paragraph" w:customStyle="1" w:styleId="118">
    <w:name w:val="EFAFP_Tagging"/>
    <w:link w:val="119"/>
    <w:qFormat/>
    <w:uiPriority w:val="0"/>
    <w:rPr>
      <w:rFonts w:ascii="Calibri" w:hAnsi="Calibri" w:eastAsia="MS Mincho" w:cs="Times New Roman"/>
      <w:snapToGrid w:val="0"/>
      <w:color w:val="0066CC" w:themeColor="accent1" w:themeShade="80"/>
      <w:sz w:val="16"/>
      <w:szCs w:val="20"/>
      <w:lang w:val="en-US" w:eastAsia="ja-JP" w:bidi="ar-SA"/>
    </w:rPr>
  </w:style>
  <w:style w:type="character" w:customStyle="1" w:styleId="119">
    <w:name w:val="EFAFP_Tagging Char"/>
    <w:basedOn w:val="14"/>
    <w:link w:val="118"/>
    <w:qFormat/>
    <w:uiPriority w:val="0"/>
    <w:rPr>
      <w:color w:val="0066CC" w:themeColor="accent1" w:themeShade="80"/>
      <w:szCs w:val="20"/>
      <w:lang w:eastAsia="ja-JP"/>
    </w:rPr>
  </w:style>
  <w:style w:type="paragraph" w:customStyle="1" w:styleId="120">
    <w:name w:val="EFAFPHdrInfo3"/>
    <w:link w:val="121"/>
    <w:qFormat/>
    <w:uiPriority w:val="0"/>
    <w:rPr>
      <w:rFonts w:ascii="Calibri" w:hAnsi="Calibri" w:eastAsia="MS Mincho" w:cs="Times New Roman"/>
      <w:b/>
      <w:bCs/>
      <w:snapToGrid w:val="0"/>
      <w:color w:val="000000"/>
      <w:sz w:val="32"/>
      <w:szCs w:val="20"/>
      <w:lang w:val="en-US" w:eastAsia="ja-JP" w:bidi="ar-SA"/>
    </w:rPr>
  </w:style>
  <w:style w:type="character" w:customStyle="1" w:styleId="121">
    <w:name w:val="EFAFPHdrInfo3 Char"/>
    <w:basedOn w:val="14"/>
    <w:link w:val="120"/>
    <w:qFormat/>
    <w:uiPriority w:val="0"/>
    <w:rPr>
      <w:b/>
      <w:bCs/>
      <w:color w:val="000000"/>
      <w:sz w:val="32"/>
      <w:szCs w:val="20"/>
      <w:lang w:eastAsia="ja-JP"/>
    </w:rPr>
  </w:style>
  <w:style w:type="paragraph" w:customStyle="1" w:styleId="122">
    <w:name w:val="EFAFP_HTI_Link"/>
    <w:basedOn w:val="44"/>
    <w:qFormat/>
    <w:uiPriority w:val="0"/>
    <w:pPr>
      <w:framePr w:wrap="around"/>
      <w:jc w:val="center"/>
    </w:pPr>
    <w:rPr>
      <w:sz w:val="20"/>
      <w:szCs w:val="20"/>
    </w:rPr>
  </w:style>
  <w:style w:type="paragraph" w:customStyle="1" w:styleId="123">
    <w:name w:val="EFAFPTitle6"/>
    <w:link w:val="124"/>
    <w:qFormat/>
    <w:uiPriority w:val="0"/>
    <w:rPr>
      <w:rFonts w:ascii="Calibri" w:hAnsi="Calibri" w:eastAsia="MS Mincho" w:cs="Times New Roman"/>
      <w:b/>
      <w:bCs/>
      <w:snapToGrid w:val="0"/>
      <w:color w:val="FFFFFF"/>
      <w:sz w:val="32"/>
      <w:szCs w:val="20"/>
      <w:lang w:val="en-US" w:eastAsia="ja-JP" w:bidi="ar-SA"/>
    </w:rPr>
  </w:style>
  <w:style w:type="character" w:customStyle="1" w:styleId="124">
    <w:name w:val="EFAFPTitle6 Char"/>
    <w:basedOn w:val="14"/>
    <w:link w:val="123"/>
    <w:qFormat/>
    <w:uiPriority w:val="0"/>
    <w:rPr>
      <w:b/>
      <w:bCs/>
      <w:color w:val="FFFFFF"/>
      <w:sz w:val="32"/>
      <w:szCs w:val="20"/>
      <w:lang w:eastAsia="ja-JP"/>
    </w:rPr>
  </w:style>
  <w:style w:type="paragraph" w:customStyle="1" w:styleId="125">
    <w:name w:val="EFAHiddenText"/>
    <w:link w:val="126"/>
    <w:qFormat/>
    <w:uiPriority w:val="0"/>
    <w:pPr>
      <w:adjustRightInd w:val="0"/>
      <w:snapToGrid w:val="0"/>
    </w:pPr>
    <w:rPr>
      <w:rFonts w:ascii="Calibri" w:hAnsi="Calibri" w:eastAsia="MS Mincho" w:cs="Times New Roman"/>
      <w:snapToGrid w:val="0"/>
      <w:vanish/>
      <w:sz w:val="2"/>
      <w:szCs w:val="16"/>
      <w:lang w:val="en-US" w:eastAsia="ja-JP" w:bidi="ar-SA"/>
    </w:rPr>
  </w:style>
  <w:style w:type="character" w:customStyle="1" w:styleId="126">
    <w:name w:val="EFAHiddenText Char"/>
    <w:basedOn w:val="14"/>
    <w:link w:val="125"/>
    <w:qFormat/>
    <w:uiPriority w:val="0"/>
    <w:rPr>
      <w:vanish/>
      <w:sz w:val="2"/>
      <w:lang w:eastAsia="ja-JP"/>
    </w:rPr>
  </w:style>
  <w:style w:type="character" w:customStyle="1" w:styleId="127">
    <w:name w:val="EFAFPFooter2 Char"/>
    <w:basedOn w:val="14"/>
    <w:link w:val="41"/>
    <w:qFormat/>
    <w:uiPriority w:val="0"/>
    <w:rPr>
      <w:rFonts w:cs="Arial"/>
      <w:sz w:val="21"/>
      <w:lang w:eastAsia="ja-JP"/>
    </w:rPr>
  </w:style>
  <w:style w:type="table" w:customStyle="1" w:styleId="128">
    <w:name w:val="Table Grid1"/>
    <w:basedOn w:val="1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9">
    <w:name w:val="EFAFP_HTI_Link2"/>
    <w:link w:val="130"/>
    <w:qFormat/>
    <w:uiPriority w:val="0"/>
    <w:rPr>
      <w:rFonts w:ascii="Calibri" w:hAnsi="Calibri" w:eastAsia="MS Mincho" w:cs="Times New Roman"/>
      <w:snapToGrid w:val="0"/>
      <w:sz w:val="16"/>
      <w:szCs w:val="16"/>
      <w:lang w:val="en-US" w:eastAsia="zh-CN" w:bidi="ar-SA"/>
    </w:rPr>
  </w:style>
  <w:style w:type="character" w:customStyle="1" w:styleId="130">
    <w:name w:val="EFAFP_HTI_Link2 Char"/>
    <w:basedOn w:val="14"/>
    <w:link w:val="129"/>
    <w:qFormat/>
    <w:uiPriority w:val="0"/>
  </w:style>
  <w:style w:type="paragraph" w:customStyle="1" w:styleId="131">
    <w:name w:val="EFAFP_HeadLine_SE"/>
    <w:link w:val="133"/>
    <w:qFormat/>
    <w:uiPriority w:val="0"/>
    <w:rPr>
      <w:rFonts w:ascii="Calibri" w:hAnsi="Calibri" w:eastAsia="Times New Roman" w:cs="Times New Roman"/>
      <w:b/>
      <w:bCs/>
      <w:snapToGrid/>
      <w:color w:val="23558C"/>
      <w:kern w:val="28"/>
      <w:sz w:val="22"/>
      <w:szCs w:val="20"/>
      <w:lang w:val="en-US" w:eastAsia="ja-JP" w:bidi="ar-SA"/>
    </w:rPr>
  </w:style>
  <w:style w:type="paragraph" w:customStyle="1" w:styleId="132">
    <w:name w:val="EFAFPBodyText_SE"/>
    <w:link w:val="134"/>
    <w:qFormat/>
    <w:uiPriority w:val="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pPr>
    <w:rPr>
      <w:rFonts w:ascii="Calibri" w:hAnsi="Calibri" w:eastAsia="Times New Roman" w:cs="PMingLiU"/>
      <w:snapToGrid/>
      <w:sz w:val="20"/>
      <w:szCs w:val="20"/>
      <w:lang w:val="en-US" w:eastAsia="ja-JP" w:bidi="ar-SA"/>
    </w:rPr>
  </w:style>
  <w:style w:type="character" w:customStyle="1" w:styleId="133">
    <w:name w:val="EFAFP_HeadLine_SE Char"/>
    <w:basedOn w:val="14"/>
    <w:link w:val="131"/>
    <w:qFormat/>
    <w:uiPriority w:val="0"/>
    <w:rPr>
      <w:rFonts w:eastAsia="Times New Roman"/>
      <w:b/>
      <w:bCs/>
      <w:snapToGrid/>
      <w:color w:val="23558C"/>
      <w:kern w:val="28"/>
      <w:sz w:val="22"/>
      <w:szCs w:val="20"/>
      <w:lang w:eastAsia="ja-JP"/>
    </w:rPr>
  </w:style>
  <w:style w:type="character" w:customStyle="1" w:styleId="134">
    <w:name w:val="EFAFPBodyText_SE Char"/>
    <w:basedOn w:val="14"/>
    <w:link w:val="132"/>
    <w:qFormat/>
    <w:uiPriority w:val="0"/>
    <w:rPr>
      <w:rFonts w:eastAsia="Times New Roman" w:cs="PMingLiU"/>
      <w:snapToGrid/>
      <w:sz w:val="20"/>
      <w:szCs w:val="20"/>
      <w:lang w:eastAsia="ja-JP"/>
    </w:rPr>
  </w:style>
  <w:style w:type="paragraph" w:customStyle="1" w:styleId="135">
    <w:name w:val="EFAHeader_SE"/>
    <w:link w:val="137"/>
    <w:qFormat/>
    <w:uiPriority w:val="0"/>
    <w:pPr>
      <w:spacing w:after="280" w:line="280" w:lineRule="exact"/>
    </w:pPr>
    <w:rPr>
      <w:rFonts w:ascii="Calibri" w:hAnsi="Calibri" w:eastAsia="MS Mincho" w:cs="Times New Roman"/>
      <w:b/>
      <w:bCs/>
      <w:snapToGrid/>
      <w:color w:val="23558C"/>
      <w:kern w:val="28"/>
      <w:sz w:val="22"/>
      <w:szCs w:val="16"/>
      <w:lang w:val="en-US" w:eastAsia="ja-JP" w:bidi="ar-SA"/>
    </w:rPr>
  </w:style>
  <w:style w:type="paragraph" w:customStyle="1" w:styleId="136">
    <w:name w:val="EFABodyText_SE"/>
    <w:link w:val="139"/>
    <w:qFormat/>
    <w:uiPriority w:val="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after="120"/>
    </w:pPr>
    <w:rPr>
      <w:rFonts w:ascii="Calibri" w:hAnsi="Calibri" w:eastAsia="Times New Roman" w:cs="PMingLiU"/>
      <w:snapToGrid/>
      <w:sz w:val="20"/>
      <w:szCs w:val="20"/>
      <w:lang w:val="en-US" w:eastAsia="ja-JP" w:bidi="ar-SA"/>
    </w:rPr>
  </w:style>
  <w:style w:type="character" w:customStyle="1" w:styleId="137">
    <w:name w:val="EFAHeader_SE Char"/>
    <w:basedOn w:val="14"/>
    <w:link w:val="135"/>
    <w:qFormat/>
    <w:uiPriority w:val="0"/>
    <w:rPr>
      <w:b/>
      <w:bCs/>
      <w:snapToGrid/>
      <w:color w:val="23558C"/>
      <w:kern w:val="28"/>
      <w:sz w:val="22"/>
      <w:lang w:eastAsia="ja-JP"/>
    </w:rPr>
  </w:style>
  <w:style w:type="paragraph" w:customStyle="1" w:styleId="138">
    <w:name w:val="EFABodyText_SE2"/>
    <w:link w:val="140"/>
    <w:qFormat/>
    <w:uiPriority w:val="0"/>
    <w:rPr>
      <w:rFonts w:ascii="Calibri" w:hAnsi="Calibri" w:eastAsia="Times New Roman" w:cs="PMingLiU"/>
      <w:snapToGrid/>
      <w:sz w:val="20"/>
      <w:szCs w:val="20"/>
      <w:lang w:val="en-US" w:eastAsia="ja-JP" w:bidi="ar-SA"/>
    </w:rPr>
  </w:style>
  <w:style w:type="character" w:customStyle="1" w:styleId="139">
    <w:name w:val="EFABodyText_SE Char"/>
    <w:basedOn w:val="14"/>
    <w:link w:val="136"/>
    <w:qFormat/>
    <w:uiPriority w:val="0"/>
    <w:rPr>
      <w:rFonts w:eastAsia="Times New Roman" w:cs="PMingLiU"/>
      <w:snapToGrid/>
      <w:sz w:val="20"/>
      <w:szCs w:val="20"/>
      <w:lang w:eastAsia="ja-JP"/>
    </w:rPr>
  </w:style>
  <w:style w:type="character" w:customStyle="1" w:styleId="140">
    <w:name w:val="EFABodyText_SE2 Char"/>
    <w:basedOn w:val="14"/>
    <w:link w:val="138"/>
    <w:qFormat/>
    <w:uiPriority w:val="0"/>
    <w:rPr>
      <w:rFonts w:eastAsia="Times New Roman" w:cs="PMingLiU"/>
      <w:snapToGrid/>
      <w:sz w:val="20"/>
      <w:szCs w:val="20"/>
      <w:lang w:eastAsia="ja-JP"/>
    </w:rPr>
  </w:style>
  <w:style w:type="character" w:customStyle="1" w:styleId="141">
    <w:name w:val="EFADisclaimerText Char"/>
    <w:basedOn w:val="14"/>
    <w:link w:val="26"/>
    <w:qFormat/>
    <w:locked/>
    <w:uiPriority w:val="99"/>
    <w:rPr>
      <w:lang w:eastAsia="ja-JP"/>
    </w:rPr>
  </w:style>
  <w:style w:type="paragraph" w:customStyle="1" w:styleId="142">
    <w:name w:val="EFAPageHeader(CN)"/>
    <w:qFormat/>
    <w:uiPriority w:val="0"/>
    <w:pPr>
      <w:tabs>
        <w:tab w:val="right" w:pos="10692"/>
      </w:tabs>
      <w:spacing w:before="40" w:after="40"/>
    </w:pPr>
    <w:rPr>
      <w:rFonts w:ascii="Calibri" w:hAnsi="Calibri" w:eastAsia="宋体" w:cs="Times New Roman"/>
      <w:snapToGrid w:val="0"/>
      <w:color w:val="005BAC"/>
      <w:sz w:val="24"/>
      <w:szCs w:val="16"/>
      <w:lang w:val="en-US" w:eastAsia="zh-CN" w:bidi="ar-SA"/>
    </w:rPr>
  </w:style>
  <w:style w:type="paragraph" w:customStyle="1" w:styleId="143">
    <w:name w:val="EFAFPFooter"/>
    <w:basedOn w:val="22"/>
    <w:qFormat/>
    <w:uiPriority w:val="0"/>
    <w:pPr>
      <w:tabs>
        <w:tab w:val="right" w:pos="10679"/>
      </w:tabs>
      <w:autoSpaceDE w:val="0"/>
      <w:autoSpaceDN w:val="0"/>
      <w:jc w:val="both"/>
    </w:pPr>
    <w:rPr>
      <w:rFonts w:eastAsia="宋体" w:cs="Arial"/>
      <w:b/>
    </w:rPr>
  </w:style>
  <w:style w:type="paragraph" w:customStyle="1" w:styleId="144">
    <w:name w:val="HTI正文图表头"/>
    <w:basedOn w:val="1"/>
    <w:qFormat/>
    <w:uiPriority w:val="0"/>
    <w:pPr>
      <w:keepNext/>
      <w:widowControl w:val="0"/>
      <w:overflowPunct w:val="0"/>
      <w:jc w:val="both"/>
    </w:pPr>
    <w:rPr>
      <w:rFonts w:eastAsia="楷体_GB2312" w:cs="Arial"/>
      <w:b/>
      <w:bCs/>
      <w:snapToGrid/>
      <w:color w:val="000000"/>
      <w:sz w:val="18"/>
      <w:szCs w:val="18"/>
      <w:lang w:eastAsia="zh-CN"/>
    </w:rPr>
  </w:style>
  <w:style w:type="paragraph" w:customStyle="1" w:styleId="145">
    <w:name w:val="HTI正文图"/>
    <w:basedOn w:val="1"/>
    <w:qFormat/>
    <w:uiPriority w:val="0"/>
    <w:pPr>
      <w:overflowPunct w:val="0"/>
      <w:spacing w:before="48" w:beforeLines="20" w:after="48" w:afterLines="20"/>
      <w:jc w:val="center"/>
    </w:pPr>
    <w:rPr>
      <w:rFonts w:ascii="Arial" w:hAnsi="Arial" w:eastAsia="楷体_GB2312" w:cs="Arial"/>
      <w:sz w:val="20"/>
      <w:szCs w:val="20"/>
      <w:lang w:eastAsia="zh-CN"/>
    </w:rPr>
  </w:style>
  <w:style w:type="paragraph" w:customStyle="1" w:styleId="146">
    <w:name w:val="HTI正文资料来源"/>
    <w:basedOn w:val="1"/>
    <w:qFormat/>
    <w:uiPriority w:val="0"/>
    <w:pPr>
      <w:tabs>
        <w:tab w:val="left" w:pos="3819"/>
      </w:tabs>
      <w:overflowPunct w:val="0"/>
      <w:spacing w:after="100" w:afterLines="100"/>
      <w:jc w:val="both"/>
    </w:pPr>
    <w:rPr>
      <w:rFonts w:eastAsia="楷体_GB2312" w:cs="Calibri"/>
      <w:bCs/>
      <w:color w:val="000000"/>
      <w:sz w:val="15"/>
      <w:szCs w:val="15"/>
      <w:lang w:eastAsia="zh-CN"/>
    </w:rPr>
  </w:style>
  <w:style w:type="table" w:customStyle="1" w:styleId="147">
    <w:name w:val="Common"/>
    <w:basedOn w:val="13"/>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 w:type="paragraph" w:customStyle="1" w:styleId="148">
    <w:name w:val="TOC 标题1"/>
    <w:basedOn w:val="2"/>
    <w:next w:val="1"/>
    <w:unhideWhenUsed/>
    <w:qFormat/>
    <w:uiPriority w:val="39"/>
    <w:pPr>
      <w:spacing w:after="0" w:line="259" w:lineRule="auto"/>
      <w:outlineLvl w:val="9"/>
    </w:pPr>
    <w:rPr>
      <w:snapToGrid/>
      <w:sz w:val="32"/>
    </w:rPr>
  </w:style>
  <w:style w:type="paragraph" w:customStyle="1" w:styleId="149">
    <w:name w:val="样式 标题 2 + 段前: 1 行 段后: 1 行"/>
    <w:basedOn w:val="3"/>
    <w:qFormat/>
    <w:uiPriority w:val="0"/>
    <w:pPr>
      <w:keepLines w:val="0"/>
      <w:spacing w:before="240" w:after="240"/>
    </w:pPr>
    <w:rPr>
      <w:rFonts w:ascii="宋体" w:hAnsi="宋体" w:eastAsia="宋体" w:cs="宋体"/>
      <w:snapToGrid/>
      <w:color w:val="auto"/>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5" Type="http://schemas.openxmlformats.org/officeDocument/2006/relationships/fontTable" Target="fontTable.xml"/><Relationship Id="rId64" Type="http://schemas.openxmlformats.org/officeDocument/2006/relationships/customXml" Target="../customXml/item2.xml"/><Relationship Id="rId63" Type="http://schemas.openxmlformats.org/officeDocument/2006/relationships/numbering" Target="numbering.xml"/><Relationship Id="rId62" Type="http://schemas.openxmlformats.org/officeDocument/2006/relationships/customXml" Target="../customXml/item1.xml"/><Relationship Id="rId61" Type="http://schemas.openxmlformats.org/officeDocument/2006/relationships/image" Target="media/image17.png"/><Relationship Id="rId60" Type="http://schemas.openxmlformats.org/officeDocument/2006/relationships/image" Target="media/image16.emf"/><Relationship Id="rId6" Type="http://schemas.openxmlformats.org/officeDocument/2006/relationships/footer" Target="footer1.xml"/><Relationship Id="rId59" Type="http://schemas.openxmlformats.org/officeDocument/2006/relationships/image" Target="media/image15.emf"/><Relationship Id="rId58" Type="http://schemas.openxmlformats.org/officeDocument/2006/relationships/image" Target="media/image14.emf"/><Relationship Id="rId57" Type="http://schemas.openxmlformats.org/officeDocument/2006/relationships/image" Target="media/image13.emf"/><Relationship Id="rId56" Type="http://schemas.openxmlformats.org/officeDocument/2006/relationships/image" Target="media/image12.emf"/><Relationship Id="rId55" Type="http://schemas.microsoft.com/office/2007/relationships/diagramDrawing" Target="diagrams/drawing1.xml"/><Relationship Id="rId54" Type="http://schemas.openxmlformats.org/officeDocument/2006/relationships/diagramColors" Target="diagrams/colors1.xml"/><Relationship Id="rId53" Type="http://schemas.openxmlformats.org/officeDocument/2006/relationships/diagramQuickStyle" Target="diagrams/quickStyle1.xml"/><Relationship Id="rId52" Type="http://schemas.openxmlformats.org/officeDocument/2006/relationships/diagramLayout" Target="diagrams/layout1.xml"/><Relationship Id="rId51" Type="http://schemas.openxmlformats.org/officeDocument/2006/relationships/diagramData" Target="diagrams/data1.xml"/><Relationship Id="rId50" Type="http://schemas.openxmlformats.org/officeDocument/2006/relationships/image" Target="media/image11.emf"/><Relationship Id="rId5" Type="http://schemas.openxmlformats.org/officeDocument/2006/relationships/header" Target="header3.xml"/><Relationship Id="rId49" Type="http://schemas.openxmlformats.org/officeDocument/2006/relationships/chart" Target="charts/chart26.xml"/><Relationship Id="rId48" Type="http://schemas.openxmlformats.org/officeDocument/2006/relationships/chart" Target="charts/chart25.xml"/><Relationship Id="rId47" Type="http://schemas.openxmlformats.org/officeDocument/2006/relationships/chart" Target="charts/chart24.xml"/><Relationship Id="rId46" Type="http://schemas.openxmlformats.org/officeDocument/2006/relationships/chart" Target="charts/chart23.xml"/><Relationship Id="rId45" Type="http://schemas.openxmlformats.org/officeDocument/2006/relationships/chart" Target="charts/chart22.xml"/><Relationship Id="rId44" Type="http://schemas.openxmlformats.org/officeDocument/2006/relationships/chart" Target="charts/chart21.xml"/><Relationship Id="rId43" Type="http://schemas.openxmlformats.org/officeDocument/2006/relationships/chart" Target="charts/chart20.xml"/><Relationship Id="rId42" Type="http://schemas.openxmlformats.org/officeDocument/2006/relationships/image" Target="media/image10.png"/><Relationship Id="rId41" Type="http://schemas.openxmlformats.org/officeDocument/2006/relationships/image" Target="media/image9.png"/><Relationship Id="rId40" Type="http://schemas.openxmlformats.org/officeDocument/2006/relationships/chart" Target="charts/chart19.xml"/><Relationship Id="rId4" Type="http://schemas.openxmlformats.org/officeDocument/2006/relationships/header" Target="header2.xml"/><Relationship Id="rId39" Type="http://schemas.openxmlformats.org/officeDocument/2006/relationships/chart" Target="charts/chart18.xml"/><Relationship Id="rId38" Type="http://schemas.openxmlformats.org/officeDocument/2006/relationships/chart" Target="charts/chart17.xml"/><Relationship Id="rId37" Type="http://schemas.openxmlformats.org/officeDocument/2006/relationships/chart" Target="charts/chart16.xml"/><Relationship Id="rId36" Type="http://schemas.openxmlformats.org/officeDocument/2006/relationships/chart" Target="charts/chart15.xml"/><Relationship Id="rId35" Type="http://schemas.openxmlformats.org/officeDocument/2006/relationships/chart" Target="charts/chart14.xml"/><Relationship Id="rId34" Type="http://schemas.openxmlformats.org/officeDocument/2006/relationships/chart" Target="charts/chart13.xml"/><Relationship Id="rId33" Type="http://schemas.openxmlformats.org/officeDocument/2006/relationships/chart" Target="charts/chart12.xml"/><Relationship Id="rId32" Type="http://schemas.openxmlformats.org/officeDocument/2006/relationships/chart" Target="charts/chart11.xml"/><Relationship Id="rId31" Type="http://schemas.openxmlformats.org/officeDocument/2006/relationships/chart" Target="charts/chart10.xml"/><Relationship Id="rId30" Type="http://schemas.openxmlformats.org/officeDocument/2006/relationships/chart" Target="charts/chart9.xml"/><Relationship Id="rId3" Type="http://schemas.openxmlformats.org/officeDocument/2006/relationships/header" Target="header1.xml"/><Relationship Id="rId29" Type="http://schemas.openxmlformats.org/officeDocument/2006/relationships/chart" Target="charts/chart8.xml"/><Relationship Id="rId28" Type="http://schemas.openxmlformats.org/officeDocument/2006/relationships/chart" Target="charts/chart7.xml"/><Relationship Id="rId27" Type="http://schemas.openxmlformats.org/officeDocument/2006/relationships/chart" Target="charts/chart6.xml"/><Relationship Id="rId26" Type="http://schemas.openxmlformats.org/officeDocument/2006/relationships/chart" Target="charts/chart5.xml"/><Relationship Id="rId25" Type="http://schemas.openxmlformats.org/officeDocument/2006/relationships/chart" Target="charts/chart4.xml"/><Relationship Id="rId24" Type="http://schemas.openxmlformats.org/officeDocument/2006/relationships/chart" Target="charts/chart3.xml"/><Relationship Id="rId23" Type="http://schemas.openxmlformats.org/officeDocument/2006/relationships/chart" Target="charts/chart2.xml"/><Relationship Id="rId22" Type="http://schemas.openxmlformats.org/officeDocument/2006/relationships/chart" Target="charts/chart1.xml"/><Relationship Id="rId21" Type="http://schemas.openxmlformats.org/officeDocument/2006/relationships/image" Target="media/image8.emf"/><Relationship Id="rId20" Type="http://schemas.openxmlformats.org/officeDocument/2006/relationships/image" Target="media/image7.emf"/><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iTong-Amber%20Zhou\AppData\Roaming\EFA\The%20Scoop%20-%20HTI.dotx" TargetMode="External"/></Relationships>
</file>

<file path=word/charts/_rels/chart1.xml.rels><?xml version="1.0" encoding="UTF-8" standalone="yes"?>
<Relationships xmlns="http://schemas.openxmlformats.org/package/2006/relationships"><Relationship Id="rId3" Type="http://schemas.microsoft.com/office/2011/relationships/chartColorStyle" Target="colors16.xml"/><Relationship Id="rId2" Type="http://schemas.microsoft.com/office/2011/relationships/chartStyle" Target="style16.xml"/><Relationship Id="rId1" Type="http://schemas.openxmlformats.org/officeDocument/2006/relationships/oleObject" Target="https://cuhko365-my.sharepoint.com/personal/225020130_link_cuhk_edu_cn/Documents/&#26700;&#38754;/&#21326;&#31119;/&#27431;&#33713;&#38597;P1&#33521;.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13.xml"/><Relationship Id="rId2" Type="http://schemas.microsoft.com/office/2011/relationships/chartStyle" Target="style13.xml"/><Relationship Id="rId1" Type="http://schemas.openxmlformats.org/officeDocument/2006/relationships/oleObject" Target="https://cuhko365-my.sharepoint.com/personal/225020130_link_cuhk_edu_cn/Documents/&#26700;&#38754;/&#21326;&#31119;/&#27431;&#33713;&#38597;P1&#33521;.xlsx" TargetMode="External"/></Relationships>
</file>

<file path=word/charts/_rels/chart3.xml.rels><?xml version="1.0" encoding="UTF-8" standalone="yes"?>
<Relationships xmlns="http://schemas.openxmlformats.org/package/2006/relationships"><Relationship Id="rId4" Type="http://schemas.microsoft.com/office/2011/relationships/chartColorStyle" Target="colors7.xml"/><Relationship Id="rId3" Type="http://schemas.microsoft.com/office/2011/relationships/chartStyle" Target="style7.xml"/><Relationship Id="rId2" Type="http://schemas.openxmlformats.org/officeDocument/2006/relationships/themeOverride" Target="../theme/themeOverride4.xml"/><Relationship Id="rId1" Type="http://schemas.openxmlformats.org/officeDocument/2006/relationships/oleObject" Target="https://cuhko365-my.sharepoint.com/personal/225020130_link_cuhk_edu_cn/Documents/&#26700;&#38754;/&#21326;&#31119;/&#27431;&#33713;&#38597;P1&#33521;.xlsx" TargetMode="External"/></Relationships>
</file>

<file path=word/charts/_rels/chart4.xml.rels><?xml version="1.0" encoding="UTF-8" standalone="yes"?>
<Relationships xmlns="http://schemas.openxmlformats.org/package/2006/relationships"><Relationship Id="rId4" Type="http://schemas.microsoft.com/office/2011/relationships/chartColorStyle" Target="colors15.xml"/><Relationship Id="rId3" Type="http://schemas.microsoft.com/office/2011/relationships/chartStyle" Target="style15.xml"/><Relationship Id="rId2" Type="http://schemas.openxmlformats.org/officeDocument/2006/relationships/themeOverride" Target="../theme/themeOverride7.xml"/><Relationship Id="rId1" Type="http://schemas.openxmlformats.org/officeDocument/2006/relationships/oleObject" Target="https://cuhko365-my.sharepoint.com/personal/225020130_link_cuhk_edu_cn/Documents/&#26700;&#38754;/&#21326;&#31119;/&#27431;&#33713;&#38597;P1&#33521;.xlsx" TargetMode="External"/></Relationships>
</file>

<file path=word/charts/_rels/chart5.xml.rels><?xml version="1.0" encoding="UTF-8" standalone="yes"?>
<Relationships xmlns="http://schemas.openxmlformats.org/package/2006/relationships"><Relationship Id="rId4" Type="http://schemas.microsoft.com/office/2011/relationships/chartColorStyle" Target="colors20.xml"/><Relationship Id="rId3" Type="http://schemas.microsoft.com/office/2011/relationships/chartStyle" Target="style20.xml"/><Relationship Id="rId2" Type="http://schemas.openxmlformats.org/officeDocument/2006/relationships/themeOverride" Target="../theme/themeOverride10.xml"/><Relationship Id="rId1" Type="http://schemas.openxmlformats.org/officeDocument/2006/relationships/oleObject" Target="https://cuhko365-my.sharepoint.com/personal/225020130_link_cuhk_edu_cn/Documents/&#26700;&#38754;/&#21326;&#31119;/&#27431;&#33713;&#38597;P1&#33521;.xlsx"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22.xml"/><Relationship Id="rId2" Type="http://schemas.microsoft.com/office/2011/relationships/chartStyle" Target="style22.xml"/><Relationship Id="rId1" Type="http://schemas.openxmlformats.org/officeDocument/2006/relationships/oleObject" Target="https://cuhko365-my.sharepoint.com/personal/225020130_link_cuhk_edu_cn/Documents/&#26700;&#38754;/&#21326;&#31119;/&#27431;&#33713;&#38597;P1&#33521;.xlsx" TargetMode="External"/></Relationships>
</file>

<file path=word/charts/_rels/chart7.xml.rels><?xml version="1.0" encoding="UTF-8" standalone="yes"?>
<Relationships xmlns="http://schemas.openxmlformats.org/package/2006/relationships"><Relationship Id="rId4" Type="http://schemas.microsoft.com/office/2011/relationships/chartColorStyle" Target="colors3.xml"/><Relationship Id="rId3" Type="http://schemas.microsoft.com/office/2011/relationships/chartStyle" Target="style3.xml"/><Relationship Id="rId2" Type="http://schemas.openxmlformats.org/officeDocument/2006/relationships/themeOverride" Target="../theme/themeOverride2.xml"/><Relationship Id="rId1" Type="http://schemas.openxmlformats.org/officeDocument/2006/relationships/oleObject" Target="https://cuhko365-my.sharepoint.com/personal/225020130_link_cuhk_edu_cn/Documents/&#26700;&#38754;/&#21326;&#31119;/&#27431;&#33713;&#38597;P1&#33521;.xlsx" TargetMode="External"/></Relationships>
</file>

<file path=word/charts/_rels/chart8.xml.rels><?xml version="1.0" encoding="UTF-8" standalone="yes"?>
<Relationships xmlns="http://schemas.openxmlformats.org/package/2006/relationships"><Relationship Id="rId4" Type="http://schemas.microsoft.com/office/2011/relationships/chartColorStyle" Target="colors10.xml"/><Relationship Id="rId3" Type="http://schemas.microsoft.com/office/2011/relationships/chartStyle" Target="style10.xml"/><Relationship Id="rId2" Type="http://schemas.openxmlformats.org/officeDocument/2006/relationships/themeOverride" Target="../theme/themeOverride5.xml"/><Relationship Id="rId1" Type="http://schemas.openxmlformats.org/officeDocument/2006/relationships/oleObject" Target="https://cuhko365-my.sharepoint.com/personal/225020130_link_cuhk_edu_cn/Documents/&#26700;&#38754;/&#21326;&#31119;/&#27431;&#33713;&#38597;P1&#33521;.xlsx" TargetMode="External"/></Relationships>
</file>

<file path=word/charts/_rels/chart9.xml.rels><?xml version="1.0" encoding="UTF-8" standalone="yes"?>
<Relationships xmlns="http://schemas.openxmlformats.org/package/2006/relationships"><Relationship Id="rId4" Type="http://schemas.microsoft.com/office/2011/relationships/chartColorStyle" Target="colors14.xml"/><Relationship Id="rId3" Type="http://schemas.microsoft.com/office/2011/relationships/chartStyle" Target="style14.xml"/><Relationship Id="rId2" Type="http://schemas.openxmlformats.org/officeDocument/2006/relationships/themeOverride" Target="../theme/themeOverride6.xml"/><Relationship Id="rId1" Type="http://schemas.openxmlformats.org/officeDocument/2006/relationships/oleObject" Target="https://cuhko365-my.sharepoint.com/personal/225020130_link_cuhk_edu_cn/Documents/&#26700;&#38754;/&#21326;&#31119;/&#27431;&#33713;&#38597;P1&#33521;.xlsx" TargetMode="External"/></Relationships>
</file>

<file path=word/charts/_rels/chart10.xml.rels><?xml version="1.0" encoding="UTF-8" standalone="yes"?>
<Relationships xmlns="http://schemas.openxmlformats.org/package/2006/relationships"><Relationship Id="rId4" Type="http://schemas.microsoft.com/office/2011/relationships/chartColorStyle" Target="colors19.xml"/><Relationship Id="rId3" Type="http://schemas.microsoft.com/office/2011/relationships/chartStyle" Target="style19.xml"/><Relationship Id="rId2" Type="http://schemas.openxmlformats.org/officeDocument/2006/relationships/themeOverride" Target="../theme/themeOverride9.xml"/><Relationship Id="rId1" Type="http://schemas.openxmlformats.org/officeDocument/2006/relationships/oleObject" Target="https://cuhko365-my.sharepoint.com/personal/225020130_link_cuhk_edu_cn/Documents/&#26700;&#38754;/&#21326;&#31119;/&#27431;&#33713;&#38597;P1&#33521;.xlsx" TargetMode="External"/></Relationships>
</file>

<file path=word/charts/_rels/chart11.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Users\miaoyuyang\Downloads\111&#24037;&#20316;&#31807;2.xlsx" TargetMode="External"/></Relationships>
</file>

<file path=word/charts/_rels/chart12.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oleObject" Target="file:///\\Users\miaoyuyang\Downloads\111&#24037;&#20316;&#31807;2.xlsx" TargetMode="External"/></Relationships>
</file>

<file path=word/charts/_rels/chart13.xml.rels><?xml version="1.0" encoding="UTF-8" standalone="yes"?>
<Relationships xmlns="http://schemas.openxmlformats.org/package/2006/relationships"><Relationship Id="rId3" Type="http://schemas.microsoft.com/office/2011/relationships/chartColorStyle" Target="colors9.xml"/><Relationship Id="rId2" Type="http://schemas.microsoft.com/office/2011/relationships/chartStyle" Target="style9.xml"/><Relationship Id="rId1" Type="http://schemas.openxmlformats.org/officeDocument/2006/relationships/oleObject" Target="file:///\\Users\miaoyuyang\Downloads\111&#24037;&#20316;&#31807;2.xlsx" TargetMode="External"/></Relationships>
</file>

<file path=word/charts/_rels/chart14.xml.rels><?xml version="1.0" encoding="UTF-8" standalone="yes"?>
<Relationships xmlns="http://schemas.openxmlformats.org/package/2006/relationships"><Relationship Id="rId3" Type="http://schemas.microsoft.com/office/2011/relationships/chartColorStyle" Target="colors11.xml"/><Relationship Id="rId2" Type="http://schemas.microsoft.com/office/2011/relationships/chartStyle" Target="style11.xml"/><Relationship Id="rId1" Type="http://schemas.openxmlformats.org/officeDocument/2006/relationships/oleObject" Target="file:///\\Users\miaoyuyang\Downloads\111&#24037;&#20316;&#31807;2.xlsx" TargetMode="External"/></Relationships>
</file>

<file path=word/charts/_rels/chart15.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file:///\\Users\miaoyuyang\Downloads\&#27431;&#33713;&#38597;&#24213;&#31295;2.xlsx" TargetMode="External"/></Relationships>
</file>

<file path=word/charts/_rels/chart16.xml.rels><?xml version="1.0" encoding="UTF-8" standalone="yes"?>
<Relationships xmlns="http://schemas.openxmlformats.org/package/2006/relationships"><Relationship Id="rId3" Type="http://schemas.microsoft.com/office/2011/relationships/chartColorStyle" Target="colors12.xml"/><Relationship Id="rId2" Type="http://schemas.microsoft.com/office/2011/relationships/chartStyle" Target="style12.xml"/><Relationship Id="rId1" Type="http://schemas.openxmlformats.org/officeDocument/2006/relationships/oleObject" Target="file:///\\Users\miaoyuyang\Downloads\111&#24037;&#20316;&#31807;2.xlsx" TargetMode="External"/></Relationships>
</file>

<file path=word/charts/_rels/chart17.xml.rels><?xml version="1.0" encoding="UTF-8" standalone="yes"?>
<Relationships xmlns="http://schemas.openxmlformats.org/package/2006/relationships"><Relationship Id="rId3" Type="http://schemas.microsoft.com/office/2011/relationships/chartColorStyle" Target="colors17.xml"/><Relationship Id="rId2" Type="http://schemas.microsoft.com/office/2011/relationships/chartStyle" Target="style17.xml"/><Relationship Id="rId1" Type="http://schemas.openxmlformats.org/officeDocument/2006/relationships/oleObject" Target="file:///\\Users\miaoyuyang\Downloads\&#27431;&#33713;&#38597;&#24213;&#31295;2.xlsx" TargetMode="External"/></Relationships>
</file>

<file path=word/charts/_rels/chart18.xml.rels><?xml version="1.0" encoding="UTF-8" standalone="yes"?>
<Relationships xmlns="http://schemas.openxmlformats.org/package/2006/relationships"><Relationship Id="rId4" Type="http://schemas.microsoft.com/office/2011/relationships/chartColorStyle" Target="colors18.xml"/><Relationship Id="rId3" Type="http://schemas.microsoft.com/office/2011/relationships/chartStyle" Target="style18.xml"/><Relationship Id="rId2" Type="http://schemas.openxmlformats.org/officeDocument/2006/relationships/themeOverride" Target="../theme/themeOverride8.xml"/><Relationship Id="rId1" Type="http://schemas.openxmlformats.org/officeDocument/2006/relationships/oleObject" Target="https://cuhko365-my.sharepoint.com/personal/225020130_link_cuhk_edu_cn/Documents/&#26700;&#38754;/&#21326;&#31119;/&#27431;&#33713;&#38597;P3&#33521;.xlsx" TargetMode="External"/></Relationships>
</file>

<file path=word/charts/_rels/chart19.xml.rels><?xml version="1.0" encoding="UTF-8" standalone="yes"?>
<Relationships xmlns="http://schemas.openxmlformats.org/package/2006/relationships"><Relationship Id="rId4" Type="http://schemas.microsoft.com/office/2011/relationships/chartColorStyle" Target="colors21.xml"/><Relationship Id="rId3" Type="http://schemas.microsoft.com/office/2011/relationships/chartStyle" Target="style21.xml"/><Relationship Id="rId2" Type="http://schemas.openxmlformats.org/officeDocument/2006/relationships/themeOverride" Target="../theme/themeOverride11.xml"/><Relationship Id="rId1" Type="http://schemas.openxmlformats.org/officeDocument/2006/relationships/oleObject" Target="https://cuhko365-my.sharepoint.com/personal/225020130_link_cuhk_edu_cn/Documents/&#26700;&#38754;/&#21326;&#31119;/&#27431;&#33713;&#38597;P3&#33521;.xlsx" TargetMode="External"/></Relationships>
</file>

<file path=word/charts/_rels/chart20.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https://cuhko365-my.sharepoint.com/personal/225020130_link_cuhk_edu_cn/Documents/&#26700;&#38754;/&#21326;&#31119;/&#27431;&#33713;&#38597;P3&#33521;.xlsx" TargetMode="External"/></Relationships>
</file>

<file path=word/charts/_rels/chart21.xml.rels><?xml version="1.0" encoding="UTF-8" standalone="yes"?>
<Relationships xmlns="http://schemas.openxmlformats.org/package/2006/relationships"><Relationship Id="rId4" Type="http://schemas.microsoft.com/office/2011/relationships/chartColorStyle" Target="colors2.xml"/><Relationship Id="rId3" Type="http://schemas.microsoft.com/office/2011/relationships/chartStyle" Target="style2.xml"/><Relationship Id="rId2" Type="http://schemas.openxmlformats.org/officeDocument/2006/relationships/themeOverride" Target="../theme/themeOverride1.xml"/><Relationship Id="rId1" Type="http://schemas.openxmlformats.org/officeDocument/2006/relationships/oleObject" Target="https://cuhko365-my.sharepoint.com/personal/225020130_link_cuhk_edu_cn/Documents/&#26700;&#38754;/&#21326;&#31119;/&#27431;&#33713;&#38597;P3.xlsx" TargetMode="External"/></Relationships>
</file>

<file path=word/charts/_rels/chart22.xml.rels><?xml version="1.0" encoding="UTF-8" standalone="yes"?>
<Relationships xmlns="http://schemas.openxmlformats.org/package/2006/relationships"><Relationship Id="rId4" Type="http://schemas.microsoft.com/office/2011/relationships/chartColorStyle" Target="colors4.xml"/><Relationship Id="rId3" Type="http://schemas.microsoft.com/office/2011/relationships/chartStyle" Target="style4.xml"/><Relationship Id="rId2" Type="http://schemas.openxmlformats.org/officeDocument/2006/relationships/themeOverride" Target="../theme/themeOverride3.xml"/><Relationship Id="rId1" Type="http://schemas.openxmlformats.org/officeDocument/2006/relationships/oleObject" Target="https://cuhko365-my.sharepoint.com/personal/225020130_link_cuhk_edu_cn/Documents/&#26700;&#38754;/&#21326;&#31119;/&#27431;&#33713;&#38597;P3.xlsx" TargetMode="External"/></Relationships>
</file>

<file path=word/charts/_rels/chart23.xml.rels><?xml version="1.0" encoding="UTF-8" standalone="yes"?>
<Relationships xmlns="http://schemas.openxmlformats.org/package/2006/relationships"><Relationship Id="rId4" Type="http://schemas.microsoft.com/office/2011/relationships/chartColorStyle" Target="colors23.xml"/><Relationship Id="rId3" Type="http://schemas.microsoft.com/office/2011/relationships/chartStyle" Target="style23.xml"/><Relationship Id="rId2" Type="http://schemas.openxmlformats.org/officeDocument/2006/relationships/themeOverride" Target="../theme/themeOverride12.xml"/><Relationship Id="rId1" Type="http://schemas.openxmlformats.org/officeDocument/2006/relationships/oleObject" Target="https://cuhko365-my.sharepoint.com/personal/225020130_link_cuhk_edu_cn/Documents/&#26700;&#38754;/&#21326;&#31119;/&#27431;&#33713;&#38597;P3.xlsx" TargetMode="External"/></Relationships>
</file>

<file path=word/charts/_rels/chart24.xml.rels><?xml version="1.0" encoding="UTF-8" standalone="yes"?>
<Relationships xmlns="http://schemas.openxmlformats.org/package/2006/relationships"><Relationship Id="rId4" Type="http://schemas.microsoft.com/office/2011/relationships/chartColorStyle" Target="colors24.xml"/><Relationship Id="rId3" Type="http://schemas.microsoft.com/office/2011/relationships/chartStyle" Target="style24.xml"/><Relationship Id="rId2" Type="http://schemas.openxmlformats.org/officeDocument/2006/relationships/themeOverride" Target="../theme/themeOverride13.xml"/><Relationship Id="rId1" Type="http://schemas.openxmlformats.org/officeDocument/2006/relationships/oleObject" Target="https://cuhko365-my.sharepoint.com/personal/225020130_link_cuhk_edu_cn/Documents/&#26700;&#38754;/&#21326;&#31119;/&#27431;&#33713;&#38597;P3.xlsx" TargetMode="External"/></Relationships>
</file>

<file path=word/charts/_rels/chart25.xml.rels><?xml version="1.0" encoding="UTF-8" standalone="yes"?>
<Relationships xmlns="http://schemas.openxmlformats.org/package/2006/relationships"><Relationship Id="rId4" Type="http://schemas.microsoft.com/office/2011/relationships/chartColorStyle" Target="colors26.xml"/><Relationship Id="rId3" Type="http://schemas.microsoft.com/office/2011/relationships/chartStyle" Target="style26.xml"/><Relationship Id="rId2" Type="http://schemas.openxmlformats.org/officeDocument/2006/relationships/themeOverride" Target="../theme/themeOverride14.xml"/><Relationship Id="rId1" Type="http://schemas.openxmlformats.org/officeDocument/2006/relationships/oleObject" Target="file:///C:\Users\zheng\Desktop\&#27431;&#33713;&#38597;part4&#24213;&#31295;.xlsx" TargetMode="External"/></Relationships>
</file>

<file path=word/charts/_rels/chart26.xml.rels><?xml version="1.0" encoding="UTF-8" standalone="yes"?>
<Relationships xmlns="http://schemas.openxmlformats.org/package/2006/relationships"><Relationship Id="rId3" Type="http://schemas.microsoft.com/office/2011/relationships/chartColorStyle" Target="colors25.xml"/><Relationship Id="rId2" Type="http://schemas.microsoft.com/office/2011/relationships/chartStyle" Target="style25.xml"/><Relationship Id="rId1" Type="http://schemas.openxmlformats.org/officeDocument/2006/relationships/oleObject" Target="file:///\\Users\shelly\Desktop\&#27431;&#33713;&#38597;part4&#24213;&#3129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营收!$D$5</c:f>
              <c:strCache>
                <c:ptCount val="1"/>
                <c:pt idx="0">
                  <c:v>Sales Revenue</c:v>
                </c:pt>
              </c:strCache>
            </c:strRef>
          </c:tx>
          <c:spPr>
            <a:solidFill>
              <a:srgbClr val="002060"/>
            </a:solidFill>
            <a:ln>
              <a:noFill/>
            </a:ln>
            <a:effectLst/>
          </c:spPr>
          <c:invertIfNegative val="0"/>
          <c:dLbls>
            <c:delete val="1"/>
          </c:dLbls>
          <c:cat>
            <c:numRef>
              <c:f>营收!$C$6:$C$11</c:f>
              <c:numCache>
                <c:formatCode>General</c:formatCode>
                <c:ptCount val="6"/>
                <c:pt idx="0">
                  <c:v>2020</c:v>
                </c:pt>
                <c:pt idx="1">
                  <c:v>2021</c:v>
                </c:pt>
                <c:pt idx="2">
                  <c:v>2022</c:v>
                </c:pt>
                <c:pt idx="3">
                  <c:v>2023</c:v>
                </c:pt>
                <c:pt idx="4">
                  <c:v>2024</c:v>
                </c:pt>
                <c:pt idx="5">
                  <c:v>2025</c:v>
                </c:pt>
              </c:numCache>
            </c:numRef>
          </c:cat>
          <c:val>
            <c:numRef>
              <c:f>营收!$D$6:$D$11</c:f>
              <c:numCache>
                <c:formatCode>General</c:formatCode>
                <c:ptCount val="6"/>
                <c:pt idx="0">
                  <c:v>279.92</c:v>
                </c:pt>
                <c:pt idx="1">
                  <c:v>322.88</c:v>
                </c:pt>
                <c:pt idx="2">
                  <c:v>382.61</c:v>
                </c:pt>
                <c:pt idx="3">
                  <c:v>411.83</c:v>
                </c:pt>
                <c:pt idx="4">
                  <c:v>434.87</c:v>
                </c:pt>
                <c:pt idx="5">
                  <c:v>440.52</c:v>
                </c:pt>
              </c:numCache>
            </c:numRef>
          </c:val>
        </c:ser>
        <c:dLbls>
          <c:showLegendKey val="0"/>
          <c:showVal val="0"/>
          <c:showCatName val="0"/>
          <c:showSerName val="0"/>
          <c:showPercent val="0"/>
          <c:showBubbleSize val="0"/>
        </c:dLbls>
        <c:gapWidth val="219"/>
        <c:overlap val="-27"/>
        <c:axId val="1783740784"/>
        <c:axId val="1783720624"/>
      </c:barChart>
      <c:lineChart>
        <c:grouping val="standard"/>
        <c:varyColors val="0"/>
        <c:ser>
          <c:idx val="1"/>
          <c:order val="1"/>
          <c:tx>
            <c:strRef>
              <c:f>营收!$E$5</c:f>
              <c:strCache>
                <c:ptCount val="1"/>
                <c:pt idx="0">
                  <c:v>YoY</c:v>
                </c:pt>
              </c:strCache>
            </c:strRef>
          </c:tx>
          <c:spPr>
            <a:ln w="28575" cap="rnd">
              <a:solidFill>
                <a:schemeClr val="bg1">
                  <a:lumMod val="85000"/>
                </a:schemeClr>
              </a:solidFill>
              <a:round/>
            </a:ln>
            <a:effectLst/>
          </c:spPr>
          <c:marker>
            <c:symbol val="none"/>
          </c:marker>
          <c:dLbls>
            <c:delete val="1"/>
          </c:dLbls>
          <c:cat>
            <c:numRef>
              <c:f>营收!$C$6:$C$11</c:f>
              <c:numCache>
                <c:formatCode>General</c:formatCode>
                <c:ptCount val="6"/>
                <c:pt idx="0">
                  <c:v>2020</c:v>
                </c:pt>
                <c:pt idx="1">
                  <c:v>2021</c:v>
                </c:pt>
                <c:pt idx="2">
                  <c:v>2022</c:v>
                </c:pt>
                <c:pt idx="3">
                  <c:v>2023</c:v>
                </c:pt>
                <c:pt idx="4">
                  <c:v>2024</c:v>
                </c:pt>
                <c:pt idx="5">
                  <c:v>2025</c:v>
                </c:pt>
              </c:numCache>
            </c:numRef>
          </c:cat>
          <c:val>
            <c:numRef>
              <c:f>营收!$E$6:$E$11</c:f>
              <c:numCache>
                <c:formatCode>0.00%</c:formatCode>
                <c:ptCount val="6"/>
                <c:pt idx="0">
                  <c:v>-0.063</c:v>
                </c:pt>
                <c:pt idx="1">
                  <c:v>0.153</c:v>
                </c:pt>
                <c:pt idx="2">
                  <c:v>0.185</c:v>
                </c:pt>
                <c:pt idx="3">
                  <c:v>0.076</c:v>
                </c:pt>
                <c:pt idx="4">
                  <c:v>0.056</c:v>
                </c:pt>
                <c:pt idx="5">
                  <c:v>0.0129923885299055</c:v>
                </c:pt>
              </c:numCache>
            </c:numRef>
          </c:val>
          <c:smooth val="0"/>
        </c:ser>
        <c:dLbls>
          <c:showLegendKey val="0"/>
          <c:showVal val="0"/>
          <c:showCatName val="0"/>
          <c:showSerName val="0"/>
          <c:showPercent val="0"/>
          <c:showBubbleSize val="0"/>
        </c:dLbls>
        <c:marker val="0"/>
        <c:smooth val="0"/>
        <c:axId val="1783718224"/>
        <c:axId val="1783716784"/>
      </c:lineChart>
      <c:catAx>
        <c:axId val="1783740784"/>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1783720624"/>
        <c:crosses val="autoZero"/>
        <c:auto val="1"/>
        <c:lblAlgn val="ctr"/>
        <c:lblOffset val="100"/>
        <c:noMultiLvlLbl val="0"/>
      </c:catAx>
      <c:valAx>
        <c:axId val="1783720624"/>
        <c:scaling>
          <c:orientation val="minMax"/>
        </c:scaling>
        <c:delete val="0"/>
        <c:axPos val="l"/>
        <c:numFmt formatCode="General"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1783740784"/>
        <c:crosses val="autoZero"/>
        <c:crossBetween val="between"/>
      </c:valAx>
      <c:catAx>
        <c:axId val="1783718224"/>
        <c:scaling>
          <c:orientation val="minMax"/>
        </c:scaling>
        <c:delete val="1"/>
        <c:axPos val="t"/>
        <c:numFmt formatCode="General" sourceLinked="1"/>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1783716784"/>
        <c:crosses val="max"/>
        <c:auto val="1"/>
        <c:lblAlgn val="ctr"/>
        <c:lblOffset val="100"/>
        <c:noMultiLvlLbl val="0"/>
      </c:catAx>
      <c:valAx>
        <c:axId val="1783716784"/>
        <c:scaling>
          <c:orientation val="minMax"/>
        </c:scaling>
        <c:delete val="0"/>
        <c:axPos val="r"/>
        <c:numFmt formatCode="0.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1783718224"/>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legend>
    <c:plotVisOnly val="1"/>
    <c:dispBlanksAs val="gap"/>
    <c:showDLblsOverMax val="0"/>
    <c:extLst>
      <c:ext uri="{0b15fc19-7d7d-44ad-8c2d-2c3a37ce22c3}">
        <chartProps xmlns="https://web.wps.cn/et/2018/main" chartId="{d2f1dfc5-b0b3-4bd6-a1c6-bdf5886655e7}"/>
      </c:ext>
    </c:extLst>
  </c:chart>
  <c:spPr>
    <a:solidFill>
      <a:schemeClr val="bg1"/>
    </a:solidFill>
    <a:ln w="9525" cap="flat" cmpd="sng" algn="ctr">
      <a:noFill/>
      <a:round/>
    </a:ln>
    <a:effectLst/>
  </c:spPr>
  <c:txPr>
    <a:bodyPr/>
    <a:lstStyle/>
    <a:p>
      <a:pPr>
        <a:defRPr lang="zh-CN" baseline="0">
          <a:solidFill>
            <a:schemeClr val="tx1"/>
          </a:solidFill>
          <a:latin typeface="Calibri" panose="020F0502020204030204" pitchFamily="2" charset="0"/>
          <a:ea typeface="楷体" panose="02010609060101010101" pitchFamily="3" charset="-122"/>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营收!$C$34</c:f>
              <c:strCache>
                <c:ptCount val="1"/>
                <c:pt idx="0">
                  <c:v>Professional Products Division</c:v>
                </c:pt>
              </c:strCache>
            </c:strRef>
          </c:tx>
          <c:spPr>
            <a:solidFill>
              <a:schemeClr val="tx2">
                <a:lumMod val="25000"/>
                <a:lumOff val="75000"/>
              </a:schemeClr>
            </a:solidFill>
            <a:ln>
              <a:noFill/>
            </a:ln>
            <a:effectLst/>
          </c:spPr>
          <c:invertIfNegative val="0"/>
          <c:dLbls>
            <c:delete val="1"/>
          </c:dLbls>
          <c:cat>
            <c:numRef>
              <c:f>营收!$D$33:$I$33</c:f>
              <c:numCache>
                <c:formatCode>General</c:formatCode>
                <c:ptCount val="6"/>
                <c:pt idx="0">
                  <c:v>2020</c:v>
                </c:pt>
                <c:pt idx="1">
                  <c:v>2021</c:v>
                </c:pt>
                <c:pt idx="2">
                  <c:v>2022</c:v>
                </c:pt>
                <c:pt idx="3">
                  <c:v>2023</c:v>
                </c:pt>
                <c:pt idx="4">
                  <c:v>2024</c:v>
                </c:pt>
                <c:pt idx="5">
                  <c:v>2025</c:v>
                </c:pt>
              </c:numCache>
            </c:numRef>
          </c:cat>
          <c:val>
            <c:numRef>
              <c:f>营收!$D$34:$I$34</c:f>
              <c:numCache>
                <c:formatCode>0.00_);[Red]\(0.00\)</c:formatCode>
                <c:ptCount val="6"/>
                <c:pt idx="0">
                  <c:v>3097</c:v>
                </c:pt>
                <c:pt idx="1">
                  <c:v>3778</c:v>
                </c:pt>
                <c:pt idx="2">
                  <c:v>4477</c:v>
                </c:pt>
                <c:pt idx="3">
                  <c:v>4654</c:v>
                </c:pt>
                <c:pt idx="4">
                  <c:v>4886</c:v>
                </c:pt>
                <c:pt idx="5">
                  <c:v>5163</c:v>
                </c:pt>
              </c:numCache>
            </c:numRef>
          </c:val>
        </c:ser>
        <c:ser>
          <c:idx val="1"/>
          <c:order val="1"/>
          <c:tx>
            <c:strRef>
              <c:f>营收!$C$36</c:f>
              <c:strCache>
                <c:ptCount val="1"/>
                <c:pt idx="0">
                  <c:v>Consumer Products Division</c:v>
                </c:pt>
              </c:strCache>
            </c:strRef>
          </c:tx>
          <c:spPr>
            <a:solidFill>
              <a:srgbClr val="002060"/>
            </a:solidFill>
            <a:ln>
              <a:noFill/>
            </a:ln>
            <a:effectLst/>
          </c:spPr>
          <c:invertIfNegative val="0"/>
          <c:dLbls>
            <c:delete val="1"/>
          </c:dLbls>
          <c:cat>
            <c:numRef>
              <c:f>营收!$D$33:$I$33</c:f>
              <c:numCache>
                <c:formatCode>General</c:formatCode>
                <c:ptCount val="6"/>
                <c:pt idx="0">
                  <c:v>2020</c:v>
                </c:pt>
                <c:pt idx="1">
                  <c:v>2021</c:v>
                </c:pt>
                <c:pt idx="2">
                  <c:v>2022</c:v>
                </c:pt>
                <c:pt idx="3">
                  <c:v>2023</c:v>
                </c:pt>
                <c:pt idx="4">
                  <c:v>2024</c:v>
                </c:pt>
                <c:pt idx="5">
                  <c:v>2025</c:v>
                </c:pt>
              </c:numCache>
            </c:numRef>
          </c:cat>
          <c:val>
            <c:numRef>
              <c:f>营收!$D$36:$I$36</c:f>
              <c:numCache>
                <c:formatCode>0.00_);[Red]\(0.00\)</c:formatCode>
                <c:ptCount val="6"/>
                <c:pt idx="0">
                  <c:v>11704</c:v>
                </c:pt>
                <c:pt idx="1">
                  <c:v>12237</c:v>
                </c:pt>
                <c:pt idx="2">
                  <c:v>14021</c:v>
                </c:pt>
                <c:pt idx="3">
                  <c:v>15173</c:v>
                </c:pt>
                <c:pt idx="4">
                  <c:v>15982</c:v>
                </c:pt>
                <c:pt idx="5">
                  <c:v>16089</c:v>
                </c:pt>
              </c:numCache>
            </c:numRef>
          </c:val>
        </c:ser>
        <c:ser>
          <c:idx val="2"/>
          <c:order val="2"/>
          <c:tx>
            <c:strRef>
              <c:f>营收!$C$38</c:f>
              <c:strCache>
                <c:ptCount val="1"/>
                <c:pt idx="0">
                  <c:v>L'Oréal Luxe</c:v>
                </c:pt>
              </c:strCache>
            </c:strRef>
          </c:tx>
          <c:spPr>
            <a:solidFill>
              <a:schemeClr val="bg1">
                <a:lumMod val="85000"/>
              </a:schemeClr>
            </a:solidFill>
            <a:ln>
              <a:noFill/>
            </a:ln>
            <a:effectLst/>
          </c:spPr>
          <c:invertIfNegative val="0"/>
          <c:dLbls>
            <c:delete val="1"/>
          </c:dLbls>
          <c:cat>
            <c:numRef>
              <c:f>营收!$D$33:$I$33</c:f>
              <c:numCache>
                <c:formatCode>General</c:formatCode>
                <c:ptCount val="6"/>
                <c:pt idx="0">
                  <c:v>2020</c:v>
                </c:pt>
                <c:pt idx="1">
                  <c:v>2021</c:v>
                </c:pt>
                <c:pt idx="2">
                  <c:v>2022</c:v>
                </c:pt>
                <c:pt idx="3">
                  <c:v>2023</c:v>
                </c:pt>
                <c:pt idx="4">
                  <c:v>2024</c:v>
                </c:pt>
                <c:pt idx="5">
                  <c:v>2025</c:v>
                </c:pt>
              </c:numCache>
            </c:numRef>
          </c:cat>
          <c:val>
            <c:numRef>
              <c:f>营收!$D$38:$I$38</c:f>
              <c:numCache>
                <c:formatCode>0.00_);[Red]\(0.00\)</c:formatCode>
                <c:ptCount val="6"/>
                <c:pt idx="0">
                  <c:v>10180</c:v>
                </c:pt>
                <c:pt idx="1">
                  <c:v>12334</c:v>
                </c:pt>
                <c:pt idx="2">
                  <c:v>14638</c:v>
                </c:pt>
                <c:pt idx="3">
                  <c:v>14924</c:v>
                </c:pt>
                <c:pt idx="4">
                  <c:v>15591</c:v>
                </c:pt>
                <c:pt idx="5">
                  <c:v>15595</c:v>
                </c:pt>
              </c:numCache>
            </c:numRef>
          </c:val>
        </c:ser>
        <c:ser>
          <c:idx val="3"/>
          <c:order val="3"/>
          <c:tx>
            <c:strRef>
              <c:f>营收!$C$40</c:f>
              <c:strCache>
                <c:ptCount val="1"/>
                <c:pt idx="0">
                  <c:v>Dermatological Beauty Division</c:v>
                </c:pt>
              </c:strCache>
            </c:strRef>
          </c:tx>
          <c:spPr>
            <a:solidFill>
              <a:schemeClr val="bg1">
                <a:lumMod val="50000"/>
              </a:schemeClr>
            </a:solidFill>
            <a:ln>
              <a:noFill/>
            </a:ln>
            <a:effectLst/>
          </c:spPr>
          <c:invertIfNegative val="0"/>
          <c:dLbls>
            <c:delete val="1"/>
          </c:dLbls>
          <c:cat>
            <c:numRef>
              <c:f>营收!$D$33:$I$33</c:f>
              <c:numCache>
                <c:formatCode>General</c:formatCode>
                <c:ptCount val="6"/>
                <c:pt idx="0">
                  <c:v>2020</c:v>
                </c:pt>
                <c:pt idx="1">
                  <c:v>2021</c:v>
                </c:pt>
                <c:pt idx="2">
                  <c:v>2022</c:v>
                </c:pt>
                <c:pt idx="3">
                  <c:v>2023</c:v>
                </c:pt>
                <c:pt idx="4">
                  <c:v>2024</c:v>
                </c:pt>
                <c:pt idx="5">
                  <c:v>2025</c:v>
                </c:pt>
              </c:numCache>
            </c:numRef>
          </c:cat>
          <c:val>
            <c:numRef>
              <c:f>营收!$D$40:$I$40</c:f>
              <c:numCache>
                <c:formatCode>0.00_);[Red]\(0.00\)</c:formatCode>
                <c:ptCount val="6"/>
                <c:pt idx="0">
                  <c:v>3011</c:v>
                </c:pt>
                <c:pt idx="1">
                  <c:v>3939</c:v>
                </c:pt>
                <c:pt idx="2">
                  <c:v>5125</c:v>
                </c:pt>
                <c:pt idx="3">
                  <c:v>6432</c:v>
                </c:pt>
                <c:pt idx="4">
                  <c:v>7027</c:v>
                </c:pt>
                <c:pt idx="5">
                  <c:v>7204</c:v>
                </c:pt>
              </c:numCache>
            </c:numRef>
          </c:val>
        </c:ser>
        <c:dLbls>
          <c:showLegendKey val="0"/>
          <c:showVal val="0"/>
          <c:showCatName val="0"/>
          <c:showSerName val="0"/>
          <c:showPercent val="0"/>
          <c:showBubbleSize val="0"/>
        </c:dLbls>
        <c:gapWidth val="219"/>
        <c:overlap val="-27"/>
        <c:axId val="237386592"/>
        <c:axId val="237380352"/>
      </c:barChart>
      <c:catAx>
        <c:axId val="237386592"/>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237380352"/>
        <c:crosses val="autoZero"/>
        <c:auto val="1"/>
        <c:lblAlgn val="ctr"/>
        <c:lblOffset val="100"/>
        <c:noMultiLvlLbl val="0"/>
      </c:catAx>
      <c:valAx>
        <c:axId val="237380352"/>
        <c:scaling>
          <c:orientation val="minMax"/>
        </c:scaling>
        <c:delete val="0"/>
        <c:axPos val="l"/>
        <c:numFmt formatCode="0.00_);[Red]\(0.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237386592"/>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legend>
    <c:plotVisOnly val="1"/>
    <c:dispBlanksAs val="gap"/>
    <c:showDLblsOverMax val="0"/>
    <c:extLst>
      <c:ext uri="{0b15fc19-7d7d-44ad-8c2d-2c3a37ce22c3}">
        <chartProps xmlns="https://web.wps.cn/et/2018/main" chartId="{d13df547-26a9-4c98-8e44-5446095620fa}"/>
      </c:ext>
    </c:extLst>
  </c:chart>
  <c:spPr>
    <a:solidFill>
      <a:schemeClr val="bg1"/>
    </a:solidFill>
    <a:ln w="9525" cap="flat" cmpd="sng" algn="ctr">
      <a:noFill/>
      <a:round/>
    </a:ln>
    <a:effectLst/>
  </c:spPr>
  <c:txPr>
    <a:bodyPr/>
    <a:lstStyle/>
    <a:p>
      <a:pPr>
        <a:defRPr lang="zh-CN" baseline="0">
          <a:solidFill>
            <a:schemeClr val="tx1"/>
          </a:solidFill>
          <a:latin typeface="Calibri" panose="020F0502020204030204" pitchFamily="2" charset="0"/>
          <a:ea typeface="楷体" panose="02010609060101010101" pitchFamily="3"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营收!$C$40</c:f>
              <c:strCache>
                <c:ptCount val="1"/>
                <c:pt idx="0">
                  <c:v>Dermatological Beauty Division</c:v>
                </c:pt>
              </c:strCache>
            </c:strRef>
          </c:tx>
          <c:spPr>
            <a:solidFill>
              <a:srgbClr val="002060"/>
            </a:solidFill>
            <a:ln>
              <a:noFill/>
            </a:ln>
            <a:effectLst/>
          </c:spPr>
          <c:invertIfNegative val="0"/>
          <c:dLbls>
            <c:delete val="1"/>
          </c:dLbls>
          <c:cat>
            <c:numRef>
              <c:f>营收!$D$33:$I$33</c:f>
              <c:numCache>
                <c:formatCode>General</c:formatCode>
                <c:ptCount val="6"/>
                <c:pt idx="0">
                  <c:v>2020</c:v>
                </c:pt>
                <c:pt idx="1">
                  <c:v>2021</c:v>
                </c:pt>
                <c:pt idx="2">
                  <c:v>2022</c:v>
                </c:pt>
                <c:pt idx="3">
                  <c:v>2023</c:v>
                </c:pt>
                <c:pt idx="4">
                  <c:v>2024</c:v>
                </c:pt>
                <c:pt idx="5">
                  <c:v>2025</c:v>
                </c:pt>
              </c:numCache>
            </c:numRef>
          </c:cat>
          <c:val>
            <c:numRef>
              <c:f>营收!$D$40:$I$40</c:f>
              <c:numCache>
                <c:formatCode>0.00_);[Red]\(0.00\)</c:formatCode>
                <c:ptCount val="6"/>
                <c:pt idx="0">
                  <c:v>3011</c:v>
                </c:pt>
                <c:pt idx="1">
                  <c:v>3939</c:v>
                </c:pt>
                <c:pt idx="2">
                  <c:v>5125</c:v>
                </c:pt>
                <c:pt idx="3">
                  <c:v>6432</c:v>
                </c:pt>
                <c:pt idx="4">
                  <c:v>7027</c:v>
                </c:pt>
                <c:pt idx="5">
                  <c:v>7204</c:v>
                </c:pt>
              </c:numCache>
            </c:numRef>
          </c:val>
        </c:ser>
        <c:dLbls>
          <c:showLegendKey val="0"/>
          <c:showVal val="0"/>
          <c:showCatName val="0"/>
          <c:showSerName val="0"/>
          <c:showPercent val="0"/>
          <c:showBubbleSize val="0"/>
        </c:dLbls>
        <c:gapWidth val="219"/>
        <c:overlap val="-27"/>
        <c:axId val="378388704"/>
        <c:axId val="378384864"/>
      </c:barChart>
      <c:lineChart>
        <c:grouping val="standard"/>
        <c:varyColors val="0"/>
        <c:ser>
          <c:idx val="1"/>
          <c:order val="1"/>
          <c:tx>
            <c:strRef>
              <c:f>营收!$C$41</c:f>
              <c:strCache>
                <c:ptCount val="1"/>
                <c:pt idx="0">
                  <c:v>YoY</c:v>
                </c:pt>
              </c:strCache>
            </c:strRef>
          </c:tx>
          <c:spPr>
            <a:ln w="28575" cap="rnd">
              <a:solidFill>
                <a:schemeClr val="bg1">
                  <a:lumMod val="85000"/>
                </a:schemeClr>
              </a:solidFill>
              <a:round/>
            </a:ln>
            <a:effectLst/>
          </c:spPr>
          <c:marker>
            <c:symbol val="none"/>
          </c:marker>
          <c:dLbls>
            <c:delete val="1"/>
          </c:dLbls>
          <c:cat>
            <c:numRef>
              <c:f>营收!$D$33:$I$33</c:f>
              <c:numCache>
                <c:formatCode>General</c:formatCode>
                <c:ptCount val="6"/>
                <c:pt idx="0">
                  <c:v>2020</c:v>
                </c:pt>
                <c:pt idx="1">
                  <c:v>2021</c:v>
                </c:pt>
                <c:pt idx="2">
                  <c:v>2022</c:v>
                </c:pt>
                <c:pt idx="3">
                  <c:v>2023</c:v>
                </c:pt>
                <c:pt idx="4">
                  <c:v>2024</c:v>
                </c:pt>
                <c:pt idx="5">
                  <c:v>2025</c:v>
                </c:pt>
              </c:numCache>
            </c:numRef>
          </c:cat>
          <c:val>
            <c:numRef>
              <c:f>营收!$D$41:$I$41</c:f>
              <c:numCache>
                <c:formatCode>0%</c:formatCode>
                <c:ptCount val="6"/>
                <c:pt idx="0">
                  <c:v>0.129995871955567</c:v>
                </c:pt>
                <c:pt idx="1">
                  <c:v>0.303178240510113</c:v>
                </c:pt>
                <c:pt idx="2">
                  <c:v>0.305937818552498</c:v>
                </c:pt>
                <c:pt idx="3">
                  <c:v>0.255146843594497</c:v>
                </c:pt>
                <c:pt idx="4">
                  <c:v>0.0925217661691542</c:v>
                </c:pt>
                <c:pt idx="5">
                  <c:v>0.0251885584175324</c:v>
                </c:pt>
              </c:numCache>
            </c:numRef>
          </c:val>
          <c:smooth val="0"/>
        </c:ser>
        <c:dLbls>
          <c:showLegendKey val="0"/>
          <c:showVal val="0"/>
          <c:showCatName val="0"/>
          <c:showSerName val="0"/>
          <c:showPercent val="0"/>
          <c:showBubbleSize val="0"/>
        </c:dLbls>
        <c:marker val="0"/>
        <c:smooth val="0"/>
        <c:axId val="1376932912"/>
        <c:axId val="378385824"/>
      </c:lineChart>
      <c:catAx>
        <c:axId val="378388704"/>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378384864"/>
        <c:crosses val="autoZero"/>
        <c:auto val="1"/>
        <c:lblAlgn val="ctr"/>
        <c:lblOffset val="100"/>
        <c:noMultiLvlLbl val="0"/>
      </c:catAx>
      <c:valAx>
        <c:axId val="378384864"/>
        <c:scaling>
          <c:orientation val="minMax"/>
        </c:scaling>
        <c:delete val="0"/>
        <c:axPos val="l"/>
        <c:numFmt formatCode="0.00_);[Red]\(0.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378388704"/>
        <c:crosses val="autoZero"/>
        <c:crossBetween val="between"/>
      </c:valAx>
      <c:catAx>
        <c:axId val="1376932912"/>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378385824"/>
        <c:crosses val="autoZero"/>
        <c:auto val="1"/>
        <c:lblAlgn val="ctr"/>
        <c:lblOffset val="100"/>
        <c:noMultiLvlLbl val="0"/>
      </c:catAx>
      <c:valAx>
        <c:axId val="378385824"/>
        <c:scaling>
          <c:orientation val="minMax"/>
        </c:scaling>
        <c:delete val="0"/>
        <c:axPos val="r"/>
        <c:numFmt formatCode="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1376932912"/>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legend>
    <c:plotVisOnly val="1"/>
    <c:dispBlanksAs val="gap"/>
    <c:showDLblsOverMax val="0"/>
    <c:extLst>
      <c:ext uri="{0b15fc19-7d7d-44ad-8c2d-2c3a37ce22c3}">
        <chartProps xmlns="https://web.wps.cn/et/2018/main" chartId="{82d2eef3-dc59-44dd-8ead-d1ca76caba24}"/>
      </c:ext>
    </c:extLst>
  </c:chart>
  <c:spPr>
    <a:solidFill>
      <a:schemeClr val="bg1"/>
    </a:solidFill>
    <a:ln w="9525" cap="flat" cmpd="sng" algn="ctr">
      <a:noFill/>
      <a:round/>
    </a:ln>
    <a:effectLst/>
  </c:spPr>
  <c:txPr>
    <a:bodyPr/>
    <a:lstStyle/>
    <a:p>
      <a:pPr>
        <a:defRPr lang="zh-CN" baseline="0">
          <a:solidFill>
            <a:schemeClr val="tx1"/>
          </a:solidFill>
          <a:latin typeface="Calibri" panose="020F0502020204030204" pitchFamily="2" charset="0"/>
          <a:ea typeface="楷体" panose="02010609060101010101" pitchFamily="3" charset="-122"/>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营收!$C$38</c:f>
              <c:strCache>
                <c:ptCount val="1"/>
                <c:pt idx="0">
                  <c:v>L'Oréal Luxe</c:v>
                </c:pt>
              </c:strCache>
            </c:strRef>
          </c:tx>
          <c:spPr>
            <a:solidFill>
              <a:srgbClr val="002060"/>
            </a:solidFill>
            <a:ln>
              <a:noFill/>
            </a:ln>
            <a:effectLst/>
          </c:spPr>
          <c:invertIfNegative val="0"/>
          <c:dLbls>
            <c:delete val="1"/>
          </c:dLbls>
          <c:cat>
            <c:numRef>
              <c:f>营收!$D$33:$I$33</c:f>
              <c:numCache>
                <c:formatCode>General</c:formatCode>
                <c:ptCount val="6"/>
                <c:pt idx="0">
                  <c:v>2020</c:v>
                </c:pt>
                <c:pt idx="1">
                  <c:v>2021</c:v>
                </c:pt>
                <c:pt idx="2">
                  <c:v>2022</c:v>
                </c:pt>
                <c:pt idx="3">
                  <c:v>2023</c:v>
                </c:pt>
                <c:pt idx="4">
                  <c:v>2024</c:v>
                </c:pt>
                <c:pt idx="5">
                  <c:v>2025</c:v>
                </c:pt>
              </c:numCache>
            </c:numRef>
          </c:cat>
          <c:val>
            <c:numRef>
              <c:f>营收!$D$38:$I$38</c:f>
              <c:numCache>
                <c:formatCode>0.00_);[Red]\(0.00\)</c:formatCode>
                <c:ptCount val="6"/>
                <c:pt idx="0">
                  <c:v>10180</c:v>
                </c:pt>
                <c:pt idx="1">
                  <c:v>12334</c:v>
                </c:pt>
                <c:pt idx="2">
                  <c:v>14638</c:v>
                </c:pt>
                <c:pt idx="3">
                  <c:v>14924</c:v>
                </c:pt>
                <c:pt idx="4">
                  <c:v>15591</c:v>
                </c:pt>
                <c:pt idx="5">
                  <c:v>15595</c:v>
                </c:pt>
              </c:numCache>
            </c:numRef>
          </c:val>
        </c:ser>
        <c:dLbls>
          <c:showLegendKey val="0"/>
          <c:showVal val="0"/>
          <c:showCatName val="0"/>
          <c:showSerName val="0"/>
          <c:showPercent val="0"/>
          <c:showBubbleSize val="0"/>
        </c:dLbls>
        <c:gapWidth val="219"/>
        <c:overlap val="-27"/>
        <c:axId val="378388704"/>
        <c:axId val="378384864"/>
      </c:barChart>
      <c:lineChart>
        <c:grouping val="standard"/>
        <c:varyColors val="0"/>
        <c:ser>
          <c:idx val="1"/>
          <c:order val="1"/>
          <c:tx>
            <c:strRef>
              <c:f>营收!$C$39</c:f>
              <c:strCache>
                <c:ptCount val="1"/>
                <c:pt idx="0">
                  <c:v>YoY</c:v>
                </c:pt>
              </c:strCache>
            </c:strRef>
          </c:tx>
          <c:spPr>
            <a:ln w="28575" cap="rnd">
              <a:solidFill>
                <a:schemeClr val="bg1">
                  <a:lumMod val="85000"/>
                </a:schemeClr>
              </a:solidFill>
              <a:round/>
            </a:ln>
            <a:effectLst/>
          </c:spPr>
          <c:marker>
            <c:symbol val="none"/>
          </c:marker>
          <c:dLbls>
            <c:delete val="1"/>
          </c:dLbls>
          <c:cat>
            <c:numRef>
              <c:f>营收!$D$33:$I$33</c:f>
              <c:numCache>
                <c:formatCode>General</c:formatCode>
                <c:ptCount val="6"/>
                <c:pt idx="0">
                  <c:v>2020</c:v>
                </c:pt>
                <c:pt idx="1">
                  <c:v>2021</c:v>
                </c:pt>
                <c:pt idx="2">
                  <c:v>2022</c:v>
                </c:pt>
                <c:pt idx="3">
                  <c:v>2023</c:v>
                </c:pt>
                <c:pt idx="4">
                  <c:v>2024</c:v>
                </c:pt>
                <c:pt idx="5">
                  <c:v>2025</c:v>
                </c:pt>
              </c:numCache>
            </c:numRef>
          </c:cat>
          <c:val>
            <c:numRef>
              <c:f>营收!$D$39:$I$39</c:f>
              <c:numCache>
                <c:formatCode>0%</c:formatCode>
                <c:ptCount val="6"/>
                <c:pt idx="0">
                  <c:v>-0.0759993464764188</c:v>
                </c:pt>
                <c:pt idx="1">
                  <c:v>0.212801697462647</c:v>
                </c:pt>
                <c:pt idx="2">
                  <c:v>0.185636066158008</c:v>
                </c:pt>
                <c:pt idx="3">
                  <c:v>0.0195312233145011</c:v>
                </c:pt>
                <c:pt idx="4">
                  <c:v>0.0446998123827394</c:v>
                </c:pt>
                <c:pt idx="5">
                  <c:v>0.00025655827079718</c:v>
                </c:pt>
              </c:numCache>
            </c:numRef>
          </c:val>
          <c:smooth val="0"/>
        </c:ser>
        <c:dLbls>
          <c:showLegendKey val="0"/>
          <c:showVal val="0"/>
          <c:showCatName val="0"/>
          <c:showSerName val="0"/>
          <c:showPercent val="0"/>
          <c:showBubbleSize val="0"/>
        </c:dLbls>
        <c:marker val="0"/>
        <c:smooth val="0"/>
        <c:axId val="1376932912"/>
        <c:axId val="378385824"/>
      </c:lineChart>
      <c:catAx>
        <c:axId val="378388704"/>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378384864"/>
        <c:crosses val="autoZero"/>
        <c:auto val="1"/>
        <c:lblAlgn val="ctr"/>
        <c:lblOffset val="100"/>
        <c:noMultiLvlLbl val="0"/>
      </c:catAx>
      <c:valAx>
        <c:axId val="378384864"/>
        <c:scaling>
          <c:orientation val="minMax"/>
        </c:scaling>
        <c:delete val="0"/>
        <c:axPos val="l"/>
        <c:numFmt formatCode="0.00_);[Red]\(0.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378388704"/>
        <c:crosses val="autoZero"/>
        <c:crossBetween val="between"/>
      </c:valAx>
      <c:catAx>
        <c:axId val="1376932912"/>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378385824"/>
        <c:crosses val="autoZero"/>
        <c:auto val="1"/>
        <c:lblAlgn val="ctr"/>
        <c:lblOffset val="100"/>
        <c:noMultiLvlLbl val="0"/>
      </c:catAx>
      <c:valAx>
        <c:axId val="378385824"/>
        <c:scaling>
          <c:orientation val="minMax"/>
        </c:scaling>
        <c:delete val="0"/>
        <c:axPos val="r"/>
        <c:numFmt formatCode="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1376932912"/>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legend>
    <c:plotVisOnly val="1"/>
    <c:dispBlanksAs val="gap"/>
    <c:showDLblsOverMax val="0"/>
    <c:extLst>
      <c:ext uri="{0b15fc19-7d7d-44ad-8c2d-2c3a37ce22c3}">
        <chartProps xmlns="https://web.wps.cn/et/2018/main" chartId="{802e14b3-62f6-4b86-a3ca-e12b246c6eae}"/>
      </c:ext>
    </c:extLst>
  </c:chart>
  <c:spPr>
    <a:solidFill>
      <a:schemeClr val="bg1"/>
    </a:solidFill>
    <a:ln w="9525" cap="flat" cmpd="sng" algn="ctr">
      <a:noFill/>
      <a:round/>
    </a:ln>
    <a:effectLst/>
  </c:spPr>
  <c:txPr>
    <a:bodyPr/>
    <a:lstStyle/>
    <a:p>
      <a:pPr>
        <a:defRPr lang="zh-CN" baseline="0">
          <a:solidFill>
            <a:schemeClr val="tx1"/>
          </a:solidFill>
          <a:latin typeface="Calibri" panose="020F0502020204030204" pitchFamily="2" charset="0"/>
          <a:ea typeface="楷体" panose="02010609060101010101" pitchFamily="3" charset="-122"/>
        </a:defRPr>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营收!$C$36</c:f>
              <c:strCache>
                <c:ptCount val="1"/>
                <c:pt idx="0">
                  <c:v>Consumer Products Division</c:v>
                </c:pt>
              </c:strCache>
            </c:strRef>
          </c:tx>
          <c:spPr>
            <a:solidFill>
              <a:srgbClr val="002060"/>
            </a:solidFill>
            <a:ln>
              <a:noFill/>
            </a:ln>
            <a:effectLst/>
          </c:spPr>
          <c:invertIfNegative val="0"/>
          <c:dLbls>
            <c:delete val="1"/>
          </c:dLbls>
          <c:cat>
            <c:numRef>
              <c:f>营收!$D$33:$I$33</c:f>
              <c:numCache>
                <c:formatCode>General</c:formatCode>
                <c:ptCount val="6"/>
                <c:pt idx="0">
                  <c:v>2020</c:v>
                </c:pt>
                <c:pt idx="1">
                  <c:v>2021</c:v>
                </c:pt>
                <c:pt idx="2">
                  <c:v>2022</c:v>
                </c:pt>
                <c:pt idx="3">
                  <c:v>2023</c:v>
                </c:pt>
                <c:pt idx="4">
                  <c:v>2024</c:v>
                </c:pt>
                <c:pt idx="5">
                  <c:v>2025</c:v>
                </c:pt>
              </c:numCache>
            </c:numRef>
          </c:cat>
          <c:val>
            <c:numRef>
              <c:f>营收!$D$36:$I$36</c:f>
              <c:numCache>
                <c:formatCode>0.00_);[Red]\(0.00\)</c:formatCode>
                <c:ptCount val="6"/>
                <c:pt idx="0">
                  <c:v>11704</c:v>
                </c:pt>
                <c:pt idx="1">
                  <c:v>12237</c:v>
                </c:pt>
                <c:pt idx="2">
                  <c:v>14021</c:v>
                </c:pt>
                <c:pt idx="3">
                  <c:v>15173</c:v>
                </c:pt>
                <c:pt idx="4">
                  <c:v>15982</c:v>
                </c:pt>
                <c:pt idx="5">
                  <c:v>16089</c:v>
                </c:pt>
              </c:numCache>
            </c:numRef>
          </c:val>
        </c:ser>
        <c:dLbls>
          <c:showLegendKey val="0"/>
          <c:showVal val="0"/>
          <c:showCatName val="0"/>
          <c:showSerName val="0"/>
          <c:showPercent val="0"/>
          <c:showBubbleSize val="0"/>
        </c:dLbls>
        <c:gapWidth val="219"/>
        <c:overlap val="-27"/>
        <c:axId val="378388704"/>
        <c:axId val="378384864"/>
      </c:barChart>
      <c:lineChart>
        <c:grouping val="standard"/>
        <c:varyColors val="0"/>
        <c:ser>
          <c:idx val="1"/>
          <c:order val="1"/>
          <c:tx>
            <c:strRef>
              <c:f>营收!$C$37</c:f>
              <c:strCache>
                <c:ptCount val="1"/>
                <c:pt idx="0">
                  <c:v>YoY</c:v>
                </c:pt>
              </c:strCache>
            </c:strRef>
          </c:tx>
          <c:spPr>
            <a:ln w="28575" cap="rnd">
              <a:solidFill>
                <a:schemeClr val="bg1">
                  <a:lumMod val="85000"/>
                </a:schemeClr>
              </a:solidFill>
              <a:round/>
            </a:ln>
            <a:effectLst/>
          </c:spPr>
          <c:marker>
            <c:symbol val="none"/>
          </c:marker>
          <c:dLbls>
            <c:delete val="1"/>
          </c:dLbls>
          <c:cat>
            <c:numRef>
              <c:f>营收!$D$33:$I$33</c:f>
              <c:numCache>
                <c:formatCode>General</c:formatCode>
                <c:ptCount val="6"/>
                <c:pt idx="0">
                  <c:v>2020</c:v>
                </c:pt>
                <c:pt idx="1">
                  <c:v>2021</c:v>
                </c:pt>
                <c:pt idx="2">
                  <c:v>2022</c:v>
                </c:pt>
                <c:pt idx="3">
                  <c:v>2023</c:v>
                </c:pt>
                <c:pt idx="4">
                  <c:v>2024</c:v>
                </c:pt>
                <c:pt idx="5">
                  <c:v>2025</c:v>
                </c:pt>
              </c:numCache>
            </c:numRef>
          </c:cat>
          <c:val>
            <c:numRef>
              <c:f>营收!$D$37:$I$37</c:f>
              <c:numCache>
                <c:formatCode>0%</c:formatCode>
                <c:ptCount val="6"/>
                <c:pt idx="0">
                  <c:v>-0.081997301791485</c:v>
                </c:pt>
                <c:pt idx="1">
                  <c:v>0.0452588048326186</c:v>
                </c:pt>
                <c:pt idx="2">
                  <c:v>0.146139698369232</c:v>
                </c:pt>
                <c:pt idx="3">
                  <c:v>0.082117920592242</c:v>
                </c:pt>
                <c:pt idx="4">
                  <c:v>0.0533655842401155</c:v>
                </c:pt>
                <c:pt idx="5">
                  <c:v>0.00669503191089982</c:v>
                </c:pt>
              </c:numCache>
            </c:numRef>
          </c:val>
          <c:smooth val="0"/>
        </c:ser>
        <c:dLbls>
          <c:showLegendKey val="0"/>
          <c:showVal val="0"/>
          <c:showCatName val="0"/>
          <c:showSerName val="0"/>
          <c:showPercent val="0"/>
          <c:showBubbleSize val="0"/>
        </c:dLbls>
        <c:marker val="0"/>
        <c:smooth val="0"/>
        <c:axId val="1376932912"/>
        <c:axId val="378385824"/>
      </c:lineChart>
      <c:catAx>
        <c:axId val="378388704"/>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378384864"/>
        <c:crosses val="autoZero"/>
        <c:auto val="1"/>
        <c:lblAlgn val="ctr"/>
        <c:lblOffset val="100"/>
        <c:noMultiLvlLbl val="0"/>
      </c:catAx>
      <c:valAx>
        <c:axId val="378384864"/>
        <c:scaling>
          <c:orientation val="minMax"/>
        </c:scaling>
        <c:delete val="0"/>
        <c:axPos val="l"/>
        <c:numFmt formatCode="0.00_);[Red]\(0.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378388704"/>
        <c:crosses val="autoZero"/>
        <c:crossBetween val="between"/>
      </c:valAx>
      <c:catAx>
        <c:axId val="1376932912"/>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378385824"/>
        <c:crosses val="autoZero"/>
        <c:auto val="1"/>
        <c:lblAlgn val="ctr"/>
        <c:lblOffset val="100"/>
        <c:noMultiLvlLbl val="0"/>
      </c:catAx>
      <c:valAx>
        <c:axId val="378385824"/>
        <c:scaling>
          <c:orientation val="minMax"/>
        </c:scaling>
        <c:delete val="0"/>
        <c:axPos val="r"/>
        <c:numFmt formatCode="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1376932912"/>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legend>
    <c:plotVisOnly val="1"/>
    <c:dispBlanksAs val="gap"/>
    <c:showDLblsOverMax val="0"/>
    <c:extLst>
      <c:ext uri="{0b15fc19-7d7d-44ad-8c2d-2c3a37ce22c3}">
        <chartProps xmlns="https://web.wps.cn/et/2018/main" chartId="{b32227f8-bdbc-4926-a7e3-28ce6f1133bb}"/>
      </c:ext>
    </c:extLst>
  </c:chart>
  <c:spPr>
    <a:solidFill>
      <a:schemeClr val="bg1"/>
    </a:solidFill>
    <a:ln w="9525" cap="flat" cmpd="sng" algn="ctr">
      <a:noFill/>
      <a:round/>
    </a:ln>
    <a:effectLst/>
  </c:spPr>
  <c:txPr>
    <a:bodyPr/>
    <a:lstStyle/>
    <a:p>
      <a:pPr>
        <a:defRPr lang="zh-CN" baseline="0">
          <a:solidFill>
            <a:schemeClr val="tx1"/>
          </a:solidFill>
          <a:latin typeface="Calibri" panose="020F0502020204030204" pitchFamily="2" charset="0"/>
          <a:ea typeface="楷体" panose="02010609060101010101" pitchFamily="3" charset="-122"/>
        </a:defRPr>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营收!$C$34</c:f>
              <c:strCache>
                <c:ptCount val="1"/>
                <c:pt idx="0">
                  <c:v>Professional Products Division</c:v>
                </c:pt>
              </c:strCache>
            </c:strRef>
          </c:tx>
          <c:spPr>
            <a:solidFill>
              <a:srgbClr val="002060"/>
            </a:solidFill>
            <a:ln>
              <a:noFill/>
            </a:ln>
            <a:effectLst/>
          </c:spPr>
          <c:invertIfNegative val="0"/>
          <c:dLbls>
            <c:delete val="1"/>
          </c:dLbls>
          <c:cat>
            <c:numRef>
              <c:f>营收!$D$33:$I$33</c:f>
              <c:numCache>
                <c:formatCode>General</c:formatCode>
                <c:ptCount val="6"/>
                <c:pt idx="0">
                  <c:v>2020</c:v>
                </c:pt>
                <c:pt idx="1">
                  <c:v>2021</c:v>
                </c:pt>
                <c:pt idx="2">
                  <c:v>2022</c:v>
                </c:pt>
                <c:pt idx="3">
                  <c:v>2023</c:v>
                </c:pt>
                <c:pt idx="4">
                  <c:v>2024</c:v>
                </c:pt>
                <c:pt idx="5">
                  <c:v>2025</c:v>
                </c:pt>
              </c:numCache>
            </c:numRef>
          </c:cat>
          <c:val>
            <c:numRef>
              <c:f>营收!$D$34:$I$34</c:f>
              <c:numCache>
                <c:formatCode>0.00_);[Red]\(0.00\)</c:formatCode>
                <c:ptCount val="6"/>
                <c:pt idx="0">
                  <c:v>3097</c:v>
                </c:pt>
                <c:pt idx="1">
                  <c:v>3778</c:v>
                </c:pt>
                <c:pt idx="2">
                  <c:v>4477</c:v>
                </c:pt>
                <c:pt idx="3">
                  <c:v>4654</c:v>
                </c:pt>
                <c:pt idx="4">
                  <c:v>4886</c:v>
                </c:pt>
                <c:pt idx="5">
                  <c:v>5163</c:v>
                </c:pt>
              </c:numCache>
            </c:numRef>
          </c:val>
        </c:ser>
        <c:dLbls>
          <c:showLegendKey val="0"/>
          <c:showVal val="0"/>
          <c:showCatName val="0"/>
          <c:showSerName val="0"/>
          <c:showPercent val="0"/>
          <c:showBubbleSize val="0"/>
        </c:dLbls>
        <c:gapWidth val="219"/>
        <c:overlap val="-27"/>
        <c:axId val="378388704"/>
        <c:axId val="378384864"/>
      </c:barChart>
      <c:lineChart>
        <c:grouping val="standard"/>
        <c:varyColors val="0"/>
        <c:ser>
          <c:idx val="1"/>
          <c:order val="1"/>
          <c:tx>
            <c:strRef>
              <c:f>营收!$C$35</c:f>
              <c:strCache>
                <c:ptCount val="1"/>
                <c:pt idx="0">
                  <c:v>YoY</c:v>
                </c:pt>
              </c:strCache>
            </c:strRef>
          </c:tx>
          <c:spPr>
            <a:ln w="28575" cap="rnd">
              <a:solidFill>
                <a:schemeClr val="bg1">
                  <a:lumMod val="85000"/>
                </a:schemeClr>
              </a:solidFill>
              <a:round/>
            </a:ln>
            <a:effectLst/>
          </c:spPr>
          <c:marker>
            <c:symbol val="none"/>
          </c:marker>
          <c:dLbls>
            <c:delete val="1"/>
          </c:dLbls>
          <c:cat>
            <c:numRef>
              <c:f>营收!$D$33:$I$33</c:f>
              <c:numCache>
                <c:formatCode>General</c:formatCode>
                <c:ptCount val="6"/>
                <c:pt idx="0">
                  <c:v>2020</c:v>
                </c:pt>
                <c:pt idx="1">
                  <c:v>2021</c:v>
                </c:pt>
                <c:pt idx="2">
                  <c:v>2022</c:v>
                </c:pt>
                <c:pt idx="3">
                  <c:v>2023</c:v>
                </c:pt>
                <c:pt idx="4">
                  <c:v>2024</c:v>
                </c:pt>
                <c:pt idx="5">
                  <c:v>2025</c:v>
                </c:pt>
              </c:numCache>
            </c:numRef>
          </c:cat>
          <c:val>
            <c:numRef>
              <c:f>营收!$D$35:$I$35</c:f>
              <c:numCache>
                <c:formatCode>0%</c:formatCode>
                <c:ptCount val="6"/>
                <c:pt idx="0">
                  <c:v>-0.0999883768233858</c:v>
                </c:pt>
                <c:pt idx="1">
                  <c:v>0.221676944435476</c:v>
                </c:pt>
                <c:pt idx="2">
                  <c:v>0.183117947091625</c:v>
                </c:pt>
                <c:pt idx="3">
                  <c:v>0.0395595067905645</c:v>
                </c:pt>
                <c:pt idx="4">
                  <c:v>0.0499151249489675</c:v>
                </c:pt>
                <c:pt idx="5">
                  <c:v>0.0566925910765452</c:v>
                </c:pt>
              </c:numCache>
            </c:numRef>
          </c:val>
          <c:smooth val="0"/>
        </c:ser>
        <c:dLbls>
          <c:showLegendKey val="0"/>
          <c:showVal val="0"/>
          <c:showCatName val="0"/>
          <c:showSerName val="0"/>
          <c:showPercent val="0"/>
          <c:showBubbleSize val="0"/>
        </c:dLbls>
        <c:marker val="0"/>
        <c:smooth val="0"/>
        <c:axId val="1376932912"/>
        <c:axId val="378385824"/>
      </c:lineChart>
      <c:catAx>
        <c:axId val="378388704"/>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378384864"/>
        <c:crosses val="autoZero"/>
        <c:auto val="1"/>
        <c:lblAlgn val="ctr"/>
        <c:lblOffset val="100"/>
        <c:noMultiLvlLbl val="0"/>
      </c:catAx>
      <c:valAx>
        <c:axId val="378384864"/>
        <c:scaling>
          <c:orientation val="minMax"/>
        </c:scaling>
        <c:delete val="0"/>
        <c:axPos val="l"/>
        <c:numFmt formatCode="0.00_);[Red]\(0.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378388704"/>
        <c:crosses val="autoZero"/>
        <c:crossBetween val="between"/>
      </c:valAx>
      <c:catAx>
        <c:axId val="1376932912"/>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378385824"/>
        <c:crosses val="autoZero"/>
        <c:auto val="1"/>
        <c:lblAlgn val="ctr"/>
        <c:lblOffset val="100"/>
        <c:noMultiLvlLbl val="0"/>
      </c:catAx>
      <c:valAx>
        <c:axId val="378385824"/>
        <c:scaling>
          <c:orientation val="minMax"/>
        </c:scaling>
        <c:delete val="0"/>
        <c:axPos val="r"/>
        <c:numFmt formatCode="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1376932912"/>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legend>
    <c:plotVisOnly val="1"/>
    <c:dispBlanksAs val="gap"/>
    <c:showDLblsOverMax val="0"/>
    <c:extLst>
      <c:ext uri="{0b15fc19-7d7d-44ad-8c2d-2c3a37ce22c3}">
        <chartProps xmlns="https://web.wps.cn/et/2018/main" chartId="{0fc7fe30-a56c-4dd4-b000-e8e36d78aef1}"/>
      </c:ext>
    </c:extLst>
  </c:chart>
  <c:spPr>
    <a:solidFill>
      <a:schemeClr val="bg1"/>
    </a:solidFill>
    <a:ln w="9525" cap="flat" cmpd="sng" algn="ctr">
      <a:noFill/>
      <a:round/>
    </a:ln>
    <a:effectLst/>
  </c:spPr>
  <c:txPr>
    <a:bodyPr/>
    <a:lstStyle/>
    <a:p>
      <a:pPr>
        <a:defRPr lang="zh-CN" baseline="0">
          <a:solidFill>
            <a:schemeClr val="tx1"/>
          </a:solidFill>
          <a:latin typeface="Calibri" panose="020F0502020204030204" pitchFamily="2" charset="0"/>
          <a:ea typeface="楷体" panose="02010609060101010101" pitchFamily="3" charset="-122"/>
        </a:defRPr>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营收!$C$58</c:f>
              <c:strCache>
                <c:ptCount val="1"/>
                <c:pt idx="0">
                  <c:v>Gross Profit</c:v>
                </c:pt>
              </c:strCache>
            </c:strRef>
          </c:tx>
          <c:spPr>
            <a:solidFill>
              <a:srgbClr val="002060"/>
            </a:solidFill>
            <a:ln>
              <a:noFill/>
            </a:ln>
            <a:effectLst/>
          </c:spPr>
          <c:invertIfNegative val="0"/>
          <c:dLbls>
            <c:delete val="1"/>
          </c:dLbls>
          <c:cat>
            <c:numRef>
              <c:f>营收!$D$57:$I$57</c:f>
              <c:numCache>
                <c:formatCode>General</c:formatCode>
                <c:ptCount val="6"/>
                <c:pt idx="0">
                  <c:v>2020</c:v>
                </c:pt>
                <c:pt idx="1">
                  <c:v>2021</c:v>
                </c:pt>
                <c:pt idx="2">
                  <c:v>2022</c:v>
                </c:pt>
                <c:pt idx="3">
                  <c:v>2023</c:v>
                </c:pt>
                <c:pt idx="4">
                  <c:v>2024</c:v>
                </c:pt>
                <c:pt idx="5">
                  <c:v>2025</c:v>
                </c:pt>
              </c:numCache>
            </c:numRef>
          </c:cat>
          <c:val>
            <c:numRef>
              <c:f>营收!$D$58:$I$58</c:f>
              <c:numCache>
                <c:formatCode>0.00_);[Red]\(0.00\)</c:formatCode>
                <c:ptCount val="6"/>
                <c:pt idx="0">
                  <c:v>20459</c:v>
                </c:pt>
                <c:pt idx="1">
                  <c:v>23854</c:v>
                </c:pt>
                <c:pt idx="2">
                  <c:v>27683.3</c:v>
                </c:pt>
                <c:pt idx="3">
                  <c:v>30415.5</c:v>
                </c:pt>
                <c:pt idx="4">
                  <c:v>32259.8</c:v>
                </c:pt>
                <c:pt idx="5">
                  <c:v>32738.6</c:v>
                </c:pt>
              </c:numCache>
            </c:numRef>
          </c:val>
        </c:ser>
        <c:dLbls>
          <c:showLegendKey val="0"/>
          <c:showVal val="0"/>
          <c:showCatName val="0"/>
          <c:showSerName val="0"/>
          <c:showPercent val="0"/>
          <c:showBubbleSize val="0"/>
        </c:dLbls>
        <c:gapWidth val="219"/>
        <c:overlap val="-27"/>
        <c:axId val="378388704"/>
        <c:axId val="378384864"/>
      </c:barChart>
      <c:lineChart>
        <c:grouping val="standard"/>
        <c:varyColors val="0"/>
        <c:ser>
          <c:idx val="1"/>
          <c:order val="1"/>
          <c:tx>
            <c:strRef>
              <c:f>营收!$C$59</c:f>
              <c:strCache>
                <c:ptCount val="1"/>
                <c:pt idx="0">
                  <c:v>Gross margin</c:v>
                </c:pt>
              </c:strCache>
            </c:strRef>
          </c:tx>
          <c:spPr>
            <a:ln w="28575" cap="rnd">
              <a:solidFill>
                <a:schemeClr val="bg1">
                  <a:lumMod val="85000"/>
                </a:schemeClr>
              </a:solidFill>
              <a:round/>
            </a:ln>
            <a:effectLst/>
          </c:spPr>
          <c:marker>
            <c:symbol val="none"/>
          </c:marker>
          <c:dLbls>
            <c:delete val="1"/>
          </c:dLbls>
          <c:cat>
            <c:numRef>
              <c:f>营收!$D$57:$I$57</c:f>
              <c:numCache>
                <c:formatCode>General</c:formatCode>
                <c:ptCount val="6"/>
                <c:pt idx="0">
                  <c:v>2020</c:v>
                </c:pt>
                <c:pt idx="1">
                  <c:v>2021</c:v>
                </c:pt>
                <c:pt idx="2">
                  <c:v>2022</c:v>
                </c:pt>
                <c:pt idx="3">
                  <c:v>2023</c:v>
                </c:pt>
                <c:pt idx="4">
                  <c:v>2024</c:v>
                </c:pt>
                <c:pt idx="5">
                  <c:v>2025</c:v>
                </c:pt>
              </c:numCache>
            </c:numRef>
          </c:cat>
          <c:val>
            <c:numRef>
              <c:f>营收!$D$59:$I$59</c:f>
              <c:numCache>
                <c:formatCode>0%</c:formatCode>
                <c:ptCount val="6"/>
                <c:pt idx="0">
                  <c:v>0.731</c:v>
                </c:pt>
                <c:pt idx="1">
                  <c:v>0.739</c:v>
                </c:pt>
                <c:pt idx="2">
                  <c:v>0.724</c:v>
                </c:pt>
                <c:pt idx="3">
                  <c:v>0.739</c:v>
                </c:pt>
                <c:pt idx="4">
                  <c:v>0.742</c:v>
                </c:pt>
                <c:pt idx="5">
                  <c:v>0.743</c:v>
                </c:pt>
              </c:numCache>
            </c:numRef>
          </c:val>
          <c:smooth val="0"/>
        </c:ser>
        <c:dLbls>
          <c:showLegendKey val="0"/>
          <c:showVal val="0"/>
          <c:showCatName val="0"/>
          <c:showSerName val="0"/>
          <c:showPercent val="0"/>
          <c:showBubbleSize val="0"/>
        </c:dLbls>
        <c:marker val="0"/>
        <c:smooth val="0"/>
        <c:axId val="1376932912"/>
        <c:axId val="378385824"/>
      </c:lineChart>
      <c:catAx>
        <c:axId val="378388704"/>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378384864"/>
        <c:crosses val="autoZero"/>
        <c:auto val="1"/>
        <c:lblAlgn val="ctr"/>
        <c:lblOffset val="100"/>
        <c:noMultiLvlLbl val="0"/>
      </c:catAx>
      <c:valAx>
        <c:axId val="378384864"/>
        <c:scaling>
          <c:orientation val="minMax"/>
        </c:scaling>
        <c:delete val="0"/>
        <c:axPos val="l"/>
        <c:numFmt formatCode="0.00_);[Red]\(0.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378388704"/>
        <c:crosses val="autoZero"/>
        <c:crossBetween val="between"/>
      </c:valAx>
      <c:catAx>
        <c:axId val="1376932912"/>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378385824"/>
        <c:crosses val="autoZero"/>
        <c:auto val="1"/>
        <c:lblAlgn val="ctr"/>
        <c:lblOffset val="100"/>
        <c:noMultiLvlLbl val="0"/>
      </c:catAx>
      <c:valAx>
        <c:axId val="378385824"/>
        <c:scaling>
          <c:orientation val="minMax"/>
        </c:scaling>
        <c:delete val="0"/>
        <c:axPos val="r"/>
        <c:numFmt formatCode="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1376932912"/>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legend>
    <c:plotVisOnly val="1"/>
    <c:dispBlanksAs val="gap"/>
    <c:showDLblsOverMax val="0"/>
    <c:extLst>
      <c:ext uri="{0b15fc19-7d7d-44ad-8c2d-2c3a37ce22c3}">
        <chartProps xmlns="https://web.wps.cn/et/2018/main" chartId="{3c11cd3a-43b9-4aab-9fc2-086a31d7dc4d}"/>
      </c:ext>
    </c:extLst>
  </c:chart>
  <c:spPr>
    <a:solidFill>
      <a:schemeClr val="bg1"/>
    </a:solidFill>
    <a:ln w="9525" cap="flat" cmpd="sng" algn="ctr">
      <a:noFill/>
      <a:round/>
    </a:ln>
    <a:effectLst/>
  </c:spPr>
  <c:txPr>
    <a:bodyPr/>
    <a:lstStyle/>
    <a:p>
      <a:pPr>
        <a:defRPr lang="zh-CN" baseline="0">
          <a:solidFill>
            <a:schemeClr val="tx1"/>
          </a:solidFill>
          <a:latin typeface="Calibri" panose="020F0502020204030204" pitchFamily="2" charset="0"/>
          <a:ea typeface="楷体" panose="02010609060101010101" pitchFamily="3" charset="-122"/>
        </a:defRPr>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费率!$C$5</c:f>
              <c:strCache>
                <c:ptCount val="1"/>
                <c:pt idx="0">
                  <c:v>A&amp;P</c:v>
                </c:pt>
              </c:strCache>
            </c:strRef>
          </c:tx>
          <c:spPr>
            <a:solidFill>
              <a:srgbClr val="002060"/>
            </a:solidFill>
            <a:ln>
              <a:noFill/>
            </a:ln>
            <a:effectLst/>
          </c:spPr>
          <c:invertIfNegative val="0"/>
          <c:dLbls>
            <c:delete val="1"/>
          </c:dLbls>
          <c:cat>
            <c:numRef>
              <c:f>费率!$D$4:$I$4</c:f>
              <c:numCache>
                <c:formatCode>General</c:formatCode>
                <c:ptCount val="6"/>
                <c:pt idx="0">
                  <c:v>2020</c:v>
                </c:pt>
                <c:pt idx="1">
                  <c:v>2021</c:v>
                </c:pt>
                <c:pt idx="2">
                  <c:v>2022</c:v>
                </c:pt>
                <c:pt idx="3">
                  <c:v>2023</c:v>
                </c:pt>
                <c:pt idx="4">
                  <c:v>2024</c:v>
                </c:pt>
                <c:pt idx="5">
                  <c:v>2025</c:v>
                </c:pt>
              </c:numCache>
            </c:numRef>
          </c:cat>
          <c:val>
            <c:numRef>
              <c:f>费率!$D$5:$I$5</c:f>
              <c:numCache>
                <c:formatCode>0%</c:formatCode>
                <c:ptCount val="6"/>
                <c:pt idx="0">
                  <c:v>0.309</c:v>
                </c:pt>
                <c:pt idx="1">
                  <c:v>0.328</c:v>
                </c:pt>
                <c:pt idx="2">
                  <c:v>0.315</c:v>
                </c:pt>
                <c:pt idx="3">
                  <c:v>0.324</c:v>
                </c:pt>
                <c:pt idx="4">
                  <c:v>0.322</c:v>
                </c:pt>
                <c:pt idx="5">
                  <c:v>0.322</c:v>
                </c:pt>
              </c:numCache>
            </c:numRef>
          </c:val>
        </c:ser>
        <c:ser>
          <c:idx val="1"/>
          <c:order val="1"/>
          <c:tx>
            <c:strRef>
              <c:f>费率!$C$6</c:f>
              <c:strCache>
                <c:ptCount val="1"/>
                <c:pt idx="0">
                  <c:v>R&amp;D Expenses</c:v>
                </c:pt>
              </c:strCache>
            </c:strRef>
          </c:tx>
          <c:spPr>
            <a:solidFill>
              <a:srgbClr val="E97132">
                <a:lumMod val="60000"/>
                <a:lumOff val="40000"/>
              </a:srgbClr>
            </a:solidFill>
            <a:ln>
              <a:noFill/>
            </a:ln>
            <a:effectLst/>
          </c:spPr>
          <c:invertIfNegative val="0"/>
          <c:dLbls>
            <c:delete val="1"/>
          </c:dLbls>
          <c:cat>
            <c:numRef>
              <c:f>费率!$D$4:$I$4</c:f>
              <c:numCache>
                <c:formatCode>General</c:formatCode>
                <c:ptCount val="6"/>
                <c:pt idx="0">
                  <c:v>2020</c:v>
                </c:pt>
                <c:pt idx="1">
                  <c:v>2021</c:v>
                </c:pt>
                <c:pt idx="2">
                  <c:v>2022</c:v>
                </c:pt>
                <c:pt idx="3">
                  <c:v>2023</c:v>
                </c:pt>
                <c:pt idx="4">
                  <c:v>2024</c:v>
                </c:pt>
                <c:pt idx="5">
                  <c:v>2025</c:v>
                </c:pt>
              </c:numCache>
            </c:numRef>
          </c:cat>
          <c:val>
            <c:numRef>
              <c:f>费率!$D$6:$I$6</c:f>
              <c:numCache>
                <c:formatCode>0%</c:formatCode>
                <c:ptCount val="6"/>
                <c:pt idx="0">
                  <c:v>0.034</c:v>
                </c:pt>
                <c:pt idx="1">
                  <c:v>0.032</c:v>
                </c:pt>
                <c:pt idx="2">
                  <c:v>0.03</c:v>
                </c:pt>
                <c:pt idx="3">
                  <c:v>0.031</c:v>
                </c:pt>
                <c:pt idx="4">
                  <c:v>0.031</c:v>
                </c:pt>
                <c:pt idx="5">
                  <c:v>0.031</c:v>
                </c:pt>
              </c:numCache>
            </c:numRef>
          </c:val>
        </c:ser>
        <c:ser>
          <c:idx val="2"/>
          <c:order val="2"/>
          <c:tx>
            <c:strRef>
              <c:f>费率!$C$7</c:f>
              <c:strCache>
                <c:ptCount val="1"/>
                <c:pt idx="0">
                  <c:v>SG&amp;A</c:v>
                </c:pt>
              </c:strCache>
            </c:strRef>
          </c:tx>
          <c:spPr>
            <a:solidFill>
              <a:sysClr val="window" lastClr="FFFFFF">
                <a:lumMod val="85000"/>
              </a:sysClr>
            </a:solidFill>
            <a:ln>
              <a:noFill/>
            </a:ln>
            <a:effectLst/>
          </c:spPr>
          <c:invertIfNegative val="0"/>
          <c:dLbls>
            <c:delete val="1"/>
          </c:dLbls>
          <c:cat>
            <c:numRef>
              <c:f>费率!$D$4:$I$4</c:f>
              <c:numCache>
                <c:formatCode>General</c:formatCode>
                <c:ptCount val="6"/>
                <c:pt idx="0">
                  <c:v>2020</c:v>
                </c:pt>
                <c:pt idx="1">
                  <c:v>2021</c:v>
                </c:pt>
                <c:pt idx="2">
                  <c:v>2022</c:v>
                </c:pt>
                <c:pt idx="3">
                  <c:v>2023</c:v>
                </c:pt>
                <c:pt idx="4">
                  <c:v>2024</c:v>
                </c:pt>
                <c:pt idx="5">
                  <c:v>2025</c:v>
                </c:pt>
              </c:numCache>
            </c:numRef>
          </c:cat>
          <c:val>
            <c:numRef>
              <c:f>费率!$D$7:$I$7</c:f>
              <c:numCache>
                <c:formatCode>0%</c:formatCode>
                <c:ptCount val="6"/>
                <c:pt idx="0">
                  <c:v>0.201</c:v>
                </c:pt>
                <c:pt idx="1">
                  <c:v>0.188</c:v>
                </c:pt>
                <c:pt idx="2">
                  <c:v>0.184</c:v>
                </c:pt>
                <c:pt idx="3">
                  <c:v>0.185</c:v>
                </c:pt>
                <c:pt idx="4">
                  <c:v>0.189</c:v>
                </c:pt>
                <c:pt idx="5">
                  <c:v>0.188</c:v>
                </c:pt>
              </c:numCache>
            </c:numRef>
          </c:val>
        </c:ser>
        <c:dLbls>
          <c:showLegendKey val="0"/>
          <c:showVal val="0"/>
          <c:showCatName val="0"/>
          <c:showSerName val="0"/>
          <c:showPercent val="0"/>
          <c:showBubbleSize val="0"/>
        </c:dLbls>
        <c:gapWidth val="150"/>
        <c:axId val="378388704"/>
        <c:axId val="378384864"/>
      </c:barChart>
      <c:catAx>
        <c:axId val="378388704"/>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378384864"/>
        <c:crosses val="autoZero"/>
        <c:auto val="1"/>
        <c:lblAlgn val="ctr"/>
        <c:lblOffset val="100"/>
        <c:noMultiLvlLbl val="0"/>
      </c:catAx>
      <c:valAx>
        <c:axId val="378384864"/>
        <c:scaling>
          <c:orientation val="minMax"/>
        </c:scaling>
        <c:delete val="0"/>
        <c:axPos val="l"/>
        <c:numFmt formatCode="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378388704"/>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legend>
    <c:plotVisOnly val="1"/>
    <c:dispBlanksAs val="gap"/>
    <c:showDLblsOverMax val="0"/>
    <c:extLst>
      <c:ext uri="{0b15fc19-7d7d-44ad-8c2d-2c3a37ce22c3}">
        <chartProps xmlns="https://web.wps.cn/et/2018/main" chartId="{c7b10cff-2c19-4715-b829-418793a54f17}"/>
      </c:ext>
    </c:extLst>
  </c:chart>
  <c:spPr>
    <a:solidFill>
      <a:schemeClr val="bg1"/>
    </a:solidFill>
    <a:ln w="9525" cap="flat" cmpd="sng" algn="ctr">
      <a:noFill/>
      <a:round/>
    </a:ln>
    <a:effectLst/>
  </c:spPr>
  <c:txPr>
    <a:bodyPr/>
    <a:lstStyle/>
    <a:p>
      <a:pPr>
        <a:defRPr lang="zh-CN" baseline="0">
          <a:solidFill>
            <a:schemeClr val="tx1"/>
          </a:solidFill>
          <a:latin typeface="Calibri" panose="020F0502020204030204" pitchFamily="2" charset="0"/>
          <a:ea typeface="楷体" panose="02010609060101010101" pitchFamily="3" charset="-122"/>
        </a:defRPr>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营收!$C$60</c:f>
              <c:strCache>
                <c:ptCount val="1"/>
                <c:pt idx="0">
                  <c:v>Net Profit Attributable to Parent Company</c:v>
                </c:pt>
              </c:strCache>
            </c:strRef>
          </c:tx>
          <c:spPr>
            <a:solidFill>
              <a:srgbClr val="002060"/>
            </a:solidFill>
            <a:ln>
              <a:noFill/>
            </a:ln>
            <a:effectLst/>
          </c:spPr>
          <c:invertIfNegative val="0"/>
          <c:dLbls>
            <c:delete val="1"/>
          </c:dLbls>
          <c:cat>
            <c:numRef>
              <c:f>营收!$D$57:$I$57</c:f>
              <c:numCache>
                <c:formatCode>General</c:formatCode>
                <c:ptCount val="6"/>
                <c:pt idx="0">
                  <c:v>2020</c:v>
                </c:pt>
                <c:pt idx="1">
                  <c:v>2021</c:v>
                </c:pt>
                <c:pt idx="2">
                  <c:v>2022</c:v>
                </c:pt>
                <c:pt idx="3">
                  <c:v>2023</c:v>
                </c:pt>
                <c:pt idx="4">
                  <c:v>2024</c:v>
                </c:pt>
                <c:pt idx="5">
                  <c:v>2025</c:v>
                </c:pt>
              </c:numCache>
            </c:numRef>
          </c:cat>
          <c:val>
            <c:numRef>
              <c:f>营收!$D$60:$I$60</c:f>
              <c:numCache>
                <c:formatCode>0.00_);[Red]\(0.00\)</c:formatCode>
                <c:ptCount val="6"/>
                <c:pt idx="0">
                  <c:v>3563</c:v>
                </c:pt>
                <c:pt idx="1">
                  <c:v>4597</c:v>
                </c:pt>
                <c:pt idx="2">
                  <c:v>5707</c:v>
                </c:pt>
                <c:pt idx="3">
                  <c:v>6184</c:v>
                </c:pt>
                <c:pt idx="4">
                  <c:v>6408.7</c:v>
                </c:pt>
                <c:pt idx="5">
                  <c:v>6127.2</c:v>
                </c:pt>
              </c:numCache>
            </c:numRef>
          </c:val>
        </c:ser>
        <c:dLbls>
          <c:showLegendKey val="0"/>
          <c:showVal val="0"/>
          <c:showCatName val="0"/>
          <c:showSerName val="0"/>
          <c:showPercent val="0"/>
          <c:showBubbleSize val="0"/>
        </c:dLbls>
        <c:gapWidth val="219"/>
        <c:overlap val="-27"/>
        <c:axId val="378388704"/>
        <c:axId val="378384864"/>
      </c:barChart>
      <c:lineChart>
        <c:grouping val="standard"/>
        <c:varyColors val="0"/>
        <c:ser>
          <c:idx val="1"/>
          <c:order val="1"/>
          <c:tx>
            <c:strRef>
              <c:f>营收!$C$61</c:f>
              <c:strCache>
                <c:ptCount val="1"/>
                <c:pt idx="0">
                  <c:v>Net Profit Margin</c:v>
                </c:pt>
              </c:strCache>
            </c:strRef>
          </c:tx>
          <c:spPr>
            <a:ln w="28575" cap="rnd">
              <a:solidFill>
                <a:schemeClr val="bg1">
                  <a:lumMod val="85000"/>
                </a:schemeClr>
              </a:solidFill>
              <a:round/>
            </a:ln>
            <a:effectLst/>
          </c:spPr>
          <c:marker>
            <c:symbol val="none"/>
          </c:marker>
          <c:dLbls>
            <c:delete val="1"/>
          </c:dLbls>
          <c:cat>
            <c:numRef>
              <c:f>营收!$D$57:$I$57</c:f>
              <c:numCache>
                <c:formatCode>General</c:formatCode>
                <c:ptCount val="6"/>
                <c:pt idx="0">
                  <c:v>2020</c:v>
                </c:pt>
                <c:pt idx="1">
                  <c:v>2021</c:v>
                </c:pt>
                <c:pt idx="2">
                  <c:v>2022</c:v>
                </c:pt>
                <c:pt idx="3">
                  <c:v>2023</c:v>
                </c:pt>
                <c:pt idx="4">
                  <c:v>2024</c:v>
                </c:pt>
                <c:pt idx="5">
                  <c:v>2025</c:v>
                </c:pt>
              </c:numCache>
            </c:numRef>
          </c:cat>
          <c:val>
            <c:numRef>
              <c:f>营收!$D$61:$I$61</c:f>
              <c:numCache>
                <c:formatCode>0%</c:formatCode>
                <c:ptCount val="6"/>
                <c:pt idx="0">
                  <c:v>0.127285912811115</c:v>
                </c:pt>
                <c:pt idx="1">
                  <c:v>0.142376639948463</c:v>
                </c:pt>
                <c:pt idx="2">
                  <c:v>0.149161278181733</c:v>
                </c:pt>
                <c:pt idx="3">
                  <c:v>0.150160869301281</c:v>
                </c:pt>
                <c:pt idx="4">
                  <c:v>0.147371156304902</c:v>
                </c:pt>
                <c:pt idx="5">
                  <c:v>0.139090166167257</c:v>
                </c:pt>
              </c:numCache>
            </c:numRef>
          </c:val>
          <c:smooth val="0"/>
        </c:ser>
        <c:dLbls>
          <c:showLegendKey val="0"/>
          <c:showVal val="0"/>
          <c:showCatName val="0"/>
          <c:showSerName val="0"/>
          <c:showPercent val="0"/>
          <c:showBubbleSize val="0"/>
        </c:dLbls>
        <c:marker val="0"/>
        <c:smooth val="0"/>
        <c:axId val="1376932912"/>
        <c:axId val="378385824"/>
      </c:lineChart>
      <c:catAx>
        <c:axId val="378388704"/>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378384864"/>
        <c:crosses val="autoZero"/>
        <c:auto val="1"/>
        <c:lblAlgn val="ctr"/>
        <c:lblOffset val="100"/>
        <c:noMultiLvlLbl val="0"/>
      </c:catAx>
      <c:valAx>
        <c:axId val="378384864"/>
        <c:scaling>
          <c:orientation val="minMax"/>
        </c:scaling>
        <c:delete val="0"/>
        <c:axPos val="l"/>
        <c:numFmt formatCode="0.00_);[Red]\(0.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378388704"/>
        <c:crosses val="autoZero"/>
        <c:crossBetween val="between"/>
      </c:valAx>
      <c:catAx>
        <c:axId val="1376932912"/>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378385824"/>
        <c:crosses val="autoZero"/>
        <c:auto val="1"/>
        <c:lblAlgn val="ctr"/>
        <c:lblOffset val="100"/>
        <c:noMultiLvlLbl val="0"/>
      </c:catAx>
      <c:valAx>
        <c:axId val="378385824"/>
        <c:scaling>
          <c:orientation val="minMax"/>
        </c:scaling>
        <c:delete val="0"/>
        <c:axPos val="r"/>
        <c:numFmt formatCode="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1376932912"/>
        <c:crosses val="max"/>
        <c:crossBetween val="between"/>
      </c:valAx>
      <c:spPr>
        <a:noFill/>
        <a:ln>
          <a:noFill/>
        </a:ln>
        <a:effectLst/>
      </c:spPr>
    </c:plotArea>
    <c:legend>
      <c:legendPos val="t"/>
      <c:layout>
        <c:manualLayout>
          <c:xMode val="edge"/>
          <c:yMode val="edge"/>
          <c:x val="0.140478309375947"/>
          <c:y val="0.0277777777777778"/>
          <c:w val="0.732215751900791"/>
          <c:h val="0.20355862513772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legend>
    <c:plotVisOnly val="1"/>
    <c:dispBlanksAs val="gap"/>
    <c:showDLblsOverMax val="0"/>
    <c:extLst>
      <c:ext uri="{0b15fc19-7d7d-44ad-8c2d-2c3a37ce22c3}">
        <chartProps xmlns="https://web.wps.cn/et/2018/main" chartId="{5e5b7a6f-1af5-4f93-9b9a-3e68dad5fdb6}"/>
      </c:ext>
    </c:extLst>
  </c:chart>
  <c:spPr>
    <a:solidFill>
      <a:schemeClr val="bg1"/>
    </a:solidFill>
    <a:ln w="9525" cap="flat" cmpd="sng" algn="ctr">
      <a:noFill/>
      <a:round/>
    </a:ln>
    <a:effectLst/>
  </c:spPr>
  <c:txPr>
    <a:bodyPr/>
    <a:lstStyle/>
    <a:p>
      <a:pPr>
        <a:defRPr lang="zh-CN" baseline="0">
          <a:solidFill>
            <a:schemeClr val="tx1"/>
          </a:solidFill>
          <a:latin typeface="Calibri" panose="020F0502020204030204" pitchFamily="2" charset="0"/>
          <a:ea typeface="楷体" panose="02010609060101010101" pitchFamily="3" charset="-122"/>
        </a:defRPr>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营收!$C$62</c:f>
              <c:strCache>
                <c:ptCount val="1"/>
                <c:pt idx="0">
                  <c:v>Operating Profit</c:v>
                </c:pt>
              </c:strCache>
            </c:strRef>
          </c:tx>
          <c:spPr>
            <a:solidFill>
              <a:srgbClr val="002060"/>
            </a:solidFill>
            <a:ln>
              <a:noFill/>
            </a:ln>
            <a:effectLst/>
          </c:spPr>
          <c:invertIfNegative val="0"/>
          <c:dLbls>
            <c:delete val="1"/>
          </c:dLbls>
          <c:cat>
            <c:numRef>
              <c:f>营收!$D$57:$I$57</c:f>
              <c:numCache>
                <c:formatCode>General</c:formatCode>
                <c:ptCount val="6"/>
                <c:pt idx="0">
                  <c:v>2020</c:v>
                </c:pt>
                <c:pt idx="1">
                  <c:v>2021</c:v>
                </c:pt>
                <c:pt idx="2">
                  <c:v>2022</c:v>
                </c:pt>
                <c:pt idx="3">
                  <c:v>2023</c:v>
                </c:pt>
                <c:pt idx="4">
                  <c:v>2024</c:v>
                </c:pt>
                <c:pt idx="5">
                  <c:v>2025</c:v>
                </c:pt>
              </c:numCache>
            </c:numRef>
          </c:cat>
          <c:val>
            <c:numRef>
              <c:f>营收!$D$62:$I$62</c:f>
              <c:numCache>
                <c:formatCode>0.00_);[Red]\(0.00\)</c:formatCode>
                <c:ptCount val="6"/>
                <c:pt idx="0">
                  <c:v>5209</c:v>
                </c:pt>
                <c:pt idx="1">
                  <c:v>6160</c:v>
                </c:pt>
                <c:pt idx="2">
                  <c:v>7457</c:v>
                </c:pt>
                <c:pt idx="3">
                  <c:v>8143</c:v>
                </c:pt>
                <c:pt idx="4">
                  <c:v>8687.5</c:v>
                </c:pt>
                <c:pt idx="5">
                  <c:v>8891.9</c:v>
                </c:pt>
              </c:numCache>
            </c:numRef>
          </c:val>
        </c:ser>
        <c:dLbls>
          <c:showLegendKey val="0"/>
          <c:showVal val="0"/>
          <c:showCatName val="0"/>
          <c:showSerName val="0"/>
          <c:showPercent val="0"/>
          <c:showBubbleSize val="0"/>
        </c:dLbls>
        <c:gapWidth val="219"/>
        <c:overlap val="-27"/>
        <c:axId val="378388704"/>
        <c:axId val="378384864"/>
      </c:barChart>
      <c:lineChart>
        <c:grouping val="standard"/>
        <c:varyColors val="0"/>
        <c:ser>
          <c:idx val="1"/>
          <c:order val="1"/>
          <c:tx>
            <c:strRef>
              <c:f>营收!$C$63</c:f>
              <c:strCache>
                <c:ptCount val="1"/>
                <c:pt idx="0">
                  <c:v>Operating Profit Margin</c:v>
                </c:pt>
              </c:strCache>
            </c:strRef>
          </c:tx>
          <c:spPr>
            <a:ln w="28575" cap="rnd">
              <a:solidFill>
                <a:schemeClr val="bg1">
                  <a:lumMod val="85000"/>
                </a:schemeClr>
              </a:solidFill>
              <a:round/>
            </a:ln>
            <a:effectLst/>
          </c:spPr>
          <c:marker>
            <c:symbol val="none"/>
          </c:marker>
          <c:dLbls>
            <c:delete val="1"/>
          </c:dLbls>
          <c:cat>
            <c:numRef>
              <c:f>营收!$D$57:$I$57</c:f>
              <c:numCache>
                <c:formatCode>General</c:formatCode>
                <c:ptCount val="6"/>
                <c:pt idx="0">
                  <c:v>2020</c:v>
                </c:pt>
                <c:pt idx="1">
                  <c:v>2021</c:v>
                </c:pt>
                <c:pt idx="2">
                  <c:v>2022</c:v>
                </c:pt>
                <c:pt idx="3">
                  <c:v>2023</c:v>
                </c:pt>
                <c:pt idx="4">
                  <c:v>2024</c:v>
                </c:pt>
                <c:pt idx="5">
                  <c:v>2025</c:v>
                </c:pt>
              </c:numCache>
            </c:numRef>
          </c:cat>
          <c:val>
            <c:numRef>
              <c:f>营收!$D$63:$I$63</c:f>
              <c:numCache>
                <c:formatCode>0%</c:formatCode>
                <c:ptCount val="6"/>
                <c:pt idx="0">
                  <c:v>-0.0611031002162942</c:v>
                </c:pt>
                <c:pt idx="1">
                  <c:v>0.182568631215204</c:v>
                </c:pt>
                <c:pt idx="2">
                  <c:v>0.210551948051948</c:v>
                </c:pt>
                <c:pt idx="3">
                  <c:v>0.0919940995038219</c:v>
                </c:pt>
                <c:pt idx="4">
                  <c:v>0.0668672479430185</c:v>
                </c:pt>
                <c:pt idx="5">
                  <c:v>0.0235280575539568</c:v>
                </c:pt>
              </c:numCache>
            </c:numRef>
          </c:val>
          <c:smooth val="0"/>
        </c:ser>
        <c:dLbls>
          <c:showLegendKey val="0"/>
          <c:showVal val="0"/>
          <c:showCatName val="0"/>
          <c:showSerName val="0"/>
          <c:showPercent val="0"/>
          <c:showBubbleSize val="0"/>
        </c:dLbls>
        <c:marker val="0"/>
        <c:smooth val="0"/>
        <c:axId val="1376932912"/>
        <c:axId val="378385824"/>
      </c:lineChart>
      <c:catAx>
        <c:axId val="378388704"/>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378384864"/>
        <c:crosses val="autoZero"/>
        <c:auto val="1"/>
        <c:lblAlgn val="ctr"/>
        <c:lblOffset val="100"/>
        <c:noMultiLvlLbl val="0"/>
      </c:catAx>
      <c:valAx>
        <c:axId val="378384864"/>
        <c:scaling>
          <c:orientation val="minMax"/>
        </c:scaling>
        <c:delete val="0"/>
        <c:axPos val="l"/>
        <c:numFmt formatCode="0.00_);[Red]\(0.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378388704"/>
        <c:crosses val="autoZero"/>
        <c:crossBetween val="between"/>
      </c:valAx>
      <c:catAx>
        <c:axId val="1376932912"/>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378385824"/>
        <c:crosses val="autoZero"/>
        <c:auto val="1"/>
        <c:lblAlgn val="ctr"/>
        <c:lblOffset val="100"/>
        <c:noMultiLvlLbl val="0"/>
      </c:catAx>
      <c:valAx>
        <c:axId val="378385824"/>
        <c:scaling>
          <c:orientation val="minMax"/>
        </c:scaling>
        <c:delete val="0"/>
        <c:axPos val="r"/>
        <c:numFmt formatCode="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1376932912"/>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legend>
    <c:plotVisOnly val="1"/>
    <c:dispBlanksAs val="gap"/>
    <c:showDLblsOverMax val="0"/>
    <c:extLst>
      <c:ext uri="{0b15fc19-7d7d-44ad-8c2d-2c3a37ce22c3}">
        <chartProps xmlns="https://web.wps.cn/et/2018/main" chartId="{b7f43725-9510-4a09-897f-35b9069656ef}"/>
      </c:ext>
    </c:extLst>
  </c:chart>
  <c:spPr>
    <a:solidFill>
      <a:schemeClr val="bg1"/>
    </a:solidFill>
    <a:ln w="9525" cap="flat" cmpd="sng" algn="ctr">
      <a:noFill/>
      <a:round/>
    </a:ln>
    <a:effectLst/>
  </c:spPr>
  <c:txPr>
    <a:bodyPr/>
    <a:lstStyle/>
    <a:p>
      <a:pPr>
        <a:defRPr lang="zh-CN" baseline="0">
          <a:solidFill>
            <a:schemeClr val="tx1"/>
          </a:solidFill>
          <a:latin typeface="Calibri" panose="020F0502020204030204" pitchFamily="2" charset="0"/>
          <a:ea typeface="楷体" panose="02010609060101010101" pitchFamily="3" charset="-122"/>
        </a:defRPr>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9899591789356"/>
          <c:y val="0.165945165945166"/>
          <c:w val="0.779136115356588"/>
          <c:h val="0.729557100816943"/>
        </c:manualLayout>
      </c:layout>
      <c:barChart>
        <c:barDir val="col"/>
        <c:grouping val="clustered"/>
        <c:varyColors val="0"/>
        <c:ser>
          <c:idx val="0"/>
          <c:order val="0"/>
          <c:tx>
            <c:strRef>
              <c:f>Sheet1!$A$11</c:f>
              <c:strCache>
                <c:ptCount val="1"/>
                <c:pt idx="0">
                  <c:v>Total Market Revenue</c:v>
                </c:pt>
              </c:strCache>
            </c:strRef>
          </c:tx>
          <c:spPr>
            <a:solidFill>
              <a:srgbClr val="00488C"/>
            </a:solidFill>
            <a:ln>
              <a:noFill/>
            </a:ln>
            <a:effectLst/>
          </c:spPr>
          <c:invertIfNegative val="0"/>
          <c:dLbls>
            <c:delete val="1"/>
          </c:dLbls>
          <c:cat>
            <c:numRef>
              <c:f>Sheet1!$B$10:$K$10</c:f>
              <c:numCache>
                <c:formatCode>General</c:formatCode>
                <c:ptCount val="10"/>
                <c:pt idx="0">
                  <c:v>2016</c:v>
                </c:pt>
                <c:pt idx="1">
                  <c:v>2017</c:v>
                </c:pt>
                <c:pt idx="2">
                  <c:v>2018</c:v>
                </c:pt>
                <c:pt idx="3">
                  <c:v>2019</c:v>
                </c:pt>
                <c:pt idx="4">
                  <c:v>2020</c:v>
                </c:pt>
                <c:pt idx="5">
                  <c:v>2021</c:v>
                </c:pt>
                <c:pt idx="6">
                  <c:v>2022</c:v>
                </c:pt>
                <c:pt idx="7">
                  <c:v>2023</c:v>
                </c:pt>
                <c:pt idx="8">
                  <c:v>2024</c:v>
                </c:pt>
                <c:pt idx="9">
                  <c:v>2025</c:v>
                </c:pt>
              </c:numCache>
            </c:numRef>
          </c:cat>
          <c:val>
            <c:numRef>
              <c:f>Sheet1!$B$11:$K$11</c:f>
              <c:numCache>
                <c:formatCode>General</c:formatCode>
                <c:ptCount val="10"/>
                <c:pt idx="0">
                  <c:v>473.2</c:v>
                </c:pt>
                <c:pt idx="1">
                  <c:v>503.4</c:v>
                </c:pt>
                <c:pt idx="2">
                  <c:v>550.46</c:v>
                </c:pt>
                <c:pt idx="3">
                  <c:v>559.34</c:v>
                </c:pt>
                <c:pt idx="4">
                  <c:v>530.79</c:v>
                </c:pt>
                <c:pt idx="5">
                  <c:v>559.71</c:v>
                </c:pt>
                <c:pt idx="6">
                  <c:v>581.89</c:v>
                </c:pt>
                <c:pt idx="7">
                  <c:v>626.92</c:v>
                </c:pt>
                <c:pt idx="8">
                  <c:v>651.54</c:v>
                </c:pt>
                <c:pt idx="9">
                  <c:v>677.19</c:v>
                </c:pt>
              </c:numCache>
            </c:numRef>
          </c:val>
        </c:ser>
        <c:dLbls>
          <c:showLegendKey val="0"/>
          <c:showVal val="1"/>
          <c:showCatName val="0"/>
          <c:showSerName val="0"/>
          <c:showPercent val="0"/>
          <c:showBubbleSize val="0"/>
        </c:dLbls>
        <c:gapWidth val="219"/>
        <c:overlap val="-27"/>
        <c:axId val="451138785"/>
        <c:axId val="252592081"/>
      </c:barChart>
      <c:lineChart>
        <c:grouping val="standard"/>
        <c:varyColors val="0"/>
        <c:ser>
          <c:idx val="1"/>
          <c:order val="1"/>
          <c:tx>
            <c:strRef>
              <c:f>Sheet1!$A$12</c:f>
              <c:strCache>
                <c:ptCount val="1"/>
                <c:pt idx="0">
                  <c:v>YoY</c:v>
                </c:pt>
              </c:strCache>
            </c:strRef>
          </c:tx>
          <c:spPr>
            <a:ln w="22225" cap="rnd">
              <a:solidFill>
                <a:schemeClr val="accent2"/>
              </a:solidFill>
              <a:round/>
            </a:ln>
            <a:effectLst/>
          </c:spPr>
          <c:marker>
            <c:symbol val="none"/>
          </c:marker>
          <c:dLbls>
            <c:delete val="1"/>
          </c:dLbls>
          <c:val>
            <c:numRef>
              <c:f>Sheet1!$B$12:$K$12</c:f>
              <c:numCache>
                <c:formatCode>General</c:formatCode>
                <c:ptCount val="10"/>
                <c:pt idx="1" c:formatCode="0%">
                  <c:v>0.0638207945900253</c:v>
                </c:pt>
                <c:pt idx="2" c:formatCode="0%">
                  <c:v>0.0934843067143426</c:v>
                </c:pt>
                <c:pt idx="3" c:formatCode="0%">
                  <c:v>0.0161319623587545</c:v>
                </c:pt>
                <c:pt idx="4" c:formatCode="0%">
                  <c:v>-0.0510422998533988</c:v>
                </c:pt>
                <c:pt idx="5" c:formatCode="0%">
                  <c:v>0.0544848245068673</c:v>
                </c:pt>
                <c:pt idx="6" c:formatCode="0%">
                  <c:v>0.0396276643261688</c:v>
                </c:pt>
                <c:pt idx="7" c:formatCode="0%">
                  <c:v>0.0773857601952259</c:v>
                </c:pt>
                <c:pt idx="8" c:formatCode="0%">
                  <c:v>0.039271358387035</c:v>
                </c:pt>
                <c:pt idx="9" c:formatCode="0%">
                  <c:v>0.0393682659545079</c:v>
                </c:pt>
              </c:numCache>
            </c:numRef>
          </c:val>
          <c:smooth val="0"/>
        </c:ser>
        <c:dLbls>
          <c:showLegendKey val="0"/>
          <c:showVal val="1"/>
          <c:showCatName val="0"/>
          <c:showSerName val="0"/>
          <c:showPercent val="0"/>
          <c:showBubbleSize val="0"/>
        </c:dLbls>
        <c:marker val="0"/>
        <c:smooth val="0"/>
        <c:axId val="889299359"/>
        <c:axId val="504183190"/>
      </c:lineChart>
      <c:catAx>
        <c:axId val="451138785"/>
        <c:scaling>
          <c:orientation val="minMax"/>
        </c:scaling>
        <c:delete val="0"/>
        <c:axPos val="b"/>
        <c:numFmt formatCode="General" sourceLinked="0"/>
        <c:majorTickMark val="in"/>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mn-ea"/>
                <a:cs typeface="Calibri" panose="020F0502020204030204" pitchFamily="2" charset="0"/>
              </a:defRPr>
            </a:pPr>
          </a:p>
        </c:txPr>
        <c:crossAx val="252592081"/>
        <c:crosses val="autoZero"/>
        <c:auto val="1"/>
        <c:lblAlgn val="ctr"/>
        <c:lblOffset val="100"/>
        <c:noMultiLvlLbl val="0"/>
      </c:catAx>
      <c:valAx>
        <c:axId val="252592081"/>
        <c:scaling>
          <c:orientation val="minMax"/>
        </c:scaling>
        <c:delete val="0"/>
        <c:axPos val="l"/>
        <c:numFmt formatCode="General" sourceLinked="1"/>
        <c:majorTickMark val="in"/>
        <c:minorTickMark val="none"/>
        <c:tickLblPos val="nextTo"/>
        <c:spPr>
          <a:noFill/>
          <a:ln>
            <a:solidFill>
              <a:schemeClr val="tx1">
                <a:lumMod val="15000"/>
                <a:lumOff val="85000"/>
              </a:schemeClr>
            </a:solidFill>
          </a:ln>
          <a:effectLst/>
        </c:spPr>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mn-ea"/>
                <a:cs typeface="Calibri" panose="020F0502020204030204" pitchFamily="2" charset="0"/>
              </a:defRPr>
            </a:pPr>
          </a:p>
        </c:txPr>
        <c:crossAx val="451138785"/>
        <c:crosses val="autoZero"/>
        <c:crossBetween val="between"/>
      </c:valAx>
      <c:catAx>
        <c:axId val="889299359"/>
        <c:scaling>
          <c:orientation val="minMax"/>
        </c:scaling>
        <c:delete val="1"/>
        <c:axPos val="b"/>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04183190"/>
        <c:crosses val="autoZero"/>
        <c:auto val="1"/>
        <c:lblAlgn val="ctr"/>
        <c:lblOffset val="100"/>
        <c:noMultiLvlLbl val="0"/>
      </c:catAx>
      <c:valAx>
        <c:axId val="504183190"/>
        <c:scaling>
          <c:orientation val="minMax"/>
        </c:scaling>
        <c:delete val="0"/>
        <c:axPos val="r"/>
        <c:numFmt formatCode="General" sourceLinked="1"/>
        <c:majorTickMark val="in"/>
        <c:minorTickMark val="none"/>
        <c:tickLblPos val="nextTo"/>
        <c:spPr>
          <a:noFill/>
          <a:ln>
            <a:solidFill>
              <a:schemeClr val="tx1">
                <a:lumMod val="15000"/>
                <a:lumOff val="85000"/>
              </a:schemeClr>
            </a:solidFill>
          </a:ln>
          <a:effectLst/>
        </c:spPr>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mn-ea"/>
                <a:cs typeface="Calibri" panose="020F0502020204030204" pitchFamily="2" charset="0"/>
              </a:defRPr>
            </a:pPr>
          </a:p>
        </c:txPr>
        <c:crossAx val="889299359"/>
        <c:crosses val="max"/>
        <c:crossBetween val="between"/>
      </c:valAx>
      <c:spPr>
        <a:noFill/>
        <a:ln>
          <a:noFill/>
        </a:ln>
        <a:effectLst/>
      </c:spPr>
    </c:plotArea>
    <c:legend>
      <c:legendPos val="b"/>
      <c:layout>
        <c:manualLayout>
          <c:xMode val="edge"/>
          <c:yMode val="edge"/>
          <c:x val="0.0905556769963707"/>
          <c:y val="0.0269102362204724"/>
          <c:w val="0.739818582925215"/>
          <c:h val="0.121718876049585"/>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mn-ea"/>
              <a:cs typeface="Calibri" panose="020F0502020204030204" pitchFamily="2" charset="0"/>
            </a:defRPr>
          </a:pPr>
        </a:p>
      </c:txPr>
    </c:legend>
    <c:plotVisOnly val="1"/>
    <c:dispBlanksAs val="gap"/>
    <c:showDLblsOverMax val="0"/>
    <c:extLst>
      <c:ext uri="{0b15fc19-7d7d-44ad-8c2d-2c3a37ce22c3}">
        <chartProps xmlns="https://web.wps.cn/et/2018/main" chartId="{06b20539-89fc-4068-bc4e-39bf30a1f1c3}"/>
      </c:ext>
    </c:extLst>
  </c:chart>
  <c:spPr>
    <a:noFill/>
    <a:ln w="9525" cap="flat" cmpd="sng" algn="ctr">
      <a:noFill/>
      <a:round/>
    </a:ln>
    <a:effectLst/>
  </c:spPr>
  <c:txPr>
    <a:bodyPr/>
    <a:lstStyle/>
    <a:p>
      <a:pPr>
        <a:defRPr lang="zh-CN"/>
      </a:pP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755793778362339"/>
          <c:y val="0.0743243243243243"/>
          <c:w val="0.924420622163766"/>
          <c:h val="0.790133539050862"/>
        </c:manualLayout>
      </c:layout>
      <c:barChart>
        <c:barDir val="col"/>
        <c:grouping val="clustered"/>
        <c:varyColors val="0"/>
        <c:ser>
          <c:idx val="1"/>
          <c:order val="0"/>
          <c:tx>
            <c:strRef>
              <c:f>Sheet1!$A$17</c:f>
              <c:strCache>
                <c:ptCount val="1"/>
                <c:pt idx="0">
                  <c:v>Total Market Revenue</c:v>
                </c:pt>
              </c:strCache>
            </c:strRef>
          </c:tx>
          <c:spPr>
            <a:solidFill>
              <a:srgbClr val="00488C"/>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700" b="0" i="0" u="none" strike="noStrike" kern="1200" baseline="0">
                    <a:solidFill>
                      <a:schemeClr val="tx1">
                        <a:lumMod val="75000"/>
                        <a:lumOff val="25000"/>
                      </a:schemeClr>
                    </a:solidFill>
                    <a:latin typeface="Calibri" panose="020F0502020204030204" pitchFamily="2" charset="0"/>
                    <a:ea typeface="+mn-ea"/>
                    <a:cs typeface="Calibri" panose="020F0502020204030204" pitchFamily="2"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Sheet1!$B$16:$F$16</c:f>
              <c:numCache>
                <c:formatCode>General</c:formatCode>
                <c:ptCount val="5"/>
                <c:pt idx="0">
                  <c:v>2026</c:v>
                </c:pt>
                <c:pt idx="1">
                  <c:v>2027</c:v>
                </c:pt>
                <c:pt idx="2">
                  <c:v>2028</c:v>
                </c:pt>
                <c:pt idx="3">
                  <c:v>2029</c:v>
                </c:pt>
                <c:pt idx="4">
                  <c:v>2030</c:v>
                </c:pt>
              </c:numCache>
            </c:numRef>
          </c:cat>
          <c:val>
            <c:numRef>
              <c:f>Sheet1!$B$17:$F$17</c:f>
              <c:numCache>
                <c:formatCode>General</c:formatCode>
                <c:ptCount val="5"/>
                <c:pt idx="0">
                  <c:v>703.31</c:v>
                </c:pt>
                <c:pt idx="1">
                  <c:v>728.47</c:v>
                </c:pt>
                <c:pt idx="2">
                  <c:v>752.81</c:v>
                </c:pt>
                <c:pt idx="3">
                  <c:v>776.33</c:v>
                </c:pt>
                <c:pt idx="4">
                  <c:v>799.07</c:v>
                </c:pt>
              </c:numCache>
            </c:numRef>
          </c:val>
        </c:ser>
        <c:dLbls>
          <c:showLegendKey val="0"/>
          <c:showVal val="1"/>
          <c:showCatName val="0"/>
          <c:showSerName val="0"/>
          <c:showPercent val="0"/>
          <c:showBubbleSize val="0"/>
        </c:dLbls>
        <c:gapWidth val="219"/>
        <c:overlap val="-27"/>
        <c:axId val="219881055"/>
        <c:axId val="219686927"/>
      </c:barChart>
      <c:catAx>
        <c:axId val="219881055"/>
        <c:scaling>
          <c:orientation val="minMax"/>
        </c:scaling>
        <c:delete val="0"/>
        <c:axPos val="b"/>
        <c:numFmt formatCode="General" sourceLinked="1"/>
        <c:majorTickMark val="in"/>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mn-ea"/>
                <a:cs typeface="Calibri" panose="020F0502020204030204" pitchFamily="2" charset="0"/>
              </a:defRPr>
            </a:pPr>
          </a:p>
        </c:txPr>
        <c:crossAx val="219686927"/>
        <c:crosses val="autoZero"/>
        <c:auto val="1"/>
        <c:lblAlgn val="ctr"/>
        <c:lblOffset val="100"/>
        <c:noMultiLvlLbl val="0"/>
      </c:catAx>
      <c:valAx>
        <c:axId val="219686927"/>
        <c:scaling>
          <c:orientation val="minMax"/>
        </c:scaling>
        <c:delete val="0"/>
        <c:axPos val="l"/>
        <c:numFmt formatCode="General" sourceLinked="1"/>
        <c:majorTickMark val="in"/>
        <c:minorTickMark val="none"/>
        <c:tickLblPos val="nextTo"/>
        <c:spPr>
          <a:noFill/>
          <a:ln>
            <a:solidFill>
              <a:schemeClr val="bg2">
                <a:lumMod val="90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mn-ea"/>
                <a:cs typeface="Calibri" panose="020F0502020204030204" pitchFamily="2" charset="0"/>
              </a:defRPr>
            </a:pPr>
          </a:p>
        </c:txPr>
        <c:crossAx val="219881055"/>
        <c:crosses val="autoZero"/>
        <c:crossBetween val="between"/>
      </c:valAx>
      <c:spPr>
        <a:noFill/>
        <a:ln w="25400">
          <a:noFill/>
        </a:ln>
        <a:effectLst/>
      </c:spPr>
    </c:plotArea>
    <c:legend>
      <c:legendPos val="b"/>
      <c:layout>
        <c:manualLayout>
          <c:xMode val="edge"/>
          <c:yMode val="edge"/>
          <c:x val="0.270397499724657"/>
          <c:y val="0.0211470525643754"/>
          <c:w val="0.442987688570147"/>
          <c:h val="0.11398808257076"/>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mn-ea"/>
              <a:cs typeface="Calibri" panose="020F0502020204030204" pitchFamily="2" charset="0"/>
            </a:defRPr>
          </a:pPr>
        </a:p>
      </c:txPr>
    </c:legend>
    <c:plotVisOnly val="1"/>
    <c:dispBlanksAs val="gap"/>
    <c:showDLblsOverMax val="0"/>
    <c:extLst>
      <c:ext uri="{0b15fc19-7d7d-44ad-8c2d-2c3a37ce22c3}">
        <chartProps xmlns="https://web.wps.cn/et/2018/main" chartId="{02249726-8ce5-469c-9b96-becaba42f43b}"/>
      </c:ext>
    </c:extLst>
  </c:chart>
  <c:spPr>
    <a:noFill/>
    <a:ln w="9525" cap="flat" cmpd="sng" algn="ctr">
      <a:noFill/>
      <a:round/>
    </a:ln>
    <a:effectLst/>
  </c:spPr>
  <c:txPr>
    <a:bodyPr/>
    <a:lstStyle/>
    <a:p>
      <a:pPr>
        <a:defRPr lang="zh-CN"/>
      </a:pPr>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Sheet1!$A$31</c:f>
              <c:strCache>
                <c:ptCount val="1"/>
                <c:pt idx="0">
                  <c:v>Personal Care</c:v>
                </c:pt>
              </c:strCache>
            </c:strRef>
          </c:tx>
          <c:spPr>
            <a:solidFill>
              <a:srgbClr val="00488C"/>
            </a:solidFill>
            <a:ln>
              <a:noFill/>
            </a:ln>
            <a:effectLst/>
          </c:spPr>
          <c:invertIfNegative val="0"/>
          <c:dLbls>
            <c:delete val="1"/>
          </c:dLbls>
          <c:cat>
            <c:numRef>
              <c:f>Sheet1!$B$30:$I$30</c:f>
              <c:numCache>
                <c:formatCode>General</c:formatCode>
                <c:ptCount val="8"/>
                <c:pt idx="0">
                  <c:v>2018</c:v>
                </c:pt>
                <c:pt idx="1">
                  <c:v>2019</c:v>
                </c:pt>
                <c:pt idx="2">
                  <c:v>2020</c:v>
                </c:pt>
                <c:pt idx="3">
                  <c:v>2021</c:v>
                </c:pt>
                <c:pt idx="4">
                  <c:v>2022</c:v>
                </c:pt>
                <c:pt idx="5">
                  <c:v>2023</c:v>
                </c:pt>
                <c:pt idx="6">
                  <c:v>2024</c:v>
                </c:pt>
                <c:pt idx="7">
                  <c:v>2025</c:v>
                </c:pt>
              </c:numCache>
            </c:numRef>
          </c:cat>
          <c:val>
            <c:numRef>
              <c:f>Sheet1!$B$31:$I$31</c:f>
              <c:numCache>
                <c:formatCode>General</c:formatCode>
                <c:ptCount val="8"/>
                <c:pt idx="0">
                  <c:v>242.84</c:v>
                </c:pt>
                <c:pt idx="1">
                  <c:v>245.16</c:v>
                </c:pt>
                <c:pt idx="2">
                  <c:v>243.92</c:v>
                </c:pt>
                <c:pt idx="3">
                  <c:v>255.57</c:v>
                </c:pt>
                <c:pt idx="4">
                  <c:v>258.89</c:v>
                </c:pt>
                <c:pt idx="5">
                  <c:v>274.24</c:v>
                </c:pt>
                <c:pt idx="6">
                  <c:v>283.85</c:v>
                </c:pt>
                <c:pt idx="7">
                  <c:v>293.08</c:v>
                </c:pt>
              </c:numCache>
            </c:numRef>
          </c:val>
        </c:ser>
        <c:ser>
          <c:idx val="1"/>
          <c:order val="1"/>
          <c:tx>
            <c:strRef>
              <c:f>Sheet1!$A$32</c:f>
              <c:strCache>
                <c:ptCount val="1"/>
                <c:pt idx="0">
                  <c:v>Skin Care</c:v>
                </c:pt>
              </c:strCache>
            </c:strRef>
          </c:tx>
          <c:spPr>
            <a:solidFill>
              <a:schemeClr val="tx2">
                <a:lumMod val="50000"/>
                <a:lumOff val="50000"/>
              </a:schemeClr>
            </a:solidFill>
            <a:ln>
              <a:noFill/>
            </a:ln>
            <a:effectLst/>
          </c:spPr>
          <c:invertIfNegative val="0"/>
          <c:dLbls>
            <c:delete val="1"/>
          </c:dLbls>
          <c:cat>
            <c:numRef>
              <c:f>Sheet1!$B$30:$I$30</c:f>
              <c:numCache>
                <c:formatCode>General</c:formatCode>
                <c:ptCount val="8"/>
                <c:pt idx="0">
                  <c:v>2018</c:v>
                </c:pt>
                <c:pt idx="1">
                  <c:v>2019</c:v>
                </c:pt>
                <c:pt idx="2">
                  <c:v>2020</c:v>
                </c:pt>
                <c:pt idx="3">
                  <c:v>2021</c:v>
                </c:pt>
                <c:pt idx="4">
                  <c:v>2022</c:v>
                </c:pt>
                <c:pt idx="5">
                  <c:v>2023</c:v>
                </c:pt>
                <c:pt idx="6">
                  <c:v>2024</c:v>
                </c:pt>
                <c:pt idx="7">
                  <c:v>2025</c:v>
                </c:pt>
              </c:numCache>
            </c:numRef>
          </c:cat>
          <c:val>
            <c:numRef>
              <c:f>Sheet1!$B$32:$I$32</c:f>
              <c:numCache>
                <c:formatCode>General</c:formatCode>
                <c:ptCount val="8"/>
                <c:pt idx="0">
                  <c:v>160.04</c:v>
                </c:pt>
                <c:pt idx="1">
                  <c:v>163.79</c:v>
                </c:pt>
                <c:pt idx="2">
                  <c:v>158.45</c:v>
                </c:pt>
                <c:pt idx="3">
                  <c:v>164.36</c:v>
                </c:pt>
                <c:pt idx="4">
                  <c:v>168.62</c:v>
                </c:pt>
                <c:pt idx="5">
                  <c:v>182.81</c:v>
                </c:pt>
                <c:pt idx="6">
                  <c:v>190.27</c:v>
                </c:pt>
                <c:pt idx="7">
                  <c:v>198.35</c:v>
                </c:pt>
              </c:numCache>
            </c:numRef>
          </c:val>
        </c:ser>
        <c:ser>
          <c:idx val="2"/>
          <c:order val="2"/>
          <c:tx>
            <c:strRef>
              <c:f>Sheet1!$A$33</c:f>
              <c:strCache>
                <c:ptCount val="1"/>
                <c:pt idx="0">
                  <c:v>Cosmetics</c:v>
                </c:pt>
              </c:strCache>
            </c:strRef>
          </c:tx>
          <c:spPr>
            <a:solidFill>
              <a:schemeClr val="bg1">
                <a:lumMod val="85000"/>
              </a:schemeClr>
            </a:solidFill>
            <a:ln>
              <a:noFill/>
            </a:ln>
            <a:effectLst/>
          </c:spPr>
          <c:invertIfNegative val="0"/>
          <c:dLbls>
            <c:delete val="1"/>
          </c:dLbls>
          <c:cat>
            <c:numRef>
              <c:f>Sheet1!$B$30:$I$30</c:f>
              <c:numCache>
                <c:formatCode>General</c:formatCode>
                <c:ptCount val="8"/>
                <c:pt idx="0">
                  <c:v>2018</c:v>
                </c:pt>
                <c:pt idx="1">
                  <c:v>2019</c:v>
                </c:pt>
                <c:pt idx="2">
                  <c:v>2020</c:v>
                </c:pt>
                <c:pt idx="3">
                  <c:v>2021</c:v>
                </c:pt>
                <c:pt idx="4">
                  <c:v>2022</c:v>
                </c:pt>
                <c:pt idx="5">
                  <c:v>2023</c:v>
                </c:pt>
                <c:pt idx="6">
                  <c:v>2024</c:v>
                </c:pt>
                <c:pt idx="7">
                  <c:v>2025</c:v>
                </c:pt>
              </c:numCache>
            </c:numRef>
          </c:cat>
          <c:val>
            <c:numRef>
              <c:f>Sheet1!$B$33:$I$33</c:f>
              <c:numCache>
                <c:formatCode>General</c:formatCode>
                <c:ptCount val="8"/>
                <c:pt idx="0">
                  <c:v>87.59</c:v>
                </c:pt>
                <c:pt idx="1">
                  <c:v>89.89</c:v>
                </c:pt>
                <c:pt idx="2">
                  <c:v>72.37</c:v>
                </c:pt>
                <c:pt idx="3">
                  <c:v>80.74</c:v>
                </c:pt>
                <c:pt idx="4">
                  <c:v>93.06</c:v>
                </c:pt>
                <c:pt idx="5">
                  <c:v>103.74</c:v>
                </c:pt>
                <c:pt idx="6">
                  <c:v>108.97</c:v>
                </c:pt>
                <c:pt idx="7">
                  <c:v>114.69</c:v>
                </c:pt>
              </c:numCache>
            </c:numRef>
          </c:val>
        </c:ser>
        <c:ser>
          <c:idx val="3"/>
          <c:order val="3"/>
          <c:tx>
            <c:strRef>
              <c:f>Sheet1!$A$34</c:f>
              <c:strCache>
                <c:ptCount val="1"/>
                <c:pt idx="0">
                  <c:v>Fragrances</c:v>
                </c:pt>
              </c:strCache>
            </c:strRef>
          </c:tx>
          <c:spPr>
            <a:solidFill>
              <a:schemeClr val="accent1">
                <a:lumMod val="20000"/>
                <a:lumOff val="80000"/>
              </a:schemeClr>
            </a:solidFill>
            <a:ln>
              <a:noFill/>
            </a:ln>
            <a:effectLst/>
          </c:spPr>
          <c:invertIfNegative val="0"/>
          <c:dLbls>
            <c:delete val="1"/>
          </c:dLbls>
          <c:cat>
            <c:numRef>
              <c:f>Sheet1!$B$30:$I$30</c:f>
              <c:numCache>
                <c:formatCode>General</c:formatCode>
                <c:ptCount val="8"/>
                <c:pt idx="0">
                  <c:v>2018</c:v>
                </c:pt>
                <c:pt idx="1">
                  <c:v>2019</c:v>
                </c:pt>
                <c:pt idx="2">
                  <c:v>2020</c:v>
                </c:pt>
                <c:pt idx="3">
                  <c:v>2021</c:v>
                </c:pt>
                <c:pt idx="4">
                  <c:v>2022</c:v>
                </c:pt>
                <c:pt idx="5">
                  <c:v>2023</c:v>
                </c:pt>
                <c:pt idx="6">
                  <c:v>2024</c:v>
                </c:pt>
                <c:pt idx="7">
                  <c:v>2025</c:v>
                </c:pt>
              </c:numCache>
            </c:numRef>
          </c:cat>
          <c:val>
            <c:numRef>
              <c:f>Sheet1!$B$34:$I$34</c:f>
              <c:numCache>
                <c:formatCode>General</c:formatCode>
                <c:ptCount val="8"/>
                <c:pt idx="0">
                  <c:v>53.08</c:v>
                </c:pt>
                <c:pt idx="1">
                  <c:v>53.28</c:v>
                </c:pt>
                <c:pt idx="2">
                  <c:v>46.54</c:v>
                </c:pt>
                <c:pt idx="3">
                  <c:v>50.58</c:v>
                </c:pt>
                <c:pt idx="4">
                  <c:v>53.44</c:v>
                </c:pt>
                <c:pt idx="5">
                  <c:v>57.91</c:v>
                </c:pt>
                <c:pt idx="6">
                  <c:v>59.88</c:v>
                </c:pt>
                <c:pt idx="7">
                  <c:v>62.11</c:v>
                </c:pt>
              </c:numCache>
            </c:numRef>
          </c:val>
        </c:ser>
        <c:ser>
          <c:idx val="4"/>
          <c:order val="4"/>
          <c:tx>
            <c:strRef>
              <c:f>Sheet1!$A$35</c:f>
              <c:strCache>
                <c:ptCount val="1"/>
                <c:pt idx="0">
                  <c:v>Beauty Tech</c:v>
                </c:pt>
              </c:strCache>
            </c:strRef>
          </c:tx>
          <c:spPr>
            <a:solidFill>
              <a:schemeClr val="accent2"/>
            </a:solidFill>
            <a:ln>
              <a:noFill/>
            </a:ln>
            <a:effectLst>
              <a:outerShdw blurRad="50800" dist="50800" dir="5400000" algn="ctr" rotWithShape="0">
                <a:schemeClr val="accent2">
                  <a:lumMod val="20000"/>
                  <a:lumOff val="80000"/>
                </a:schemeClr>
              </a:outerShdw>
            </a:effectLst>
          </c:spPr>
          <c:invertIfNegative val="0"/>
          <c:dLbls>
            <c:delete val="1"/>
          </c:dLbls>
          <c:cat>
            <c:numRef>
              <c:f>Sheet1!$B$30:$I$30</c:f>
              <c:numCache>
                <c:formatCode>General</c:formatCode>
                <c:ptCount val="8"/>
                <c:pt idx="0">
                  <c:v>2018</c:v>
                </c:pt>
                <c:pt idx="1">
                  <c:v>2019</c:v>
                </c:pt>
                <c:pt idx="2">
                  <c:v>2020</c:v>
                </c:pt>
                <c:pt idx="3">
                  <c:v>2021</c:v>
                </c:pt>
                <c:pt idx="4">
                  <c:v>2022</c:v>
                </c:pt>
                <c:pt idx="5">
                  <c:v>2023</c:v>
                </c:pt>
                <c:pt idx="6">
                  <c:v>2024</c:v>
                </c:pt>
                <c:pt idx="7">
                  <c:v>2025</c:v>
                </c:pt>
              </c:numCache>
            </c:numRef>
          </c:cat>
          <c:val>
            <c:numRef>
              <c:f>Sheet1!$B$35:$I$35</c:f>
              <c:numCache>
                <c:formatCode>General</c:formatCode>
                <c:ptCount val="8"/>
                <c:pt idx="0">
                  <c:v>6.92</c:v>
                </c:pt>
                <c:pt idx="1">
                  <c:v>7.23</c:v>
                </c:pt>
                <c:pt idx="2">
                  <c:v>9.51</c:v>
                </c:pt>
                <c:pt idx="3">
                  <c:v>8.46</c:v>
                </c:pt>
                <c:pt idx="4">
                  <c:v>7.89</c:v>
                </c:pt>
                <c:pt idx="5">
                  <c:v>8.23</c:v>
                </c:pt>
                <c:pt idx="6">
                  <c:v>8.56</c:v>
                </c:pt>
                <c:pt idx="7">
                  <c:v>8.96</c:v>
                </c:pt>
              </c:numCache>
            </c:numRef>
          </c:val>
        </c:ser>
        <c:dLbls>
          <c:showLegendKey val="0"/>
          <c:showVal val="0"/>
          <c:showCatName val="0"/>
          <c:showSerName val="0"/>
          <c:showPercent val="0"/>
          <c:showBubbleSize val="0"/>
        </c:dLbls>
        <c:gapWidth val="150"/>
        <c:overlap val="100"/>
        <c:axId val="712547071"/>
        <c:axId val="712548783"/>
      </c:barChart>
      <c:catAx>
        <c:axId val="712547071"/>
        <c:scaling>
          <c:orientation val="minMax"/>
        </c:scaling>
        <c:delete val="0"/>
        <c:axPos val="b"/>
        <c:numFmt formatCode="General" sourceLinked="1"/>
        <c:majorTickMark val="in"/>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mn-ea"/>
                <a:cs typeface="Calibri" panose="020F0502020204030204" pitchFamily="2" charset="0"/>
              </a:defRPr>
            </a:pPr>
          </a:p>
        </c:txPr>
        <c:crossAx val="712548783"/>
        <c:crosses val="autoZero"/>
        <c:auto val="1"/>
        <c:lblAlgn val="ctr"/>
        <c:lblOffset val="100"/>
        <c:noMultiLvlLbl val="0"/>
      </c:catAx>
      <c:valAx>
        <c:axId val="712548783"/>
        <c:scaling>
          <c:orientation val="minMax"/>
        </c:scaling>
        <c:delete val="0"/>
        <c:axPos val="l"/>
        <c:numFmt formatCode="General" sourceLinked="1"/>
        <c:majorTickMark val="in"/>
        <c:minorTickMark val="none"/>
        <c:tickLblPos val="nextTo"/>
        <c:spPr>
          <a:noFill/>
          <a:ln>
            <a:solidFill>
              <a:schemeClr val="tx1">
                <a:lumMod val="15000"/>
                <a:lumOff val="8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mn-ea"/>
                <a:cs typeface="Calibri" panose="020F0502020204030204" pitchFamily="2" charset="0"/>
              </a:defRPr>
            </a:pPr>
          </a:p>
        </c:txPr>
        <c:crossAx val="712547071"/>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mn-ea"/>
              <a:cs typeface="Calibri" panose="020F0502020204030204" pitchFamily="2" charset="0"/>
            </a:defRPr>
          </a:pPr>
        </a:p>
      </c:txPr>
    </c:legend>
    <c:plotVisOnly val="1"/>
    <c:dispBlanksAs val="gap"/>
    <c:showDLblsOverMax val="0"/>
    <c:extLst>
      <c:ext uri="{0b15fc19-7d7d-44ad-8c2d-2c3a37ce22c3}">
        <chartProps xmlns="https://web.wps.cn/et/2018/main" chartId="{75b6d9b8-b445-4165-a786-e2318b65f5c0}"/>
      </c:ext>
    </c:extLst>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ln w="19050">
              <a:noFill/>
            </a:ln>
          </c:spPr>
          <c:explosion val="0"/>
          <c:dPt>
            <c:idx val="0"/>
            <c:bubble3D val="0"/>
            <c:spPr>
              <a:solidFill>
                <a:srgbClr val="00488C"/>
              </a:solidFill>
              <a:ln w="19050">
                <a:noFill/>
              </a:ln>
              <a:effectLst/>
            </c:spPr>
          </c:dPt>
          <c:dPt>
            <c:idx val="1"/>
            <c:bubble3D val="0"/>
            <c:spPr>
              <a:solidFill>
                <a:schemeClr val="tx2">
                  <a:lumMod val="50000"/>
                  <a:lumOff val="50000"/>
                </a:schemeClr>
              </a:solidFill>
              <a:ln w="19050">
                <a:noFill/>
              </a:ln>
              <a:effectLst/>
            </c:spPr>
          </c:dPt>
          <c:dPt>
            <c:idx val="2"/>
            <c:bubble3D val="0"/>
            <c:spPr>
              <a:solidFill>
                <a:schemeClr val="bg1">
                  <a:lumMod val="85000"/>
                </a:schemeClr>
              </a:solidFill>
              <a:ln w="19050">
                <a:noFill/>
              </a:ln>
              <a:effectLst/>
            </c:spPr>
          </c:dPt>
          <c:dPt>
            <c:idx val="3"/>
            <c:bubble3D val="0"/>
            <c:spPr>
              <a:solidFill>
                <a:schemeClr val="tx2">
                  <a:lumMod val="25000"/>
                  <a:lumOff val="75000"/>
                </a:schemeClr>
              </a:solidFill>
              <a:ln w="19050">
                <a:noFill/>
              </a:ln>
              <a:effectLst/>
            </c:spPr>
          </c:dPt>
          <c:dPt>
            <c:idx val="4"/>
            <c:bubble3D val="0"/>
            <c:spPr>
              <a:solidFill>
                <a:schemeClr val="accent2"/>
              </a:solidFill>
              <a:ln w="19050">
                <a:noFill/>
              </a:ln>
              <a:effectLst/>
            </c:spPr>
          </c:dPt>
          <c:dLbls>
            <c:delete val="1"/>
          </c:dLbls>
          <c:cat>
            <c:strRef>
              <c:f>Sheet1!$A$48:$A$52</c:f>
              <c:strCache>
                <c:ptCount val="5"/>
                <c:pt idx="0">
                  <c:v>Personal Care</c:v>
                </c:pt>
                <c:pt idx="1">
                  <c:v>Skin Care</c:v>
                </c:pt>
                <c:pt idx="2">
                  <c:v>Cosmetics</c:v>
                </c:pt>
                <c:pt idx="3">
                  <c:v>Fragrances</c:v>
                </c:pt>
                <c:pt idx="4">
                  <c:v>Beauty Tech</c:v>
                </c:pt>
              </c:strCache>
            </c:strRef>
          </c:cat>
          <c:val>
            <c:numRef>
              <c:f>Sheet1!$E$48:$E$52</c:f>
              <c:numCache>
                <c:formatCode>0.00%</c:formatCode>
                <c:ptCount val="5"/>
                <c:pt idx="0">
                  <c:v>0.4066</c:v>
                </c:pt>
                <c:pt idx="1">
                  <c:v>0.2932</c:v>
                </c:pt>
                <c:pt idx="2">
                  <c:v>0.2104</c:v>
                </c:pt>
                <c:pt idx="3">
                  <c:v>0.0749</c:v>
                </c:pt>
                <c:pt idx="4">
                  <c:v>0.0147</c:v>
                </c:pt>
              </c:numCache>
            </c:numRef>
          </c:val>
        </c:ser>
        <c:dLbls>
          <c:showLegendKey val="0"/>
          <c:showVal val="0"/>
          <c:showCatName val="0"/>
          <c:showSerName val="0"/>
          <c:showPercent val="0"/>
          <c:showBubbleSize val="0"/>
          <c:showLeaderLines val="1"/>
        </c:dLbls>
        <c:firstSliceAng val="0"/>
      </c:pieChart>
      <c:spPr>
        <a:noFill/>
        <a:ln>
          <a:noFill/>
        </a:ln>
        <a:effectLst/>
      </c:spPr>
    </c:plotArea>
    <c:legend>
      <c:legendPos val="l"/>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mn-ea"/>
              <a:cs typeface="Calibri" panose="020F0502020204030204" pitchFamily="2" charset="0"/>
            </a:defRPr>
          </a:pPr>
        </a:p>
      </c:txPr>
    </c:legend>
    <c:plotVisOnly val="1"/>
    <c:dispBlanksAs val="gap"/>
    <c:showDLblsOverMax val="0"/>
    <c:extLst>
      <c:ext uri="{0b15fc19-7d7d-44ad-8c2d-2c3a37ce22c3}">
        <chartProps xmlns="https://web.wps.cn/et/2018/main" chartId="{dff04062-793e-4cab-9970-950de56002b2}"/>
      </c:ext>
    </c:extLst>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598177934850726"/>
          <c:y val="0.023948401570387"/>
          <c:w val="0.913111280689264"/>
          <c:h val="0.775805618240513"/>
        </c:manualLayout>
      </c:layout>
      <c:barChart>
        <c:barDir val="col"/>
        <c:grouping val="clustered"/>
        <c:varyColors val="0"/>
        <c:ser>
          <c:idx val="0"/>
          <c:order val="0"/>
          <c:tx>
            <c:strRef>
              <c:f>Sheet1!$B$208</c:f>
              <c:strCache>
                <c:ptCount val="1"/>
                <c:pt idx="0">
                  <c:v>% of Respondents</c:v>
                </c:pt>
              </c:strCache>
            </c:strRef>
          </c:tx>
          <c:spPr>
            <a:solidFill>
              <a:srgbClr val="00488C"/>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700" b="0" i="0" u="none" strike="noStrike" kern="1200" baseline="0">
                    <a:solidFill>
                      <a:schemeClr val="tx1">
                        <a:lumMod val="75000"/>
                        <a:lumOff val="25000"/>
                      </a:schemeClr>
                    </a:solidFill>
                    <a:latin typeface="Calibri" panose="020F0502020204030204" pitchFamily="2" charset="0"/>
                    <a:ea typeface="+mn-ea"/>
                    <a:cs typeface="Calibri" panose="020F0502020204030204" pitchFamily="2"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Sheet1!$A$209:$A$217</c:f>
              <c:strCache>
                <c:ptCount val="9"/>
                <c:pt idx="0">
                  <c:v>Low price</c:v>
                </c:pt>
                <c:pt idx="1">
                  <c:v>Products for specific skin or hair needs</c:v>
                </c:pt>
                <c:pt idx="2">
                  <c:v>Beneficial ingredients</c:v>
                </c:pt>
                <c:pt idx="3">
                  <c:v>Efficacy</c:v>
                </c:pt>
                <c:pt idx="4">
                  <c:v>Natural / organic offerings</c:v>
                </c:pt>
                <c:pt idx="5">
                  <c:v>Range of fun and exciting scents</c:v>
                </c:pt>
                <c:pt idx="6">
                  <c:v>Ability to buy in bulk / large sizes</c:v>
                </c:pt>
                <c:pt idx="7">
                  <c:v>Sensory experience</c:v>
                </c:pt>
                <c:pt idx="8">
                  <c:v>Newness and variety</c:v>
                </c:pt>
              </c:strCache>
            </c:strRef>
          </c:cat>
          <c:val>
            <c:numRef>
              <c:f>Sheet1!$B$209:$B$217</c:f>
              <c:numCache>
                <c:formatCode>0%</c:formatCode>
                <c:ptCount val="9"/>
                <c:pt idx="0">
                  <c:v>0.56</c:v>
                </c:pt>
                <c:pt idx="1">
                  <c:v>0.5</c:v>
                </c:pt>
                <c:pt idx="2">
                  <c:v>0.35</c:v>
                </c:pt>
                <c:pt idx="3">
                  <c:v>0.22</c:v>
                </c:pt>
                <c:pt idx="4">
                  <c:v>0.22</c:v>
                </c:pt>
                <c:pt idx="5">
                  <c:v>0.17</c:v>
                </c:pt>
                <c:pt idx="6">
                  <c:v>0.16</c:v>
                </c:pt>
                <c:pt idx="7">
                  <c:v>0.13</c:v>
                </c:pt>
                <c:pt idx="8">
                  <c:v>0.1</c:v>
                </c:pt>
              </c:numCache>
            </c:numRef>
          </c:val>
        </c:ser>
        <c:dLbls>
          <c:showLegendKey val="0"/>
          <c:showVal val="1"/>
          <c:showCatName val="0"/>
          <c:showSerName val="0"/>
          <c:showPercent val="0"/>
          <c:showBubbleSize val="0"/>
        </c:dLbls>
        <c:gapWidth val="219"/>
        <c:overlap val="-27"/>
        <c:axId val="587430991"/>
        <c:axId val="587432703"/>
      </c:barChart>
      <c:catAx>
        <c:axId val="5874309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0"/>
          <a:lstStyle/>
          <a:p>
            <a:pPr>
              <a:defRPr lang="zh-CN" sz="7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crossAx val="587432703"/>
        <c:crosses val="autoZero"/>
        <c:auto val="1"/>
        <c:lblAlgn val="ctr"/>
        <c:lblOffset val="100"/>
        <c:noMultiLvlLbl val="0"/>
      </c:catAx>
      <c:valAx>
        <c:axId val="587432703"/>
        <c:scaling>
          <c:orientation val="minMax"/>
        </c:scaling>
        <c:delete val="0"/>
        <c:axPos val="l"/>
        <c:numFmt formatCode="0%" sourceLinked="1"/>
        <c:majorTickMark val="in"/>
        <c:minorTickMark val="none"/>
        <c:tickLblPos val="nextTo"/>
        <c:spPr>
          <a:noFill/>
          <a:ln>
            <a:solidFill>
              <a:schemeClr val="bg2">
                <a:lumMod val="90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mn-ea"/>
                <a:cs typeface="Calibri" panose="020F0502020204030204" pitchFamily="2" charset="0"/>
              </a:defRPr>
            </a:pPr>
          </a:p>
        </c:txPr>
        <c:crossAx val="587430991"/>
        <c:crosses val="autoZero"/>
        <c:crossBetween val="between"/>
      </c:valAx>
      <c:spPr>
        <a:noFill/>
        <a:ln>
          <a:noFill/>
        </a:ln>
        <a:effectLst/>
      </c:spPr>
    </c:plotArea>
    <c:legend>
      <c:legendPos val="b"/>
      <c:layout>
        <c:manualLayout>
          <c:xMode val="edge"/>
          <c:yMode val="edge"/>
          <c:x val="0.729384317620828"/>
          <c:y val="0.0304529656731776"/>
          <c:w val="0.245075223068692"/>
          <c:h val="0.0946171408887966"/>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mn-ea"/>
              <a:cs typeface="Calibri" panose="020F0502020204030204" pitchFamily="2" charset="0"/>
            </a:defRPr>
          </a:pPr>
        </a:p>
      </c:txPr>
    </c:legend>
    <c:plotVisOnly val="1"/>
    <c:dispBlanksAs val="gap"/>
    <c:showDLblsOverMax val="0"/>
    <c:extLst>
      <c:ext uri="{0b15fc19-7d7d-44ad-8c2d-2c3a37ce22c3}">
        <chartProps xmlns="https://web.wps.cn/et/2018/main" chartId="{5bfdd1c0-0909-4182-b241-b78d65486a4e}"/>
      </c:ext>
    </c:extLst>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rgbClr val="00488C"/>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Calibri" panose="020F0502020204030204" pitchFamily="2" charset="0"/>
                    <a:ea typeface="+mn-ea"/>
                    <a:cs typeface="Calibri" panose="020F0502020204030204" pitchFamily="2"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Sheet1!$A$64:$A$68</c:f>
              <c:strCache>
                <c:ptCount val="5"/>
                <c:pt idx="0">
                  <c:v>Mass market</c:v>
                </c:pt>
                <c:pt idx="1">
                  <c:v>Masstige</c:v>
                </c:pt>
                <c:pt idx="2">
                  <c:v>Entry prestige</c:v>
                </c:pt>
                <c:pt idx="3">
                  <c:v>Prestige </c:v>
                </c:pt>
                <c:pt idx="4">
                  <c:v>Luxury</c:v>
                </c:pt>
              </c:strCache>
            </c:strRef>
          </c:cat>
          <c:val>
            <c:numRef>
              <c:f>Sheet1!$B$64:$B$68</c:f>
              <c:numCache>
                <c:formatCode>0%</c:formatCode>
                <c:ptCount val="5"/>
                <c:pt idx="0">
                  <c:v>0.05</c:v>
                </c:pt>
                <c:pt idx="1">
                  <c:v>0.06</c:v>
                </c:pt>
                <c:pt idx="2">
                  <c:v>0.06</c:v>
                </c:pt>
                <c:pt idx="3">
                  <c:v>0.07</c:v>
                </c:pt>
                <c:pt idx="4">
                  <c:v>0.09</c:v>
                </c:pt>
              </c:numCache>
            </c:numRef>
          </c:val>
        </c:ser>
        <c:dLbls>
          <c:showLegendKey val="0"/>
          <c:showVal val="0"/>
          <c:showCatName val="0"/>
          <c:showSerName val="0"/>
          <c:showPercent val="0"/>
          <c:showBubbleSize val="0"/>
        </c:dLbls>
        <c:gapWidth val="219"/>
        <c:overlap val="-27"/>
        <c:axId val="429507919"/>
        <c:axId val="611577823"/>
      </c:barChart>
      <c:catAx>
        <c:axId val="4295079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crossAx val="611577823"/>
        <c:crosses val="autoZero"/>
        <c:auto val="1"/>
        <c:lblAlgn val="ctr"/>
        <c:lblOffset val="100"/>
        <c:noMultiLvlLbl val="0"/>
      </c:catAx>
      <c:valAx>
        <c:axId val="611577823"/>
        <c:scaling>
          <c:orientation val="minMax"/>
        </c:scaling>
        <c:delete val="0"/>
        <c:axPos val="l"/>
        <c:numFmt formatCode="0%" sourceLinked="1"/>
        <c:majorTickMark val="in"/>
        <c:minorTickMark val="none"/>
        <c:tickLblPos val="nextTo"/>
        <c:spPr>
          <a:noFill/>
          <a:ln>
            <a:solidFill>
              <a:schemeClr val="bg2">
                <a:lumMod val="90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mn-ea"/>
                <a:cs typeface="Calibri" panose="020F0502020204030204" pitchFamily="2" charset="0"/>
              </a:defRPr>
            </a:pPr>
          </a:p>
        </c:txPr>
        <c:crossAx val="429507919"/>
        <c:crosses val="autoZero"/>
        <c:crossBetween val="between"/>
      </c:valAx>
      <c:spPr>
        <a:noFill/>
        <a:ln>
          <a:noFill/>
        </a:ln>
        <a:effectLst/>
      </c:spPr>
    </c:plotArea>
    <c:plotVisOnly val="1"/>
    <c:dispBlanksAs val="gap"/>
    <c:showDLblsOverMax val="0"/>
    <c:extLst>
      <c:ext uri="{0b15fc19-7d7d-44ad-8c2d-2c3a37ce22c3}">
        <chartProps xmlns="https://web.wps.cn/et/2018/main" chartId="{d8c9cbb2-93d4-4d5d-b5e2-58ec1d75e7d9}"/>
      </c:ext>
    </c:extLst>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Sheet1!$C$233</c:f>
              <c:strCache>
                <c:ptCount val="1"/>
                <c:pt idx="0">
                  <c:v>Global Market Share (2024)</c:v>
                </c:pt>
              </c:strCache>
            </c:strRef>
          </c:tx>
          <c:spPr>
            <a:ln w="19050">
              <a:noFill/>
            </a:ln>
          </c:spPr>
          <c:explosion val="0"/>
          <c:dPt>
            <c:idx val="0"/>
            <c:bubble3D val="0"/>
            <c:spPr>
              <a:solidFill>
                <a:schemeClr val="accent1">
                  <a:lumMod val="90000"/>
                </a:schemeClr>
              </a:solidFill>
              <a:ln w="19050">
                <a:noFill/>
              </a:ln>
              <a:effectLst/>
            </c:spPr>
          </c:dPt>
          <c:dPt>
            <c:idx val="1"/>
            <c:bubble3D val="0"/>
            <c:spPr>
              <a:solidFill>
                <a:schemeClr val="bg1">
                  <a:lumMod val="75000"/>
                </a:schemeClr>
              </a:solidFill>
              <a:ln w="19050">
                <a:noFill/>
              </a:ln>
              <a:effectLst/>
            </c:spPr>
          </c:dPt>
          <c:dPt>
            <c:idx val="2"/>
            <c:bubble3D val="0"/>
            <c:spPr>
              <a:solidFill>
                <a:schemeClr val="bg1">
                  <a:lumMod val="85000"/>
                </a:schemeClr>
              </a:solidFill>
              <a:ln w="19050">
                <a:noFill/>
              </a:ln>
              <a:effectLst/>
            </c:spPr>
          </c:dPt>
          <c:dPt>
            <c:idx val="3"/>
            <c:bubble3D val="0"/>
            <c:spPr>
              <a:solidFill>
                <a:schemeClr val="accent1"/>
              </a:solidFill>
              <a:ln w="19050">
                <a:noFill/>
              </a:ln>
              <a:effectLst/>
            </c:spPr>
          </c:dPt>
          <c:dPt>
            <c:idx val="4"/>
            <c:bubble3D val="0"/>
            <c:spPr>
              <a:solidFill>
                <a:schemeClr val="accent4">
                  <a:lumMod val="40000"/>
                  <a:lumOff val="60000"/>
                </a:schemeClr>
              </a:solidFill>
              <a:ln w="19050">
                <a:noFill/>
              </a:ln>
              <a:effectLst/>
            </c:spPr>
          </c:dPt>
          <c:dPt>
            <c:idx val="5"/>
            <c:bubble3D val="0"/>
            <c:spPr>
              <a:solidFill>
                <a:schemeClr val="accent5">
                  <a:lumMod val="20000"/>
                  <a:lumOff val="80000"/>
                </a:schemeClr>
              </a:solidFill>
              <a:ln w="19050">
                <a:noFill/>
              </a:ln>
              <a:effectLst/>
            </c:spPr>
          </c:dPt>
          <c:dPt>
            <c:idx val="6"/>
            <c:bubble3D val="0"/>
            <c:spPr>
              <a:solidFill>
                <a:schemeClr val="accent1">
                  <a:lumMod val="60000"/>
                </a:schemeClr>
              </a:solidFill>
              <a:ln w="19050">
                <a:noFill/>
              </a:ln>
              <a:effectLst/>
            </c:spPr>
          </c:dPt>
          <c:dPt>
            <c:idx val="7"/>
            <c:bubble3D val="0"/>
            <c:spPr>
              <a:solidFill>
                <a:schemeClr val="accent2">
                  <a:lumMod val="40000"/>
                  <a:lumOff val="60000"/>
                </a:schemeClr>
              </a:solidFill>
              <a:ln w="19050">
                <a:noFill/>
              </a:ln>
              <a:effectLst/>
            </c:spPr>
          </c:dPt>
          <c:dPt>
            <c:idx val="8"/>
            <c:bubble3D val="0"/>
            <c:spPr>
              <a:solidFill>
                <a:schemeClr val="accent3">
                  <a:lumMod val="40000"/>
                  <a:lumOff val="60000"/>
                </a:schemeClr>
              </a:solidFill>
              <a:ln w="19050">
                <a:noFill/>
              </a:ln>
              <a:effectLst/>
            </c:spPr>
          </c:dPt>
          <c:dPt>
            <c:idx val="9"/>
            <c:bubble3D val="0"/>
            <c:spPr>
              <a:solidFill>
                <a:schemeClr val="accent1"/>
              </a:solidFill>
              <a:ln w="19050">
                <a:noFill/>
              </a:ln>
              <a:effectLst/>
            </c:spPr>
          </c:dPt>
          <c:dPt>
            <c:idx val="10"/>
            <c:bubble3D val="0"/>
            <c:spPr>
              <a:solidFill>
                <a:srgbClr val="00488C"/>
              </a:solidFill>
              <a:ln w="19050">
                <a:noFill/>
              </a:ln>
              <a:effectLst/>
            </c:spPr>
          </c:dPt>
          <c:dLbls>
            <c:delete val="1"/>
          </c:dLbls>
          <c:cat>
            <c:strRef>
              <c:f>Sheet1!$B$234:$B$244</c:f>
              <c:strCache>
                <c:ptCount val="11"/>
                <c:pt idx="0">
                  <c:v>L'Oréal Group</c:v>
                </c:pt>
                <c:pt idx="1">
                  <c:v>Unilever</c:v>
                </c:pt>
                <c:pt idx="2">
                  <c:v>The Estée Lauder Companies</c:v>
                </c:pt>
                <c:pt idx="3">
                  <c:v>Procter &amp; Gamble (P&amp;G)</c:v>
                </c:pt>
                <c:pt idx="4">
                  <c:v>LVMH Group</c:v>
                </c:pt>
                <c:pt idx="5">
                  <c:v>Chanel</c:v>
                </c:pt>
                <c:pt idx="6">
                  <c:v>Beiersdorf</c:v>
                </c:pt>
                <c:pt idx="7">
                  <c:v>Shiseido Group</c:v>
                </c:pt>
                <c:pt idx="8">
                  <c:v>Coty Inc.</c:v>
                </c:pt>
                <c:pt idx="9">
                  <c:v>Puig Group</c:v>
                </c:pt>
                <c:pt idx="10">
                  <c:v>Others</c:v>
                </c:pt>
              </c:strCache>
            </c:strRef>
          </c:cat>
          <c:val>
            <c:numRef>
              <c:f>Sheet1!$C$234:$C$244</c:f>
              <c:numCache>
                <c:formatCode>0.00%</c:formatCode>
                <c:ptCount val="11"/>
                <c:pt idx="0">
                  <c:v>0.18</c:v>
                </c:pt>
                <c:pt idx="1">
                  <c:v>0.1</c:v>
                </c:pt>
                <c:pt idx="2">
                  <c:v>0.062</c:v>
                </c:pt>
                <c:pt idx="3">
                  <c:v>0.061</c:v>
                </c:pt>
                <c:pt idx="4">
                  <c:v>0.036</c:v>
                </c:pt>
                <c:pt idx="5">
                  <c:v>0.03</c:v>
                </c:pt>
                <c:pt idx="6">
                  <c:v>0.029</c:v>
                </c:pt>
                <c:pt idx="7">
                  <c:v>0.026</c:v>
                </c:pt>
                <c:pt idx="8">
                  <c:v>0.023</c:v>
                </c:pt>
                <c:pt idx="9">
                  <c:v>0.021</c:v>
                </c:pt>
                <c:pt idx="10" c:formatCode="0.000%">
                  <c:v>0.432</c:v>
                </c:pt>
              </c:numCache>
            </c:numRef>
          </c:val>
        </c:ser>
        <c:dLbls>
          <c:showLegendKey val="0"/>
          <c:showVal val="0"/>
          <c:showCatName val="0"/>
          <c:showSerName val="0"/>
          <c:showPercent val="0"/>
          <c:showBubbleSize val="0"/>
          <c:showLeaderLines val="1"/>
        </c:dLbls>
        <c:firstSliceAng val="0"/>
      </c:pieChart>
      <c:spPr>
        <a:noFill/>
        <a:ln>
          <a:noFill/>
        </a:ln>
        <a:effectLst/>
      </c:spPr>
    </c:plotArea>
    <c:legend>
      <c:legendPos val="b"/>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legendEntry>
      <c:legendEntry>
        <c:idx val="5"/>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legendEntry>
      <c:legendEntry>
        <c:idx val="6"/>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legendEntry>
      <c:legendEntry>
        <c:idx val="7"/>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legendEntry>
      <c:legendEntry>
        <c:idx val="8"/>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legendEntry>
      <c:legendEntry>
        <c:idx val="9"/>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legendEntry>
      <c:legendEntry>
        <c:idx val="1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legendEntry>
      <c:layout>
        <c:manualLayout>
          <c:xMode val="edge"/>
          <c:yMode val="edge"/>
          <c:x val="0.0160071680695085"/>
          <c:y val="0.735381092192464"/>
          <c:w val="0.926606136301928"/>
          <c:h val="0.235917640168215"/>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legend>
    <c:plotVisOnly val="1"/>
    <c:dispBlanksAs val="gap"/>
    <c:showDLblsOverMax val="0"/>
    <c:extLst>
      <c:ext uri="{0b15fc19-7d7d-44ad-8c2d-2c3a37ce22c3}">
        <chartProps xmlns="https://web.wps.cn/et/2018/main" chartId="{612c02b3-34f4-449b-ab99-defff243d96c}"/>
      </c:ext>
    </c:extLst>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研发费率!$D$5</c:f>
              <c:strCache>
                <c:ptCount val="1"/>
                <c:pt idx="0">
                  <c:v>R&amp;D (EUR Bn)</c:v>
                </c:pt>
              </c:strCache>
            </c:strRef>
          </c:tx>
          <c:spPr>
            <a:solidFill>
              <a:srgbClr val="002060"/>
            </a:solidFill>
            <a:ln>
              <a:noFill/>
            </a:ln>
            <a:effectLst/>
          </c:spPr>
          <c:invertIfNegative val="0"/>
          <c:dLbls>
            <c:delete val="1"/>
          </c:dLbls>
          <c:cat>
            <c:strRef>
              <c:f>研发费率!$C$6:$C$11</c:f>
              <c:strCache>
                <c:ptCount val="6"/>
                <c:pt idx="0">
                  <c:v>2020</c:v>
                </c:pt>
                <c:pt idx="1">
                  <c:v>2021</c:v>
                </c:pt>
                <c:pt idx="2">
                  <c:v>2022</c:v>
                </c:pt>
                <c:pt idx="3">
                  <c:v>2023</c:v>
                </c:pt>
                <c:pt idx="4">
                  <c:v>2024</c:v>
                </c:pt>
                <c:pt idx="5">
                  <c:v>2025</c:v>
                </c:pt>
              </c:strCache>
            </c:strRef>
          </c:cat>
          <c:val>
            <c:numRef>
              <c:f>研发费率!$D$6:$D$11</c:f>
              <c:numCache>
                <c:formatCode>#,##0.00</c:formatCode>
                <c:ptCount val="6"/>
                <c:pt idx="0">
                  <c:v>0.96</c:v>
                </c:pt>
                <c:pt idx="1">
                  <c:v>1.07</c:v>
                </c:pt>
                <c:pt idx="2">
                  <c:v>1.14</c:v>
                </c:pt>
                <c:pt idx="3">
                  <c:v>1.23</c:v>
                </c:pt>
                <c:pt idx="4">
                  <c:v>1.3</c:v>
                </c:pt>
                <c:pt idx="5">
                  <c:v>1.38</c:v>
                </c:pt>
              </c:numCache>
            </c:numRef>
          </c:val>
        </c:ser>
        <c:dLbls>
          <c:showLegendKey val="0"/>
          <c:showVal val="0"/>
          <c:showCatName val="0"/>
          <c:showSerName val="0"/>
          <c:showPercent val="0"/>
          <c:showBubbleSize val="0"/>
        </c:dLbls>
        <c:gapWidth val="219"/>
        <c:overlap val="-27"/>
        <c:axId val="378388704"/>
        <c:axId val="378384864"/>
      </c:barChart>
      <c:lineChart>
        <c:grouping val="standard"/>
        <c:varyColors val="0"/>
        <c:ser>
          <c:idx val="1"/>
          <c:order val="1"/>
          <c:tx>
            <c:strRef>
              <c:f>研发费率!$E$5</c:f>
              <c:strCache>
                <c:ptCount val="1"/>
                <c:pt idx="0">
                  <c:v>R&amp;D as % of Sales</c:v>
                </c:pt>
              </c:strCache>
            </c:strRef>
          </c:tx>
          <c:spPr>
            <a:ln w="28575" cap="rnd">
              <a:solidFill>
                <a:schemeClr val="bg1">
                  <a:lumMod val="85000"/>
                </a:schemeClr>
              </a:solidFill>
              <a:round/>
            </a:ln>
            <a:effectLst/>
          </c:spPr>
          <c:marker>
            <c:symbol val="none"/>
          </c:marker>
          <c:dLbls>
            <c:delete val="1"/>
          </c:dLbls>
          <c:cat>
            <c:strRef>
              <c:f>研发费率!$C$6:$C$11</c:f>
              <c:strCache>
                <c:ptCount val="6"/>
                <c:pt idx="0">
                  <c:v>2020</c:v>
                </c:pt>
                <c:pt idx="1">
                  <c:v>2021</c:v>
                </c:pt>
                <c:pt idx="2">
                  <c:v>2022</c:v>
                </c:pt>
                <c:pt idx="3">
                  <c:v>2023</c:v>
                </c:pt>
                <c:pt idx="4">
                  <c:v>2024</c:v>
                </c:pt>
                <c:pt idx="5">
                  <c:v>2025</c:v>
                </c:pt>
              </c:strCache>
            </c:strRef>
          </c:cat>
          <c:val>
            <c:numRef>
              <c:f>研发费率!$E$6:$E$11</c:f>
              <c:numCache>
                <c:formatCode>0.0%</c:formatCode>
                <c:ptCount val="6"/>
                <c:pt idx="0">
                  <c:v>0.0342979635584137</c:v>
                </c:pt>
                <c:pt idx="1">
                  <c:v>0.033137194177764</c:v>
                </c:pt>
                <c:pt idx="2">
                  <c:v>0.0297961317302666</c:v>
                </c:pt>
                <c:pt idx="3">
                  <c:v>0.0298688683827101</c:v>
                </c:pt>
                <c:pt idx="4">
                  <c:v>0.0298988040478381</c:v>
                </c:pt>
                <c:pt idx="5">
                  <c:v>0.031</c:v>
                </c:pt>
              </c:numCache>
            </c:numRef>
          </c:val>
          <c:smooth val="0"/>
        </c:ser>
        <c:dLbls>
          <c:showLegendKey val="0"/>
          <c:showVal val="0"/>
          <c:showCatName val="0"/>
          <c:showSerName val="0"/>
          <c:showPercent val="0"/>
          <c:showBubbleSize val="0"/>
        </c:dLbls>
        <c:marker val="0"/>
        <c:smooth val="0"/>
        <c:axId val="1376932912"/>
        <c:axId val="378385824"/>
      </c:lineChart>
      <c:catAx>
        <c:axId val="378388704"/>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378384864"/>
        <c:crosses val="autoZero"/>
        <c:auto val="1"/>
        <c:lblAlgn val="ctr"/>
        <c:lblOffset val="100"/>
        <c:noMultiLvlLbl val="0"/>
      </c:catAx>
      <c:valAx>
        <c:axId val="378384864"/>
        <c:scaling>
          <c:orientation val="minMax"/>
        </c:scaling>
        <c:delete val="0"/>
        <c:axPos val="l"/>
        <c:numFmt formatCode="#,##0.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378388704"/>
        <c:crosses val="autoZero"/>
        <c:crossBetween val="between"/>
      </c:valAx>
      <c:catAx>
        <c:axId val="1376932912"/>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378385824"/>
        <c:crosses val="autoZero"/>
        <c:auto val="1"/>
        <c:lblAlgn val="ctr"/>
        <c:lblOffset val="100"/>
        <c:noMultiLvlLbl val="0"/>
      </c:catAx>
      <c:valAx>
        <c:axId val="378385824"/>
        <c:scaling>
          <c:orientation val="minMax"/>
        </c:scaling>
        <c:delete val="0"/>
        <c:axPos val="r"/>
        <c:numFmt formatCode="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1376932912"/>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legend>
    <c:plotVisOnly val="1"/>
    <c:dispBlanksAs val="gap"/>
    <c:showDLblsOverMax val="0"/>
    <c:extLst>
      <c:ext uri="{0b15fc19-7d7d-44ad-8c2d-2c3a37ce22c3}">
        <chartProps xmlns="https://web.wps.cn/et/2018/main" chartId="{b2c027a2-0f95-4f04-acd5-defa2c2ae571}"/>
      </c:ext>
    </c:extLst>
  </c:chart>
  <c:spPr>
    <a:solidFill>
      <a:schemeClr val="bg1"/>
    </a:solidFill>
    <a:ln w="9525" cap="flat" cmpd="sng" algn="ctr">
      <a:noFill/>
      <a:round/>
    </a:ln>
    <a:effectLst/>
  </c:spPr>
  <c:txPr>
    <a:bodyPr/>
    <a:lstStyle/>
    <a:p>
      <a:pPr>
        <a:defRPr lang="zh-CN" baseline="0">
          <a:solidFill>
            <a:schemeClr val="tx1"/>
          </a:solidFill>
          <a:latin typeface="Calibri" panose="020F0502020204030204" pitchFamily="2" charset="0"/>
          <a:ea typeface="楷体" panose="02010609060101010101" pitchFamily="3" charset="-122"/>
        </a:defRPr>
      </a:pPr>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stacked"/>
        <c:varyColors val="0"/>
        <c:ser>
          <c:idx val="1"/>
          <c:order val="0"/>
          <c:tx>
            <c:strRef>
              <c:f>研发费率!$F$5</c:f>
              <c:strCache>
                <c:ptCount val="1"/>
                <c:pt idx="0">
                  <c:v>New Patent Filings</c:v>
                </c:pt>
              </c:strCache>
            </c:strRef>
          </c:tx>
          <c:spPr>
            <a:solidFill>
              <a:srgbClr val="002060"/>
            </a:solidFill>
            <a:ln>
              <a:noFill/>
            </a:ln>
            <a:effectLst/>
          </c:spPr>
          <c:invertIfNegative val="0"/>
          <c:dLbls>
            <c:delete val="1"/>
          </c:dLbls>
          <c:cat>
            <c:strRef>
              <c:f>研发费率!$C$6:$C$11</c:f>
              <c:strCache>
                <c:ptCount val="6"/>
                <c:pt idx="0">
                  <c:v>2020</c:v>
                </c:pt>
                <c:pt idx="1">
                  <c:v>2021</c:v>
                </c:pt>
                <c:pt idx="2">
                  <c:v>2022</c:v>
                </c:pt>
                <c:pt idx="3">
                  <c:v>2023</c:v>
                </c:pt>
                <c:pt idx="4">
                  <c:v>2024</c:v>
                </c:pt>
                <c:pt idx="5">
                  <c:v>2025</c:v>
                </c:pt>
              </c:strCache>
            </c:strRef>
          </c:cat>
          <c:val>
            <c:numRef>
              <c:f>研发费率!$F$6:$F$11</c:f>
              <c:numCache>
                <c:formatCode>#,##0</c:formatCode>
                <c:ptCount val="6"/>
                <c:pt idx="0">
                  <c:v>498</c:v>
                </c:pt>
                <c:pt idx="1">
                  <c:v>510</c:v>
                </c:pt>
                <c:pt idx="2">
                  <c:v>635</c:v>
                </c:pt>
                <c:pt idx="3">
                  <c:v>671</c:v>
                </c:pt>
                <c:pt idx="4">
                  <c:v>694</c:v>
                </c:pt>
                <c:pt idx="5" c:formatCode="General">
                  <c:v>725</c:v>
                </c:pt>
              </c:numCache>
            </c:numRef>
          </c:val>
        </c:ser>
        <c:dLbls>
          <c:showLegendKey val="0"/>
          <c:showVal val="0"/>
          <c:showCatName val="0"/>
          <c:showSerName val="0"/>
          <c:showPercent val="0"/>
          <c:showBubbleSize val="0"/>
        </c:dLbls>
        <c:gapWidth val="150"/>
        <c:overlap val="100"/>
        <c:axId val="378388704"/>
        <c:axId val="378384864"/>
      </c:barChart>
      <c:catAx>
        <c:axId val="378388704"/>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378384864"/>
        <c:crosses val="autoZero"/>
        <c:auto val="1"/>
        <c:lblAlgn val="ctr"/>
        <c:lblOffset val="100"/>
        <c:noMultiLvlLbl val="0"/>
      </c:catAx>
      <c:valAx>
        <c:axId val="378384864"/>
        <c:scaling>
          <c:orientation val="minMax"/>
        </c:scaling>
        <c:delete val="0"/>
        <c:axPos val="l"/>
        <c:numFmt formatCode="#,##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378388704"/>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legend>
    <c:plotVisOnly val="1"/>
    <c:dispBlanksAs val="gap"/>
    <c:showDLblsOverMax val="0"/>
    <c:extLst>
      <c:ext uri="{0b15fc19-7d7d-44ad-8c2d-2c3a37ce22c3}">
        <chartProps xmlns="https://web.wps.cn/et/2018/main" chartId="{c966143a-e9d6-4b7d-8ea4-f635b069601b}"/>
      </c:ext>
    </c:extLst>
  </c:chart>
  <c:spPr>
    <a:solidFill>
      <a:schemeClr val="bg1"/>
    </a:solidFill>
    <a:ln w="9525" cap="flat" cmpd="sng" algn="ctr">
      <a:noFill/>
      <a:round/>
    </a:ln>
    <a:effectLst/>
  </c:spPr>
  <c:txPr>
    <a:bodyPr/>
    <a:lstStyle/>
    <a:p>
      <a:pPr>
        <a:defRPr lang="zh-CN" baseline="0">
          <a:solidFill>
            <a:schemeClr val="tx1"/>
          </a:solidFill>
          <a:latin typeface="Calibri" panose="020F0502020204030204" pitchFamily="2" charset="0"/>
          <a:ea typeface="楷体" panose="02010609060101010101" pitchFamily="3" charset="-122"/>
        </a:defRPr>
      </a:pPr>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1"/>
          <c:order val="1"/>
          <c:tx>
            <c:strRef>
              <c:f>渠道收入!$E$3</c:f>
              <c:strCache>
                <c:ptCount val="1"/>
                <c:pt idx="0">
                  <c:v>Group Revenue (€Bn)</c:v>
                </c:pt>
              </c:strCache>
            </c:strRef>
          </c:tx>
          <c:spPr>
            <a:solidFill>
              <a:srgbClr val="002060"/>
            </a:solidFill>
            <a:ln>
              <a:noFill/>
            </a:ln>
            <a:effectLst/>
          </c:spPr>
          <c:invertIfNegative val="0"/>
          <c:dLbls>
            <c:delete val="1"/>
          </c:dLbls>
          <c:cat>
            <c:numRef>
              <c:f>渠道收入!$C$4:$C$10</c:f>
              <c:numCache>
                <c:formatCode>General</c:formatCode>
                <c:ptCount val="7"/>
                <c:pt idx="0">
                  <c:v>2019</c:v>
                </c:pt>
                <c:pt idx="1">
                  <c:v>2020</c:v>
                </c:pt>
                <c:pt idx="2">
                  <c:v>2021</c:v>
                </c:pt>
                <c:pt idx="3">
                  <c:v>2022</c:v>
                </c:pt>
                <c:pt idx="4">
                  <c:v>2023</c:v>
                </c:pt>
                <c:pt idx="5">
                  <c:v>2024</c:v>
                </c:pt>
                <c:pt idx="6">
                  <c:v>2025</c:v>
                </c:pt>
              </c:numCache>
            </c:numRef>
          </c:cat>
          <c:val>
            <c:numRef>
              <c:f>渠道收入!$E$4:$E$10</c:f>
              <c:numCache>
                <c:formatCode>General</c:formatCode>
                <c:ptCount val="7"/>
                <c:pt idx="0">
                  <c:v>29.87</c:v>
                </c:pt>
                <c:pt idx="1">
                  <c:v>27.99</c:v>
                </c:pt>
                <c:pt idx="2">
                  <c:v>32.28</c:v>
                </c:pt>
                <c:pt idx="3">
                  <c:v>38.26</c:v>
                </c:pt>
                <c:pt idx="4">
                  <c:v>41.18</c:v>
                </c:pt>
                <c:pt idx="5">
                  <c:v>43.48</c:v>
                </c:pt>
                <c:pt idx="6">
                  <c:v>44.05</c:v>
                </c:pt>
              </c:numCache>
            </c:numRef>
          </c:val>
        </c:ser>
        <c:dLbls>
          <c:showLegendKey val="0"/>
          <c:showVal val="0"/>
          <c:showCatName val="0"/>
          <c:showSerName val="0"/>
          <c:showPercent val="0"/>
          <c:showBubbleSize val="0"/>
        </c:dLbls>
        <c:gapWidth val="150"/>
        <c:axId val="881071903"/>
        <c:axId val="881076223"/>
      </c:barChart>
      <c:lineChart>
        <c:grouping val="standard"/>
        <c:varyColors val="0"/>
        <c:ser>
          <c:idx val="0"/>
          <c:order val="0"/>
          <c:tx>
            <c:strRef>
              <c:f>渠道收入!$D$3</c:f>
              <c:strCache>
                <c:ptCount val="1"/>
                <c:pt idx="0">
                  <c:v>E-Commerce as % of Sales</c:v>
                </c:pt>
              </c:strCache>
            </c:strRef>
          </c:tx>
          <c:spPr>
            <a:ln w="28575" cap="rnd">
              <a:solidFill>
                <a:schemeClr val="bg1">
                  <a:lumMod val="85000"/>
                </a:schemeClr>
              </a:solidFill>
              <a:round/>
            </a:ln>
            <a:effectLst/>
          </c:spPr>
          <c:marker>
            <c:symbol val="none"/>
          </c:marker>
          <c:dLbls>
            <c:delete val="1"/>
          </c:dLbls>
          <c:cat>
            <c:numRef>
              <c:f>渠道收入!$C$4:$C$10</c:f>
              <c:numCache>
                <c:formatCode>General</c:formatCode>
                <c:ptCount val="7"/>
                <c:pt idx="0">
                  <c:v>2019</c:v>
                </c:pt>
                <c:pt idx="1">
                  <c:v>2020</c:v>
                </c:pt>
                <c:pt idx="2">
                  <c:v>2021</c:v>
                </c:pt>
                <c:pt idx="3">
                  <c:v>2022</c:v>
                </c:pt>
                <c:pt idx="4">
                  <c:v>2023</c:v>
                </c:pt>
                <c:pt idx="5">
                  <c:v>2024</c:v>
                </c:pt>
                <c:pt idx="6">
                  <c:v>2025</c:v>
                </c:pt>
              </c:numCache>
            </c:numRef>
          </c:cat>
          <c:val>
            <c:numRef>
              <c:f>渠道收入!$D$4:$D$10</c:f>
              <c:numCache>
                <c:formatCode>0%</c:formatCode>
                <c:ptCount val="7"/>
                <c:pt idx="0">
                  <c:v>0.156</c:v>
                </c:pt>
                <c:pt idx="1">
                  <c:v>0.266</c:v>
                </c:pt>
                <c:pt idx="2">
                  <c:v>0.289</c:v>
                </c:pt>
                <c:pt idx="3">
                  <c:v>0.28</c:v>
                </c:pt>
                <c:pt idx="4">
                  <c:v>0.281</c:v>
                </c:pt>
                <c:pt idx="5">
                  <c:v>0.282</c:v>
                </c:pt>
              </c:numCache>
            </c:numRef>
          </c:val>
          <c:smooth val="0"/>
        </c:ser>
        <c:dLbls>
          <c:showLegendKey val="0"/>
          <c:showVal val="0"/>
          <c:showCatName val="0"/>
          <c:showSerName val="0"/>
          <c:showPercent val="0"/>
          <c:showBubbleSize val="0"/>
        </c:dLbls>
        <c:marker val="0"/>
        <c:smooth val="0"/>
        <c:axId val="827166767"/>
        <c:axId val="827166287"/>
      </c:lineChart>
      <c:catAx>
        <c:axId val="881071903"/>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881076223"/>
        <c:crosses val="autoZero"/>
        <c:auto val="1"/>
        <c:lblAlgn val="ctr"/>
        <c:lblOffset val="100"/>
        <c:noMultiLvlLbl val="0"/>
      </c:catAx>
      <c:valAx>
        <c:axId val="881076223"/>
        <c:scaling>
          <c:orientation val="minMax"/>
        </c:scaling>
        <c:delete val="0"/>
        <c:axPos val="l"/>
        <c:numFmt formatCode="General"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881071903"/>
        <c:crosses val="autoZero"/>
        <c:crossBetween val="between"/>
      </c:valAx>
      <c:catAx>
        <c:axId val="8271667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827166287"/>
        <c:crosses val="autoZero"/>
        <c:auto val="1"/>
        <c:lblAlgn val="ctr"/>
        <c:lblOffset val="100"/>
        <c:noMultiLvlLbl val="0"/>
      </c:catAx>
      <c:valAx>
        <c:axId val="827166287"/>
        <c:scaling>
          <c:orientation val="minMax"/>
        </c:scaling>
        <c:delete val="0"/>
        <c:axPos val="r"/>
        <c:numFmt formatCode="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827166767"/>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legend>
    <c:plotVisOnly val="1"/>
    <c:dispBlanksAs val="gap"/>
    <c:showDLblsOverMax val="0"/>
    <c:extLst>
      <c:ext uri="{0b15fc19-7d7d-44ad-8c2d-2c3a37ce22c3}">
        <chartProps xmlns="https://web.wps.cn/et/2018/main" chartId="{65203e6e-c08a-43c1-b008-fc1f6d865636}"/>
      </c:ext>
    </c:extLst>
  </c:chart>
  <c:spPr>
    <a:solidFill>
      <a:schemeClr val="bg1"/>
    </a:solidFill>
    <a:ln w="9525" cap="flat" cmpd="sng" algn="ctr">
      <a:noFill/>
      <a:round/>
    </a:ln>
    <a:effectLst/>
  </c:spPr>
  <c:txPr>
    <a:bodyPr/>
    <a:lstStyle/>
    <a:p>
      <a:pPr>
        <a:defRPr lang="zh-CN" baseline="0">
          <a:solidFill>
            <a:schemeClr val="tx1"/>
          </a:solidFill>
          <a:latin typeface="Calibri" panose="020F0502020204030204" pitchFamily="2" charset="0"/>
          <a:ea typeface="楷体" panose="02010609060101010101" pitchFamily="3" charset="-122"/>
        </a:defRPr>
      </a:pPr>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四大部门市场规模!$B$4</c:f>
              <c:strCache>
                <c:ptCount val="1"/>
                <c:pt idx="0">
                  <c:v>Mass Beauty and Personal Care</c:v>
                </c:pt>
              </c:strCache>
            </c:strRef>
          </c:tx>
          <c:spPr>
            <a:solidFill>
              <a:srgbClr val="002060"/>
            </a:solidFill>
            <a:ln>
              <a:noFill/>
            </a:ln>
            <a:effectLst/>
          </c:spPr>
          <c:invertIfNegative val="0"/>
          <c:dLbls>
            <c:delete val="1"/>
          </c:dLbls>
          <c:cat>
            <c:numRef>
              <c:f>四大部门市场规模!$C$3:$I$3</c:f>
              <c:numCache>
                <c:formatCode>General</c:formatCode>
                <c:ptCount val="7"/>
                <c:pt idx="0">
                  <c:v>2019</c:v>
                </c:pt>
                <c:pt idx="1">
                  <c:v>2020</c:v>
                </c:pt>
                <c:pt idx="2">
                  <c:v>2021</c:v>
                </c:pt>
                <c:pt idx="3">
                  <c:v>2022</c:v>
                </c:pt>
                <c:pt idx="4">
                  <c:v>2023</c:v>
                </c:pt>
                <c:pt idx="5">
                  <c:v>2024</c:v>
                </c:pt>
                <c:pt idx="6">
                  <c:v>2025</c:v>
                </c:pt>
              </c:numCache>
            </c:numRef>
          </c:cat>
          <c:val>
            <c:numRef>
              <c:f>四大部门市场规模!$C$4:$I$4</c:f>
              <c:numCache>
                <c:formatCode>#,##0</c:formatCode>
                <c:ptCount val="7"/>
                <c:pt idx="0">
                  <c:v>302201.5</c:v>
                </c:pt>
                <c:pt idx="1">
                  <c:v>294525.9</c:v>
                </c:pt>
                <c:pt idx="2">
                  <c:v>311425.3</c:v>
                </c:pt>
                <c:pt idx="3">
                  <c:v>313693.8</c:v>
                </c:pt>
                <c:pt idx="4">
                  <c:v>331781.2</c:v>
                </c:pt>
                <c:pt idx="5">
                  <c:v>343145.8</c:v>
                </c:pt>
                <c:pt idx="6">
                  <c:v>359885.4</c:v>
                </c:pt>
              </c:numCache>
            </c:numRef>
          </c:val>
        </c:ser>
        <c:dLbls>
          <c:showLegendKey val="0"/>
          <c:showVal val="0"/>
          <c:showCatName val="0"/>
          <c:showSerName val="0"/>
          <c:showPercent val="0"/>
          <c:showBubbleSize val="0"/>
        </c:dLbls>
        <c:gapWidth val="219"/>
        <c:overlap val="-27"/>
        <c:axId val="378388704"/>
        <c:axId val="378384864"/>
      </c:barChart>
      <c:lineChart>
        <c:grouping val="standard"/>
        <c:varyColors val="0"/>
        <c:ser>
          <c:idx val="1"/>
          <c:order val="1"/>
          <c:tx>
            <c:strRef>
              <c:f>四大部门市场规模!$B$5</c:f>
              <c:strCache>
                <c:ptCount val="1"/>
                <c:pt idx="0">
                  <c:v>YoY</c:v>
                </c:pt>
              </c:strCache>
            </c:strRef>
          </c:tx>
          <c:spPr>
            <a:ln w="28575" cap="rnd">
              <a:solidFill>
                <a:schemeClr val="bg1">
                  <a:lumMod val="85000"/>
                </a:schemeClr>
              </a:solidFill>
              <a:round/>
            </a:ln>
            <a:effectLst/>
          </c:spPr>
          <c:marker>
            <c:symbol val="none"/>
          </c:marker>
          <c:dLbls>
            <c:delete val="1"/>
          </c:dLbls>
          <c:cat>
            <c:numRef>
              <c:f>四大部门市场规模!$C$3:$I$3</c:f>
              <c:numCache>
                <c:formatCode>General</c:formatCode>
                <c:ptCount val="7"/>
                <c:pt idx="0">
                  <c:v>2019</c:v>
                </c:pt>
                <c:pt idx="1">
                  <c:v>2020</c:v>
                </c:pt>
                <c:pt idx="2">
                  <c:v>2021</c:v>
                </c:pt>
                <c:pt idx="3">
                  <c:v>2022</c:v>
                </c:pt>
                <c:pt idx="4">
                  <c:v>2023</c:v>
                </c:pt>
                <c:pt idx="5">
                  <c:v>2024</c:v>
                </c:pt>
                <c:pt idx="6">
                  <c:v>2025</c:v>
                </c:pt>
              </c:numCache>
            </c:numRef>
          </c:cat>
          <c:val>
            <c:numRef>
              <c:f>四大部门市场规模!$C$5:$I$5</c:f>
              <c:numCache>
                <c:formatCode>General</c:formatCode>
                <c:ptCount val="7"/>
                <c:pt idx="1" c:formatCode="0.0%">
                  <c:v>-0.0253989473910619</c:v>
                </c:pt>
                <c:pt idx="2" c:formatCode="0.0%">
                  <c:v>0.0573783154554488</c:v>
                </c:pt>
                <c:pt idx="3" c:formatCode="0.0%">
                  <c:v>0.00728425082997441</c:v>
                </c:pt>
                <c:pt idx="4" c:formatCode="0.0%">
                  <c:v>0.0576594118213367</c:v>
                </c:pt>
                <c:pt idx="5" c:formatCode="0.0%">
                  <c:v>0.0342532970523948</c:v>
                </c:pt>
                <c:pt idx="6" c:formatCode="0.0%">
                  <c:v>0.0487827623126964</c:v>
                </c:pt>
              </c:numCache>
            </c:numRef>
          </c:val>
          <c:smooth val="0"/>
        </c:ser>
        <c:dLbls>
          <c:showLegendKey val="0"/>
          <c:showVal val="0"/>
          <c:showCatName val="0"/>
          <c:showSerName val="0"/>
          <c:showPercent val="0"/>
          <c:showBubbleSize val="0"/>
        </c:dLbls>
        <c:marker val="0"/>
        <c:smooth val="0"/>
        <c:axId val="1376932912"/>
        <c:axId val="378385824"/>
      </c:lineChart>
      <c:catAx>
        <c:axId val="378388704"/>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378384864"/>
        <c:crosses val="autoZero"/>
        <c:auto val="1"/>
        <c:lblAlgn val="ctr"/>
        <c:lblOffset val="100"/>
        <c:noMultiLvlLbl val="0"/>
      </c:catAx>
      <c:valAx>
        <c:axId val="378384864"/>
        <c:scaling>
          <c:orientation val="minMax"/>
        </c:scaling>
        <c:delete val="0"/>
        <c:axPos val="l"/>
        <c:numFmt formatCode="#,##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378388704"/>
        <c:crosses val="autoZero"/>
        <c:crossBetween val="between"/>
      </c:valAx>
      <c:catAx>
        <c:axId val="1376932912"/>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378385824"/>
        <c:crosses val="autoZero"/>
        <c:auto val="1"/>
        <c:lblAlgn val="ctr"/>
        <c:lblOffset val="100"/>
        <c:noMultiLvlLbl val="0"/>
      </c:catAx>
      <c:valAx>
        <c:axId val="378385824"/>
        <c:scaling>
          <c:orientation val="minMax"/>
        </c:scaling>
        <c:delete val="0"/>
        <c:axPos val="r"/>
        <c:numFmt formatCode="General"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1376932912"/>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legend>
    <c:plotVisOnly val="1"/>
    <c:dispBlanksAs val="gap"/>
    <c:showDLblsOverMax val="0"/>
    <c:extLst>
      <c:ext uri="{0b15fc19-7d7d-44ad-8c2d-2c3a37ce22c3}">
        <chartProps xmlns="https://web.wps.cn/et/2018/main" chartId="{7383af07-6aa4-4932-abcc-e7ccf110ad0e}"/>
      </c:ext>
    </c:extLst>
  </c:chart>
  <c:spPr>
    <a:solidFill>
      <a:schemeClr val="bg1"/>
    </a:solidFill>
    <a:ln w="9525" cap="flat" cmpd="sng" algn="ctr">
      <a:noFill/>
      <a:round/>
    </a:ln>
    <a:effectLst/>
  </c:spPr>
  <c:txPr>
    <a:bodyPr/>
    <a:lstStyle/>
    <a:p>
      <a:pPr>
        <a:defRPr lang="zh-CN" baseline="0">
          <a:solidFill>
            <a:schemeClr val="tx1"/>
          </a:solidFill>
          <a:latin typeface="Calibri" panose="020F0502020204030204" pitchFamily="2" charset="0"/>
          <a:ea typeface="楷体" panose="02010609060101010101" pitchFamily="3" charset="-122"/>
        </a:defRPr>
      </a:pPr>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四大部门市场规模!$B$6</c:f>
              <c:strCache>
                <c:ptCount val="1"/>
                <c:pt idx="0">
                  <c:v>Prestige Beauty and Personal Care</c:v>
                </c:pt>
              </c:strCache>
            </c:strRef>
          </c:tx>
          <c:spPr>
            <a:solidFill>
              <a:srgbClr val="002060"/>
            </a:solidFill>
            <a:ln>
              <a:noFill/>
            </a:ln>
            <a:effectLst/>
          </c:spPr>
          <c:invertIfNegative val="0"/>
          <c:dLbls>
            <c:delete val="1"/>
          </c:dLbls>
          <c:cat>
            <c:numRef>
              <c:f>四大部门市场规模!$C$3:$H$3</c:f>
              <c:numCache>
                <c:formatCode>General</c:formatCode>
                <c:ptCount val="6"/>
                <c:pt idx="0">
                  <c:v>2019</c:v>
                </c:pt>
                <c:pt idx="1">
                  <c:v>2020</c:v>
                </c:pt>
                <c:pt idx="2">
                  <c:v>2021</c:v>
                </c:pt>
                <c:pt idx="3">
                  <c:v>2022</c:v>
                </c:pt>
                <c:pt idx="4">
                  <c:v>2023</c:v>
                </c:pt>
                <c:pt idx="5">
                  <c:v>2024</c:v>
                </c:pt>
              </c:numCache>
            </c:numRef>
          </c:cat>
          <c:val>
            <c:numRef>
              <c:f>四大部门市场规模!$C$6:$H$6</c:f>
              <c:numCache>
                <c:formatCode>#,##0</c:formatCode>
                <c:ptCount val="6"/>
                <c:pt idx="0">
                  <c:v>134575.4</c:v>
                </c:pt>
                <c:pt idx="1">
                  <c:v>123365.9</c:v>
                </c:pt>
                <c:pt idx="2">
                  <c:v>143017</c:v>
                </c:pt>
                <c:pt idx="3">
                  <c:v>144657.2</c:v>
                </c:pt>
                <c:pt idx="4">
                  <c:v>154957.9</c:v>
                </c:pt>
                <c:pt idx="5">
                  <c:v>160618.7</c:v>
                </c:pt>
              </c:numCache>
            </c:numRef>
          </c:val>
        </c:ser>
        <c:dLbls>
          <c:showLegendKey val="0"/>
          <c:showVal val="0"/>
          <c:showCatName val="0"/>
          <c:showSerName val="0"/>
          <c:showPercent val="0"/>
          <c:showBubbleSize val="0"/>
        </c:dLbls>
        <c:gapWidth val="219"/>
        <c:overlap val="-27"/>
        <c:axId val="378388704"/>
        <c:axId val="378384864"/>
      </c:barChart>
      <c:lineChart>
        <c:grouping val="standard"/>
        <c:varyColors val="0"/>
        <c:ser>
          <c:idx val="1"/>
          <c:order val="1"/>
          <c:tx>
            <c:strRef>
              <c:f>四大部门市场规模!$B$7</c:f>
              <c:strCache>
                <c:ptCount val="1"/>
                <c:pt idx="0">
                  <c:v>YoY</c:v>
                </c:pt>
              </c:strCache>
            </c:strRef>
          </c:tx>
          <c:spPr>
            <a:ln w="28575" cap="rnd">
              <a:solidFill>
                <a:schemeClr val="bg1">
                  <a:lumMod val="85000"/>
                </a:schemeClr>
              </a:solidFill>
              <a:round/>
            </a:ln>
            <a:effectLst/>
          </c:spPr>
          <c:marker>
            <c:symbol val="none"/>
          </c:marker>
          <c:dLbls>
            <c:delete val="1"/>
          </c:dLbls>
          <c:cat>
            <c:numRef>
              <c:f>四大部门市场规模!$C$3:$H$3</c:f>
              <c:numCache>
                <c:formatCode>General</c:formatCode>
                <c:ptCount val="6"/>
                <c:pt idx="0">
                  <c:v>2019</c:v>
                </c:pt>
                <c:pt idx="1">
                  <c:v>2020</c:v>
                </c:pt>
                <c:pt idx="2">
                  <c:v>2021</c:v>
                </c:pt>
                <c:pt idx="3">
                  <c:v>2022</c:v>
                </c:pt>
                <c:pt idx="4">
                  <c:v>2023</c:v>
                </c:pt>
                <c:pt idx="5">
                  <c:v>2024</c:v>
                </c:pt>
              </c:numCache>
            </c:numRef>
          </c:cat>
          <c:val>
            <c:numRef>
              <c:f>四大部门市场规模!$C$7:$H$7</c:f>
              <c:numCache>
                <c:formatCode>General</c:formatCode>
                <c:ptCount val="6"/>
                <c:pt idx="1" c:formatCode="0.0%">
                  <c:v>-0.0832953125162549</c:v>
                </c:pt>
                <c:pt idx="2" c:formatCode="0.0%">
                  <c:v>0.159291181760924</c:v>
                </c:pt>
                <c:pt idx="3" c:formatCode="0.0%">
                  <c:v>0.0114685666738921</c:v>
                </c:pt>
                <c:pt idx="4" c:formatCode="0.0%">
                  <c:v>0.0712076550631422</c:v>
                </c:pt>
                <c:pt idx="5" c:formatCode="0.0%">
                  <c:v>0.0365312126713129</c:v>
                </c:pt>
              </c:numCache>
            </c:numRef>
          </c:val>
          <c:smooth val="0"/>
        </c:ser>
        <c:dLbls>
          <c:showLegendKey val="0"/>
          <c:showVal val="0"/>
          <c:showCatName val="0"/>
          <c:showSerName val="0"/>
          <c:showPercent val="0"/>
          <c:showBubbleSize val="0"/>
        </c:dLbls>
        <c:marker val="0"/>
        <c:smooth val="0"/>
        <c:axId val="1376932912"/>
        <c:axId val="378385824"/>
      </c:lineChart>
      <c:catAx>
        <c:axId val="378388704"/>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378384864"/>
        <c:crosses val="autoZero"/>
        <c:auto val="1"/>
        <c:lblAlgn val="ctr"/>
        <c:lblOffset val="100"/>
        <c:noMultiLvlLbl val="0"/>
      </c:catAx>
      <c:valAx>
        <c:axId val="378384864"/>
        <c:scaling>
          <c:orientation val="minMax"/>
        </c:scaling>
        <c:delete val="0"/>
        <c:axPos val="l"/>
        <c:numFmt formatCode="#,##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378388704"/>
        <c:crosses val="autoZero"/>
        <c:crossBetween val="between"/>
      </c:valAx>
      <c:catAx>
        <c:axId val="1376932912"/>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378385824"/>
        <c:crosses val="autoZero"/>
        <c:auto val="1"/>
        <c:lblAlgn val="ctr"/>
        <c:lblOffset val="100"/>
        <c:noMultiLvlLbl val="0"/>
      </c:catAx>
      <c:valAx>
        <c:axId val="378385824"/>
        <c:scaling>
          <c:orientation val="minMax"/>
        </c:scaling>
        <c:delete val="0"/>
        <c:axPos val="r"/>
        <c:numFmt formatCode="General"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1376932912"/>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legend>
    <c:plotVisOnly val="1"/>
    <c:dispBlanksAs val="gap"/>
    <c:showDLblsOverMax val="0"/>
    <c:extLst>
      <c:ext uri="{0b15fc19-7d7d-44ad-8c2d-2c3a37ce22c3}">
        <chartProps xmlns="https://web.wps.cn/et/2018/main" chartId="{04b81b02-3706-400b-9584-caeff0f336ee}"/>
      </c:ext>
    </c:extLst>
  </c:chart>
  <c:spPr>
    <a:solidFill>
      <a:schemeClr val="bg1"/>
    </a:solidFill>
    <a:ln w="9525" cap="flat" cmpd="sng" algn="ctr">
      <a:noFill/>
      <a:round/>
    </a:ln>
    <a:effectLst/>
  </c:spPr>
  <c:txPr>
    <a:bodyPr/>
    <a:lstStyle/>
    <a:p>
      <a:pPr>
        <a:defRPr lang="zh-CN" baseline="0">
          <a:solidFill>
            <a:schemeClr val="tx1"/>
          </a:solidFill>
          <a:latin typeface="Calibri" panose="020F0502020204030204" pitchFamily="2" charset="0"/>
          <a:ea typeface="楷体" panose="02010609060101010101" pitchFamily="3" charset="-122"/>
        </a:defRPr>
      </a:pPr>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四大部门市场规模!$B$8</c:f>
              <c:strCache>
                <c:ptCount val="1"/>
                <c:pt idx="0">
                  <c:v>Salon Professional Hair Care</c:v>
                </c:pt>
              </c:strCache>
            </c:strRef>
          </c:tx>
          <c:spPr>
            <a:solidFill>
              <a:srgbClr val="002060"/>
            </a:solidFill>
            <a:ln>
              <a:noFill/>
            </a:ln>
            <a:effectLst/>
          </c:spPr>
          <c:invertIfNegative val="0"/>
          <c:dLbls>
            <c:delete val="1"/>
          </c:dLbls>
          <c:cat>
            <c:numRef>
              <c:f>四大部门市场规模!$C$3:$I$3</c:f>
              <c:numCache>
                <c:formatCode>General</c:formatCode>
                <c:ptCount val="7"/>
                <c:pt idx="0">
                  <c:v>2019</c:v>
                </c:pt>
                <c:pt idx="1">
                  <c:v>2020</c:v>
                </c:pt>
                <c:pt idx="2">
                  <c:v>2021</c:v>
                </c:pt>
                <c:pt idx="3">
                  <c:v>2022</c:v>
                </c:pt>
                <c:pt idx="4">
                  <c:v>2023</c:v>
                </c:pt>
                <c:pt idx="5">
                  <c:v>2024</c:v>
                </c:pt>
                <c:pt idx="6">
                  <c:v>2025</c:v>
                </c:pt>
              </c:numCache>
            </c:numRef>
          </c:cat>
          <c:val>
            <c:numRef>
              <c:f>四大部门市场规模!$C$8:$I$8</c:f>
              <c:numCache>
                <c:formatCode>#,##0</c:formatCode>
                <c:ptCount val="7"/>
                <c:pt idx="0">
                  <c:v>7995.3</c:v>
                </c:pt>
                <c:pt idx="1">
                  <c:v>7395.5</c:v>
                </c:pt>
                <c:pt idx="2">
                  <c:v>8744.1</c:v>
                </c:pt>
                <c:pt idx="3">
                  <c:v>9584.9</c:v>
                </c:pt>
                <c:pt idx="4">
                  <c:v>10356.3</c:v>
                </c:pt>
                <c:pt idx="5">
                  <c:v>11045.2</c:v>
                </c:pt>
                <c:pt idx="6">
                  <c:v>11779.2</c:v>
                </c:pt>
              </c:numCache>
            </c:numRef>
          </c:val>
        </c:ser>
        <c:dLbls>
          <c:showLegendKey val="0"/>
          <c:showVal val="0"/>
          <c:showCatName val="0"/>
          <c:showSerName val="0"/>
          <c:showPercent val="0"/>
          <c:showBubbleSize val="0"/>
        </c:dLbls>
        <c:gapWidth val="219"/>
        <c:overlap val="-27"/>
        <c:axId val="378388704"/>
        <c:axId val="378384864"/>
      </c:barChart>
      <c:lineChart>
        <c:grouping val="standard"/>
        <c:varyColors val="0"/>
        <c:ser>
          <c:idx val="1"/>
          <c:order val="1"/>
          <c:tx>
            <c:strRef>
              <c:f>四大部门市场规模!$B$9</c:f>
              <c:strCache>
                <c:ptCount val="1"/>
                <c:pt idx="0">
                  <c:v>YoY</c:v>
                </c:pt>
              </c:strCache>
            </c:strRef>
          </c:tx>
          <c:spPr>
            <a:ln w="28575" cap="rnd">
              <a:solidFill>
                <a:schemeClr val="bg1">
                  <a:lumMod val="85000"/>
                </a:schemeClr>
              </a:solidFill>
              <a:round/>
            </a:ln>
            <a:effectLst/>
          </c:spPr>
          <c:marker>
            <c:symbol val="none"/>
          </c:marker>
          <c:dLbls>
            <c:delete val="1"/>
          </c:dLbls>
          <c:cat>
            <c:numRef>
              <c:f>四大部门市场规模!$C$3:$I$3</c:f>
              <c:numCache>
                <c:formatCode>General</c:formatCode>
                <c:ptCount val="7"/>
                <c:pt idx="0">
                  <c:v>2019</c:v>
                </c:pt>
                <c:pt idx="1">
                  <c:v>2020</c:v>
                </c:pt>
                <c:pt idx="2">
                  <c:v>2021</c:v>
                </c:pt>
                <c:pt idx="3">
                  <c:v>2022</c:v>
                </c:pt>
                <c:pt idx="4">
                  <c:v>2023</c:v>
                </c:pt>
                <c:pt idx="5">
                  <c:v>2024</c:v>
                </c:pt>
                <c:pt idx="6">
                  <c:v>2025</c:v>
                </c:pt>
              </c:numCache>
            </c:numRef>
          </c:cat>
          <c:val>
            <c:numRef>
              <c:f>四大部门市场规模!$C$9:$I$9</c:f>
              <c:numCache>
                <c:formatCode>General</c:formatCode>
                <c:ptCount val="7"/>
                <c:pt idx="1" c:formatCode="0.0%">
                  <c:v>-0.0750190737058022</c:v>
                </c:pt>
                <c:pt idx="2" c:formatCode="0.0%">
                  <c:v>0.18235413427084</c:v>
                </c:pt>
                <c:pt idx="3" c:formatCode="0.0%">
                  <c:v>0.0961562653675048</c:v>
                </c:pt>
                <c:pt idx="4" c:formatCode="0.0%">
                  <c:v>0.080480756189423</c:v>
                </c:pt>
                <c:pt idx="5" c:formatCode="0.0%">
                  <c:v>0.0665198961018898</c:v>
                </c:pt>
                <c:pt idx="6" c:formatCode="0.0%">
                  <c:v>0.0664542063520805</c:v>
                </c:pt>
              </c:numCache>
            </c:numRef>
          </c:val>
          <c:smooth val="0"/>
        </c:ser>
        <c:dLbls>
          <c:showLegendKey val="0"/>
          <c:showVal val="0"/>
          <c:showCatName val="0"/>
          <c:showSerName val="0"/>
          <c:showPercent val="0"/>
          <c:showBubbleSize val="0"/>
        </c:dLbls>
        <c:marker val="0"/>
        <c:smooth val="0"/>
        <c:axId val="1376932912"/>
        <c:axId val="378385824"/>
      </c:lineChart>
      <c:catAx>
        <c:axId val="378388704"/>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378384864"/>
        <c:crosses val="autoZero"/>
        <c:auto val="1"/>
        <c:lblAlgn val="ctr"/>
        <c:lblOffset val="100"/>
        <c:noMultiLvlLbl val="0"/>
      </c:catAx>
      <c:valAx>
        <c:axId val="378384864"/>
        <c:scaling>
          <c:orientation val="minMax"/>
        </c:scaling>
        <c:delete val="0"/>
        <c:axPos val="l"/>
        <c:numFmt formatCode="#,##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378388704"/>
        <c:crosses val="autoZero"/>
        <c:crossBetween val="between"/>
      </c:valAx>
      <c:catAx>
        <c:axId val="1376932912"/>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378385824"/>
        <c:crosses val="autoZero"/>
        <c:auto val="1"/>
        <c:lblAlgn val="ctr"/>
        <c:lblOffset val="100"/>
        <c:noMultiLvlLbl val="0"/>
      </c:catAx>
      <c:valAx>
        <c:axId val="378385824"/>
        <c:scaling>
          <c:orientation val="minMax"/>
        </c:scaling>
        <c:delete val="0"/>
        <c:axPos val="r"/>
        <c:numFmt formatCode="General"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1376932912"/>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legend>
    <c:plotVisOnly val="1"/>
    <c:dispBlanksAs val="gap"/>
    <c:showDLblsOverMax val="0"/>
    <c:extLst>
      <c:ext uri="{0b15fc19-7d7d-44ad-8c2d-2c3a37ce22c3}">
        <chartProps xmlns="https://web.wps.cn/et/2018/main" chartId="{dceb3d16-6e46-4ba4-81d0-a52d1e33a088}"/>
      </c:ext>
    </c:extLst>
  </c:chart>
  <c:spPr>
    <a:solidFill>
      <a:schemeClr val="bg1"/>
    </a:solidFill>
    <a:ln w="9525" cap="flat" cmpd="sng" algn="ctr">
      <a:noFill/>
      <a:round/>
    </a:ln>
    <a:effectLst/>
  </c:spPr>
  <c:txPr>
    <a:bodyPr/>
    <a:lstStyle/>
    <a:p>
      <a:pPr>
        <a:defRPr lang="zh-CN" baseline="0">
          <a:solidFill>
            <a:schemeClr val="tx1"/>
          </a:solidFill>
          <a:latin typeface="Calibri" panose="020F0502020204030204" pitchFamily="2" charset="0"/>
          <a:ea typeface="楷体" panose="02010609060101010101" pitchFamily="3" charset="-122"/>
        </a:defRPr>
      </a:pPr>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四大部门市场规模!$B$10</c:f>
              <c:strCache>
                <c:ptCount val="1"/>
                <c:pt idx="0">
                  <c:v>Dermocosmetics Skin Care</c:v>
                </c:pt>
              </c:strCache>
            </c:strRef>
          </c:tx>
          <c:spPr>
            <a:solidFill>
              <a:srgbClr val="002060"/>
            </a:solidFill>
            <a:ln>
              <a:noFill/>
            </a:ln>
            <a:effectLst/>
          </c:spPr>
          <c:invertIfNegative val="0"/>
          <c:dLbls>
            <c:delete val="1"/>
          </c:dLbls>
          <c:cat>
            <c:numRef>
              <c:f>四大部门市场规模!$C$3:$H$3</c:f>
              <c:numCache>
                <c:formatCode>General</c:formatCode>
                <c:ptCount val="6"/>
                <c:pt idx="0">
                  <c:v>2019</c:v>
                </c:pt>
                <c:pt idx="1">
                  <c:v>2020</c:v>
                </c:pt>
                <c:pt idx="2">
                  <c:v>2021</c:v>
                </c:pt>
                <c:pt idx="3">
                  <c:v>2022</c:v>
                </c:pt>
                <c:pt idx="4">
                  <c:v>2023</c:v>
                </c:pt>
                <c:pt idx="5">
                  <c:v>2024</c:v>
                </c:pt>
              </c:numCache>
            </c:numRef>
          </c:cat>
          <c:val>
            <c:numRef>
              <c:f>四大部门市场规模!$C$10:$H$10</c:f>
              <c:numCache>
                <c:formatCode>#,##0</c:formatCode>
                <c:ptCount val="6"/>
                <c:pt idx="0">
                  <c:v>14386.7</c:v>
                </c:pt>
                <c:pt idx="1">
                  <c:v>15700.3</c:v>
                </c:pt>
                <c:pt idx="2">
                  <c:v>18840.6</c:v>
                </c:pt>
                <c:pt idx="3">
                  <c:v>19821.7</c:v>
                </c:pt>
                <c:pt idx="4">
                  <c:v>22308.4</c:v>
                </c:pt>
                <c:pt idx="5">
                  <c:v>23781.4</c:v>
                </c:pt>
              </c:numCache>
            </c:numRef>
          </c:val>
        </c:ser>
        <c:dLbls>
          <c:showLegendKey val="0"/>
          <c:showVal val="0"/>
          <c:showCatName val="0"/>
          <c:showSerName val="0"/>
          <c:showPercent val="0"/>
          <c:showBubbleSize val="0"/>
        </c:dLbls>
        <c:gapWidth val="219"/>
        <c:overlap val="-27"/>
        <c:axId val="378388704"/>
        <c:axId val="378384864"/>
      </c:barChart>
      <c:lineChart>
        <c:grouping val="standard"/>
        <c:varyColors val="0"/>
        <c:ser>
          <c:idx val="1"/>
          <c:order val="1"/>
          <c:tx>
            <c:strRef>
              <c:f>四大部门市场规模!$B$11</c:f>
              <c:strCache>
                <c:ptCount val="1"/>
                <c:pt idx="0">
                  <c:v>YoY</c:v>
                </c:pt>
              </c:strCache>
            </c:strRef>
          </c:tx>
          <c:spPr>
            <a:ln w="28575" cap="rnd">
              <a:solidFill>
                <a:schemeClr val="bg1">
                  <a:lumMod val="85000"/>
                </a:schemeClr>
              </a:solidFill>
              <a:round/>
            </a:ln>
            <a:effectLst/>
          </c:spPr>
          <c:marker>
            <c:symbol val="none"/>
          </c:marker>
          <c:dLbls>
            <c:delete val="1"/>
          </c:dLbls>
          <c:cat>
            <c:numRef>
              <c:f>四大部门市场规模!$C$3:$H$3</c:f>
              <c:numCache>
                <c:formatCode>General</c:formatCode>
                <c:ptCount val="6"/>
                <c:pt idx="0">
                  <c:v>2019</c:v>
                </c:pt>
                <c:pt idx="1">
                  <c:v>2020</c:v>
                </c:pt>
                <c:pt idx="2">
                  <c:v>2021</c:v>
                </c:pt>
                <c:pt idx="3">
                  <c:v>2022</c:v>
                </c:pt>
                <c:pt idx="4">
                  <c:v>2023</c:v>
                </c:pt>
                <c:pt idx="5">
                  <c:v>2024</c:v>
                </c:pt>
              </c:numCache>
            </c:numRef>
          </c:cat>
          <c:val>
            <c:numRef>
              <c:f>四大部门市场规模!$C$11:$H$11</c:f>
              <c:numCache>
                <c:formatCode>General</c:formatCode>
                <c:ptCount val="6"/>
                <c:pt idx="1" c:formatCode="0.0%">
                  <c:v>0.091306553969986</c:v>
                </c:pt>
                <c:pt idx="2" c:formatCode="0.0%">
                  <c:v>0.200015286332108</c:v>
                </c:pt>
                <c:pt idx="3" c:formatCode="0.0%">
                  <c:v>0.052073713151386</c:v>
                </c:pt>
                <c:pt idx="4" c:formatCode="0.0%">
                  <c:v>0.125453417214467</c:v>
                </c:pt>
                <c:pt idx="5" c:formatCode="0.0%">
                  <c:v>0.0660289397715659</c:v>
                </c:pt>
              </c:numCache>
            </c:numRef>
          </c:val>
          <c:smooth val="0"/>
        </c:ser>
        <c:dLbls>
          <c:showLegendKey val="0"/>
          <c:showVal val="0"/>
          <c:showCatName val="0"/>
          <c:showSerName val="0"/>
          <c:showPercent val="0"/>
          <c:showBubbleSize val="0"/>
        </c:dLbls>
        <c:marker val="0"/>
        <c:smooth val="0"/>
        <c:axId val="1376932912"/>
        <c:axId val="378385824"/>
      </c:lineChart>
      <c:catAx>
        <c:axId val="378388704"/>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378384864"/>
        <c:crosses val="autoZero"/>
        <c:auto val="1"/>
        <c:lblAlgn val="ctr"/>
        <c:lblOffset val="100"/>
        <c:noMultiLvlLbl val="0"/>
      </c:catAx>
      <c:valAx>
        <c:axId val="378384864"/>
        <c:scaling>
          <c:orientation val="minMax"/>
        </c:scaling>
        <c:delete val="0"/>
        <c:axPos val="l"/>
        <c:numFmt formatCode="#,##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378388704"/>
        <c:crosses val="autoZero"/>
        <c:crossBetween val="between"/>
      </c:valAx>
      <c:catAx>
        <c:axId val="1376932912"/>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378385824"/>
        <c:crosses val="autoZero"/>
        <c:auto val="1"/>
        <c:lblAlgn val="ctr"/>
        <c:lblOffset val="100"/>
        <c:noMultiLvlLbl val="0"/>
      </c:catAx>
      <c:valAx>
        <c:axId val="378385824"/>
        <c:scaling>
          <c:orientation val="minMax"/>
        </c:scaling>
        <c:delete val="0"/>
        <c:axPos val="r"/>
        <c:numFmt formatCode="General"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1376932912"/>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legend>
    <c:plotVisOnly val="1"/>
    <c:dispBlanksAs val="gap"/>
    <c:showDLblsOverMax val="0"/>
    <c:extLst>
      <c:ext uri="{0b15fc19-7d7d-44ad-8c2d-2c3a37ce22c3}">
        <chartProps xmlns="https://web.wps.cn/et/2018/main" chartId="{ba597a87-41cc-436c-9f38-5314700c4aa1}"/>
      </c:ext>
    </c:extLst>
  </c:chart>
  <c:spPr>
    <a:solidFill>
      <a:schemeClr val="bg1"/>
    </a:solidFill>
    <a:ln w="9525" cap="flat" cmpd="sng" algn="ctr">
      <a:noFill/>
      <a:round/>
    </a:ln>
    <a:effectLst/>
  </c:spPr>
  <c:txPr>
    <a:bodyPr/>
    <a:lstStyle/>
    <a:p>
      <a:pPr>
        <a:defRPr lang="zh-CN" baseline="0">
          <a:solidFill>
            <a:schemeClr val="tx1"/>
          </a:solidFill>
          <a:latin typeface="Calibri" panose="020F0502020204030204" pitchFamily="2" charset="0"/>
          <a:ea typeface="楷体" panose="02010609060101010101" pitchFamily="3" charset="-122"/>
        </a:defRPr>
      </a:pPr>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Sheet1!$B$1</c:f>
              <c:strCache>
                <c:ptCount val="1"/>
                <c:pt idx="0">
                  <c:v>Retail Value(USD million)</c:v>
                </c:pt>
              </c:strCache>
            </c:strRef>
          </c:tx>
          <c:spPr>
            <a:solidFill>
              <a:srgbClr val="0E2841">
                <a:lumMod val="90000"/>
                <a:lumOff val="10000"/>
              </a:srgbClr>
            </a:solidFill>
            <a:ln>
              <a:noFill/>
            </a:ln>
            <a:effectLst/>
          </c:spPr>
          <c:invertIfNegative val="0"/>
          <c:dLbls>
            <c:delete val="1"/>
          </c:dLbls>
          <c:cat>
            <c:numRef>
              <c:f>Sheet1!$A$2:$A$7</c:f>
              <c:numCache>
                <c:formatCode>General</c:formatCode>
                <c:ptCount val="6"/>
                <c:pt idx="0">
                  <c:v>2020</c:v>
                </c:pt>
                <c:pt idx="1">
                  <c:v>2021</c:v>
                </c:pt>
                <c:pt idx="2">
                  <c:v>2022</c:v>
                </c:pt>
                <c:pt idx="3">
                  <c:v>2023</c:v>
                </c:pt>
                <c:pt idx="4">
                  <c:v>2024</c:v>
                </c:pt>
                <c:pt idx="5">
                  <c:v>2025</c:v>
                </c:pt>
              </c:numCache>
            </c:numRef>
          </c:cat>
          <c:val>
            <c:numRef>
              <c:f>Sheet1!$B$2:$B$7</c:f>
              <c:numCache>
                <c:formatCode>"$"#,##0.00_);[Red]\("$"#,##0.00\)</c:formatCode>
                <c:ptCount val="6"/>
                <c:pt idx="0">
                  <c:v>46725</c:v>
                </c:pt>
                <c:pt idx="1">
                  <c:v>54724.7</c:v>
                </c:pt>
                <c:pt idx="2">
                  <c:v>59691.4</c:v>
                </c:pt>
                <c:pt idx="3">
                  <c:v>67224.3</c:v>
                </c:pt>
                <c:pt idx="4" c:formatCode="&quot;$&quot;#,##0_);[Red]\(&quot;$&quot;#,##0\)">
                  <c:v>72615</c:v>
                </c:pt>
                <c:pt idx="5" c:formatCode="&quot;$&quot;#,##0_);[Red]\(&quot;$&quot;#,##0\)">
                  <c:v>77714</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Sheet1!$C$1</c:f>
              <c:strCache>
                <c:ptCount val="1"/>
                <c:pt idx="0">
                  <c:v>YOY</c:v>
                </c:pt>
              </c:strCache>
            </c:strRef>
          </c:tx>
          <c:spPr>
            <a:ln w="19050" cap="rnd" cmpd="sng" algn="ctr">
              <a:solidFill>
                <a:srgbClr val="44546A">
                  <a:lumMod val="60000"/>
                  <a:lumOff val="40000"/>
                </a:srgbClr>
              </a:solidFill>
              <a:prstDash val="solid"/>
              <a:round/>
            </a:ln>
            <a:effectLst/>
          </c:spPr>
          <c:marker>
            <c:symbol val="none"/>
          </c:marker>
          <c:dLbls>
            <c:delete val="1"/>
          </c:dLbls>
          <c:cat>
            <c:numRef>
              <c:f>Sheet1!$A$2:$A$7</c:f>
              <c:numCache>
                <c:formatCode>General</c:formatCode>
                <c:ptCount val="6"/>
                <c:pt idx="0">
                  <c:v>2020</c:v>
                </c:pt>
                <c:pt idx="1">
                  <c:v>2021</c:v>
                </c:pt>
                <c:pt idx="2">
                  <c:v>2022</c:v>
                </c:pt>
                <c:pt idx="3">
                  <c:v>2023</c:v>
                </c:pt>
                <c:pt idx="4">
                  <c:v>2024</c:v>
                </c:pt>
                <c:pt idx="5">
                  <c:v>2025</c:v>
                </c:pt>
              </c:numCache>
            </c:numRef>
          </c:cat>
          <c:val>
            <c:numRef>
              <c:f>Sheet1!$C$2:$C$7</c:f>
              <c:numCache>
                <c:formatCode>General</c:formatCode>
                <c:ptCount val="6"/>
                <c:pt idx="0">
                  <c:v>#N/A</c:v>
                </c:pt>
                <c:pt idx="1" c:formatCode="0.00%">
                  <c:v>0.171208132691279</c:v>
                </c:pt>
                <c:pt idx="2" c:formatCode="0.00%">
                  <c:v>0.0907579210119014</c:v>
                </c:pt>
                <c:pt idx="3" c:formatCode="0.00%">
                  <c:v>0.126197408671936</c:v>
                </c:pt>
                <c:pt idx="4" c:formatCode="0.00%">
                  <c:v>0.080189752812599</c:v>
                </c:pt>
                <c:pt idx="5" c:formatCode="0.00%">
                  <c:v>0.0702196515871376</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楷体" panose="02010609060101010101" pitchFamily="3" charset="-122"/>
                <a:ea typeface="楷体" panose="02010609060101010101" pitchFamily="3"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楷体" panose="02010609060101010101" pitchFamily="3"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楷体" panose="02010609060101010101" pitchFamily="3" charset="-122"/>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楷体" panose="02010609060101010101" pitchFamily="3" charset="-122"/>
              <a:ea typeface="楷体" panose="02010609060101010101" pitchFamily="3" charset="-122"/>
              <a:cs typeface="Times New Roman" panose="02020603050405020304" charset="0"/>
            </a:defRPr>
          </a:pPr>
        </a:p>
      </c:txPr>
    </c:legend>
    <c:plotVisOnly val="1"/>
    <c:dispBlanksAs val="gap"/>
    <c:showDLblsOverMax val="0"/>
    <c:extLst>
      <c:ext uri="{0b15fc19-7d7d-44ad-8c2d-2c3a37ce22c3}">
        <chartProps xmlns="https://web.wps.cn/et/2018/main" chartId="{49024e4d-0b8a-4ddb-a09b-599bb95dcbf1}"/>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814588839571319"/>
          <c:y val="0.0699745547073791"/>
          <c:w val="0.891393549628286"/>
          <c:h val="0.814260383482599"/>
        </c:manualLayout>
      </c:layout>
      <c:barChart>
        <c:barDir val="col"/>
        <c:grouping val="clustered"/>
        <c:varyColors val="0"/>
        <c:ser>
          <c:idx val="0"/>
          <c:order val="0"/>
          <c:tx>
            <c:strRef>
              <c:f>Sheet1!$H$118</c:f>
              <c:strCache>
                <c:ptCount val="1"/>
                <c:pt idx="0">
                  <c:v>YSL</c:v>
                </c:pt>
              </c:strCache>
            </c:strRef>
          </c:tx>
          <c:spPr>
            <a:solidFill>
              <a:schemeClr val="tx2">
                <a:lumMod val="75000"/>
              </a:schemeClr>
            </a:solidFill>
            <a:ln>
              <a:noFill/>
            </a:ln>
            <a:effectLst/>
          </c:spPr>
          <c:invertIfNegative val="0"/>
          <c:dLbls>
            <c:delete val="1"/>
          </c:dLbls>
          <c:cat>
            <c:numRef>
              <c:f>Sheet1!$I$117:$K$117</c:f>
              <c:numCache>
                <c:formatCode>General</c:formatCode>
                <c:ptCount val="3"/>
                <c:pt idx="0">
                  <c:v>2022</c:v>
                </c:pt>
                <c:pt idx="1">
                  <c:v>2023</c:v>
                </c:pt>
                <c:pt idx="2">
                  <c:v>2024</c:v>
                </c:pt>
              </c:numCache>
            </c:numRef>
          </c:cat>
          <c:val>
            <c:numRef>
              <c:f>Sheet1!$I$118:$K$118</c:f>
              <c:numCache>
                <c:formatCode>"$"#,##0.00_);[Red]\("$"#,##0.00\)</c:formatCode>
                <c:ptCount val="3"/>
                <c:pt idx="0">
                  <c:v>26.75</c:v>
                </c:pt>
                <c:pt idx="1">
                  <c:v>28.45</c:v>
                </c:pt>
                <c:pt idx="2">
                  <c:v>30.25</c:v>
                </c:pt>
              </c:numCache>
            </c:numRef>
          </c:val>
        </c:ser>
        <c:ser>
          <c:idx val="1"/>
          <c:order val="1"/>
          <c:tx>
            <c:strRef>
              <c:f>Sheet1!$H$119</c:f>
              <c:strCache>
                <c:ptCount val="1"/>
                <c:pt idx="0">
                  <c:v>Prada</c:v>
                </c:pt>
              </c:strCache>
            </c:strRef>
          </c:tx>
          <c:spPr>
            <a:solidFill>
              <a:schemeClr val="tx2">
                <a:lumMod val="75000"/>
                <a:lumOff val="25000"/>
              </a:schemeClr>
            </a:solidFill>
            <a:ln>
              <a:noFill/>
            </a:ln>
            <a:effectLst/>
          </c:spPr>
          <c:invertIfNegative val="0"/>
          <c:dLbls>
            <c:delete val="1"/>
          </c:dLbls>
          <c:cat>
            <c:numRef>
              <c:f>Sheet1!$I$117:$K$117</c:f>
              <c:numCache>
                <c:formatCode>General</c:formatCode>
                <c:ptCount val="3"/>
                <c:pt idx="0">
                  <c:v>2022</c:v>
                </c:pt>
                <c:pt idx="1">
                  <c:v>2023</c:v>
                </c:pt>
                <c:pt idx="2">
                  <c:v>2024</c:v>
                </c:pt>
              </c:numCache>
            </c:numRef>
          </c:cat>
          <c:val>
            <c:numRef>
              <c:f>Sheet1!$I$119:$K$119</c:f>
              <c:numCache>
                <c:formatCode>"$"#,##0.00_);[Red]\("$"#,##0.00\)</c:formatCode>
                <c:ptCount val="3"/>
                <c:pt idx="0">
                  <c:v>10.7</c:v>
                </c:pt>
                <c:pt idx="1">
                  <c:v>11.38</c:v>
                </c:pt>
                <c:pt idx="2">
                  <c:v>12.1</c:v>
                </c:pt>
              </c:numCache>
            </c:numRef>
          </c:val>
        </c:ser>
        <c:ser>
          <c:idx val="2"/>
          <c:order val="2"/>
          <c:tx>
            <c:strRef>
              <c:f>Sheet1!$H$120</c:f>
              <c:strCache>
                <c:ptCount val="1"/>
                <c:pt idx="0">
                  <c:v>Valentino</c:v>
                </c:pt>
              </c:strCache>
            </c:strRef>
          </c:tx>
          <c:spPr>
            <a:solidFill>
              <a:schemeClr val="accent1">
                <a:lumMod val="60000"/>
                <a:lumOff val="40000"/>
              </a:schemeClr>
            </a:solidFill>
            <a:ln>
              <a:noFill/>
            </a:ln>
            <a:effectLst/>
          </c:spPr>
          <c:invertIfNegative val="0"/>
          <c:dLbls>
            <c:delete val="1"/>
          </c:dLbls>
          <c:cat>
            <c:numRef>
              <c:f>Sheet1!$I$117:$K$117</c:f>
              <c:numCache>
                <c:formatCode>General</c:formatCode>
                <c:ptCount val="3"/>
                <c:pt idx="0">
                  <c:v>2022</c:v>
                </c:pt>
                <c:pt idx="1">
                  <c:v>2023</c:v>
                </c:pt>
                <c:pt idx="2">
                  <c:v>2024</c:v>
                </c:pt>
              </c:numCache>
            </c:numRef>
          </c:cat>
          <c:val>
            <c:numRef>
              <c:f>Sheet1!$I$120:$K$120</c:f>
              <c:numCache>
                <c:formatCode>"$"#,##0.00_);[Red]\("$"#,##0.00\)</c:formatCode>
                <c:ptCount val="3"/>
                <c:pt idx="0">
                  <c:v>5.35</c:v>
                </c:pt>
                <c:pt idx="1">
                  <c:v>5.69</c:v>
                </c:pt>
                <c:pt idx="2">
                  <c:v>6.05</c:v>
                </c:pt>
              </c:numCache>
            </c:numRef>
          </c:val>
        </c:ser>
        <c:dLbls>
          <c:showLegendKey val="0"/>
          <c:showVal val="0"/>
          <c:showCatName val="0"/>
          <c:showSerName val="0"/>
          <c:showPercent val="0"/>
          <c:showBubbleSize val="0"/>
        </c:dLbls>
        <c:gapWidth val="219"/>
        <c:overlap val="-27"/>
        <c:axId val="503407200"/>
        <c:axId val="503391360"/>
      </c:barChart>
      <c:catAx>
        <c:axId val="503407200"/>
        <c:scaling>
          <c:orientation val="minMax"/>
        </c:scaling>
        <c:delete val="0"/>
        <c:axPos val="b"/>
        <c:numFmt formatCode="General" sourceLinked="1"/>
        <c:majorTickMark val="in"/>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03391360"/>
        <c:crosses val="autoZero"/>
        <c:auto val="1"/>
        <c:lblAlgn val="ctr"/>
        <c:lblOffset val="100"/>
        <c:noMultiLvlLbl val="0"/>
      </c:catAx>
      <c:valAx>
        <c:axId val="503391360"/>
        <c:scaling>
          <c:orientation val="minMax"/>
        </c:scaling>
        <c:delete val="0"/>
        <c:axPos val="l"/>
        <c:majorGridlines>
          <c:spPr>
            <a:ln w="9525" cap="flat" cmpd="sng" algn="ctr">
              <a:noFill/>
              <a:round/>
            </a:ln>
            <a:effectLst/>
          </c:spPr>
        </c:majorGridlines>
        <c:numFmt formatCode="#,##0_);[Red]\(#,##0\)" sourceLinked="0"/>
        <c:majorTickMark val="in"/>
        <c:minorTickMark val="in"/>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03407200"/>
        <c:crosses val="autoZero"/>
        <c:crossBetween val="between"/>
        <c:minorUnit val="10"/>
      </c:valAx>
      <c:spPr>
        <a:solidFill>
          <a:schemeClr val="bg1"/>
        </a:solidFill>
        <a:ln>
          <a:noFill/>
        </a:ln>
        <a:effectLst/>
      </c:spPr>
    </c:plotArea>
    <c:legend>
      <c:legendPos val="b"/>
      <c:layout>
        <c:manualLayout>
          <c:xMode val="edge"/>
          <c:yMode val="edge"/>
          <c:x val="0.271146167811048"/>
          <c:y val="0.0402346176193625"/>
          <c:w val="0.457707359005953"/>
          <c:h val="0.107348079581655"/>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cb30e81f-0a42-4752-9114-9a5ddc2818f3}"/>
      </c:ext>
    </c:extLst>
  </c:chart>
  <c:spPr>
    <a:solidFill>
      <a:schemeClr val="bg1"/>
    </a:solidFill>
    <a:ln w="9525" cap="flat" cmpd="sng" algn="ctr">
      <a:no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B5AEE91B-FF90-C643-9298-9A60A55F621E}" type="doc">
      <dgm:prSet loTypeId="urn:microsoft.com/office/officeart/2005/8/layout/pyramid1" loCatId="" qsTypeId="urn:microsoft.com/office/officeart/2005/8/quickstyle/simple1" qsCatId="simple" csTypeId="urn:microsoft.com/office/officeart/2005/8/colors/accent1_2" csCatId="accent1" phldr="1"/>
      <dgm:spPr/>
    </dgm:pt>
    <dgm:pt modelId="{ED66079E-5B3E-D041-8255-AAB086E781F1}">
      <dgm:prSet phldrT="[文本]" custT="1"/>
      <dgm:spPr>
        <a:solidFill>
          <a:schemeClr val="accent2">
            <a:lumMod val="60000"/>
            <a:lumOff val="40000"/>
          </a:schemeClr>
        </a:solidFill>
      </dgm:spPr>
      <dgm:t>
        <a:bodyPr/>
        <a:p>
          <a:pPr>
            <a:buNone/>
          </a:pPr>
          <a:endParaRPr lang="en-US" sz="1200" b="1" i="0"/>
        </a:p>
        <a:p>
          <a:pPr>
            <a:buNone/>
          </a:pPr>
          <a:r>
            <a:rPr lang="en-US" sz="800" b="1" i="0"/>
            <a:t>Precise </a:t>
          </a:r>
        </a:p>
        <a:p>
          <a:pPr>
            <a:buNone/>
          </a:pPr>
          <a:r>
            <a:rPr lang="en-US" sz="800" b="1" i="0"/>
            <a:t>Innovation, </a:t>
          </a:r>
        </a:p>
        <a:p>
          <a:pPr>
            <a:buNone/>
          </a:pPr>
          <a:r>
            <a:rPr lang="en-US" sz="800" b="1" i="0"/>
            <a:t>Targeted Solutions</a:t>
          </a:r>
          <a:endParaRPr lang="zh-CN" altLang="en-US" sz="800" b="1">
            <a:latin typeface="楷体" panose="02010609060101010101" pitchFamily="3" charset="-122"/>
            <a:ea typeface="楷体" panose="02010609060101010101" pitchFamily="3" charset="-122"/>
          </a:endParaRPr>
        </a:p>
      </dgm:t>
    </dgm:pt>
    <dgm:pt modelId="{1EFD15B3-E805-754D-93AC-071F1397144B}" cxnId="{D476BE0B-CAEA-4D41-A0DA-6100283E517E}" type="parTrans">
      <dgm:prSet/>
      <dgm:spPr/>
      <dgm:t>
        <a:bodyPr/>
        <a:p>
          <a:endParaRPr lang="zh-CN" altLang="en-US"/>
        </a:p>
      </dgm:t>
    </dgm:pt>
    <dgm:pt modelId="{863D2D5C-42C6-3E40-9620-110D0C63B1A4}" cxnId="{D476BE0B-CAEA-4D41-A0DA-6100283E517E}" type="sibTrans">
      <dgm:prSet/>
      <dgm:spPr/>
      <dgm:t>
        <a:bodyPr/>
        <a:p>
          <a:endParaRPr lang="zh-CN" altLang="en-US"/>
        </a:p>
      </dgm:t>
    </dgm:pt>
    <dgm:pt modelId="{11EA650E-96AD-0A4C-91E7-565BCE644552}">
      <dgm:prSet phldrT="[文本]" custT="1"/>
      <dgm:spPr>
        <a:solidFill>
          <a:schemeClr val="accent6">
            <a:lumMod val="60000"/>
            <a:lumOff val="40000"/>
          </a:schemeClr>
        </a:solidFill>
      </dgm:spPr>
      <dgm:t>
        <a:bodyPr/>
        <a:p>
          <a:pPr>
            <a:buNone/>
          </a:pPr>
          <a:r>
            <a:rPr lang="en-US" sz="1050" b="1" i="0"/>
            <a:t>Channel Penetration + Science Communication for Professional Mindshare</a:t>
          </a:r>
          <a:endParaRPr lang="zh-CN" altLang="en-US" sz="1050">
            <a:latin typeface="楷体" panose="02010609060101010101" pitchFamily="3" charset="-122"/>
            <a:ea typeface="楷体" panose="02010609060101010101" pitchFamily="3" charset="-122"/>
          </a:endParaRPr>
        </a:p>
      </dgm:t>
    </dgm:pt>
    <dgm:pt modelId="{88F1FB17-8466-2548-B2B6-E1187EF2DA5C}" cxnId="{515195DE-2493-B745-9C0B-EAC45654C857}" type="parTrans">
      <dgm:prSet/>
      <dgm:spPr/>
      <dgm:t>
        <a:bodyPr/>
        <a:p>
          <a:endParaRPr lang="zh-CN" altLang="en-US"/>
        </a:p>
      </dgm:t>
    </dgm:pt>
    <dgm:pt modelId="{5EF5180C-7ECD-6A4F-9DDC-9CD898CAA55B}" cxnId="{515195DE-2493-B745-9C0B-EAC45654C857}" type="sibTrans">
      <dgm:prSet/>
      <dgm:spPr/>
      <dgm:t>
        <a:bodyPr/>
        <a:p>
          <a:endParaRPr lang="zh-CN" altLang="en-US"/>
        </a:p>
      </dgm:t>
    </dgm:pt>
    <dgm:pt modelId="{988F11F1-B60B-444A-91D9-4A46B0917552}">
      <dgm:prSet phldrT="[文本]" custT="1"/>
      <dgm:spPr>
        <a:solidFill>
          <a:schemeClr val="tx2">
            <a:lumMod val="50000"/>
            <a:lumOff val="50000"/>
          </a:schemeClr>
        </a:solidFill>
      </dgm:spPr>
      <dgm:t>
        <a:bodyPr/>
        <a:p>
          <a:pPr>
            <a:buNone/>
          </a:pPr>
          <a:r>
            <a:rPr lang="en-US" sz="1100" b="1" i="0"/>
            <a:t>Medical Endorsement: The Ultimate Trust Anchor</a:t>
          </a:r>
          <a:endParaRPr lang="zh-CN" altLang="en-US" sz="1100">
            <a:latin typeface="楷体" panose="02010609060101010101" pitchFamily="3" charset="-122"/>
            <a:ea typeface="楷体" panose="02010609060101010101" pitchFamily="3" charset="-122"/>
          </a:endParaRPr>
        </a:p>
      </dgm:t>
    </dgm:pt>
    <dgm:pt modelId="{B365AD82-93A1-8940-889A-79B6839C4EE9}" cxnId="{D315B10E-13D1-D84F-848B-D9FF40B4B87C}" type="parTrans">
      <dgm:prSet/>
      <dgm:spPr/>
      <dgm:t>
        <a:bodyPr/>
        <a:p>
          <a:endParaRPr lang="zh-CN" altLang="en-US"/>
        </a:p>
      </dgm:t>
    </dgm:pt>
    <dgm:pt modelId="{7BC93663-2279-6F40-BDD6-3651AE755089}" cxnId="{D315B10E-13D1-D84F-848B-D9FF40B4B87C}" type="sibTrans">
      <dgm:prSet/>
      <dgm:spPr/>
      <dgm:t>
        <a:bodyPr/>
        <a:p>
          <a:endParaRPr lang="zh-CN" altLang="en-US"/>
        </a:p>
      </dgm:t>
    </dgm:pt>
    <dgm:pt modelId="{55315391-AED5-4E4B-96B4-60895A7E1299}" type="pres">
      <dgm:prSet presAssocID="{B5AEE91B-FF90-C643-9298-9A60A55F621E}" presName="Name0" presStyleCnt="0">
        <dgm:presLayoutVars>
          <dgm:dir/>
          <dgm:animLvl val="lvl"/>
          <dgm:resizeHandles val="exact"/>
        </dgm:presLayoutVars>
      </dgm:prSet>
      <dgm:spPr/>
    </dgm:pt>
    <dgm:pt modelId="{135809C7-CAD8-C04B-BFA9-07D5BCC7DDA9}" type="pres">
      <dgm:prSet presAssocID="{ED66079E-5B3E-D041-8255-AAB086E781F1}" presName="Name8" presStyleCnt="0"/>
      <dgm:spPr/>
    </dgm:pt>
    <dgm:pt modelId="{77955E0E-1B4B-9B41-922E-F90249184843}" type="pres">
      <dgm:prSet presAssocID="{ED66079E-5B3E-D041-8255-AAB086E781F1}" presName="level" presStyleLbl="node1" presStyleIdx="0" presStyleCnt="3">
        <dgm:presLayoutVars>
          <dgm:chMax val="1"/>
          <dgm:bulletEnabled val="1"/>
        </dgm:presLayoutVars>
      </dgm:prSet>
      <dgm:spPr/>
    </dgm:pt>
    <dgm:pt modelId="{C5BD0727-803F-F049-B93D-BC99D85EC106}" type="pres">
      <dgm:prSet presAssocID="{ED66079E-5B3E-D041-8255-AAB086E781F1}" presName="levelTx" presStyleLbl="revTx" presStyleIdx="0" presStyleCnt="0">
        <dgm:presLayoutVars>
          <dgm:chMax val="1"/>
          <dgm:bulletEnabled val="1"/>
        </dgm:presLayoutVars>
      </dgm:prSet>
      <dgm:spPr/>
    </dgm:pt>
    <dgm:pt modelId="{36F3F9F5-E802-754A-96F9-45EB3900AC9D}" type="pres">
      <dgm:prSet presAssocID="{11EA650E-96AD-0A4C-91E7-565BCE644552}" presName="Name8" presStyleCnt="0"/>
      <dgm:spPr/>
    </dgm:pt>
    <dgm:pt modelId="{EB074D18-DA83-7F4A-8DE6-296021AFBB62}" type="pres">
      <dgm:prSet presAssocID="{11EA650E-96AD-0A4C-91E7-565BCE644552}" presName="level" presStyleLbl="node1" presStyleIdx="1" presStyleCnt="3">
        <dgm:presLayoutVars>
          <dgm:chMax val="1"/>
          <dgm:bulletEnabled val="1"/>
        </dgm:presLayoutVars>
      </dgm:prSet>
      <dgm:spPr/>
    </dgm:pt>
    <dgm:pt modelId="{607972F1-8130-3D40-A461-700AA9A5EE31}" type="pres">
      <dgm:prSet presAssocID="{11EA650E-96AD-0A4C-91E7-565BCE644552}" presName="levelTx" presStyleLbl="revTx" presStyleIdx="0" presStyleCnt="0">
        <dgm:presLayoutVars>
          <dgm:chMax val="1"/>
          <dgm:bulletEnabled val="1"/>
        </dgm:presLayoutVars>
      </dgm:prSet>
      <dgm:spPr/>
    </dgm:pt>
    <dgm:pt modelId="{1D9102F6-D7EB-BA44-9B5A-89CE40598473}" type="pres">
      <dgm:prSet presAssocID="{988F11F1-B60B-444A-91D9-4A46B0917552}" presName="Name8" presStyleCnt="0"/>
      <dgm:spPr/>
    </dgm:pt>
    <dgm:pt modelId="{6F480717-402C-EB45-9A1A-FA76BBBFF178}" type="pres">
      <dgm:prSet presAssocID="{988F11F1-B60B-444A-91D9-4A46B0917552}" presName="level" presStyleLbl="node1" presStyleIdx="2" presStyleCnt="3" custLinFactNeighborX="-3545" custLinFactNeighborY="0">
        <dgm:presLayoutVars>
          <dgm:chMax val="1"/>
          <dgm:bulletEnabled val="1"/>
        </dgm:presLayoutVars>
      </dgm:prSet>
      <dgm:spPr/>
    </dgm:pt>
    <dgm:pt modelId="{3B404696-E15B-5A43-B4EE-6CAF9B71D789}" type="pres">
      <dgm:prSet presAssocID="{988F11F1-B60B-444A-91D9-4A46B0917552}" presName="levelTx" presStyleLbl="revTx" presStyleIdx="0" presStyleCnt="0">
        <dgm:presLayoutVars>
          <dgm:chMax val="1"/>
          <dgm:bulletEnabled val="1"/>
        </dgm:presLayoutVars>
      </dgm:prSet>
      <dgm:spPr/>
    </dgm:pt>
  </dgm:ptLst>
  <dgm:cxnLst>
    <dgm:cxn modelId="{20775003-04F9-2C41-9A23-212C96CAA4C9}" type="presOf" srcId="{988F11F1-B60B-444A-91D9-4A46B0917552}" destId="{6F480717-402C-EB45-9A1A-FA76BBBFF178}" srcOrd="0" destOrd="0" presId="urn:microsoft.com/office/officeart/2005/8/layout/pyramid1"/>
    <dgm:cxn modelId="{A1A2B804-A146-BD4A-B263-A7CBA4D7A47A}" type="presOf" srcId="{988F11F1-B60B-444A-91D9-4A46B0917552}" destId="{3B404696-E15B-5A43-B4EE-6CAF9B71D789}" srcOrd="1" destOrd="0" presId="urn:microsoft.com/office/officeart/2005/8/layout/pyramid1"/>
    <dgm:cxn modelId="{D476BE0B-CAEA-4D41-A0DA-6100283E517E}" srcId="{B5AEE91B-FF90-C643-9298-9A60A55F621E}" destId="{ED66079E-5B3E-D041-8255-AAB086E781F1}" srcOrd="0" destOrd="0" parTransId="{1EFD15B3-E805-754D-93AC-071F1397144B}" sibTransId="{863D2D5C-42C6-3E40-9620-110D0C63B1A4}"/>
    <dgm:cxn modelId="{D315B10E-13D1-D84F-848B-D9FF40B4B87C}" srcId="{B5AEE91B-FF90-C643-9298-9A60A55F621E}" destId="{988F11F1-B60B-444A-91D9-4A46B0917552}" srcOrd="2" destOrd="0" parTransId="{B365AD82-93A1-8940-889A-79B6839C4EE9}" sibTransId="{7BC93663-2279-6F40-BDD6-3651AE755089}"/>
    <dgm:cxn modelId="{5EDAF966-9C08-BB4A-A5DC-00FB739C0E99}" type="presOf" srcId="{ED66079E-5B3E-D041-8255-AAB086E781F1}" destId="{C5BD0727-803F-F049-B93D-BC99D85EC106}" srcOrd="1" destOrd="0" presId="urn:microsoft.com/office/officeart/2005/8/layout/pyramid1"/>
    <dgm:cxn modelId="{EFE2494B-F42B-7F49-B738-9B757FEE742F}" type="presOf" srcId="{B5AEE91B-FF90-C643-9298-9A60A55F621E}" destId="{55315391-AED5-4E4B-96B4-60895A7E1299}" srcOrd="0" destOrd="0" presId="urn:microsoft.com/office/officeart/2005/8/layout/pyramid1"/>
    <dgm:cxn modelId="{27A34872-E501-0845-848F-8DE9DE3C3672}" type="presOf" srcId="{ED66079E-5B3E-D041-8255-AAB086E781F1}" destId="{77955E0E-1B4B-9B41-922E-F90249184843}" srcOrd="0" destOrd="0" presId="urn:microsoft.com/office/officeart/2005/8/layout/pyramid1"/>
    <dgm:cxn modelId="{F4695B7D-3EEE-D244-80C1-17F33FD3F8FD}" type="presOf" srcId="{11EA650E-96AD-0A4C-91E7-565BCE644552}" destId="{607972F1-8130-3D40-A461-700AA9A5EE31}" srcOrd="1" destOrd="0" presId="urn:microsoft.com/office/officeart/2005/8/layout/pyramid1"/>
    <dgm:cxn modelId="{515195DE-2493-B745-9C0B-EAC45654C857}" srcId="{B5AEE91B-FF90-C643-9298-9A60A55F621E}" destId="{11EA650E-96AD-0A4C-91E7-565BCE644552}" srcOrd="1" destOrd="0" parTransId="{88F1FB17-8466-2548-B2B6-E1187EF2DA5C}" sibTransId="{5EF5180C-7ECD-6A4F-9DDC-9CD898CAA55B}"/>
    <dgm:cxn modelId="{07A229E2-5800-9C40-97F3-DECAB060F552}" type="presOf" srcId="{11EA650E-96AD-0A4C-91E7-565BCE644552}" destId="{EB074D18-DA83-7F4A-8DE6-296021AFBB62}" srcOrd="0" destOrd="0" presId="urn:microsoft.com/office/officeart/2005/8/layout/pyramid1"/>
    <dgm:cxn modelId="{76B4C6FA-1393-A643-8AA9-B84DF631654A}" type="presParOf" srcId="{55315391-AED5-4E4B-96B4-60895A7E1299}" destId="{135809C7-CAD8-C04B-BFA9-07D5BCC7DDA9}" srcOrd="0" destOrd="0" presId="urn:microsoft.com/office/officeart/2005/8/layout/pyramid1"/>
    <dgm:cxn modelId="{F4838B8B-54E1-4F4A-8E1E-654762A37EF3}" type="presParOf" srcId="{135809C7-CAD8-C04B-BFA9-07D5BCC7DDA9}" destId="{77955E0E-1B4B-9B41-922E-F90249184843}" srcOrd="0" destOrd="0" presId="urn:microsoft.com/office/officeart/2005/8/layout/pyramid1"/>
    <dgm:cxn modelId="{26FA1E6C-5E5F-034E-B1B6-243B9BAE2F4E}" type="presParOf" srcId="{135809C7-CAD8-C04B-BFA9-07D5BCC7DDA9}" destId="{C5BD0727-803F-F049-B93D-BC99D85EC106}" srcOrd="1" destOrd="0" presId="urn:microsoft.com/office/officeart/2005/8/layout/pyramid1"/>
    <dgm:cxn modelId="{9EF3DB4F-6C7C-0544-BB51-229E2FAE5F44}" type="presParOf" srcId="{55315391-AED5-4E4B-96B4-60895A7E1299}" destId="{36F3F9F5-E802-754A-96F9-45EB3900AC9D}" srcOrd="1" destOrd="0" presId="urn:microsoft.com/office/officeart/2005/8/layout/pyramid1"/>
    <dgm:cxn modelId="{CF3844FC-B6EE-C64A-9E02-F55BC13AB88A}" type="presParOf" srcId="{36F3F9F5-E802-754A-96F9-45EB3900AC9D}" destId="{EB074D18-DA83-7F4A-8DE6-296021AFBB62}" srcOrd="0" destOrd="0" presId="urn:microsoft.com/office/officeart/2005/8/layout/pyramid1"/>
    <dgm:cxn modelId="{331D97E4-41B7-3E47-A5F3-0E347D9D156A}" type="presParOf" srcId="{36F3F9F5-E802-754A-96F9-45EB3900AC9D}" destId="{607972F1-8130-3D40-A461-700AA9A5EE31}" srcOrd="1" destOrd="0" presId="urn:microsoft.com/office/officeart/2005/8/layout/pyramid1"/>
    <dgm:cxn modelId="{71E86F55-1603-4548-89A4-06C37476D22A}" type="presParOf" srcId="{55315391-AED5-4E4B-96B4-60895A7E1299}" destId="{1D9102F6-D7EB-BA44-9B5A-89CE40598473}" srcOrd="2" destOrd="0" presId="urn:microsoft.com/office/officeart/2005/8/layout/pyramid1"/>
    <dgm:cxn modelId="{7B3476D5-4983-204E-99E9-44C3A2B2A8C8}" type="presParOf" srcId="{1D9102F6-D7EB-BA44-9B5A-89CE40598473}" destId="{6F480717-402C-EB45-9A1A-FA76BBBFF178}" srcOrd="0" destOrd="0" presId="urn:microsoft.com/office/officeart/2005/8/layout/pyramid1"/>
    <dgm:cxn modelId="{3BC9FF73-97E7-1843-A923-F7A66CADDAA2}" type="presParOf" srcId="{1D9102F6-D7EB-BA44-9B5A-89CE40598473}" destId="{3B404696-E15B-5A43-B4EE-6CAF9B71D789}" srcOrd="1" destOrd="0" presId="urn:microsoft.com/office/officeart/2005/8/layout/pyramid1"/>
  </dgm:cxnLst>
  <dgm:bg/>
  <dgm:whole/>
  <dgm:extLst>
    <a:ext uri="http://schemas.microsoft.com/office/drawing/2008/diagram">
      <dsp:dataModelExt xmlns:dsp="http://schemas.microsoft.com/office/drawing/2008/diagram" relId="rId5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4251960" cy="2256790"/>
        <a:chOff x="0" y="0"/>
        <a:chExt cx="4251960" cy="2256790"/>
      </a:xfrm>
    </dsp:grpSpPr>
    <dsp:sp modelId="{77955E0E-1B4B-9B41-922E-F90249184843}">
      <dsp:nvSpPr>
        <dsp:cNvPr id="3" name="梯形 2"/>
        <dsp:cNvSpPr/>
      </dsp:nvSpPr>
      <dsp:spPr bwMode="white">
        <a:xfrm>
          <a:off x="1417320" y="0"/>
          <a:ext cx="1417320" cy="752263"/>
        </a:xfrm>
        <a:prstGeom prst="trapezoid">
          <a:avLst>
            <a:gd name="adj" fmla="val 94203"/>
          </a:avLst>
        </a:prstGeom>
        <a:solidFill>
          <a:schemeClr val="accent2">
            <a:lumMod val="60000"/>
            <a:lumOff val="40000"/>
          </a:schemeClr>
        </a:solidFill>
      </dsp:spPr>
      <dsp:style>
        <a:lnRef idx="2">
          <a:schemeClr val="lt1"/>
        </a:lnRef>
        <a:fillRef idx="1">
          <a:schemeClr val="accent1"/>
        </a:fillRef>
        <a:effectRef idx="0">
          <a:scrgbClr r="0" g="0" b="0"/>
        </a:effectRef>
        <a:fontRef idx="minor">
          <a:schemeClr val="lt1"/>
        </a:fontRef>
      </dsp:style>
      <dsp:txBody>
        <a:bodyPr lIns="10160" tIns="10160" rIns="10160" bIns="1016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buNone/>
          </a:pPr>
          <a:endParaRPr lang="en-US" sz="1200" b="1" i="0">
            <a:solidFill>
              <a:schemeClr val="tx1"/>
            </a:solidFill>
          </a:endParaRPr>
        </a:p>
        <a:p>
          <a:pPr lvl="0">
            <a:lnSpc>
              <a:spcPct val="100000"/>
            </a:lnSpc>
            <a:spcBef>
              <a:spcPct val="0"/>
            </a:spcBef>
            <a:spcAft>
              <a:spcPct val="35000"/>
            </a:spcAft>
            <a:buNone/>
          </a:pPr>
          <a:r>
            <a:rPr lang="en-US" sz="800" b="1" i="0">
              <a:solidFill>
                <a:schemeClr val="tx1"/>
              </a:solidFill>
            </a:rPr>
            <a:t>Precise </a:t>
          </a:r>
          <a:endParaRPr lang="en-US" sz="800" b="1" i="0">
            <a:solidFill>
              <a:schemeClr val="tx1"/>
            </a:solidFill>
          </a:endParaRPr>
        </a:p>
        <a:p>
          <a:pPr lvl="0">
            <a:lnSpc>
              <a:spcPct val="100000"/>
            </a:lnSpc>
            <a:spcBef>
              <a:spcPct val="0"/>
            </a:spcBef>
            <a:spcAft>
              <a:spcPct val="35000"/>
            </a:spcAft>
            <a:buNone/>
          </a:pPr>
          <a:r>
            <a:rPr lang="en-US" sz="800" b="1" i="0">
              <a:solidFill>
                <a:schemeClr val="tx1"/>
              </a:solidFill>
            </a:rPr>
            <a:t>Innovation, </a:t>
          </a:r>
          <a:endParaRPr lang="en-US" sz="800" b="1" i="0">
            <a:solidFill>
              <a:schemeClr val="tx1"/>
            </a:solidFill>
          </a:endParaRPr>
        </a:p>
        <a:p>
          <a:pPr lvl="0">
            <a:lnSpc>
              <a:spcPct val="100000"/>
            </a:lnSpc>
            <a:spcBef>
              <a:spcPct val="0"/>
            </a:spcBef>
            <a:spcAft>
              <a:spcPct val="35000"/>
            </a:spcAft>
            <a:buNone/>
          </a:pPr>
          <a:r>
            <a:rPr lang="en-US" sz="800" b="1" i="0">
              <a:solidFill>
                <a:schemeClr val="tx1"/>
              </a:solidFill>
            </a:rPr>
            <a:t>Targeted Solutions</a:t>
          </a:r>
          <a:endParaRPr lang="zh-CN" altLang="en-US" sz="800" b="1">
            <a:solidFill>
              <a:schemeClr val="tx1"/>
            </a:solidFill>
            <a:latin typeface="楷体" panose="02010609060101010101" pitchFamily="3" charset="-122"/>
            <a:ea typeface="楷体" panose="02010609060101010101" pitchFamily="3" charset="-122"/>
          </a:endParaRPr>
        </a:p>
      </dsp:txBody>
      <dsp:txXfrm>
        <a:off x="1417320" y="0"/>
        <a:ext cx="1417320" cy="752263"/>
      </dsp:txXfrm>
    </dsp:sp>
    <dsp:sp modelId="{EB074D18-DA83-7F4A-8DE6-296021AFBB62}">
      <dsp:nvSpPr>
        <dsp:cNvPr id="4" name="梯形 3"/>
        <dsp:cNvSpPr/>
      </dsp:nvSpPr>
      <dsp:spPr bwMode="white">
        <a:xfrm>
          <a:off x="708660" y="752263"/>
          <a:ext cx="2834640" cy="752263"/>
        </a:xfrm>
        <a:prstGeom prst="trapezoid">
          <a:avLst>
            <a:gd name="adj" fmla="val 94203"/>
          </a:avLst>
        </a:prstGeom>
        <a:solidFill>
          <a:schemeClr val="accent6">
            <a:lumMod val="60000"/>
            <a:lumOff val="40000"/>
          </a:schemeClr>
        </a:solidFill>
      </dsp:spPr>
      <dsp:style>
        <a:lnRef idx="2">
          <a:schemeClr val="lt1"/>
        </a:lnRef>
        <a:fillRef idx="1">
          <a:schemeClr val="accent1"/>
        </a:fillRef>
        <a:effectRef idx="0">
          <a:scrgbClr r="0" g="0" b="0"/>
        </a:effectRef>
        <a:fontRef idx="minor">
          <a:schemeClr val="lt1"/>
        </a:fontRef>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buNone/>
          </a:pPr>
          <a:r>
            <a:rPr lang="en-US" sz="1050" b="1" i="0">
              <a:solidFill>
                <a:schemeClr val="tx1"/>
              </a:solidFill>
            </a:rPr>
            <a:t>Channel Penetration + Science Communication for Professional Mindshare</a:t>
          </a:r>
          <a:endParaRPr lang="zh-CN" altLang="en-US" sz="1050">
            <a:solidFill>
              <a:schemeClr val="tx1"/>
            </a:solidFill>
            <a:latin typeface="楷体" panose="02010609060101010101" pitchFamily="3" charset="-122"/>
            <a:ea typeface="楷体" panose="02010609060101010101" pitchFamily="3" charset="-122"/>
          </a:endParaRPr>
        </a:p>
      </dsp:txBody>
      <dsp:txXfrm>
        <a:off x="708660" y="752263"/>
        <a:ext cx="2834640" cy="752263"/>
      </dsp:txXfrm>
    </dsp:sp>
    <dsp:sp modelId="{6F480717-402C-EB45-9A1A-FA76BBBFF178}">
      <dsp:nvSpPr>
        <dsp:cNvPr id="5" name="梯形 4"/>
        <dsp:cNvSpPr/>
      </dsp:nvSpPr>
      <dsp:spPr bwMode="white">
        <a:xfrm>
          <a:off x="0" y="1504527"/>
          <a:ext cx="4251960" cy="752263"/>
        </a:xfrm>
        <a:prstGeom prst="trapezoid">
          <a:avLst>
            <a:gd name="adj" fmla="val 94203"/>
          </a:avLst>
        </a:prstGeom>
        <a:solidFill>
          <a:schemeClr val="tx2">
            <a:lumMod val="50000"/>
            <a:lumOff val="50000"/>
          </a:schemeClr>
        </a:solidFill>
      </dsp:spPr>
      <dsp:style>
        <a:lnRef idx="2">
          <a:schemeClr val="lt1"/>
        </a:lnRef>
        <a:fillRef idx="1">
          <a:schemeClr val="accent1"/>
        </a:fillRef>
        <a:effectRef idx="0">
          <a:scrgbClr r="0" g="0" b="0"/>
        </a:effectRef>
        <a:fontRef idx="minor">
          <a:schemeClr val="lt1"/>
        </a:fontRef>
      </dsp:style>
      <dsp:txBody>
        <a:bodyPr lIns="13970" tIns="13970" rIns="13970" bIns="1397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buNone/>
          </a:pPr>
          <a:r>
            <a:rPr lang="en-US" sz="1100" b="1" i="0">
              <a:solidFill>
                <a:schemeClr val="tx1"/>
              </a:solidFill>
            </a:rPr>
            <a:t>Medical Endorsement: The Ultimate Trust Anchor</a:t>
          </a:r>
          <a:endParaRPr lang="zh-CN" altLang="en-US" sz="1100">
            <a:solidFill>
              <a:schemeClr val="tx1"/>
            </a:solidFill>
            <a:latin typeface="楷体" panose="02010609060101010101" pitchFamily="3" charset="-122"/>
            <a:ea typeface="楷体" panose="02010609060101010101" pitchFamily="3" charset="-122"/>
          </a:endParaRPr>
        </a:p>
      </dsp:txBody>
      <dsp:txXfrm>
        <a:off x="0" y="1504527"/>
        <a:ext cx="4251960" cy="752263"/>
      </dsp:txXfrm>
    </dsp:sp>
  </dsp:spTree>
</dsp:drawing>
</file>

<file path=word/diagrams/layout1.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pyraLvlNode" val="level"/>
          <dgm:param type="pyraAcctTxNode" val="acctTx"/>
          <dgm:param type="pyraAcctBkgdNode" val="acctBkgd"/>
          <dgm:param type="linDir" val="fromB"/>
          <dgm:param type="txDir" val="fromT"/>
          <dgm:param type="pyraAcctPos" val="aft"/>
          <dgm:param type="pyraAcctTxMar" val="step"/>
        </dgm:alg>
      </dgm:if>
      <dgm:else name="Name3">
        <dgm:alg type="pyra">
          <dgm:param type="pyraLvlNode" val="level"/>
          <dgm:param type="pyraAcctTxNode" val="acctTx"/>
          <dgm:param type="pyraAcctBkgdNode" val="acctBkgd"/>
          <dgm:param type="linDir" val="fromB"/>
          <dgm:param type="txDir" val="fromT"/>
          <dgm:param type="pyraAcctPos" val="bef"/>
          <dgm:param type="pyraAcctTxMar" val="step"/>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MyNewTheme">
      <a:dk1>
        <a:sysClr val="windowText" lastClr="000000"/>
      </a:dk1>
      <a:lt1>
        <a:sysClr val="window" lastClr="FFFFFF"/>
      </a:lt1>
      <a:dk2>
        <a:srgbClr val="1F497D"/>
      </a:dk2>
      <a:lt2>
        <a:srgbClr val="EEECE1"/>
      </a:lt2>
      <a:accent1>
        <a:srgbClr val="99CCFF"/>
      </a:accent1>
      <a:accent2>
        <a:srgbClr val="FF8181"/>
      </a:accent2>
      <a:accent3>
        <a:srgbClr val="86C091"/>
      </a:accent3>
      <a:accent4>
        <a:srgbClr val="ECB340"/>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1285173-6CA3-4F8A-8A22-FE28415BA957}">
  <ds:schemaRefs/>
</ds:datastoreItem>
</file>

<file path=docProps/app.xml><?xml version="1.0" encoding="utf-8"?>
<Properties xmlns="http://schemas.openxmlformats.org/officeDocument/2006/extended-properties" xmlns:vt="http://schemas.openxmlformats.org/officeDocument/2006/docPropsVTypes">
  <Template>The Scoop - HTI.dotx</Template>
  <Company>Japaninvest</Company>
  <Pages>40</Pages>
  <Words>11136</Words>
  <Characters>65821</Characters>
  <Lines>401</Lines>
  <Paragraphs>175</Paragraphs>
  <TotalTime>0</TotalTime>
  <ScaleCrop>false</ScaleCrop>
  <LinksUpToDate>false</LinksUpToDate>
  <CharactersWithSpaces>76050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2021-05-17T12:04:00Z</dcterms:created>
  <dc:creator>HaiTong-IT</dc:creator>
  <cp:lastModifiedBy>微信用户</cp:lastModifiedBy>
  <cp:lastPrinted>2020-02-08T07:07:00Z</cp:lastPrinted>
  <dcterms:modified xsi:type="dcterms:W3CDTF">2026-03-16T13:18:07Z</dcterms:modified>
  <dc:title>Corp note</dc:title>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FATemplateID">
    <vt:lpwstr>201</vt:lpwstr>
  </property>
  <property fmtid="{D5CDD505-2E9C-101B-9397-08002B2CF9AE}" pid="3" name="EFATemplate">
    <vt:lpwstr>The Scoop - HTI.dotx</vt:lpwstr>
  </property>
  <property fmtid="{D5CDD505-2E9C-101B-9397-08002B2CF9AE}" pid="4" name="EFACorpID">
    <vt:lpwstr>846</vt:lpwstr>
  </property>
  <property fmtid="{D5CDD505-2E9C-101B-9397-08002B2CF9AE}" pid="5" name="EFACoName">
    <vt:lpwstr>AAC Technologies Holdings</vt:lpwstr>
  </property>
  <property fmtid="{D5CDD505-2E9C-101B-9397-08002B2CF9AE}" pid="6" name="EFAModel">
    <vt:lpwstr>INDUSTRIAL</vt:lpwstr>
  </property>
  <property fmtid="{D5CDD505-2E9C-101B-9397-08002B2CF9AE}" pid="7" name="EFADevData">
    <vt:lpwstr>0</vt:lpwstr>
  </property>
  <property fmtid="{D5CDD505-2E9C-101B-9397-08002B2CF9AE}" pid="8" name="EFAUnits">
    <vt:lpwstr>Use Default</vt:lpwstr>
  </property>
  <property fmtid="{D5CDD505-2E9C-101B-9397-08002B2CF9AE}" pid="9" name="EFAStartYear">
    <vt:lpwstr>0</vt:lpwstr>
  </property>
  <property fmtid="{D5CDD505-2E9C-101B-9397-08002B2CF9AE}" pid="10" name="EFADefaultPriceDate">
    <vt:lpwstr>-1</vt:lpwstr>
  </property>
  <property fmtid="{D5CDD505-2E9C-101B-9397-08002B2CF9AE}" pid="11" name="EFAPriceDate">
    <vt:lpwstr>20190902 00:00:00</vt:lpwstr>
  </property>
  <property fmtid="{D5CDD505-2E9C-101B-9397-08002B2CF9AE}" pid="12" name="EFADocID">
    <vt:lpwstr>39600</vt:lpwstr>
  </property>
  <property fmtid="{D5CDD505-2E9C-101B-9397-08002B2CF9AE}" pid="13" name="EFALastRefreshDate">
    <vt:lpwstr>20190903 09:07:58</vt:lpwstr>
  </property>
  <property fmtid="{D5CDD505-2E9C-101B-9397-08002B2CF9AE}" pid="14" name="EFAUserID">
    <vt:lpwstr>2106</vt:lpwstr>
  </property>
  <property fmtid="{D5CDD505-2E9C-101B-9397-08002B2CF9AE}" pid="15" name="EFAAccountID">
    <vt:lpwstr>1010</vt:lpwstr>
  </property>
  <property fmtid="{D5CDD505-2E9C-101B-9397-08002B2CF9AE}" pid="16" name="EFALanguageID">
    <vt:lpwstr>2057</vt:lpwstr>
  </property>
  <property fmtid="{D5CDD505-2E9C-101B-9397-08002B2CF9AE}" pid="17" name="EFAExcelVersion">
    <vt:lpwstr>14</vt:lpwstr>
  </property>
  <property fmtid="{D5CDD505-2E9C-101B-9397-08002B2CF9AE}" pid="18" name="EFAWordVersion">
    <vt:lpwstr>14</vt:lpwstr>
  </property>
  <property fmtid="{D5CDD505-2E9C-101B-9397-08002B2CF9AE}" pid="19" name="EFAUseIntTables">
    <vt:lpwstr>0</vt:lpwstr>
  </property>
  <property fmtid="{D5CDD505-2E9C-101B-9397-08002B2CF9AE}" pid="20" name="EFAIntStartYear">
    <vt:lpwstr>0</vt:lpwstr>
  </property>
  <property fmtid="{D5CDD505-2E9C-101B-9397-08002B2CF9AE}" pid="21" name="EFAIntEndYear">
    <vt:lpwstr>0</vt:lpwstr>
  </property>
  <property fmtid="{D5CDD505-2E9C-101B-9397-08002B2CF9AE}" pid="22" name="EFAFirstIntOffset">
    <vt:lpwstr>1</vt:lpwstr>
  </property>
  <property fmtid="{D5CDD505-2E9C-101B-9397-08002B2CF9AE}" pid="23" name="EFAIntPeriodNumber">
    <vt:lpwstr>0</vt:lpwstr>
  </property>
  <property fmtid="{D5CDD505-2E9C-101B-9397-08002B2CF9AE}" pid="24" name="EFASectorID">
    <vt:lpwstr>5</vt:lpwstr>
  </property>
  <property fmtid="{D5CDD505-2E9C-101B-9397-08002B2CF9AE}" pid="25" name="EFAIndustryID">
    <vt:lpwstr>19</vt:lpwstr>
  </property>
  <property fmtid="{D5CDD505-2E9C-101B-9397-08002B2CF9AE}" pid="26" name="EFAMarket">
    <vt:lpwstr>HK</vt:lpwstr>
  </property>
  <property fmtid="{D5CDD505-2E9C-101B-9397-08002B2CF9AE}" pid="27" name="EFASecurityIndex">
    <vt:lpwstr>842</vt:lpwstr>
  </property>
  <property fmtid="{D5CDD505-2E9C-101B-9397-08002B2CF9AE}" pid="28" name="EFASecurityID">
    <vt:lpwstr>2018 HK</vt:lpwstr>
  </property>
  <property fmtid="{D5CDD505-2E9C-101B-9397-08002B2CF9AE}" pid="29" name="EFAAnnualise">
    <vt:lpwstr>0</vt:lpwstr>
  </property>
  <property fmtid="{D5CDD505-2E9C-101B-9397-08002B2CF9AE}" pid="30" name="EFAAnnMonth">
    <vt:lpwstr>12</vt:lpwstr>
  </property>
  <property fmtid="{D5CDD505-2E9C-101B-9397-08002B2CF9AE}" pid="31" name="EFACompCorpIDs">
    <vt:lpwstr/>
  </property>
  <property fmtid="{D5CDD505-2E9C-101B-9397-08002B2CF9AE}" pid="32" name="EFACompCorpNames">
    <vt:lpwstr/>
  </property>
  <property fmtid="{D5CDD505-2E9C-101B-9397-08002B2CF9AE}" pid="33" name="EFACoShortName">
    <vt:lpwstr>AAC Technologies Holdings</vt:lpwstr>
  </property>
  <property fmtid="{D5CDD505-2E9C-101B-9397-08002B2CF9AE}" pid="34" name="EFACompCorpShortNames">
    <vt:lpwstr/>
  </property>
  <property fmtid="{D5CDD505-2E9C-101B-9397-08002B2CF9AE}" pid="35" name="EFACorpMentionIDs">
    <vt:lpwstr>846</vt:lpwstr>
  </property>
  <property fmtid="{D5CDD505-2E9C-101B-9397-08002B2CF9AE}" pid="36" name="EFACorpMentionNames">
    <vt:lpwstr>AAC Technologies Holdings</vt:lpwstr>
  </property>
  <property fmtid="{D5CDD505-2E9C-101B-9397-08002B2CF9AE}" pid="37" name="EFACorpMentionShortNames">
    <vt:lpwstr>AAC Technologies Holdings</vt:lpwstr>
  </property>
  <property fmtid="{D5CDD505-2E9C-101B-9397-08002B2CF9AE}" pid="38" name="EFAAuthorIDs">
    <vt:lpwstr>2106</vt:lpwstr>
  </property>
  <property fmtid="{D5CDD505-2E9C-101B-9397-08002B2CF9AE}" pid="39" name="EFAAuthorNames">
    <vt:lpwstr>Amber Zhou</vt:lpwstr>
  </property>
  <property fmtid="{D5CDD505-2E9C-101B-9397-08002B2CF9AE}" pid="40" name="EFAAuthorEmails">
    <vt:lpwstr>amber.lh.zhou@htisec.com</vt:lpwstr>
  </property>
  <property fmtid="{D5CDD505-2E9C-101B-9397-08002B2CF9AE}" pid="41" name="EFAAuthorPhones">
    <vt:lpwstr/>
  </property>
  <property fmtid="{D5CDD505-2E9C-101B-9397-08002B2CF9AE}" pid="42" name="EFAAuthorJobTitles">
    <vt:lpwstr/>
  </property>
  <property fmtid="{D5CDD505-2E9C-101B-9397-08002B2CF9AE}" pid="43" name="EFAPageCount">
    <vt:lpwstr>8</vt:lpwstr>
  </property>
  <property fmtid="{D5CDD505-2E9C-101B-9397-08002B2CF9AE}" pid="44" name="date">
    <vt:lpwstr>30 Jun 2020</vt:lpwstr>
  </property>
  <property fmtid="{D5CDD505-2E9C-101B-9397-08002B2CF9AE}" pid="45" name="rank">
    <vt:lpwstr>Downgrade to UNDERPERFORM</vt:lpwstr>
  </property>
  <property fmtid="{D5CDD505-2E9C-101B-9397-08002B2CF9AE}" pid="46" name="stockinfo">
    <vt:lpwstr>BTG Hotels Group (600258 CH)</vt:lpwstr>
  </property>
  <property fmtid="{D5CDD505-2E9C-101B-9397-08002B2CF9AE}" pid="47" name="reporttype">
    <vt:lpwstr>1</vt:lpwstr>
  </property>
  <property fmtid="{D5CDD505-2E9C-101B-9397-08002B2CF9AE}" pid="48" name="mktcode">
    <vt:lpwstr>CH</vt:lpwstr>
  </property>
  <property fmtid="{D5CDD505-2E9C-101B-9397-08002B2CF9AE}" pid="49" name="analysts">
    <vt:lpwstr>System.Collections.ArrayList</vt:lpwstr>
  </property>
  <property fmtid="{D5CDD505-2E9C-101B-9397-08002B2CF9AE}" pid="50" name="scode">
    <vt:lpwstr>600258</vt:lpwstr>
  </property>
  <property fmtid="{D5CDD505-2E9C-101B-9397-08002B2CF9AE}" pid="51" name="updateDate">
    <vt:lpwstr>2020-06-02</vt:lpwstr>
  </property>
  <property fmtid="{D5CDD505-2E9C-101B-9397-08002B2CF9AE}" pid="52" name="sname">
    <vt:lpwstr>600258 CH</vt:lpwstr>
  </property>
  <property fmtid="{D5CDD505-2E9C-101B-9397-08002B2CF9AE}" pid="53" name="analystids">
    <vt:lpwstr>56,77,110</vt:lpwstr>
  </property>
  <property fmtid="{D5CDD505-2E9C-101B-9397-08002B2CF9AE}" pid="54" name="stype">
    <vt:lpwstr>2</vt:lpwstr>
  </property>
  <property fmtid="{D5CDD505-2E9C-101B-9397-08002B2CF9AE}" pid="55" name="investrank">
    <vt:lpwstr>BUY</vt:lpwstr>
  </property>
  <property fmtid="{D5CDD505-2E9C-101B-9397-08002B2CF9AE}" pid="56" name="targetprice">
    <vt:lpwstr>50.00</vt:lpwstr>
  </property>
  <property fmtid="{D5CDD505-2E9C-101B-9397-08002B2CF9AE}" pid="57" name="languageType">
    <vt:lpwstr>0</vt:lpwstr>
  </property>
  <property fmtid="{D5CDD505-2E9C-101B-9397-08002B2CF9AE}" pid="58" name="versiontype">
    <vt:lpwstr>HTI_Company_EN</vt:lpwstr>
  </property>
  <property fmtid="{D5CDD505-2E9C-101B-9397-08002B2CF9AE}" pid="59" name="version">
    <vt:lpwstr>1.0</vt:lpwstr>
  </property>
  <property fmtid="{D5CDD505-2E9C-101B-9397-08002B2CF9AE}" pid="60" name="rankname">
    <vt:lpwstr>UNDERPERFORM</vt:lpwstr>
  </property>
  <property fmtid="{D5CDD505-2E9C-101B-9397-08002B2CF9AE}" pid="61" name="ratingId">
    <vt:lpwstr>3</vt:lpwstr>
  </property>
  <property fmtid="{D5CDD505-2E9C-101B-9397-08002B2CF9AE}" pid="62" name="rank_Chinese">
    <vt:lpwstr>弱大于市</vt:lpwstr>
  </property>
  <property fmtid="{D5CDD505-2E9C-101B-9397-08002B2CF9AE}" pid="63" name="rank_tc">
    <vt:lpwstr>弱於大市</vt:lpwstr>
  </property>
  <property fmtid="{D5CDD505-2E9C-101B-9397-08002B2CF9AE}" pid="64" name="KSOTemplateDocerSaveRecord">
    <vt:lpwstr>eyJoZGlkIjoiN2YzNjBkOTgyNWQ1YTMxYzM3MzMwNWFiODNmOWIzYWMiLCJ1c2VySWQiOiIxMjgyNzI4NjcyIn0=</vt:lpwstr>
  </property>
  <property fmtid="{D5CDD505-2E9C-101B-9397-08002B2CF9AE}" pid="65" name="KSOProductBuildVer">
    <vt:lpwstr>2052-12.1.0.24034</vt:lpwstr>
  </property>
  <property fmtid="{D5CDD505-2E9C-101B-9397-08002B2CF9AE}" pid="66" name="ICV">
    <vt:lpwstr>C3E43EED79D740EC857F4000EFF5DF7D_12</vt:lpwstr>
  </property>
</Properties>
</file>