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tblpXSpec="right" w:tblpY="285"/>
        <w:tblOverlap w:val="never"/>
        <w:tblW w:w="10680" w:type="dxa"/>
        <w:tblCaption w:val="[Table_Main]"/>
        <w:tblDescription w:val="表格隐藏唯一标识（请勿删除或修改）"/>
        <w:tblInd w:w="1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4129"/>
        <w:gridCol w:w="2041"/>
        <w:gridCol w:w="1217"/>
        <w:gridCol w:w="3222"/>
        <w:gridCol w:w="71"/>
      </w:tblGrid>
      <w:tr w14:paraId="3BD00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23" w:hRule="exact"/>
        </w:trPr>
        <w:tc>
          <w:tcPr>
            <w:tcW w:w="6170" w:type="dxa"/>
            <w:gridSpan w:val="2"/>
            <w:tcMar>
              <w:top w:w="60" w:type="dxa"/>
              <w:left w:w="120" w:type="dxa"/>
            </w:tcMar>
          </w:tcPr>
          <w:p w14:paraId="3BD00F95">
            <w:pPr>
              <w:pStyle w:val="117"/>
              <w:rPr>
                <w:rFonts w:hint="default" w:ascii="Calibri" w:hAnsi="Calibri" w:eastAsia="楷体_GB2312" w:cs="Calibri"/>
                <w:color w:val="FFFFFF" w:themeColor="background1"/>
                <w:sz w:val="21"/>
                <w:szCs w:val="21"/>
                <w:lang w:eastAsia="zh-CN"/>
                <w14:textFill>
                  <w14:solidFill>
                    <w14:schemeClr w14:val="bg1"/>
                  </w14:solidFill>
                </w14:textFill>
              </w:rPr>
            </w:pPr>
            <w:r>
              <w:rPr>
                <w:rFonts w:hint="default" w:ascii="Calibri" w:hAnsi="Calibri" w:eastAsia="楷体_GB2312" w:cs="Calibri"/>
                <w:color w:val="FFFFFF" w:themeColor="background1"/>
                <w:sz w:val="21"/>
                <w:szCs w:val="21"/>
                <w:lang w:eastAsia="zh-CN"/>
                <w14:textFill>
                  <w14:solidFill>
                    <w14:schemeClr w14:val="bg1"/>
                  </w14:solidFill>
                </w14:textFill>
              </w:rPr>
              <w:t>[Table_Main]</w:t>
            </w:r>
          </w:p>
        </w:tc>
        <w:tc>
          <w:tcPr>
            <w:tcW w:w="1217" w:type="dxa"/>
            <w:vAlign w:val="center"/>
          </w:tcPr>
          <w:p w14:paraId="3BD00F96">
            <w:pPr>
              <w:pStyle w:val="22"/>
              <w:framePr w:wrap="auto" w:vAnchor="margin" w:hAnchor="text" w:xAlign="left" w:yAlign="inline"/>
              <w:rPr>
                <w:rFonts w:hint="default" w:ascii="Calibri" w:hAnsi="Calibri" w:eastAsia="楷体_GB2312" w:cs="Calibri"/>
                <w:highlight w:val="yellow"/>
              </w:rPr>
            </w:pPr>
          </w:p>
        </w:tc>
        <w:tc>
          <w:tcPr>
            <w:tcW w:w="3222" w:type="dxa"/>
          </w:tcPr>
          <w:p w14:paraId="3BD00F97">
            <w:pPr>
              <w:pStyle w:val="21"/>
              <w:framePr w:wrap="auto" w:vAnchor="margin" w:hAnchor="text" w:xAlign="left" w:yAlign="inline"/>
              <w:rPr>
                <w:rFonts w:hint="default" w:ascii="Calibri" w:hAnsi="Calibri" w:eastAsia="楷体_GB2312" w:cs="Calibri"/>
                <w:highlight w:val="yellow"/>
              </w:rPr>
            </w:pPr>
          </w:p>
        </w:tc>
      </w:tr>
      <w:tr w14:paraId="3BD00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318" w:hRule="exact"/>
        </w:trPr>
        <w:tc>
          <w:tcPr>
            <w:tcW w:w="6170" w:type="dxa"/>
            <w:gridSpan w:val="2"/>
            <w:tcMar>
              <w:top w:w="60" w:type="dxa"/>
              <w:left w:w="119" w:type="dxa"/>
              <w:right w:w="0" w:type="dxa"/>
            </w:tcMar>
            <w:vAlign w:val="center"/>
          </w:tcPr>
          <w:p w14:paraId="3BD00F99">
            <w:pPr>
              <w:pStyle w:val="22"/>
              <w:framePr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4439" w:type="dxa"/>
            <w:gridSpan w:val="2"/>
          </w:tcPr>
          <w:p w14:paraId="3BD00F9A">
            <w:pPr>
              <w:pStyle w:val="117"/>
              <w:rPr>
                <w:rFonts w:hint="default" w:ascii="Calibri" w:hAnsi="Calibri" w:eastAsia="楷体_GB2312" w:cs="Calibri"/>
                <w:sz w:val="16"/>
                <w:szCs w:val="16"/>
                <w:lang w:eastAsia="zh-CN"/>
              </w:rPr>
            </w:pPr>
          </w:p>
        </w:tc>
      </w:tr>
      <w:tr w14:paraId="3BD00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276" w:hRule="exact"/>
        </w:trPr>
        <w:tc>
          <w:tcPr>
            <w:tcW w:w="6170" w:type="dxa"/>
            <w:gridSpan w:val="2"/>
            <w:tcMar>
              <w:top w:w="60" w:type="dxa"/>
              <w:left w:w="119" w:type="dxa"/>
              <w:right w:w="0" w:type="dxa"/>
            </w:tcMar>
            <w:vAlign w:val="center"/>
          </w:tcPr>
          <w:p w14:paraId="3BD00F9C">
            <w:pPr>
              <w:pStyle w:val="22"/>
              <w:framePr w:wrap="auto" w:vAnchor="margin" w:hAnchor="text" w:xAlign="left" w:yAlign="inline"/>
              <w:rPr>
                <w:rFonts w:hint="default" w:ascii="Calibri" w:hAnsi="Calibri" w:eastAsia="楷体_GB2312" w:cs="Calibri"/>
                <w:b w:val="0"/>
                <w:sz w:val="20"/>
                <w:szCs w:val="20"/>
                <w:lang w:eastAsia="zh-CN"/>
              </w:rPr>
            </w:pPr>
            <w:r>
              <w:rPr>
                <w:rFonts w:hint="default" w:ascii="Calibri" w:hAnsi="Calibri" w:eastAsia="楷体_GB2312" w:cs="Calibri"/>
                <w:b w:val="0"/>
                <w:i w:val="0"/>
                <w:color w:val="215E99"/>
                <w:sz w:val="16"/>
              </w:rPr>
              <w:t>25 Mar 2026</w:t>
            </w:r>
          </w:p>
        </w:tc>
        <w:tc>
          <w:tcPr>
            <w:tcW w:w="4439" w:type="dxa"/>
            <w:gridSpan w:val="2"/>
          </w:tcPr>
          <w:p w14:paraId="3BD00F9D">
            <w:pPr>
              <w:pStyle w:val="117"/>
              <w:rPr>
                <w:rFonts w:hint="default" w:ascii="Calibri" w:hAnsi="Calibri" w:eastAsia="楷体_GB2312" w:cs="Calibri"/>
                <w:sz w:val="16"/>
                <w:szCs w:val="16"/>
                <w:lang w:eastAsia="zh-CN"/>
              </w:rPr>
            </w:pPr>
          </w:p>
        </w:tc>
      </w:tr>
      <w:tr w14:paraId="3BD00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57" w:hRule="exact"/>
        </w:trPr>
        <w:tc>
          <w:tcPr>
            <w:tcW w:w="10609" w:type="dxa"/>
            <w:gridSpan w:val="4"/>
            <w:tcMar>
              <w:top w:w="60" w:type="dxa"/>
              <w:left w:w="119" w:type="dxa"/>
              <w:right w:w="0" w:type="dxa"/>
            </w:tcMar>
          </w:tcPr>
          <w:p w14:paraId="3BD00F9F">
            <w:pPr>
              <w:pStyle w:val="21"/>
              <w:framePr w:wrap="auto" w:vAnchor="margin" w:hAnchor="text" w:xAlign="left" w:yAlign="inline"/>
              <w:jc w:val="left"/>
              <w:rPr>
                <w:rFonts w:hint="default" w:ascii="Calibri" w:hAnsi="Calibri" w:eastAsia="楷体_GB2312" w:cs="Calibri"/>
                <w:sz w:val="40"/>
                <w:szCs w:val="40"/>
                <w:lang w:eastAsia="zh-CN"/>
              </w:rPr>
            </w:pPr>
          </w:p>
        </w:tc>
      </w:tr>
      <w:tr w14:paraId="3BD00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601" w:hRule="exact"/>
        </w:trPr>
        <w:tc>
          <w:tcPr>
            <w:tcW w:w="10609" w:type="dxa"/>
            <w:gridSpan w:val="4"/>
            <w:tcMar>
              <w:top w:w="60" w:type="dxa"/>
              <w:left w:w="119" w:type="dxa"/>
              <w:right w:w="0" w:type="dxa"/>
            </w:tcMar>
          </w:tcPr>
          <w:p w14:paraId="3BD00FA1">
            <w:pPr>
              <w:pStyle w:val="21"/>
              <w:framePr w:wrap="auto" w:vAnchor="margin" w:hAnchor="text" w:xAlign="left" w:yAlign="inline"/>
              <w:jc w:val="left"/>
              <w:rPr>
                <w:rFonts w:hint="default" w:ascii="Calibri" w:hAnsi="Calibri" w:eastAsia="楷体_GB2312" w:cs="Calibri"/>
                <w:sz w:val="40"/>
                <w:szCs w:val="40"/>
                <w:lang w:eastAsia="zh-CN"/>
              </w:rPr>
            </w:pPr>
            <w:r>
              <w:rPr>
                <w:rFonts w:hint="default" w:ascii="Calibri" w:hAnsi="Calibri" w:eastAsia="楷体_GB2312" w:cs="Calibri"/>
                <w:b/>
                <w:i w:val="0"/>
                <w:color w:val="215E99"/>
                <w:sz w:val="40"/>
              </w:rPr>
              <w:t>西锐飞机Cirrus Aircraft(2507 HK)</w:t>
            </w:r>
          </w:p>
        </w:tc>
      </w:tr>
      <w:tr w14:paraId="3BD00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851" w:hRule="exact"/>
        </w:trPr>
        <w:tc>
          <w:tcPr>
            <w:tcW w:w="10609" w:type="dxa"/>
            <w:gridSpan w:val="4"/>
            <w:tcMar>
              <w:top w:w="60" w:type="dxa"/>
              <w:left w:w="119" w:type="dxa"/>
              <w:right w:w="0" w:type="dxa"/>
            </w:tcMar>
          </w:tcPr>
          <w:p w14:paraId="3BD00FA3">
            <w:pPr>
              <w:pStyle w:val="120"/>
              <w:spacing w:line="360" w:lineRule="exact"/>
              <w:rPr>
                <w:rFonts w:hint="default" w:ascii="Calibri" w:hAnsi="Calibri" w:eastAsia="楷体_GB2312" w:cs="Calibri"/>
                <w:b w:val="0"/>
                <w:color w:val="23558C"/>
                <w:lang w:eastAsia="zh-CN"/>
              </w:rPr>
            </w:pPr>
            <w:r>
              <w:rPr>
                <w:rFonts w:hint="default" w:ascii="Calibri" w:hAnsi="Calibri" w:eastAsia="楷体_GB2312" w:cs="Calibri"/>
                <w:b w:val="0"/>
                <w:i w:val="0"/>
                <w:color w:val="215E99"/>
                <w:sz w:val="32"/>
              </w:rPr>
              <w:t>2025年年报点评：全年收入强劲增长，飞机交付量走高，均价持续向上</w:t>
            </w:r>
          </w:p>
          <w:p w14:paraId="1B3A8EA9">
            <w:pPr>
              <w:pStyle w:val="117"/>
              <w:rPr>
                <w:rFonts w:hint="default" w:ascii="Calibri" w:hAnsi="Calibri" w:eastAsia="楷体_GB2312" w:cs="Calibri"/>
                <w:color w:val="23558C"/>
                <w:lang w:eastAsia="zh-CN"/>
              </w:rPr>
            </w:pPr>
            <w:r>
              <w:rPr>
                <w:rFonts w:hint="default" w:ascii="Calibri" w:hAnsi="Calibri" w:eastAsia="楷体_GB2312" w:cs="Calibri"/>
                <w:b w:val="0"/>
                <w:i w:val="0"/>
                <w:color w:val="215E99"/>
                <w:sz w:val="32"/>
              </w:rPr>
              <w:t>Strong Revenue Growth, Higher Aircraft Deliveries, Rising Average Prices</w:t>
            </w:r>
          </w:p>
          <w:p w14:paraId="0BCB2BCF">
            <w:pPr>
              <w:pStyle w:val="117"/>
              <w:rPr>
                <w:rFonts w:hint="default" w:ascii="Calibri" w:hAnsi="Calibri" w:eastAsia="楷体_GB2312" w:cs="Calibri"/>
                <w:color w:val="23558C"/>
                <w:lang w:eastAsia="zh-CN"/>
              </w:rPr>
            </w:pPr>
          </w:p>
          <w:p w14:paraId="3BD00FA4">
            <w:pPr>
              <w:pStyle w:val="117"/>
              <w:rPr>
                <w:rFonts w:hint="default" w:ascii="Calibri" w:hAnsi="Calibri" w:eastAsia="楷体_GB2312" w:cs="Calibri"/>
                <w:b w:val="0"/>
                <w:color w:val="23558C"/>
                <w:lang w:eastAsia="zh-CN"/>
              </w:rPr>
            </w:pPr>
          </w:p>
        </w:tc>
      </w:tr>
      <w:tr w14:paraId="3BD0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453" w:hRule="atLeast"/>
        </w:trPr>
        <w:tc>
          <w:tcPr>
            <w:tcW w:w="10609" w:type="dxa"/>
            <w:gridSpan w:val="4"/>
            <w:tcMar>
              <w:top w:w="60" w:type="dxa"/>
              <w:left w:w="119" w:type="dxa"/>
              <w:right w:w="0" w:type="dxa"/>
            </w:tcMar>
          </w:tcPr>
          <w:p w14:paraId="3BD00FA6">
            <w:pPr>
              <w:pStyle w:val="21"/>
              <w:framePr w:wrap="auto" w:vAnchor="margin" w:hAnchor="text" w:xAlign="left" w:yAlign="inline"/>
              <w:rPr>
                <w:rFonts w:hint="default" w:ascii="Calibri" w:hAnsi="Calibri" w:eastAsia="楷体_GB2312" w:cs="Calibri"/>
                <w:szCs w:val="24"/>
                <w:lang w:eastAsia="zh-CN"/>
              </w:rPr>
            </w:pPr>
          </w:p>
        </w:tc>
      </w:tr>
      <w:tr w14:paraId="3BD00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113" w:hRule="exact"/>
        </w:trPr>
        <w:tc>
          <w:tcPr>
            <w:tcW w:w="10609" w:type="dxa"/>
            <w:gridSpan w:val="4"/>
            <w:tcMar>
              <w:left w:w="119" w:type="dxa"/>
            </w:tcMar>
          </w:tcPr>
          <w:p w14:paraId="3BD00FA8">
            <w:pPr>
              <w:pStyle w:val="21"/>
              <w:framePr w:wrap="auto" w:vAnchor="margin" w:hAnchor="text" w:xAlign="left" w:yAlign="inline"/>
              <w:rPr>
                <w:rFonts w:hint="default" w:ascii="Calibri" w:hAnsi="Calibri" w:eastAsia="楷体_GB2312" w:cs="Calibri"/>
              </w:rPr>
            </w:pPr>
          </w:p>
        </w:tc>
      </w:tr>
      <w:tr w14:paraId="3BD01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Before w:w="0" w:type="auto"/>
          <w:trHeight w:val="227" w:hRule="atLeast"/>
        </w:trPr>
        <w:tc>
          <w:tcPr>
            <w:tcW w:w="4129" w:type="dxa"/>
            <w:tcMar>
              <w:left w:w="57" w:type="dxa"/>
            </w:tcMar>
          </w:tcPr>
          <w:tbl>
            <w:tblPr>
              <w:tblStyle w:val="11"/>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3BD00FA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right w:val="nil"/>
                  </w:tcBorders>
                </w:tcPr>
                <w:p w14:paraId="3BD00FAA">
                  <w:pPr>
                    <w:pStyle w:val="45"/>
                    <w:framePr w:wrap="auto" w:vAnchor="margin" w:hAnchor="text" w:yAlign="inline"/>
                    <w:rPr>
                      <w:rFonts w:hint="default" w:ascii="Calibri" w:hAnsi="Calibri" w:eastAsia="楷体_GB2312" w:cs="Calibri"/>
                      <w:sz w:val="21"/>
                      <w:szCs w:val="21"/>
                    </w:rPr>
                  </w:pPr>
                  <w:r>
                    <w:rPr>
                      <w:rFonts w:hint="default" w:ascii="Calibri" w:hAnsi="Calibri" w:eastAsia="楷体_GB2312" w:cs="Calibri"/>
                      <w:color w:val="FFFFFF" w:themeColor="background1"/>
                      <w:sz w:val="21"/>
                      <w:szCs w:val="21"/>
                      <w14:textFill>
                        <w14:solidFill>
                          <w14:schemeClr w14:val="bg1"/>
                        </w14:solidFill>
                      </w14:textFill>
                    </w:rPr>
                    <w:t>[Table_Info]</w:t>
                  </w:r>
                </w:p>
              </w:tc>
            </w:tr>
            <w:tr w14:paraId="3BD00FA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shd w:val="clear" w:color="auto" w:fill="23558C"/>
                  <w:tcMar>
                    <w:left w:w="0" w:type="dxa"/>
                  </w:tcMar>
                </w:tcPr>
                <w:p w14:paraId="3BD00FAC">
                  <w:pPr>
                    <w:pStyle w:val="44"/>
                    <w:framePr w:wrap="auto" w:vAnchor="margin" w:hAnchor="text" w:yAlign="inline"/>
                    <w:ind w:right="85" w:firstLine="85"/>
                    <w:jc w:val="center"/>
                    <w:rPr>
                      <w:rFonts w:hint="default" w:ascii="Calibri" w:hAnsi="Calibri" w:eastAsia="楷体_GB2312" w:cs="Calibri"/>
                      <w:i/>
                      <w:sz w:val="22"/>
                      <w:szCs w:val="22"/>
                    </w:rPr>
                  </w:pPr>
                  <w:r>
                    <w:rPr>
                      <w:rFonts w:hint="default" w:ascii="Calibri" w:hAnsi="Calibri" w:eastAsia="楷体_GB2312" w:cs="Calibri"/>
                      <w:b/>
                      <w:i/>
                      <w:color w:val="FFFFFF"/>
                      <w:sz w:val="22"/>
                    </w:rPr>
                    <w:t>下调至中性Downgrade to NEUTRAL</w:t>
                  </w:r>
                </w:p>
              </w:tc>
            </w:tr>
            <w:tr w14:paraId="3BD00FA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3BD00FAE">
                  <w:pPr>
                    <w:pStyle w:val="44"/>
                    <w:framePr w:wrap="auto" w:vAnchor="margin" w:hAnchor="text" w:yAlign="inline"/>
                    <w:ind w:right="85" w:firstLine="85"/>
                    <w:rPr>
                      <w:rFonts w:hint="default" w:ascii="Calibri" w:hAnsi="Calibri" w:eastAsia="楷体_GB2312" w:cs="Calibri"/>
                    </w:rPr>
                  </w:pPr>
                </w:p>
              </w:tc>
            </w:tr>
            <w:tr w14:paraId="3BD00FB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0">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评级</w:t>
                  </w:r>
                </w:p>
              </w:tc>
              <w:tc>
                <w:tcPr>
                  <w:tcW w:w="2347" w:type="dxa"/>
                </w:tcPr>
                <w:p w14:paraId="3BD00FB1">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NEUTRAL</w:t>
                  </w:r>
                </w:p>
              </w:tc>
            </w:tr>
            <w:tr w14:paraId="3BD00FB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3">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现价</w:t>
                  </w:r>
                </w:p>
              </w:tc>
              <w:tc>
                <w:tcPr>
                  <w:tcW w:w="2347" w:type="dxa"/>
                </w:tcPr>
                <w:p w14:paraId="3BD00FB4">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47.96</w:t>
                  </w:r>
                </w:p>
              </w:tc>
            </w:tr>
            <w:tr w14:paraId="3BD00FB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6">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目标价</w:t>
                  </w:r>
                </w:p>
              </w:tc>
              <w:tc>
                <w:tcPr>
                  <w:tcW w:w="2347" w:type="dxa"/>
                </w:tcPr>
                <w:p w14:paraId="3BD00FB7">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52.45</w:t>
                  </w:r>
                </w:p>
              </w:tc>
            </w:tr>
            <w:tr w14:paraId="3BD00FB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9">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市值</w:t>
                  </w:r>
                </w:p>
              </w:tc>
              <w:tc>
                <w:tcPr>
                  <w:tcW w:w="2347" w:type="dxa"/>
                </w:tcPr>
                <w:p w14:paraId="3BD00FBA">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17.55bn</w:t>
                  </w:r>
                </w:p>
              </w:tc>
            </w:tr>
            <w:tr w14:paraId="3BD00FB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C">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发行股票数目</w:t>
                  </w:r>
                </w:p>
              </w:tc>
              <w:tc>
                <w:tcPr>
                  <w:tcW w:w="2347" w:type="dxa"/>
                </w:tcPr>
                <w:p w14:paraId="3BD00FBD">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365.99mn</w:t>
                  </w:r>
                </w:p>
              </w:tc>
            </w:tr>
            <w:tr w14:paraId="3BD00FC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BD00FBF">
                  <w:pPr>
                    <w:pStyle w:val="44"/>
                    <w:framePr w:wrap="auto" w:vAnchor="margin" w:hAnchor="text" w:yAlign="inline"/>
                    <w:ind w:right="85" w:firstLine="85"/>
                    <w:rPr>
                      <w:rFonts w:hint="default" w:ascii="Calibri" w:hAnsi="Calibri" w:eastAsia="楷体_GB2312" w:cs="Calibri"/>
                      <w:b w:val="0"/>
                    </w:rPr>
                  </w:pPr>
                  <w:r>
                    <w:rPr>
                      <w:rFonts w:hint="default" w:ascii="Calibri" w:hAnsi="Calibri" w:eastAsia="楷体_GB2312" w:cs="Calibri"/>
                      <w:b w:val="0"/>
                    </w:rPr>
                    <w:t>1年股价最高最低值</w:t>
                  </w:r>
                </w:p>
              </w:tc>
              <w:tc>
                <w:tcPr>
                  <w:tcW w:w="2347" w:type="dxa"/>
                </w:tcPr>
                <w:p w14:paraId="3BD00FC0">
                  <w:pPr>
                    <w:pStyle w:val="42"/>
                    <w:framePr w:wrap="auto" w:vAnchor="margin" w:hAnchor="text" w:yAlign="inline"/>
                    <w:ind w:right="85" w:firstLine="85"/>
                    <w:rPr>
                      <w:rFonts w:hint="default" w:ascii="Calibri" w:hAnsi="Calibri" w:eastAsia="楷体_GB2312" w:cs="Calibri"/>
                    </w:rPr>
                  </w:pPr>
                  <w:r>
                    <w:rPr>
                      <w:rFonts w:hint="default" w:ascii="Calibri" w:hAnsi="Calibri" w:eastAsia="楷体_GB2312" w:cs="Calibri"/>
                      <w:b w:val="0"/>
                      <w:i w:val="0"/>
                      <w:color w:val="215E99"/>
                      <w:sz w:val="16"/>
                    </w:rPr>
                    <w:t>73.40-25.20</w:t>
                  </w:r>
                </w:p>
              </w:tc>
            </w:tr>
            <w:tr w14:paraId="3BD00FC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3BD00FC2">
                  <w:pPr>
                    <w:pStyle w:val="45"/>
                    <w:framePr w:wrap="auto" w:vAnchor="margin" w:hAnchor="text" w:yAlign="inline"/>
                    <w:ind w:left="85"/>
                    <w:rPr>
                      <w:rFonts w:hint="default" w:ascii="Calibri" w:hAnsi="Calibri" w:eastAsia="楷体_GB2312" w:cs="Calibri"/>
                      <w:i/>
                      <w:iCs/>
                    </w:rPr>
                  </w:pPr>
                  <w:r>
                    <w:rPr>
                      <w:rFonts w:hint="default" w:ascii="Calibri" w:hAnsi="Calibri" w:eastAsia="楷体_GB2312" w:cs="Calibri"/>
                      <w:b w:val="0"/>
                      <w:i/>
                      <w:color w:val="000000"/>
                      <w:sz w:val="14"/>
                    </w:rPr>
                    <w:t>注：现价47.96为2026年03月24日收盘价</w:t>
                  </w:r>
                </w:p>
              </w:tc>
            </w:tr>
            <w:tr w14:paraId="3BD00FC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3BD00FC4">
                  <w:pPr>
                    <w:pStyle w:val="45"/>
                    <w:framePr w:wrap="auto" w:vAnchor="margin" w:hAnchor="text" w:yAlign="inline"/>
                    <w:ind w:left="85"/>
                    <w:rPr>
                      <w:rFonts w:hint="default" w:ascii="Calibri" w:hAnsi="Calibri" w:eastAsia="楷体_GB2312" w:cs="Calibri"/>
                    </w:rPr>
                  </w:pPr>
                </w:p>
              </w:tc>
            </w:tr>
            <w:tr w14:paraId="3BD00FC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3BD00FC6">
                  <w:pPr>
                    <w:jc w:val="center"/>
                    <w:rPr>
                      <w:rFonts w:hint="default" w:ascii="Calibri" w:hAnsi="Calibri" w:eastAsia="楷体_GB2312" w:cs="Calibri"/>
                    </w:rPr>
                  </w:pPr>
                  <w:r>
                    <w:rPr>
                      <w:rFonts w:hint="default" w:ascii="Calibri" w:hAnsi="Calibri" w:eastAsia="楷体_GB2312" w:cs="Calibri"/>
                    </w:rPr>
                    <w:drawing>
                      <wp:inline distT="0" distB="0" distL="0" distR="0">
                        <wp:extent cx="2286000" cy="1016000"/>
                        <wp:effectExtent l="0" t="0" r="0" b="5080"/>
                        <wp:docPr id="6" name="Drawing 6" descr="/data/deploy/attachments/file/temp/202603/1774417347256_gPm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data/deploy/attachments/file/temp/202603/1774417347256_gPmWB.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3BD00FC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3BD00FC8">
                  <w:pPr>
                    <w:jc w:val="center"/>
                    <w:rPr>
                      <w:rFonts w:hint="default" w:ascii="Calibri" w:hAnsi="Calibri" w:eastAsia="楷体_GB2312" w:cs="Calibri"/>
                    </w:rPr>
                  </w:pPr>
                  <w:r>
                    <w:rPr>
                      <w:rFonts w:hint="default" w:ascii="Calibri" w:hAnsi="Calibri" w:eastAsia="楷体_GB2312" w:cs="Calibri"/>
                    </w:rPr>
                    <w:drawing>
                      <wp:inline distT="0" distB="0" distL="0" distR="0">
                        <wp:extent cx="2286000" cy="660400"/>
                        <wp:effectExtent l="0" t="0" r="0" b="10160"/>
                        <wp:docPr id="7" name="Drawing 7" descr="/data/deploy/attachments/file/temp/202603/1774417347373_qSP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data/deploy/attachments/file/temp/202603/1774417347373_qSPui.png"/>
                                <pic:cNvPicPr>
                                  <a:picLocks noChangeAspect="1"/>
                                </pic:cNvPicPr>
                              </pic:nvPicPr>
                              <pic:blipFill>
                                <a:blip r:embed="rId19"/>
                                <a:stretch>
                                  <a:fillRect/>
                                </a:stretch>
                              </pic:blipFill>
                              <pic:spPr>
                                <a:xfrm>
                                  <a:off x="0" y="0"/>
                                  <a:ext cx="2286000" cy="660400"/>
                                </a:xfrm>
                                <a:prstGeom prst="rect">
                                  <a:avLst/>
                                </a:prstGeom>
                              </pic:spPr>
                            </pic:pic>
                          </a:graphicData>
                        </a:graphic>
                      </wp:inline>
                    </w:drawing>
                  </w:r>
                </w:p>
              </w:tc>
            </w:tr>
            <w:tr w14:paraId="3BD00FC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3BD00FCA">
                  <w:pPr>
                    <w:pStyle w:val="46"/>
                    <w:framePr w:wrap="auto" w:vAnchor="margin" w:hAnchor="text" w:yAlign="inline"/>
                    <w:ind w:right="85" w:firstLine="85"/>
                    <w:rPr>
                      <w:rFonts w:hint="default" w:ascii="Calibri" w:hAnsi="Calibri" w:eastAsia="楷体_GB2312" w:cs="Calibri"/>
                      <w:i/>
                      <w:iCs/>
                    </w:rPr>
                  </w:pPr>
                  <w:r>
                    <w:rPr>
                      <w:rFonts w:hint="default" w:ascii="Calibri" w:hAnsi="Calibri" w:eastAsia="楷体_GB2312" w:cs="Calibri"/>
                      <w:b w:val="0"/>
                      <w:i/>
                      <w:color w:val="000000"/>
                      <w:sz w:val="12"/>
                    </w:rPr>
                    <w:t>资料来源：HFI</w:t>
                  </w:r>
                </w:p>
              </w:tc>
            </w:tr>
            <w:tr w14:paraId="3BD00FC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3BD00FCC">
                  <w:pPr>
                    <w:pStyle w:val="45"/>
                    <w:framePr w:wrap="auto" w:vAnchor="margin" w:hAnchor="text" w:yAlign="inline"/>
                    <w:ind w:right="85" w:firstLine="85"/>
                    <w:rPr>
                      <w:rFonts w:hint="default" w:ascii="Calibri" w:hAnsi="Calibri" w:eastAsia="楷体_GB2312" w:cs="Calibri"/>
                    </w:rPr>
                  </w:pPr>
                </w:p>
              </w:tc>
            </w:tr>
            <w:tr w14:paraId="3BD0100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1"/>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3BD0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3BD00FCE">
                        <w:pPr>
                          <w:ind w:right="85"/>
                          <w:rPr>
                            <w:rFonts w:hint="default" w:ascii="Calibri" w:hAnsi="Calibri" w:eastAsia="楷体_GB2312" w:cs="Calibri"/>
                          </w:rPr>
                        </w:pPr>
                        <w:r>
                          <w:rPr>
                            <w:rFonts w:hint="default" w:ascii="Calibri" w:hAnsi="Calibri" w:eastAsia="楷体_GB2312" w:cs="Calibri"/>
                            <w:color w:val="FFFFFF" w:themeColor="background1"/>
                            <w14:textFill>
                              <w14:solidFill>
                                <w14:schemeClr w14:val="bg1"/>
                              </w14:solidFill>
                            </w14:textFill>
                          </w:rPr>
                          <w:t>[Table_Profit]</w:t>
                        </w:r>
                      </w:p>
                    </w:tc>
                    <w:tc>
                      <w:tcPr>
                        <w:tcW w:w="795" w:type="dxa"/>
                        <w:vAlign w:val="center"/>
                      </w:tcPr>
                      <w:p w14:paraId="3BD00FCF">
                        <w:pPr>
                          <w:ind w:right="85"/>
                          <w:jc w:val="right"/>
                          <w:rPr>
                            <w:rFonts w:hint="default" w:ascii="Calibri" w:hAnsi="Calibri" w:eastAsia="楷体_GB2312" w:cs="Calibri"/>
                            <w:b/>
                            <w:bCs/>
                            <w:color w:val="000000"/>
                            <w:sz w:val="14"/>
                            <w:szCs w:val="14"/>
                          </w:rPr>
                        </w:pPr>
                      </w:p>
                    </w:tc>
                    <w:tc>
                      <w:tcPr>
                        <w:tcW w:w="879" w:type="dxa"/>
                        <w:gridSpan w:val="2"/>
                        <w:vAlign w:val="center"/>
                      </w:tcPr>
                      <w:p w14:paraId="3BD00FD0">
                        <w:pPr>
                          <w:ind w:right="85"/>
                          <w:jc w:val="right"/>
                          <w:rPr>
                            <w:rFonts w:hint="default" w:ascii="Calibri" w:hAnsi="Calibri" w:eastAsia="楷体_GB2312" w:cs="Calibri"/>
                            <w:b/>
                            <w:bCs/>
                            <w:color w:val="000000"/>
                            <w:sz w:val="14"/>
                            <w:szCs w:val="14"/>
                          </w:rPr>
                        </w:pPr>
                      </w:p>
                    </w:tc>
                    <w:tc>
                      <w:tcPr>
                        <w:tcW w:w="870" w:type="dxa"/>
                        <w:gridSpan w:val="2"/>
                        <w:vAlign w:val="center"/>
                      </w:tcPr>
                      <w:p w14:paraId="3BD00FD1">
                        <w:pPr>
                          <w:ind w:right="85"/>
                          <w:jc w:val="right"/>
                          <w:rPr>
                            <w:rFonts w:hint="default" w:ascii="Calibri" w:hAnsi="Calibri" w:eastAsia="楷体_GB2312" w:cs="Calibri"/>
                            <w:b/>
                            <w:bCs/>
                            <w:color w:val="000000"/>
                            <w:sz w:val="14"/>
                            <w:szCs w:val="14"/>
                          </w:rPr>
                        </w:pPr>
                      </w:p>
                    </w:tc>
                    <w:tc>
                      <w:tcPr>
                        <w:tcW w:w="869" w:type="dxa"/>
                        <w:gridSpan w:val="2"/>
                        <w:vAlign w:val="center"/>
                      </w:tcPr>
                      <w:p w14:paraId="3BD00FD2">
                        <w:pPr>
                          <w:ind w:right="85"/>
                          <w:jc w:val="right"/>
                          <w:rPr>
                            <w:rFonts w:hint="default" w:ascii="Calibri" w:hAnsi="Calibri" w:eastAsia="楷体_GB2312" w:cs="Calibri"/>
                            <w:b/>
                            <w:bCs/>
                            <w:color w:val="000000"/>
                            <w:sz w:val="14"/>
                            <w:szCs w:val="14"/>
                          </w:rPr>
                        </w:pPr>
                      </w:p>
                    </w:tc>
                  </w:tr>
                  <w:tr w14:paraId="3BD00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3BD00FD4">
                        <w:pPr>
                          <w:pStyle w:val="44"/>
                          <w:framePr w:wrap="auto" w:vAnchor="margin" w:hAnchor="text" w:yAlign="inline"/>
                          <w:ind w:right="85"/>
                          <w:rPr>
                            <w:rFonts w:hint="default" w:ascii="Calibri" w:hAnsi="Calibri" w:eastAsia="楷体_GB2312" w:cs="Calibri"/>
                            <w:b w:val="0"/>
                            <w:sz w:val="14"/>
                          </w:rPr>
                        </w:pPr>
                        <w:r>
                          <w:rPr>
                            <w:rFonts w:hint="default" w:ascii="Calibri" w:hAnsi="Calibri" w:eastAsia="楷体_GB2312" w:cs="Calibri"/>
                            <w:b w:val="0"/>
                            <w:i w:val="0"/>
                            <w:color w:val="215E99"/>
                            <w:sz w:val="14"/>
                          </w:rPr>
                          <w:t>US$ mn</w:t>
                        </w:r>
                      </w:p>
                    </w:tc>
                    <w:tc>
                      <w:tcPr>
                        <w:tcW w:w="853" w:type="dxa"/>
                        <w:gridSpan w:val="2"/>
                        <w:vAlign w:val="center"/>
                      </w:tcPr>
                      <w:p w14:paraId="3BD00FD5">
                        <w:pPr>
                          <w:jc w:val="right"/>
                          <w:rPr>
                            <w:rFonts w:hint="default" w:ascii="Calibri" w:hAnsi="Calibri" w:eastAsia="楷体_GB2312" w:cs="Calibri"/>
                            <w:color w:val="23558C"/>
                            <w:sz w:val="14"/>
                            <w:szCs w:val="14"/>
                            <w:lang w:eastAsia="zh-CN"/>
                          </w:rPr>
                        </w:pPr>
                        <w:r>
                          <w:rPr>
                            <w:rFonts w:hint="default" w:ascii="Calibri" w:hAnsi="Calibri" w:eastAsia="楷体_GB2312" w:cs="Calibri"/>
                            <w:b w:val="0"/>
                            <w:i w:val="0"/>
                            <w:color w:val="215E99"/>
                            <w:sz w:val="14"/>
                          </w:rPr>
                          <w:t>Dec-24A</w:t>
                        </w:r>
                      </w:p>
                    </w:tc>
                    <w:tc>
                      <w:tcPr>
                        <w:tcW w:w="853" w:type="dxa"/>
                        <w:gridSpan w:val="2"/>
                        <w:vAlign w:val="center"/>
                      </w:tcPr>
                      <w:p w14:paraId="3BD00FD6">
                        <w:pPr>
                          <w:jc w:val="right"/>
                          <w:rPr>
                            <w:rFonts w:hint="default" w:ascii="Calibri" w:hAnsi="Calibri" w:eastAsia="楷体_GB2312" w:cs="Calibri"/>
                            <w:color w:val="23558C"/>
                            <w:sz w:val="14"/>
                            <w:szCs w:val="14"/>
                            <w:lang w:eastAsia="zh-CN"/>
                          </w:rPr>
                        </w:pPr>
                        <w:r>
                          <w:rPr>
                            <w:rFonts w:hint="default" w:ascii="Calibri" w:hAnsi="Calibri" w:eastAsia="楷体_GB2312" w:cs="Calibri"/>
                            <w:b w:val="0"/>
                            <w:i w:val="0"/>
                            <w:color w:val="215E99"/>
                            <w:sz w:val="14"/>
                          </w:rPr>
                          <w:t>Dec-25E</w:t>
                        </w:r>
                      </w:p>
                    </w:tc>
                    <w:tc>
                      <w:tcPr>
                        <w:tcW w:w="853" w:type="dxa"/>
                        <w:gridSpan w:val="2"/>
                        <w:vAlign w:val="center"/>
                      </w:tcPr>
                      <w:p w14:paraId="3BD00FD7">
                        <w:pPr>
                          <w:jc w:val="right"/>
                          <w:rPr>
                            <w:rFonts w:hint="default" w:ascii="Calibri" w:hAnsi="Calibri" w:eastAsia="楷体_GB2312" w:cs="Calibri"/>
                            <w:color w:val="23558C"/>
                            <w:sz w:val="14"/>
                            <w:szCs w:val="14"/>
                            <w:lang w:eastAsia="zh-CN"/>
                          </w:rPr>
                        </w:pPr>
                        <w:r>
                          <w:rPr>
                            <w:rFonts w:hint="default" w:ascii="Calibri" w:hAnsi="Calibri" w:eastAsia="楷体_GB2312" w:cs="Calibri"/>
                            <w:b w:val="0"/>
                            <w:i w:val="0"/>
                            <w:color w:val="215E99"/>
                            <w:sz w:val="14"/>
                          </w:rPr>
                          <w:t>Dec-26E</w:t>
                        </w:r>
                      </w:p>
                    </w:tc>
                    <w:tc>
                      <w:tcPr>
                        <w:tcW w:w="854" w:type="dxa"/>
                        <w:vAlign w:val="center"/>
                      </w:tcPr>
                      <w:p w14:paraId="3BD00FD8">
                        <w:pPr>
                          <w:jc w:val="right"/>
                          <w:rPr>
                            <w:rFonts w:hint="default" w:ascii="Calibri" w:hAnsi="Calibri" w:eastAsia="楷体_GB2312" w:cs="Calibri"/>
                            <w:color w:val="23558C"/>
                            <w:sz w:val="14"/>
                            <w:szCs w:val="14"/>
                            <w:lang w:eastAsia="zh-CN"/>
                          </w:rPr>
                        </w:pPr>
                        <w:r>
                          <w:rPr>
                            <w:rFonts w:hint="default" w:ascii="Calibri" w:hAnsi="Calibri" w:eastAsia="楷体_GB2312" w:cs="Calibri"/>
                            <w:b w:val="0"/>
                            <w:i w:val="0"/>
                            <w:color w:val="215E99"/>
                            <w:sz w:val="14"/>
                          </w:rPr>
                          <w:t>Dec-27E</w:t>
                        </w:r>
                      </w:p>
                    </w:tc>
                  </w:tr>
                  <w:tr w14:paraId="3BD00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DA">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营业收入</w:t>
                        </w:r>
                      </w:p>
                    </w:tc>
                    <w:tc>
                      <w:tcPr>
                        <w:tcW w:w="853" w:type="dxa"/>
                        <w:gridSpan w:val="2"/>
                        <w:vAlign w:val="center"/>
                      </w:tcPr>
                      <w:p w14:paraId="3BD00FDB">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1,197</w:t>
                        </w:r>
                      </w:p>
                    </w:tc>
                    <w:tc>
                      <w:tcPr>
                        <w:tcW w:w="853" w:type="dxa"/>
                        <w:gridSpan w:val="2"/>
                        <w:vAlign w:val="center"/>
                      </w:tcPr>
                      <w:p w14:paraId="3BD00FDC">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1,354</w:t>
                        </w:r>
                      </w:p>
                    </w:tc>
                    <w:tc>
                      <w:tcPr>
                        <w:tcW w:w="853" w:type="dxa"/>
                        <w:gridSpan w:val="2"/>
                        <w:vAlign w:val="center"/>
                      </w:tcPr>
                      <w:p w14:paraId="3BD00FDD">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1,522</w:t>
                        </w:r>
                      </w:p>
                    </w:tc>
                    <w:tc>
                      <w:tcPr>
                        <w:tcW w:w="854" w:type="dxa"/>
                        <w:vAlign w:val="center"/>
                      </w:tcPr>
                      <w:p w14:paraId="3BD00FDE">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1,677</w:t>
                        </w:r>
                      </w:p>
                    </w:tc>
                  </w:tr>
                  <w:tr w14:paraId="3BD00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E0">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w:t>
                        </w:r>
                      </w:p>
                    </w:tc>
                    <w:tc>
                      <w:tcPr>
                        <w:tcW w:w="853" w:type="dxa"/>
                        <w:gridSpan w:val="2"/>
                        <w:vAlign w:val="center"/>
                      </w:tcPr>
                      <w:p w14:paraId="3BD00FE1">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12.12%</w:t>
                        </w:r>
                      </w:p>
                    </w:tc>
                    <w:tc>
                      <w:tcPr>
                        <w:tcW w:w="853" w:type="dxa"/>
                        <w:gridSpan w:val="2"/>
                        <w:vAlign w:val="center"/>
                      </w:tcPr>
                      <w:p w14:paraId="3BD00FE2">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13.13%</w:t>
                        </w:r>
                      </w:p>
                    </w:tc>
                    <w:tc>
                      <w:tcPr>
                        <w:tcW w:w="853" w:type="dxa"/>
                        <w:gridSpan w:val="2"/>
                        <w:vAlign w:val="center"/>
                      </w:tcPr>
                      <w:p w14:paraId="3BD00FE3">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12.40%</w:t>
                        </w:r>
                      </w:p>
                    </w:tc>
                    <w:tc>
                      <w:tcPr>
                        <w:tcW w:w="854" w:type="dxa"/>
                        <w:vAlign w:val="center"/>
                      </w:tcPr>
                      <w:p w14:paraId="3BD00FE4">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10.14%</w:t>
                        </w:r>
                      </w:p>
                    </w:tc>
                  </w:tr>
                  <w:tr w14:paraId="3BD00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E6">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净利润</w:t>
                        </w:r>
                      </w:p>
                    </w:tc>
                    <w:tc>
                      <w:tcPr>
                        <w:tcW w:w="853" w:type="dxa"/>
                        <w:gridSpan w:val="2"/>
                        <w:vAlign w:val="center"/>
                      </w:tcPr>
                      <w:p w14:paraId="3BD00FE7">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121</w:t>
                        </w:r>
                      </w:p>
                    </w:tc>
                    <w:tc>
                      <w:tcPr>
                        <w:tcW w:w="853" w:type="dxa"/>
                        <w:gridSpan w:val="2"/>
                        <w:vAlign w:val="center"/>
                      </w:tcPr>
                      <w:p w14:paraId="3BD00FE8">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139</w:t>
                        </w:r>
                      </w:p>
                    </w:tc>
                    <w:tc>
                      <w:tcPr>
                        <w:tcW w:w="853" w:type="dxa"/>
                        <w:gridSpan w:val="2"/>
                        <w:vAlign w:val="center"/>
                      </w:tcPr>
                      <w:p w14:paraId="3BD00FE9">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156</w:t>
                        </w:r>
                      </w:p>
                    </w:tc>
                    <w:tc>
                      <w:tcPr>
                        <w:tcW w:w="854" w:type="dxa"/>
                        <w:vAlign w:val="center"/>
                      </w:tcPr>
                      <w:p w14:paraId="3BD00FEA">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179</w:t>
                        </w:r>
                      </w:p>
                    </w:tc>
                  </w:tr>
                  <w:tr w14:paraId="3BD00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EC">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w:t>
                        </w:r>
                      </w:p>
                    </w:tc>
                    <w:tc>
                      <w:tcPr>
                        <w:tcW w:w="853" w:type="dxa"/>
                        <w:gridSpan w:val="2"/>
                        <w:vAlign w:val="center"/>
                      </w:tcPr>
                      <w:p w14:paraId="3BD00FED">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32%</w:t>
                        </w:r>
                      </w:p>
                    </w:tc>
                    <w:tc>
                      <w:tcPr>
                        <w:tcW w:w="853" w:type="dxa"/>
                        <w:gridSpan w:val="2"/>
                        <w:vAlign w:val="center"/>
                      </w:tcPr>
                      <w:p w14:paraId="3BD00FEE">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15%</w:t>
                        </w:r>
                      </w:p>
                    </w:tc>
                    <w:tc>
                      <w:tcPr>
                        <w:tcW w:w="853" w:type="dxa"/>
                        <w:gridSpan w:val="2"/>
                        <w:vAlign w:val="center"/>
                      </w:tcPr>
                      <w:p w14:paraId="3BD00FEF">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13%</w:t>
                        </w:r>
                      </w:p>
                    </w:tc>
                    <w:tc>
                      <w:tcPr>
                        <w:tcW w:w="854" w:type="dxa"/>
                        <w:vAlign w:val="center"/>
                      </w:tcPr>
                      <w:p w14:paraId="3BD00FF0">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14%</w:t>
                        </w:r>
                      </w:p>
                    </w:tc>
                  </w:tr>
                  <w:tr w14:paraId="3BD00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F2">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全面摊薄EPS (US$)</w:t>
                        </w:r>
                      </w:p>
                    </w:tc>
                    <w:tc>
                      <w:tcPr>
                        <w:tcW w:w="853" w:type="dxa"/>
                        <w:gridSpan w:val="2"/>
                        <w:vAlign w:val="center"/>
                      </w:tcPr>
                      <w:p w14:paraId="3BD00FF3">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0.33</w:t>
                        </w:r>
                      </w:p>
                    </w:tc>
                    <w:tc>
                      <w:tcPr>
                        <w:tcW w:w="853" w:type="dxa"/>
                        <w:gridSpan w:val="2"/>
                        <w:vAlign w:val="center"/>
                      </w:tcPr>
                      <w:p w14:paraId="3BD00FF4">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0.38</w:t>
                        </w:r>
                      </w:p>
                    </w:tc>
                    <w:tc>
                      <w:tcPr>
                        <w:tcW w:w="853" w:type="dxa"/>
                        <w:gridSpan w:val="2"/>
                        <w:vAlign w:val="center"/>
                      </w:tcPr>
                      <w:p w14:paraId="3BD00FF5">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0.43</w:t>
                        </w:r>
                      </w:p>
                    </w:tc>
                    <w:tc>
                      <w:tcPr>
                        <w:tcW w:w="854" w:type="dxa"/>
                        <w:vAlign w:val="center"/>
                      </w:tcPr>
                      <w:p w14:paraId="3BD00FF6">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0.49</w:t>
                        </w:r>
                      </w:p>
                    </w:tc>
                  </w:tr>
                  <w:tr w14:paraId="3BD00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F8">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毛利率</w:t>
                        </w:r>
                      </w:p>
                    </w:tc>
                    <w:tc>
                      <w:tcPr>
                        <w:tcW w:w="853" w:type="dxa"/>
                        <w:gridSpan w:val="2"/>
                        <w:vAlign w:val="center"/>
                      </w:tcPr>
                      <w:p w14:paraId="3BD00FF9">
                        <w:pPr>
                          <w:pStyle w:val="44"/>
                          <w:framePr w:wrap="auto" w:vAnchor="margin" w:hAnchor="text" w:yAlign="inline"/>
                          <w:jc w:val="right"/>
                          <w:rPr>
                            <w:rFonts w:hint="default" w:ascii="Calibri" w:hAnsi="Calibri" w:eastAsia="楷体_GB2312" w:cs="Calibri"/>
                            <w:b w:val="0"/>
                            <w:color w:val="auto"/>
                            <w:sz w:val="14"/>
                          </w:rPr>
                        </w:pPr>
                        <w:r>
                          <w:rPr>
                            <w:rFonts w:hint="default" w:ascii="Calibri" w:hAnsi="Calibri" w:eastAsia="楷体_GB2312" w:cs="Calibri"/>
                            <w:b w:val="0"/>
                            <w:i w:val="0"/>
                            <w:color w:val="215E99"/>
                            <w:sz w:val="14"/>
                          </w:rPr>
                          <w:t>34.5%</w:t>
                        </w:r>
                      </w:p>
                    </w:tc>
                    <w:tc>
                      <w:tcPr>
                        <w:tcW w:w="853" w:type="dxa"/>
                        <w:gridSpan w:val="2"/>
                        <w:vAlign w:val="center"/>
                      </w:tcPr>
                      <w:p w14:paraId="3BD00FFA">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35.2%</w:t>
                        </w:r>
                      </w:p>
                    </w:tc>
                    <w:tc>
                      <w:tcPr>
                        <w:tcW w:w="853" w:type="dxa"/>
                        <w:gridSpan w:val="2"/>
                        <w:vAlign w:val="center"/>
                      </w:tcPr>
                      <w:p w14:paraId="3BD00FFB">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35.1%</w:t>
                        </w:r>
                      </w:p>
                    </w:tc>
                    <w:tc>
                      <w:tcPr>
                        <w:tcW w:w="854" w:type="dxa"/>
                        <w:vAlign w:val="center"/>
                      </w:tcPr>
                      <w:p w14:paraId="3BD00FFC">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35.4%</w:t>
                        </w:r>
                      </w:p>
                    </w:tc>
                  </w:tr>
                  <w:tr w14:paraId="3BD01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0FFE">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净资产收益率</w:t>
                        </w:r>
                      </w:p>
                    </w:tc>
                    <w:tc>
                      <w:tcPr>
                        <w:tcW w:w="853" w:type="dxa"/>
                        <w:gridSpan w:val="2"/>
                        <w:vAlign w:val="center"/>
                      </w:tcPr>
                      <w:p w14:paraId="3BD00FFF">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19.2%</w:t>
                        </w:r>
                      </w:p>
                    </w:tc>
                    <w:tc>
                      <w:tcPr>
                        <w:tcW w:w="853" w:type="dxa"/>
                        <w:gridSpan w:val="2"/>
                        <w:vAlign w:val="center"/>
                      </w:tcPr>
                      <w:p w14:paraId="3BD01000">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16.7%</w:t>
                        </w:r>
                      </w:p>
                    </w:tc>
                    <w:tc>
                      <w:tcPr>
                        <w:tcW w:w="853" w:type="dxa"/>
                        <w:gridSpan w:val="2"/>
                        <w:vAlign w:val="center"/>
                      </w:tcPr>
                      <w:p w14:paraId="3BD01001">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16.9%</w:t>
                        </w:r>
                      </w:p>
                    </w:tc>
                    <w:tc>
                      <w:tcPr>
                        <w:tcW w:w="854" w:type="dxa"/>
                        <w:vAlign w:val="center"/>
                      </w:tcPr>
                      <w:p w14:paraId="3BD01002">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17.3%</w:t>
                        </w:r>
                      </w:p>
                    </w:tc>
                  </w:tr>
                  <w:tr w14:paraId="3BD01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BD01004">
                        <w:pPr>
                          <w:pStyle w:val="44"/>
                          <w:framePr w:wrap="auto" w:vAnchor="margin" w:hAnchor="text" w:yAlign="inline"/>
                          <w:rPr>
                            <w:rFonts w:hint="default" w:ascii="Calibri" w:hAnsi="Calibri" w:eastAsia="楷体_GB2312" w:cs="Calibri"/>
                            <w:b w:val="0"/>
                            <w:sz w:val="14"/>
                          </w:rPr>
                        </w:pPr>
                        <w:r>
                          <w:rPr>
                            <w:rFonts w:hint="default" w:ascii="Calibri" w:hAnsi="Calibri" w:eastAsia="楷体_GB2312" w:cs="Calibri"/>
                            <w:b w:val="0"/>
                            <w:i w:val="0"/>
                            <w:color w:val="215E99"/>
                            <w:sz w:val="14"/>
                          </w:rPr>
                          <w:t>市盈率</w:t>
                        </w:r>
                      </w:p>
                    </w:tc>
                    <w:tc>
                      <w:tcPr>
                        <w:tcW w:w="853" w:type="dxa"/>
                        <w:gridSpan w:val="2"/>
                        <w:vAlign w:val="center"/>
                      </w:tcPr>
                      <w:p w14:paraId="3BD01005">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145</w:t>
                        </w:r>
                      </w:p>
                    </w:tc>
                    <w:tc>
                      <w:tcPr>
                        <w:tcW w:w="853" w:type="dxa"/>
                        <w:gridSpan w:val="2"/>
                        <w:vAlign w:val="center"/>
                      </w:tcPr>
                      <w:p w14:paraId="3BD01006">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126</w:t>
                        </w:r>
                      </w:p>
                    </w:tc>
                    <w:tc>
                      <w:tcPr>
                        <w:tcW w:w="853" w:type="dxa"/>
                        <w:gridSpan w:val="2"/>
                        <w:vAlign w:val="center"/>
                      </w:tcPr>
                      <w:p w14:paraId="3BD01007">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112</w:t>
                        </w:r>
                      </w:p>
                    </w:tc>
                    <w:tc>
                      <w:tcPr>
                        <w:tcW w:w="854" w:type="dxa"/>
                        <w:vAlign w:val="center"/>
                      </w:tcPr>
                      <w:p w14:paraId="3BD01008">
                        <w:pPr>
                          <w:jc w:val="right"/>
                          <w:rPr>
                            <w:rFonts w:hint="default" w:ascii="Calibri" w:hAnsi="Calibri" w:eastAsia="楷体_GB2312" w:cs="Calibri"/>
                            <w:sz w:val="14"/>
                            <w:szCs w:val="14"/>
                          </w:rPr>
                        </w:pPr>
                        <w:r>
                          <w:rPr>
                            <w:rFonts w:hint="default" w:ascii="Calibri" w:hAnsi="Calibri" w:eastAsia="楷体_GB2312" w:cs="Calibri"/>
                            <w:b w:val="0"/>
                            <w:i w:val="0"/>
                            <w:color w:val="215E99"/>
                            <w:sz w:val="14"/>
                          </w:rPr>
                          <w:t>98</w:t>
                        </w:r>
                      </w:p>
                    </w:tc>
                  </w:tr>
                </w:tbl>
                <w:p w14:paraId="3BD0100A">
                  <w:pPr>
                    <w:ind w:right="85" w:firstLine="85"/>
                    <w:rPr>
                      <w:rFonts w:hint="default" w:ascii="Calibri" w:hAnsi="Calibri" w:eastAsia="楷体_GB2312" w:cs="Calibri"/>
                    </w:rPr>
                  </w:pPr>
                </w:p>
              </w:tc>
            </w:tr>
            <w:tr w14:paraId="3BD0100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3BD0100C">
                  <w:pPr>
                    <w:ind w:right="85" w:firstLine="85"/>
                    <w:rPr>
                      <w:rFonts w:hint="default" w:ascii="Calibri" w:hAnsi="Calibri" w:eastAsia="楷体_GB2312" w:cs="Calibri"/>
                      <w:i/>
                      <w:iCs/>
                      <w:color w:val="000000"/>
                      <w:sz w:val="12"/>
                      <w:lang w:eastAsia="zh-CN"/>
                    </w:rPr>
                  </w:pPr>
                  <w:r>
                    <w:rPr>
                      <w:rFonts w:hint="default" w:ascii="Calibri" w:hAnsi="Calibri" w:eastAsia="楷体_GB2312" w:cs="Calibri"/>
                      <w:b w:val="0"/>
                      <w:i/>
                      <w:color w:val="000000"/>
                      <w:sz w:val="12"/>
                    </w:rPr>
                    <w:t>资料来源：公司信息, HFI</w:t>
                  </w:r>
                </w:p>
              </w:tc>
            </w:tr>
          </w:tbl>
          <w:p w14:paraId="3BD0100E">
            <w:pPr>
              <w:pStyle w:val="120"/>
              <w:spacing w:line="360" w:lineRule="exact"/>
              <w:rPr>
                <w:rFonts w:hint="default" w:ascii="Calibri" w:hAnsi="Calibri" w:eastAsia="楷体_GB2312" w:cs="Calibri"/>
                <w:lang w:eastAsia="zh-CN"/>
              </w:rPr>
            </w:pPr>
          </w:p>
        </w:tc>
        <w:tc>
          <w:tcPr>
            <w:tcW w:w="6551" w:type="dxa"/>
            <w:gridSpan w:val="4"/>
          </w:tcPr>
          <w:p w14:paraId="3BD0100F">
            <w:pPr>
              <w:pStyle w:val="86"/>
              <w:keepNext w:val="0"/>
              <w:keepLines w:val="0"/>
              <w:pageBreakBefore w:val="0"/>
              <w:kinsoku/>
              <w:wordWrap/>
              <w:overflowPunct/>
              <w:topLinePunct w:val="0"/>
              <w:autoSpaceDE/>
              <w:autoSpaceDN/>
              <w:bidi w:val="0"/>
              <w:adjustRightInd w:val="0"/>
              <w:snapToGrid w:val="0"/>
              <w:spacing w:after="240"/>
              <w:jc w:val="both"/>
              <w:textAlignment w:val="auto"/>
              <w:rPr>
                <w:rFonts w:hint="default" w:ascii="Calibri" w:hAnsi="Calibri" w:eastAsia="楷体_GB2312" w:cs="Calibri"/>
                <w:b/>
                <w:bCs/>
                <w:color w:val="23558C"/>
                <w:kern w:val="28"/>
                <w:sz w:val="20"/>
                <w:szCs w:val="20"/>
                <w:lang w:eastAsia="zh-CN"/>
              </w:rPr>
            </w:pPr>
            <w:r>
              <w:rPr>
                <w:rFonts w:hint="default" w:ascii="Calibri" w:hAnsi="Calibri" w:eastAsia="楷体_GB2312" w:cs="Calibri"/>
                <w:bCs/>
                <w:kern w:val="28"/>
                <w:sz w:val="20"/>
                <w:szCs w:val="20"/>
                <w:lang w:eastAsia="zh-CN"/>
              </w:rPr>
              <w:t>(</w:t>
            </w:r>
            <w:r>
              <w:rPr>
                <w:rFonts w:hint="default" w:ascii="Calibri" w:hAnsi="Calibri" w:eastAsia="楷体_GB2312" w:cs="Calibri"/>
                <w:bCs/>
                <w:kern w:val="28"/>
                <w:sz w:val="20"/>
                <w:szCs w:val="20"/>
              </w:rPr>
              <w:t xml:space="preserve">Please see </w:t>
            </w:r>
            <w:r>
              <w:rPr>
                <w:rFonts w:hint="default" w:ascii="Calibri" w:hAnsi="Calibri" w:eastAsia="楷体_GB2312" w:cs="Calibri"/>
                <w:bCs/>
                <w:kern w:val="28"/>
                <w:sz w:val="20"/>
                <w:szCs w:val="20"/>
                <w:lang w:eastAsia="zh-CN"/>
              </w:rPr>
              <w:t>APPENDIX 1</w:t>
            </w:r>
            <w:r>
              <w:rPr>
                <w:rFonts w:hint="default" w:ascii="Calibri" w:hAnsi="Calibri" w:eastAsia="楷体_GB2312" w:cs="Calibri"/>
                <w:bCs/>
                <w:kern w:val="28"/>
                <w:sz w:val="20"/>
                <w:szCs w:val="20"/>
              </w:rPr>
              <w:t xml:space="preserve"> for English summary</w:t>
            </w:r>
            <w:r>
              <w:rPr>
                <w:rFonts w:hint="default" w:ascii="Calibri" w:hAnsi="Calibri" w:eastAsia="楷体_GB2312" w:cs="Calibri"/>
                <w:bCs/>
                <w:kern w:val="28"/>
                <w:sz w:val="20"/>
                <w:szCs w:val="20"/>
                <w:lang w:eastAsia="zh-CN"/>
              </w:rPr>
              <w:t>)</w:t>
            </w:r>
          </w:p>
          <w:p w14:paraId="58713E0C">
            <w:pPr>
              <w:pStyle w:val="17"/>
              <w:keepNext w:val="0"/>
              <w:keepLines w:val="0"/>
              <w:pageBreakBefore w:val="0"/>
              <w:kinsoku/>
              <w:wordWrap/>
              <w:overflowPunct/>
              <w:topLinePunct w:val="0"/>
              <w:autoSpaceDE/>
              <w:autoSpaceDN/>
              <w:bidi w:val="0"/>
              <w:adjustRightInd w:val="0"/>
              <w:snapToGrid w:val="0"/>
              <w:spacing w:after="240"/>
              <w:jc w:val="both"/>
              <w:textAlignment w:val="auto"/>
              <w:rPr>
                <w:rFonts w:hint="default" w:ascii="Calibri" w:hAnsi="Calibri" w:eastAsia="楷体_GB2312" w:cs="Calibri"/>
                <w:snapToGrid/>
                <w:sz w:val="20"/>
                <w:szCs w:val="20"/>
                <w:lang w:eastAsia="zh-CN"/>
              </w:rPr>
            </w:pPr>
            <w:r>
              <w:rPr>
                <w:rFonts w:hint="default" w:ascii="Calibri" w:hAnsi="Calibri" w:eastAsia="楷体_GB2312" w:cs="Calibri"/>
                <w:b/>
                <w:bCs/>
                <w:snapToGrid/>
                <w:color w:val="23558C"/>
                <w:kern w:val="28"/>
                <w:sz w:val="20"/>
                <w:szCs w:val="20"/>
                <w:lang w:eastAsia="zh-CN"/>
              </w:rPr>
              <w:t>西锐飞机2025年全年实现强劲收入增长。</w:t>
            </w:r>
            <w:r>
              <w:rPr>
                <w:rFonts w:hint="default" w:ascii="Calibri" w:hAnsi="Calibri" w:eastAsia="楷体_GB2312" w:cs="Calibri"/>
                <w:b/>
                <w:bCs/>
                <w:snapToGrid/>
                <w:sz w:val="20"/>
                <w:szCs w:val="20"/>
                <w:lang w:eastAsia="zh-CN"/>
              </w:rPr>
              <w:t>1）收入表现</w:t>
            </w:r>
            <w:r>
              <w:rPr>
                <w:rFonts w:hint="default" w:ascii="Calibri" w:hAnsi="Calibri" w:eastAsia="楷体_GB2312" w:cs="Calibri"/>
                <w:b/>
                <w:bCs/>
                <w:snapToGrid/>
                <w:sz w:val="20"/>
                <w:szCs w:val="20"/>
              </w:rPr>
              <w:t>：</w:t>
            </w:r>
            <w:r>
              <w:rPr>
                <w:rFonts w:hint="default" w:ascii="Calibri" w:hAnsi="Calibri" w:eastAsia="楷体_GB2312" w:cs="Calibri"/>
                <w:snapToGrid/>
                <w:sz w:val="20"/>
                <w:szCs w:val="20"/>
                <w:lang w:eastAsia="zh-CN"/>
              </w:rPr>
              <w:t>2025年</w:t>
            </w:r>
            <w:r>
              <w:rPr>
                <w:rFonts w:hint="default" w:ascii="Calibri" w:hAnsi="Calibri" w:eastAsia="楷体_GB2312" w:cs="Calibri"/>
                <w:snapToGrid/>
                <w:sz w:val="20"/>
                <w:szCs w:val="20"/>
              </w:rPr>
              <w:t>全年公司实现总营业收入13.54亿美元，同比增长13.1%</w:t>
            </w:r>
            <w:r>
              <w:rPr>
                <w:rFonts w:hint="default" w:ascii="Calibri" w:hAnsi="Calibri" w:eastAsia="楷体_GB2312" w:cs="Calibri"/>
                <w:snapToGrid/>
                <w:sz w:val="20"/>
                <w:szCs w:val="20"/>
                <w:lang w:eastAsia="zh-CN"/>
              </w:rPr>
              <w:t>，2025H2收入7.60亿美元，同比增长约5.3%；其中，西锐服务及其他收入2025年全年同比增长17.0%至2.03亿美元。</w:t>
            </w:r>
            <w:r>
              <w:rPr>
                <w:rFonts w:hint="default" w:ascii="Calibri" w:hAnsi="Calibri" w:eastAsia="楷体_GB2312" w:cs="Calibri"/>
                <w:b/>
                <w:bCs/>
                <w:snapToGrid/>
                <w:sz w:val="20"/>
                <w:szCs w:val="20"/>
                <w:lang w:eastAsia="zh-CN"/>
              </w:rPr>
              <w:t>2）费用率表现</w:t>
            </w:r>
            <w:r>
              <w:rPr>
                <w:rFonts w:hint="default" w:ascii="Calibri" w:hAnsi="Calibri" w:eastAsia="楷体_GB2312" w:cs="Calibri"/>
                <w:snapToGrid/>
                <w:sz w:val="20"/>
                <w:szCs w:val="20"/>
                <w:lang w:eastAsia="zh-CN"/>
              </w:rPr>
              <w:t>：2025年销售费率提升0.32pct至10.64%，其中2025H2提升1.37pct至10.59%，主要因</w:t>
            </w:r>
            <w:r>
              <w:rPr>
                <w:rFonts w:hint="default" w:ascii="Calibri" w:hAnsi="Calibri" w:eastAsia="楷体_GB2312" w:cs="Calibri"/>
                <w:sz w:val="20"/>
                <w:szCs w:val="20"/>
              </w:rPr>
              <w:t xml:space="preserve"> </w:t>
            </w:r>
            <w:r>
              <w:rPr>
                <w:rFonts w:hint="default" w:ascii="Calibri" w:hAnsi="Calibri" w:eastAsia="楷体_GB2312" w:cs="Calibri"/>
                <w:snapToGrid/>
                <w:sz w:val="20"/>
                <w:szCs w:val="20"/>
                <w:lang w:eastAsia="zh-CN"/>
              </w:rPr>
              <w:t>G7+全球推广、广告投入及交付量增加所致；2025年行政开支费率提升0.24pct至12.04%，其中2025H2提升1.03pct至12.25%，主要费用投放涉及到新机型认证、研发迭代及行政扩张费用。</w:t>
            </w:r>
            <w:r>
              <w:rPr>
                <w:rFonts w:hint="default" w:ascii="Calibri" w:hAnsi="Calibri" w:eastAsia="楷体_GB2312" w:cs="Calibri"/>
                <w:b/>
                <w:bCs/>
                <w:snapToGrid/>
                <w:sz w:val="20"/>
                <w:szCs w:val="20"/>
                <w:lang w:eastAsia="zh-CN"/>
              </w:rPr>
              <w:t>3</w:t>
            </w:r>
            <w:r>
              <w:rPr>
                <w:rFonts w:hint="default" w:ascii="Calibri" w:hAnsi="Calibri" w:eastAsia="楷体_GB2312" w:cs="Calibri"/>
                <w:b/>
                <w:bCs/>
                <w:snapToGrid/>
                <w:sz w:val="20"/>
                <w:szCs w:val="20"/>
              </w:rPr>
              <w:t>)盈利</w:t>
            </w:r>
            <w:r>
              <w:rPr>
                <w:rFonts w:hint="default" w:ascii="Calibri" w:hAnsi="Calibri" w:eastAsia="楷体_GB2312" w:cs="Calibri"/>
                <w:b/>
                <w:bCs/>
                <w:snapToGrid/>
                <w:sz w:val="20"/>
                <w:szCs w:val="20"/>
                <w:lang w:eastAsia="zh-CN"/>
              </w:rPr>
              <w:t>水平</w:t>
            </w:r>
            <w:r>
              <w:rPr>
                <w:rFonts w:hint="default" w:ascii="Calibri" w:hAnsi="Calibri" w:eastAsia="楷体_GB2312" w:cs="Calibri"/>
                <w:b/>
                <w:bCs/>
                <w:snapToGrid/>
                <w:sz w:val="20"/>
                <w:szCs w:val="20"/>
              </w:rPr>
              <w:t>：</w:t>
            </w:r>
            <w:r>
              <w:rPr>
                <w:rFonts w:hint="default" w:ascii="Calibri" w:hAnsi="Calibri" w:eastAsia="楷体_GB2312" w:cs="Calibri"/>
                <w:snapToGrid/>
                <w:sz w:val="20"/>
                <w:szCs w:val="20"/>
              </w:rPr>
              <w:t>全年毛利率35.2%，同比提升约2.0</w:t>
            </w:r>
            <w:r>
              <w:rPr>
                <w:rFonts w:hint="default" w:ascii="Calibri" w:hAnsi="Calibri" w:eastAsia="楷体_GB2312" w:cs="Calibri"/>
                <w:snapToGrid/>
                <w:sz w:val="20"/>
                <w:szCs w:val="20"/>
                <w:lang w:eastAsia="zh-CN"/>
              </w:rPr>
              <w:t>pct，其中2025H2毛利率34.4%，同比提升约1.2pct。</w:t>
            </w:r>
            <w:r>
              <w:rPr>
                <w:rFonts w:hint="default" w:ascii="Calibri" w:hAnsi="Calibri" w:eastAsia="楷体_GB2312" w:cs="Calibri"/>
                <w:snapToGrid/>
                <w:sz w:val="20"/>
                <w:szCs w:val="20"/>
              </w:rPr>
              <w:t>全年经调整净利润1.42亿美元，同比增长18.3%，其中2025H2经调整净利润0.77亿美元，同增3.8%。全年经调整净利率10.48%，提升0.42pct，其中2025H2经调整净利率10.13%，同比提升0.29pct。</w:t>
            </w:r>
          </w:p>
          <w:p w14:paraId="3D905005">
            <w:pPr>
              <w:pStyle w:val="17"/>
              <w:keepNext w:val="0"/>
              <w:keepLines w:val="0"/>
              <w:pageBreakBefore w:val="0"/>
              <w:kinsoku/>
              <w:wordWrap/>
              <w:overflowPunct/>
              <w:topLinePunct w:val="0"/>
              <w:autoSpaceDE/>
              <w:autoSpaceDN/>
              <w:bidi w:val="0"/>
              <w:adjustRightInd w:val="0"/>
              <w:snapToGrid w:val="0"/>
              <w:spacing w:after="240"/>
              <w:jc w:val="both"/>
              <w:textAlignment w:val="auto"/>
              <w:rPr>
                <w:rFonts w:hint="default" w:ascii="Calibri" w:hAnsi="Calibri" w:eastAsia="楷体_GB2312" w:cs="Calibri"/>
                <w:snapToGrid/>
                <w:sz w:val="20"/>
                <w:szCs w:val="20"/>
                <w:lang w:eastAsia="zh-CN"/>
              </w:rPr>
            </w:pPr>
            <w:r>
              <w:rPr>
                <w:rFonts w:hint="default" w:ascii="Calibri" w:hAnsi="Calibri" w:eastAsia="楷体_GB2312" w:cs="Calibri"/>
                <w:b/>
                <w:bCs/>
                <w:snapToGrid/>
                <w:color w:val="23558C"/>
                <w:kern w:val="28"/>
                <w:sz w:val="20"/>
                <w:szCs w:val="20"/>
                <w:lang w:eastAsia="zh-CN"/>
              </w:rPr>
              <w:t>西锐飞机2025年交付量走高，单机售价持续向上。</w:t>
            </w:r>
            <w:r>
              <w:rPr>
                <w:rFonts w:hint="default" w:ascii="Calibri" w:hAnsi="Calibri" w:eastAsia="楷体_GB2312" w:cs="Calibri"/>
                <w:b/>
                <w:bCs/>
                <w:snapToGrid/>
                <w:sz w:val="20"/>
                <w:szCs w:val="20"/>
              </w:rPr>
              <w:t>1）从交付量上看，</w:t>
            </w:r>
            <w:r>
              <w:rPr>
                <w:rFonts w:hint="default" w:ascii="Calibri" w:hAnsi="Calibri" w:eastAsia="楷体_GB2312" w:cs="Calibri"/>
                <w:snapToGrid/>
                <w:sz w:val="20"/>
                <w:szCs w:val="20"/>
              </w:rPr>
              <w:t>2025年全年共交付797架飞机，同比增长9%（H2交付447架），其中SR系列691架，愿景喷气机106架。</w:t>
            </w:r>
            <w:r>
              <w:rPr>
                <w:rFonts w:hint="default" w:ascii="Calibri" w:hAnsi="Calibri" w:eastAsia="楷体_GB2312" w:cs="Calibri"/>
                <w:b/>
                <w:bCs/>
                <w:snapToGrid/>
                <w:sz w:val="20"/>
                <w:szCs w:val="20"/>
                <w:lang w:eastAsia="zh-CN"/>
              </w:rPr>
              <w:t>2</w:t>
            </w:r>
            <w:r>
              <w:rPr>
                <w:rFonts w:hint="default" w:ascii="Calibri" w:hAnsi="Calibri" w:eastAsia="楷体_GB2312" w:cs="Calibri"/>
                <w:b/>
                <w:bCs/>
                <w:snapToGrid/>
                <w:sz w:val="20"/>
                <w:szCs w:val="20"/>
              </w:rPr>
              <w:t>)单机售价</w:t>
            </w:r>
            <w:r>
              <w:rPr>
                <w:rFonts w:hint="default" w:ascii="Calibri" w:hAnsi="Calibri" w:eastAsia="楷体_GB2312" w:cs="Calibri"/>
                <w:b/>
                <w:bCs/>
                <w:snapToGrid/>
                <w:sz w:val="20"/>
                <w:szCs w:val="20"/>
                <w:lang w:eastAsia="zh-CN"/>
              </w:rPr>
              <w:t>：</w:t>
            </w:r>
            <w:r>
              <w:rPr>
                <w:rFonts w:hint="default" w:ascii="Calibri" w:hAnsi="Calibri" w:eastAsia="楷体_GB2312" w:cs="Calibri"/>
                <w:snapToGrid/>
                <w:sz w:val="20"/>
                <w:szCs w:val="20"/>
              </w:rPr>
              <w:t>全年SR2X交付均价约116万美元，同比增加约5.5%（2024全年均价110万美元）；愿景喷气机均价约352万美元，同比增加约3.5%（2024全年均价340万美元）。</w:t>
            </w:r>
            <w:r>
              <w:rPr>
                <w:rFonts w:hint="default" w:ascii="Calibri" w:hAnsi="Calibri" w:eastAsia="楷体_GB2312" w:cs="Calibri"/>
                <w:b/>
                <w:bCs/>
                <w:snapToGrid/>
                <w:sz w:val="20"/>
                <w:szCs w:val="20"/>
                <w:lang w:eastAsia="zh-CN"/>
              </w:rPr>
              <w:t>3</w:t>
            </w:r>
            <w:r>
              <w:rPr>
                <w:rFonts w:hint="default" w:ascii="Calibri" w:hAnsi="Calibri" w:eastAsia="楷体_GB2312" w:cs="Calibri"/>
                <w:b/>
                <w:bCs/>
                <w:snapToGrid/>
                <w:sz w:val="20"/>
                <w:szCs w:val="20"/>
              </w:rPr>
              <w:t>)生产及订单情况：</w:t>
            </w:r>
            <w:r>
              <w:rPr>
                <w:rFonts w:hint="default" w:ascii="Calibri" w:hAnsi="Calibri" w:eastAsia="楷体_GB2312" w:cs="Calibri"/>
                <w:snapToGrid/>
                <w:sz w:val="20"/>
                <w:szCs w:val="20"/>
              </w:rPr>
              <w:t>通过推动生产线一致性及可预测性，公司显著减少往年因季节性导致的交付波动。2025年全年生产809架飞机（690架SR2X系列和119架愿景喷气机），交付797架，分别高于2024年全年的生产731架（617架SR2X系列和114架愿景喷气机）和交付731架。截至2025年12月31日，公司拥有1,066架飞机储备订单，其中包括约221架愿景喷气机订单。全年公司合计净订单728架，较2024年全年增加95架，主要得益于G7+系列持续热销。</w:t>
            </w:r>
          </w:p>
          <w:p w14:paraId="460C413C">
            <w:pPr>
              <w:pStyle w:val="17"/>
              <w:keepNext w:val="0"/>
              <w:keepLines w:val="0"/>
              <w:pageBreakBefore w:val="0"/>
              <w:kinsoku/>
              <w:wordWrap/>
              <w:overflowPunct/>
              <w:topLinePunct w:val="0"/>
              <w:autoSpaceDE/>
              <w:autoSpaceDN/>
              <w:bidi w:val="0"/>
              <w:adjustRightInd w:val="0"/>
              <w:snapToGrid w:val="0"/>
              <w:spacing w:after="240"/>
              <w:jc w:val="both"/>
              <w:textAlignment w:val="auto"/>
              <w:rPr>
                <w:rFonts w:hint="default" w:ascii="Calibri" w:hAnsi="Calibri" w:eastAsia="楷体_GB2312" w:cs="Calibri"/>
                <w:b/>
                <w:bCs/>
                <w:snapToGrid/>
                <w:color w:val="23558C"/>
                <w:kern w:val="28"/>
                <w:sz w:val="20"/>
                <w:szCs w:val="20"/>
                <w:lang w:eastAsia="zh-CN"/>
              </w:rPr>
            </w:pPr>
            <w:r>
              <w:rPr>
                <w:rFonts w:hint="default" w:ascii="Calibri" w:hAnsi="Calibri" w:eastAsia="楷体_GB2312" w:cs="Calibri"/>
                <w:b/>
                <w:bCs/>
                <w:snapToGrid/>
                <w:color w:val="23558C"/>
                <w:kern w:val="28"/>
                <w:sz w:val="20"/>
                <w:szCs w:val="20"/>
                <w:lang w:eastAsia="zh-CN"/>
              </w:rPr>
              <w:t>展望2026年两大重磅新品有望持续催化需求订单，带动公司收入向上。</w:t>
            </w:r>
            <w:r>
              <w:rPr>
                <w:rFonts w:hint="default" w:ascii="Calibri" w:hAnsi="Calibri" w:eastAsia="楷体_GB2312" w:cs="Calibri"/>
                <w:snapToGrid/>
                <w:sz w:val="20"/>
                <w:szCs w:val="20"/>
              </w:rPr>
              <w:t>公司两大重磅新品SR Series G7+和Vision Jet G3将显著催化需求</w:t>
            </w:r>
            <w:r>
              <w:rPr>
                <w:rFonts w:hint="default" w:ascii="Calibri" w:hAnsi="Calibri" w:eastAsia="楷体_GB2312" w:cs="Calibri"/>
                <w:snapToGrid/>
                <w:sz w:val="20"/>
                <w:szCs w:val="20"/>
                <w:lang w:eastAsia="zh-CN"/>
              </w:rPr>
              <w:t>，其中</w:t>
            </w:r>
            <w:r>
              <w:rPr>
                <w:rFonts w:hint="default" w:ascii="Calibri" w:hAnsi="Calibri" w:eastAsia="楷体_GB2312" w:cs="Calibri"/>
                <w:snapToGrid/>
                <w:sz w:val="20"/>
                <w:szCs w:val="20"/>
              </w:rPr>
              <w:t>G7+全面升级连接性、航电与硬件配置，G3则带来CPDLC电子沟通、自动数据库、后排空间及性能提升，</w:t>
            </w:r>
            <w:r>
              <w:rPr>
                <w:rFonts w:hint="default" w:ascii="Calibri" w:hAnsi="Calibri" w:eastAsia="楷体_GB2312" w:cs="Calibri"/>
                <w:snapToGrid/>
                <w:sz w:val="20"/>
                <w:szCs w:val="20"/>
                <w:lang w:eastAsia="zh-CN"/>
              </w:rPr>
              <w:t>有望进一步</w:t>
            </w:r>
            <w:r>
              <w:rPr>
                <w:rFonts w:hint="default" w:ascii="Calibri" w:hAnsi="Calibri" w:eastAsia="楷体_GB2312" w:cs="Calibri"/>
                <w:snapToGrid/>
                <w:sz w:val="20"/>
                <w:szCs w:val="20"/>
              </w:rPr>
              <w:t>拉动ASP上行与高端配置渗透。</w:t>
            </w:r>
            <w:r>
              <w:rPr>
                <w:rFonts w:hint="default" w:ascii="Calibri" w:hAnsi="Calibri" w:eastAsia="楷体_GB2312" w:cs="Calibri"/>
                <w:snapToGrid/>
                <w:sz w:val="20"/>
                <w:szCs w:val="20"/>
                <w:lang w:eastAsia="zh-CN"/>
              </w:rPr>
              <w:t>此外，</w:t>
            </w:r>
            <w:r>
              <w:rPr>
                <w:rFonts w:hint="default" w:ascii="Calibri" w:hAnsi="Calibri" w:eastAsia="楷体_GB2312" w:cs="Calibri"/>
                <w:snapToGrid/>
                <w:sz w:val="20"/>
                <w:szCs w:val="20"/>
              </w:rPr>
              <w:t>公司服务生态高粘性也将持续贡献稳定利润，叠加核心零部件长协锁定成本，预计2026年交付量、毛利率及净利润</w:t>
            </w:r>
            <w:r>
              <w:rPr>
                <w:rFonts w:hint="default" w:ascii="Calibri" w:hAnsi="Calibri" w:eastAsia="楷体_GB2312" w:cs="Calibri"/>
                <w:snapToGrid/>
                <w:sz w:val="20"/>
                <w:szCs w:val="20"/>
                <w:lang w:eastAsia="zh-CN"/>
              </w:rPr>
              <w:t>均表现出色</w:t>
            </w:r>
            <w:r>
              <w:rPr>
                <w:rFonts w:hint="default" w:ascii="Calibri" w:hAnsi="Calibri" w:eastAsia="楷体_GB2312" w:cs="Calibri"/>
                <w:snapToGrid/>
                <w:sz w:val="20"/>
                <w:szCs w:val="20"/>
              </w:rPr>
              <w:t>。</w:t>
            </w:r>
          </w:p>
          <w:p w14:paraId="3BD0101E">
            <w:pPr>
              <w:pStyle w:val="86"/>
              <w:keepNext w:val="0"/>
              <w:keepLines w:val="0"/>
              <w:pageBreakBefore w:val="0"/>
              <w:kinsoku/>
              <w:wordWrap/>
              <w:overflowPunct/>
              <w:topLinePunct w:val="0"/>
              <w:autoSpaceDE/>
              <w:autoSpaceDN/>
              <w:bidi w:val="0"/>
              <w:adjustRightInd w:val="0"/>
              <w:snapToGrid w:val="0"/>
              <w:spacing w:after="240"/>
              <w:jc w:val="both"/>
              <w:textAlignment w:val="auto"/>
              <w:rPr>
                <w:rFonts w:hint="default" w:ascii="Calibri" w:hAnsi="Calibri" w:eastAsia="楷体_GB2312" w:cs="Calibri"/>
                <w:b/>
                <w:bCs/>
                <w:color w:val="23558C"/>
                <w:kern w:val="28"/>
                <w:sz w:val="20"/>
                <w:szCs w:val="20"/>
                <w:lang w:eastAsia="zh-CN"/>
              </w:rPr>
            </w:pPr>
            <w:r>
              <w:rPr>
                <w:rFonts w:hint="default" w:ascii="Calibri" w:hAnsi="Calibri" w:eastAsia="楷体_GB2312" w:cs="Calibri"/>
                <w:b/>
                <w:bCs/>
                <w:color w:val="23558C"/>
                <w:kern w:val="28"/>
                <w:sz w:val="20"/>
                <w:szCs w:val="20"/>
                <w:lang w:eastAsia="zh-CN"/>
              </w:rPr>
              <w:t>估值与投资建议：</w:t>
            </w:r>
            <w:r>
              <w:rPr>
                <w:rFonts w:hint="default" w:ascii="Calibri" w:hAnsi="Calibri" w:eastAsia="楷体_GB2312" w:cs="Calibri"/>
                <w:sz w:val="20"/>
                <w:szCs w:val="20"/>
                <w:lang w:eastAsia="zh-CN"/>
              </w:rPr>
              <w:t>我们预计西锐飞机在2026年至2028年期间的收入将分别达到15.22/16.77/18.44亿美元，净利润分别为1.56/1.79/1.99亿美元。基于贴现现金流（DCF）估值模型，我们</w:t>
            </w:r>
            <w:r>
              <w:rPr>
                <w:rFonts w:hint="default" w:ascii="Calibri" w:hAnsi="Calibri" w:eastAsia="楷体_GB2312" w:cs="Calibri"/>
                <w:sz w:val="20"/>
                <w:szCs w:val="20"/>
                <w:lang w:eastAsia="zh-CN"/>
              </w:rPr>
              <w:t>给予“中性”评级</w:t>
            </w:r>
            <w:r>
              <w:rPr>
                <w:rFonts w:hint="default" w:ascii="Calibri" w:hAnsi="Calibri" w:eastAsia="楷体_GB2312" w:cs="Calibri"/>
                <w:sz w:val="20"/>
                <w:szCs w:val="20"/>
                <w:lang w:eastAsia="zh-CN"/>
              </w:rPr>
              <w:t>，目标价为6.7美元（对应港币52.45元）。</w:t>
            </w:r>
          </w:p>
          <w:p w14:paraId="3BD01023">
            <w:pPr>
              <w:pStyle w:val="86"/>
              <w:keepNext w:val="0"/>
              <w:keepLines w:val="0"/>
              <w:pageBreakBefore w:val="0"/>
              <w:kinsoku/>
              <w:wordWrap/>
              <w:overflowPunct/>
              <w:topLinePunct w:val="0"/>
              <w:autoSpaceDE/>
              <w:autoSpaceDN/>
              <w:bidi w:val="0"/>
              <w:adjustRightInd w:val="0"/>
              <w:snapToGrid w:val="0"/>
              <w:spacing w:after="240"/>
              <w:jc w:val="both"/>
              <w:textAlignment w:val="auto"/>
              <w:rPr>
                <w:rFonts w:hint="eastAsia" w:ascii="Calibri" w:hAnsi="Calibri" w:eastAsia="楷体_GB2312" w:cs="Calibri"/>
                <w:b/>
                <w:bCs/>
                <w:color w:val="23558C"/>
                <w:kern w:val="28"/>
                <w:sz w:val="20"/>
                <w:szCs w:val="20"/>
                <w:lang w:eastAsia="zh-CN"/>
              </w:rPr>
            </w:pPr>
            <w:r>
              <w:rPr>
                <w:rFonts w:hint="default" w:ascii="Calibri" w:hAnsi="Calibri" w:eastAsia="楷体_GB2312" w:cs="Calibri"/>
                <w:b/>
                <w:bCs/>
                <w:color w:val="23558C"/>
                <w:kern w:val="28"/>
                <w:sz w:val="20"/>
                <w:szCs w:val="20"/>
                <w:lang w:eastAsia="zh-CN"/>
              </w:rPr>
              <w:t>风险提示：</w:t>
            </w:r>
            <w:r>
              <w:rPr>
                <w:rFonts w:hint="default" w:ascii="Calibri" w:hAnsi="Calibri" w:eastAsia="楷体_GB2312" w:cs="Calibri"/>
                <w:sz w:val="20"/>
                <w:szCs w:val="20"/>
              </w:rPr>
              <w:t>原材料价格波动；供应链中断；市场竞争加剧；客户需求变化；政策变化</w:t>
            </w:r>
            <w:r>
              <w:rPr>
                <w:rFonts w:hint="eastAsia" w:eastAsia="楷体_GB2312" w:cs="Calibri"/>
                <w:sz w:val="20"/>
                <w:szCs w:val="20"/>
                <w:lang w:eastAsia="zh-CN"/>
              </w:rPr>
              <w:t>。</w:t>
            </w:r>
          </w:p>
        </w:tc>
      </w:tr>
      <w:tr w14:paraId="3BD01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71" w:type="dxa"/>
          <w:trHeight w:val="1112" w:hRule="atLeast"/>
        </w:trPr>
        <w:tc>
          <w:tcPr>
            <w:tcW w:w="10609" w:type="dxa"/>
            <w:gridSpan w:val="4"/>
            <w:tcMar>
              <w:left w:w="57" w:type="dxa"/>
            </w:tcMar>
          </w:tcPr>
          <w:p w14:paraId="3BD01025">
            <w:pPr>
              <w:pStyle w:val="86"/>
              <w:spacing w:after="0"/>
              <w:jc w:val="both"/>
              <w:rPr>
                <w:rFonts w:hint="default" w:ascii="Calibri" w:hAnsi="Calibri" w:eastAsia="楷体_GB2312" w:cs="Calibri"/>
                <w:bCs/>
                <w:kern w:val="28"/>
                <w:lang w:eastAsia="zh-CN"/>
              </w:rPr>
            </w:pPr>
          </w:p>
          <w:tbl>
            <w:tblPr>
              <w:tblStyle w:val="11"/>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tblGrid>
            <w:tr w14:paraId="3BD01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3BD01026">
                  <w:pPr>
                    <w:pStyle w:val="49"/>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w:t>
                  </w:r>
                  <w:r>
                    <w:rPr>
                      <w:rFonts w:hint="default" w:ascii="Calibri" w:hAnsi="Calibri" w:eastAsia="楷体_GB2312" w:cs="Calibri"/>
                      <w:color w:val="FFFFFF" w:themeColor="background1"/>
                      <w14:textFill>
                        <w14:solidFill>
                          <w14:schemeClr w14:val="bg1"/>
                        </w14:solidFill>
                      </w14:textFill>
                    </w:rPr>
                    <w:t>Table_Author]</w:t>
                  </w:r>
                </w:p>
              </w:tc>
            </w:tr>
            <w:tr w14:paraId="3BD01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BD0102B">
                  <w:pPr>
                    <w:pStyle w:val="48"/>
                    <w:framePr w:wrap="auto" w:vAnchor="margin" w:hAnchor="text" w:yAlign="inline"/>
                    <w:rPr>
                      <w:rFonts w:hint="default" w:ascii="Calibri" w:hAnsi="Calibri" w:eastAsia="楷体_GB2312" w:cs="Calibri"/>
                    </w:rPr>
                  </w:pPr>
                  <w:r>
                    <w:rPr>
                      <w:rFonts w:hint="default" w:ascii="Calibri" w:hAnsi="Calibri" w:eastAsia="楷体_GB2312" w:cs="Calibri"/>
                      <w:b/>
                      <w:i w:val="0"/>
                      <w:color w:val="000000"/>
                      <w:sz w:val="16"/>
                    </w:rPr>
                    <w:t>杨斌Bin Yang, SFC:BSQ313</w:t>
                  </w:r>
                </w:p>
              </w:tc>
            </w:tr>
            <w:tr w14:paraId="3BD0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BD01030">
                  <w:pPr>
                    <w:pStyle w:val="48"/>
                    <w:framePr w:wrap="auto" w:vAnchor="margin" w:hAnchor="text" w:yAlign="inline"/>
                    <w:rPr>
                      <w:rFonts w:hint="default" w:ascii="Calibri" w:hAnsi="Calibri" w:eastAsia="楷体_GB2312" w:cs="Calibri"/>
                      <w:b w:val="0"/>
                    </w:rPr>
                  </w:pPr>
                  <w:r>
                    <w:rPr>
                      <w:rFonts w:hint="default" w:ascii="Calibri" w:hAnsi="Calibri" w:eastAsia="楷体_GB2312" w:cs="Calibri"/>
                      <w:b w:val="0"/>
                      <w:i w:val="0"/>
                      <w:color w:val="000000"/>
                      <w:sz w:val="16"/>
                    </w:rPr>
                    <w:t>harryyang@hfisec.com.hk</w:t>
                  </w:r>
                </w:p>
              </w:tc>
            </w:tr>
          </w:tbl>
          <w:p w14:paraId="3BD0103F">
            <w:pPr>
              <w:pStyle w:val="86"/>
              <w:spacing w:after="0"/>
              <w:jc w:val="both"/>
              <w:rPr>
                <w:rFonts w:hint="default" w:ascii="Calibri" w:hAnsi="Calibri" w:eastAsia="楷体_GB2312" w:cs="Calibri"/>
                <w:bCs/>
                <w:kern w:val="28"/>
                <w:lang w:eastAsia="zh-CN"/>
              </w:rPr>
            </w:pPr>
          </w:p>
        </w:tc>
      </w:tr>
    </w:tbl>
    <w:p w14:paraId="3BD01042">
      <w:pPr>
        <w:pStyle w:val="69"/>
        <w:rPr>
          <w:rFonts w:hint="default" w:ascii="Calibri" w:hAnsi="Calibri" w:eastAsia="楷体_GB2312" w:cs="Calibri"/>
          <w:sz w:val="16"/>
        </w:rPr>
      </w:pPr>
    </w:p>
    <w:p w14:paraId="3BD01043">
      <w:pPr>
        <w:pStyle w:val="69"/>
        <w:rPr>
          <w:rFonts w:hint="default" w:ascii="Calibri" w:hAnsi="Calibri" w:eastAsia="楷体_GB2312" w:cs="Calibri"/>
          <w:sz w:val="16"/>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3BD01044">
      <w:pPr>
        <w:pStyle w:val="69"/>
        <w:rPr>
          <w:rFonts w:hint="default" w:ascii="Calibri" w:hAnsi="Calibri" w:eastAsia="楷体_GB2312" w:cs="Calibri"/>
        </w:rPr>
      </w:pPr>
    </w:p>
    <w:tbl>
      <w:tblPr>
        <w:tblStyle w:val="10"/>
        <w:tblW w:w="7466" w:type="dxa"/>
        <w:jc w:val="right"/>
        <w:tblLayout w:type="fixed"/>
        <w:tblCellMar>
          <w:top w:w="0" w:type="dxa"/>
          <w:left w:w="108" w:type="dxa"/>
          <w:bottom w:w="0" w:type="dxa"/>
          <w:right w:w="108" w:type="dxa"/>
        </w:tblCellMar>
      </w:tblPr>
      <w:tblGrid>
        <w:gridCol w:w="7466"/>
      </w:tblGrid>
      <w:tr w14:paraId="72C27F02">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456FF2CD">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表：DCF模型</w:t>
            </w:r>
          </w:p>
        </w:tc>
      </w:tr>
      <w:tr w14:paraId="57E61BE6">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2A8F5615">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415790" cy="4420870"/>
                  <wp:effectExtent l="0" t="0" r="381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418366" cy="4423851"/>
                          </a:xfrm>
                          <a:prstGeom prst="rect">
                            <a:avLst/>
                          </a:prstGeom>
                          <a:noFill/>
                        </pic:spPr>
                      </pic:pic>
                    </a:graphicData>
                  </a:graphic>
                </wp:inline>
              </w:drawing>
            </w:r>
          </w:p>
        </w:tc>
      </w:tr>
      <w:tr w14:paraId="0E4B1914">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31C93034">
            <w:pPr>
              <w:spacing w:line="240" w:lineRule="atLeast"/>
              <w:jc w:val="both"/>
              <w:textAlignment w:val="center"/>
              <w:rPr>
                <w:rFonts w:hint="default" w:ascii="Calibri" w:hAnsi="Calibri" w:eastAsia="楷体_GB2312" w:cs="Calibri"/>
                <w:b w:val="0"/>
                <w:bCs w:val="0"/>
                <w:sz w:val="18"/>
                <w:szCs w:val="18"/>
              </w:rPr>
            </w:pPr>
            <w:r>
              <w:rPr>
                <w:rFonts w:hint="default" w:ascii="Calibri" w:hAnsi="Calibri" w:eastAsia="楷体_GB2312" w:cs="Calibri"/>
                <w:b w:val="0"/>
                <w:bCs w:val="0"/>
                <w:sz w:val="18"/>
                <w:szCs w:val="18"/>
              </w:rPr>
              <w:t>资料来源: Wind, HFI</w:t>
            </w:r>
          </w:p>
        </w:tc>
      </w:tr>
    </w:tbl>
    <w:p w14:paraId="0D08CDBC">
      <w:pPr>
        <w:jc w:val="both"/>
        <w:rPr>
          <w:rFonts w:hint="default" w:ascii="Calibri" w:hAnsi="Calibri" w:eastAsia="楷体_GB2312" w:cs="Calibri"/>
          <w:sz w:val="22"/>
          <w:szCs w:val="22"/>
          <w:lang w:eastAsia="zh-CN"/>
        </w:rPr>
      </w:pPr>
    </w:p>
    <w:p w14:paraId="562649B2">
      <w:pPr>
        <w:jc w:val="both"/>
        <w:rPr>
          <w:rFonts w:hint="default" w:ascii="Calibri" w:hAnsi="Calibri" w:eastAsia="楷体_GB2312" w:cs="Calibri"/>
          <w:sz w:val="22"/>
          <w:szCs w:val="22"/>
          <w:lang w:eastAsia="zh-CN"/>
        </w:rPr>
      </w:pPr>
    </w:p>
    <w:p w14:paraId="11CA1275">
      <w:pPr>
        <w:rPr>
          <w:rFonts w:hint="default" w:ascii="Calibri" w:hAnsi="Calibri" w:eastAsia="楷体_GB2312" w:cs="Calibri"/>
          <w:sz w:val="22"/>
          <w:szCs w:val="22"/>
          <w:lang w:eastAsia="zh-CN"/>
        </w:rPr>
      </w:pPr>
      <w:r>
        <w:rPr>
          <w:rFonts w:hint="default" w:ascii="Calibri" w:hAnsi="Calibri" w:eastAsia="楷体_GB2312" w:cs="Calibri"/>
          <w:sz w:val="22"/>
          <w:szCs w:val="22"/>
          <w:lang w:eastAsia="zh-CN"/>
        </w:rPr>
        <w:br w:type="page"/>
      </w:r>
    </w:p>
    <w:p w14:paraId="7B739FEF">
      <w:pPr>
        <w:jc w:val="both"/>
        <w:rPr>
          <w:rFonts w:hint="default" w:ascii="Calibri" w:hAnsi="Calibri" w:eastAsia="楷体_GB2312" w:cs="Calibri"/>
          <w:sz w:val="22"/>
          <w:szCs w:val="22"/>
          <w:lang w:eastAsia="zh-CN"/>
        </w:rPr>
      </w:pPr>
    </w:p>
    <w:tbl>
      <w:tblPr>
        <w:tblStyle w:val="10"/>
        <w:tblW w:w="7466" w:type="dxa"/>
        <w:jc w:val="right"/>
        <w:tblLayout w:type="fixed"/>
        <w:tblCellMar>
          <w:top w:w="0" w:type="dxa"/>
          <w:left w:w="108" w:type="dxa"/>
          <w:bottom w:w="0" w:type="dxa"/>
          <w:right w:w="108" w:type="dxa"/>
        </w:tblCellMar>
      </w:tblPr>
      <w:tblGrid>
        <w:gridCol w:w="7466"/>
      </w:tblGrid>
      <w:tr w14:paraId="36658C5D">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25C94B96">
            <w:pPr>
              <w:spacing w:before="48" w:beforeLines="20" w:after="48" w:afterLines="20"/>
              <w:jc w:val="both"/>
              <w:textAlignment w:val="center"/>
              <w:rPr>
                <w:rFonts w:hint="default" w:ascii="Calibri" w:hAnsi="Calibri" w:eastAsia="楷体_GB2312" w:cs="Calibri"/>
                <w:b/>
                <w:sz w:val="20"/>
                <w:szCs w:val="20"/>
              </w:rPr>
            </w:pPr>
            <w:r>
              <w:rPr>
                <w:rFonts w:hint="default" w:ascii="Calibri" w:hAnsi="Calibri" w:eastAsia="楷体_GB2312" w:cs="Calibri"/>
                <w:b/>
                <w:sz w:val="20"/>
                <w:szCs w:val="20"/>
              </w:rPr>
              <w:t>表：财务汇总</w:t>
            </w:r>
          </w:p>
        </w:tc>
      </w:tr>
      <w:tr w14:paraId="0F3183C9">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70C6A193">
            <w:pPr>
              <w:spacing w:before="48" w:beforeLines="20" w:after="48" w:afterLines="20"/>
              <w:jc w:val="center"/>
              <w:textAlignment w:val="center"/>
              <w:rPr>
                <w:rFonts w:hint="default" w:ascii="Calibri" w:hAnsi="Calibri" w:eastAsia="楷体_GB2312" w:cs="Calibri"/>
                <w:b/>
                <w:bCs/>
                <w:sz w:val="20"/>
                <w:szCs w:val="20"/>
              </w:rPr>
            </w:pPr>
            <w:r>
              <w:rPr>
                <w:rFonts w:hint="default" w:ascii="Calibri" w:hAnsi="Calibri" w:eastAsia="楷体_GB2312" w:cs="Calibri"/>
                <w:snapToGrid/>
              </w:rPr>
              <w:drawing>
                <wp:inline distT="0" distB="0" distL="0" distR="0">
                  <wp:extent cx="4603750" cy="3997325"/>
                  <wp:effectExtent l="0" t="0" r="635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10536" cy="4003605"/>
                          </a:xfrm>
                          <a:prstGeom prst="rect">
                            <a:avLst/>
                          </a:prstGeom>
                          <a:noFill/>
                        </pic:spPr>
                      </pic:pic>
                    </a:graphicData>
                  </a:graphic>
                </wp:inline>
              </w:drawing>
            </w:r>
          </w:p>
        </w:tc>
      </w:tr>
      <w:tr w14:paraId="0C3A8CC7">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79996166">
            <w:pPr>
              <w:spacing w:line="240" w:lineRule="atLeast"/>
              <w:jc w:val="both"/>
              <w:textAlignment w:val="center"/>
              <w:rPr>
                <w:rFonts w:hint="default" w:ascii="Calibri" w:hAnsi="Calibri" w:eastAsia="楷体_GB2312" w:cs="Calibri"/>
                <w:b w:val="0"/>
                <w:bCs w:val="0"/>
                <w:sz w:val="18"/>
                <w:szCs w:val="18"/>
              </w:rPr>
            </w:pPr>
            <w:r>
              <w:rPr>
                <w:rFonts w:hint="default" w:ascii="Calibri" w:hAnsi="Calibri" w:eastAsia="楷体_GB2312" w:cs="Calibri"/>
                <w:b w:val="0"/>
                <w:bCs w:val="0"/>
                <w:sz w:val="18"/>
                <w:szCs w:val="18"/>
              </w:rPr>
              <w:t>资料来源: Wind, HFI</w:t>
            </w:r>
          </w:p>
        </w:tc>
      </w:tr>
    </w:tbl>
    <w:p w14:paraId="3D37788C">
      <w:pPr>
        <w:jc w:val="both"/>
        <w:rPr>
          <w:rFonts w:hint="default" w:ascii="Calibri" w:hAnsi="Calibri" w:eastAsia="楷体_GB2312" w:cs="Calibri"/>
          <w:b/>
          <w:sz w:val="17"/>
        </w:rPr>
      </w:pPr>
    </w:p>
    <w:p w14:paraId="14186CED">
      <w:pPr>
        <w:jc w:val="both"/>
        <w:rPr>
          <w:rFonts w:hint="default" w:ascii="Calibri" w:hAnsi="Calibri" w:eastAsia="楷体_GB2312" w:cs="Calibri"/>
          <w:b/>
          <w:sz w:val="17"/>
        </w:rPr>
      </w:pPr>
    </w:p>
    <w:p w14:paraId="08178051">
      <w:pPr>
        <w:jc w:val="both"/>
        <w:rPr>
          <w:rFonts w:hint="default" w:ascii="Calibri" w:hAnsi="Calibri" w:eastAsia="楷体_GB2312" w:cs="Calibri"/>
          <w:b/>
          <w:sz w:val="17"/>
        </w:rPr>
      </w:pPr>
    </w:p>
    <w:p w14:paraId="2E3219A9">
      <w:pPr>
        <w:pStyle w:val="17"/>
        <w:overflowPunct w:val="0"/>
        <w:ind w:left="3200" w:leftChars="2000"/>
        <w:jc w:val="both"/>
        <w:rPr>
          <w:rFonts w:hint="default" w:ascii="Calibri" w:hAnsi="Calibri" w:eastAsia="楷体_GB2312" w:cs="Calibri"/>
          <w:lang w:eastAsia="zh-CN"/>
        </w:rPr>
      </w:pPr>
    </w:p>
    <w:p w14:paraId="3BD01087">
      <w:pPr>
        <w:rPr>
          <w:rFonts w:hint="default" w:ascii="Calibri" w:hAnsi="Calibri" w:eastAsia="楷体_GB2312" w:cs="Calibri"/>
          <w:sz w:val="20"/>
          <w:lang w:eastAsia="zh-CN"/>
        </w:rPr>
      </w:pPr>
    </w:p>
    <w:p w14:paraId="08B96AA6">
      <w:pPr>
        <w:rPr>
          <w:rFonts w:hint="default" w:ascii="Calibri" w:hAnsi="Calibri" w:eastAsia="楷体_GB2312" w:cs="Calibri"/>
          <w:sz w:val="20"/>
          <w:lang w:eastAsia="zh-CN"/>
        </w:rPr>
      </w:pPr>
    </w:p>
    <w:p w14:paraId="609B92C1">
      <w:pPr>
        <w:rPr>
          <w:rFonts w:hint="default" w:ascii="Calibri" w:hAnsi="Calibri" w:eastAsia="楷体_GB2312" w:cs="Calibri"/>
          <w:sz w:val="20"/>
          <w:lang w:eastAsia="zh-CN"/>
        </w:rPr>
      </w:pPr>
    </w:p>
    <w:p w14:paraId="52DE6F08">
      <w:pPr>
        <w:rPr>
          <w:rFonts w:hint="default" w:ascii="Calibri" w:hAnsi="Calibri" w:eastAsia="楷体_GB2312" w:cs="Calibri"/>
          <w:sz w:val="20"/>
          <w:lang w:eastAsia="zh-CN"/>
        </w:rPr>
      </w:pPr>
    </w:p>
    <w:p w14:paraId="1FBDA763">
      <w:pPr>
        <w:rPr>
          <w:rFonts w:hint="default" w:ascii="Calibri" w:hAnsi="Calibri" w:eastAsia="楷体_GB2312" w:cs="Calibri"/>
          <w:sz w:val="20"/>
          <w:lang w:eastAsia="zh-CN"/>
        </w:rPr>
      </w:pPr>
    </w:p>
    <w:p w14:paraId="164E0634">
      <w:pPr>
        <w:rPr>
          <w:rFonts w:hint="default" w:ascii="Calibri" w:hAnsi="Calibri" w:eastAsia="楷体_GB2312" w:cs="Calibri"/>
          <w:sz w:val="20"/>
          <w:lang w:eastAsia="zh-CN"/>
        </w:rPr>
      </w:pPr>
    </w:p>
    <w:p w14:paraId="179A79AA">
      <w:pPr>
        <w:rPr>
          <w:rFonts w:hint="default" w:ascii="Calibri" w:hAnsi="Calibri" w:eastAsia="楷体_GB2312" w:cs="Calibri"/>
          <w:sz w:val="20"/>
          <w:lang w:eastAsia="zh-CN"/>
        </w:rPr>
      </w:pPr>
    </w:p>
    <w:p w14:paraId="7D122B89">
      <w:pPr>
        <w:rPr>
          <w:rFonts w:hint="default" w:ascii="Calibri" w:hAnsi="Calibri" w:eastAsia="楷体_GB2312" w:cs="Calibri"/>
          <w:sz w:val="20"/>
          <w:lang w:eastAsia="zh-CN"/>
        </w:rPr>
      </w:pPr>
    </w:p>
    <w:p w14:paraId="6E5E1E60">
      <w:pPr>
        <w:rPr>
          <w:rFonts w:hint="default" w:ascii="Calibri" w:hAnsi="Calibri" w:eastAsia="楷体_GB2312" w:cs="Calibri"/>
          <w:sz w:val="20"/>
          <w:lang w:eastAsia="zh-CN"/>
        </w:rPr>
      </w:pPr>
      <w:r>
        <w:rPr>
          <w:rFonts w:hint="default" w:ascii="Calibri" w:hAnsi="Calibri" w:eastAsia="楷体_GB2312" w:cs="Calibri"/>
          <w:sz w:val="20"/>
          <w:lang w:eastAsia="zh-CN"/>
        </w:rPr>
        <w:br w:type="page"/>
      </w:r>
    </w:p>
    <w:p w14:paraId="3BD01088">
      <w:pPr>
        <w:rPr>
          <w:rFonts w:hint="default" w:ascii="Calibri" w:hAnsi="Calibri" w:eastAsia="楷体_GB2312" w:cs="Calibri"/>
          <w:b/>
          <w:sz w:val="20"/>
          <w:szCs w:val="20"/>
        </w:rPr>
      </w:pPr>
      <w:r>
        <w:rPr>
          <w:rFonts w:hint="default" w:ascii="Calibri" w:hAnsi="Calibri" w:eastAsia="楷体_GB2312" w:cs="Calibri"/>
          <w:b/>
          <w:sz w:val="20"/>
          <w:szCs w:val="20"/>
        </w:rPr>
        <w:t>APPENDIX 1</w:t>
      </w:r>
    </w:p>
    <w:p w14:paraId="3BD01089">
      <w:pPr>
        <w:pStyle w:val="5"/>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Summary</w:t>
      </w:r>
    </w:p>
    <w:p w14:paraId="3805EB93">
      <w:pPr>
        <w:pStyle w:val="17"/>
        <w:jc w:val="both"/>
        <w:rPr>
          <w:rFonts w:hint="default" w:ascii="Calibri" w:hAnsi="Calibri" w:eastAsia="楷体_GB2312" w:cs="Calibri"/>
          <w:b/>
          <w:bCs/>
          <w:sz w:val="21"/>
          <w:szCs w:val="18"/>
          <w:lang w:eastAsia="zh-CN"/>
        </w:rPr>
      </w:pPr>
      <w:r>
        <w:rPr>
          <w:rFonts w:hint="default" w:ascii="Calibri" w:hAnsi="Calibri" w:eastAsia="楷体_GB2312" w:cs="Calibri"/>
          <w:b/>
          <w:bCs/>
          <w:sz w:val="21"/>
          <w:szCs w:val="18"/>
          <w:lang w:eastAsia="zh-CN"/>
        </w:rPr>
        <w:t>Cirrus Aircraft Achieved Strong Revenue Growth in 2025</w:t>
      </w:r>
      <w:r>
        <w:rPr>
          <w:rFonts w:hint="default" w:ascii="Calibri" w:hAnsi="Calibri" w:eastAsia="楷体_GB2312" w:cs="Calibri"/>
          <w:b/>
          <w:bCs/>
          <w:sz w:val="21"/>
          <w:szCs w:val="18"/>
          <w:lang w:eastAsia="zh-CN"/>
        </w:rPr>
        <w:t>.</w:t>
      </w:r>
    </w:p>
    <w:p w14:paraId="35E23A49">
      <w:pPr>
        <w:pStyle w:val="17"/>
        <w:jc w:val="both"/>
        <w:rPr>
          <w:rFonts w:hint="default" w:ascii="Calibri" w:hAnsi="Calibri" w:eastAsia="楷体_GB2312" w:cs="Calibri"/>
          <w:b/>
          <w:bCs/>
          <w:sz w:val="21"/>
          <w:szCs w:val="18"/>
          <w:lang w:eastAsia="zh-CN"/>
        </w:rPr>
      </w:pPr>
      <w:r>
        <w:rPr>
          <w:rFonts w:hint="default" w:ascii="Calibri" w:hAnsi="Calibri" w:eastAsia="楷体_GB2312" w:cs="Calibri"/>
          <w:b/>
          <w:bCs/>
          <w:sz w:val="21"/>
          <w:szCs w:val="18"/>
          <w:lang w:eastAsia="zh-CN"/>
        </w:rPr>
        <w:t xml:space="preserve">1) </w:t>
      </w:r>
      <w:r>
        <w:rPr>
          <w:rFonts w:hint="default" w:ascii="Calibri" w:hAnsi="Calibri" w:eastAsia="楷体_GB2312" w:cs="Calibri"/>
          <w:b/>
          <w:bCs/>
          <w:sz w:val="21"/>
          <w:szCs w:val="18"/>
          <w:lang w:eastAsia="zh-CN"/>
        </w:rPr>
        <w:t xml:space="preserve">Revenue Performance: </w:t>
      </w:r>
      <w:r>
        <w:rPr>
          <w:rFonts w:hint="default" w:ascii="Calibri" w:hAnsi="Calibri" w:eastAsia="楷体_GB2312" w:cs="Calibri"/>
          <w:sz w:val="21"/>
          <w:szCs w:val="18"/>
          <w:lang w:eastAsia="zh-CN"/>
        </w:rPr>
        <w:t>For the full year 2025, the company reported total operating revenue of USD 1.354 billion, up 13.1% year-over-year. Revenue in H2 2025 reached USD 760 million, representing approximately 5.3% year-over-year growth. Within this, Cirrus Services and other revenue grew 17.0% year-over-year to USD 203 million for the full year.</w:t>
      </w:r>
    </w:p>
    <w:p w14:paraId="42E2C3DB">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2) </w:t>
      </w:r>
      <w:r>
        <w:rPr>
          <w:rFonts w:hint="default" w:ascii="Calibri" w:hAnsi="Calibri" w:eastAsia="楷体_GB2312" w:cs="Calibri"/>
          <w:b/>
          <w:bCs/>
          <w:sz w:val="21"/>
          <w:szCs w:val="18"/>
          <w:lang w:eastAsia="zh-CN"/>
        </w:rPr>
        <w:t xml:space="preserve">Expense Ratio Performance: </w:t>
      </w:r>
      <w:r>
        <w:rPr>
          <w:rFonts w:hint="default" w:ascii="Calibri" w:hAnsi="Calibri" w:eastAsia="楷体_GB2312" w:cs="Calibri"/>
          <w:sz w:val="21"/>
          <w:szCs w:val="18"/>
          <w:lang w:eastAsia="zh-CN"/>
        </w:rPr>
        <w:t>The 2025 selling expense ratio increased by 0.32 percentage points to 10.64%, with the H2 2025 ratio rising 1.37 percentage points to 10.59%, mainly due to global promotion of the G7+, higher advertising investment, and increased deliveries. The 2025 administrative expense ratio rose by 0.24 percentage points to 12.04%, with H2 2025 increasing 1.03 percentage points to 12.25%. The elevated expenses were primarily related to new model certification, R&amp;D iterations, and administrative expansion.</w:t>
      </w:r>
    </w:p>
    <w:p w14:paraId="10809163">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3) </w:t>
      </w:r>
      <w:r>
        <w:rPr>
          <w:rFonts w:hint="default" w:ascii="Calibri" w:hAnsi="Calibri" w:eastAsia="楷体_GB2312" w:cs="Calibri"/>
          <w:b/>
          <w:bCs/>
          <w:sz w:val="21"/>
          <w:szCs w:val="18"/>
          <w:lang w:eastAsia="zh-CN"/>
        </w:rPr>
        <w:t xml:space="preserve">Profitability: </w:t>
      </w:r>
      <w:r>
        <w:rPr>
          <w:rFonts w:hint="default" w:ascii="Calibri" w:hAnsi="Calibri" w:eastAsia="楷体_GB2312" w:cs="Calibri"/>
          <w:sz w:val="21"/>
          <w:szCs w:val="18"/>
          <w:lang w:eastAsia="zh-CN"/>
        </w:rPr>
        <w:t>The full-year gross margin reached 35.2%, up approximately 2.0 percentage points year-over-year, while the H2 2025 gross margin was 34.4%, an increase of about 1.2 percentage points. Full-year adjusted net profit amounted to USD 142 million, growing 18.3% year-over-year. H2 2025 adjusted net profit was USD 77 million, up 3.8%. The full-year adjusted net profit margin was 10.48%, an improvement of 0.42 percentage points. The H2 2025 adjusted net profit margin stood at 10.13%, up 0.29 percentage points year-over-year.</w:t>
      </w:r>
    </w:p>
    <w:p w14:paraId="2F563ADD">
      <w:pPr>
        <w:pStyle w:val="17"/>
        <w:jc w:val="both"/>
        <w:rPr>
          <w:rFonts w:hint="default" w:ascii="Calibri" w:hAnsi="Calibri" w:eastAsia="楷体_GB2312" w:cs="Calibri"/>
          <w:sz w:val="21"/>
          <w:szCs w:val="18"/>
          <w:lang w:eastAsia="zh-CN"/>
        </w:rPr>
      </w:pPr>
    </w:p>
    <w:p w14:paraId="1A1CF718">
      <w:pPr>
        <w:pStyle w:val="17"/>
        <w:jc w:val="both"/>
        <w:rPr>
          <w:rFonts w:hint="default" w:ascii="Calibri" w:hAnsi="Calibri" w:eastAsia="楷体_GB2312" w:cs="Calibri"/>
          <w:b/>
          <w:bCs/>
          <w:sz w:val="21"/>
          <w:szCs w:val="18"/>
          <w:lang w:eastAsia="zh-CN"/>
        </w:rPr>
      </w:pPr>
      <w:r>
        <w:rPr>
          <w:rFonts w:hint="default" w:ascii="Calibri" w:hAnsi="Calibri" w:eastAsia="楷体_GB2312" w:cs="Calibri"/>
          <w:b/>
          <w:bCs/>
          <w:sz w:val="21"/>
          <w:szCs w:val="18"/>
          <w:lang w:eastAsia="zh-CN"/>
        </w:rPr>
        <w:t>Cirrus Aircraft Saw Higher Delivery Volume and Continued Rise in Average Selling Prices in 2025.</w:t>
      </w:r>
    </w:p>
    <w:p w14:paraId="0B1E0FC6">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1) </w:t>
      </w:r>
      <w:r>
        <w:rPr>
          <w:rFonts w:hint="default" w:ascii="Calibri" w:hAnsi="Calibri" w:eastAsia="楷体_GB2312" w:cs="Calibri"/>
          <w:b/>
          <w:bCs/>
          <w:sz w:val="21"/>
          <w:szCs w:val="18"/>
          <w:lang w:eastAsia="zh-CN"/>
        </w:rPr>
        <w:t xml:space="preserve">In terms of deliveries, </w:t>
      </w:r>
      <w:r>
        <w:rPr>
          <w:rFonts w:hint="default" w:ascii="Calibri" w:hAnsi="Calibri" w:eastAsia="楷体_GB2312" w:cs="Calibri"/>
          <w:sz w:val="21"/>
          <w:szCs w:val="18"/>
          <w:lang w:eastAsia="zh-CN"/>
        </w:rPr>
        <w:t>the company delivered a total of 797 aircraft in 2025, representing a 9% year-over-year increase (447 units delivered in H2). This included 691 units from the SR Series and 106 Vision Jets.</w:t>
      </w:r>
    </w:p>
    <w:p w14:paraId="1B4FDABA">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2) </w:t>
      </w:r>
      <w:r>
        <w:rPr>
          <w:rFonts w:hint="default" w:ascii="Calibri" w:hAnsi="Calibri" w:eastAsia="楷体_GB2312" w:cs="Calibri"/>
          <w:b/>
          <w:bCs/>
          <w:sz w:val="21"/>
          <w:szCs w:val="18"/>
          <w:lang w:eastAsia="zh-CN"/>
        </w:rPr>
        <w:t xml:space="preserve">Average Selling Prices: </w:t>
      </w:r>
      <w:r>
        <w:rPr>
          <w:rFonts w:hint="default" w:ascii="Calibri" w:hAnsi="Calibri" w:eastAsia="楷体_GB2312" w:cs="Calibri"/>
          <w:sz w:val="21"/>
          <w:szCs w:val="18"/>
          <w:lang w:eastAsia="zh-CN"/>
        </w:rPr>
        <w:t>The full-year average price for SR2X deliveries was approximately USD 1.16 million, an increase of about 5.5% year-over-year (2024 full-year average: USD 1.10 million). The average price for Vision Jets was approximately USD 3.52 million, up about 3.5% (2024 full-year average: USD 3.40 million).</w:t>
      </w:r>
    </w:p>
    <w:p w14:paraId="6186C319">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3) </w:t>
      </w:r>
      <w:r>
        <w:rPr>
          <w:rFonts w:hint="default" w:ascii="Calibri" w:hAnsi="Calibri" w:eastAsia="楷体_GB2312" w:cs="Calibri"/>
          <w:b/>
          <w:bCs/>
          <w:sz w:val="21"/>
          <w:szCs w:val="18"/>
          <w:lang w:eastAsia="zh-CN"/>
        </w:rPr>
        <w:t xml:space="preserve">Production and Order Backlog: </w:t>
      </w:r>
      <w:r>
        <w:rPr>
          <w:rFonts w:hint="default" w:ascii="Calibri" w:hAnsi="Calibri" w:eastAsia="楷体_GB2312" w:cs="Calibri"/>
          <w:sz w:val="21"/>
          <w:szCs w:val="18"/>
          <w:lang w:eastAsia="zh-CN"/>
        </w:rPr>
        <w:t>By enhancing production line consistency and predictability, the company significantly reduced delivery volatility caused by seasonality in previous years. In 2025, the company produced 809 aircraft (690 SR2X series and 119 Vision Jets) and delivered 797 units, both higher than 2024’s full-year production of 731 aircraft (617 SR2X series and 114 Vision Jets) and deliveries of 731 units. As of December 31, 2025, the company had a backlog of 1,066 aircraft orders, including approximately 221 Vision Jet orders. Net orders for the full year totaled 728 units, an increase of 95 units compared to 2024, primarily driven by strong sales of the G7+ series.</w:t>
      </w:r>
    </w:p>
    <w:p w14:paraId="09F77266">
      <w:pPr>
        <w:pStyle w:val="17"/>
        <w:jc w:val="both"/>
        <w:rPr>
          <w:rFonts w:hint="default" w:ascii="Calibri" w:hAnsi="Calibri" w:eastAsia="楷体_GB2312" w:cs="Calibri"/>
          <w:sz w:val="21"/>
          <w:szCs w:val="18"/>
          <w:lang w:eastAsia="zh-CN"/>
        </w:rPr>
      </w:pPr>
    </w:p>
    <w:p w14:paraId="74EC5E23">
      <w:pPr>
        <w:pStyle w:val="17"/>
        <w:jc w:val="both"/>
        <w:rPr>
          <w:rFonts w:hint="default" w:ascii="Calibri" w:hAnsi="Calibri" w:eastAsia="楷体_GB2312" w:cs="Calibri"/>
          <w:b/>
          <w:bCs/>
          <w:sz w:val="21"/>
          <w:szCs w:val="18"/>
          <w:lang w:eastAsia="zh-CN"/>
        </w:rPr>
      </w:pPr>
      <w:r>
        <w:rPr>
          <w:rFonts w:hint="default" w:ascii="Calibri" w:hAnsi="Calibri" w:eastAsia="楷体_GB2312" w:cs="Calibri"/>
          <w:b/>
          <w:bCs/>
          <w:sz w:val="21"/>
          <w:szCs w:val="18"/>
          <w:lang w:eastAsia="zh-CN"/>
        </w:rPr>
        <w:t>2026 Outlook: Two Major New Products Expected to Catalyze Demand and Drive Revenue Growth.</w:t>
      </w:r>
    </w:p>
    <w:p w14:paraId="2AE44F90">
      <w:pPr>
        <w:pStyle w:val="17"/>
        <w:jc w:val="both"/>
        <w:rPr>
          <w:rFonts w:hint="default" w:ascii="Calibri" w:hAnsi="Calibri" w:eastAsia="楷体_GB2312" w:cs="Calibri"/>
          <w:sz w:val="21"/>
          <w:szCs w:val="18"/>
          <w:lang w:eastAsia="zh-CN"/>
        </w:rPr>
      </w:pPr>
      <w:r>
        <w:rPr>
          <w:rFonts w:hint="default" w:ascii="Calibri" w:hAnsi="Calibri" w:eastAsia="楷体_GB2312" w:cs="Calibri"/>
          <w:sz w:val="21"/>
          <w:szCs w:val="18"/>
          <w:lang w:eastAsia="zh-CN"/>
        </w:rPr>
        <w:t>The company’s two flagship new products — the SR Series G7+ and Vision Jet G3 — are expected to significantly boost demand. The G7+ offers comprehensive upgrades in connectivity, avionics, and hardware, while the G3 brings CPDLC electronic communication, automatic database updates, expanded rear-cabin space, and performance enhancements. These upgrades should further support average selling price (ASP) growth and higher penetration of premium configurations. In addition, the company’s highly sticky service ecosystem will continue to contribute stable profits. Combined with long-term agreements locking in core component costs, delivery volume, gross margin, and net profit in 2026 are all expected to perform strongly.</w:t>
      </w:r>
      <w:r>
        <w:rPr>
          <w:rFonts w:hint="default" w:ascii="Calibri" w:hAnsi="Calibri" w:eastAsia="楷体_GB2312" w:cs="Calibri"/>
          <w:sz w:val="21"/>
          <w:szCs w:val="18"/>
          <w:lang w:eastAsia="zh-CN"/>
        </w:rPr>
        <w:br w:type="textWrapping"/>
      </w:r>
    </w:p>
    <w:p w14:paraId="13CD220E">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Valuation and Investment Recommendation:</w:t>
      </w:r>
      <w:r>
        <w:rPr>
          <w:rFonts w:hint="default" w:ascii="Calibri" w:hAnsi="Calibri" w:eastAsia="楷体_GB2312" w:cs="Calibri"/>
          <w:sz w:val="21"/>
          <w:szCs w:val="18"/>
          <w:lang w:eastAsia="zh-CN"/>
        </w:rPr>
        <w:t xml:space="preserve"> We forecast Cirrus Aircraft’s revenue for 2026–2028 to reach USD 1.522 / 1.677 / 1.844 billion respectively, with net profits of USD 156 / 179 / 199 million. Based on the Discounted Cash Flow (DCF) valuation model, we assign a “NEUTRAL</w:t>
      </w:r>
      <w:r>
        <w:rPr>
          <w:rFonts w:hint="default" w:ascii="Calibri" w:hAnsi="Calibri" w:eastAsia="楷体_GB2312" w:cs="Calibri"/>
          <w:sz w:val="21"/>
          <w:szCs w:val="18"/>
          <w:lang w:eastAsia="zh-CN"/>
        </w:rPr>
        <w:t>” rating with a target price of USD 6.7 (equivalent to HKD 52.45).</w:t>
      </w:r>
      <w:r>
        <w:rPr>
          <w:rFonts w:hint="default" w:ascii="Calibri" w:hAnsi="Calibri" w:eastAsia="楷体_GB2312" w:cs="Calibri"/>
          <w:sz w:val="21"/>
          <w:szCs w:val="18"/>
          <w:lang w:eastAsia="zh-CN"/>
        </w:rPr>
        <w:br w:type="textWrapping"/>
      </w:r>
    </w:p>
    <w:p w14:paraId="3BD0108B">
      <w:pPr>
        <w:pStyle w:val="17"/>
        <w:jc w:val="both"/>
        <w:rPr>
          <w:rFonts w:hint="default" w:ascii="Calibri" w:hAnsi="Calibri" w:eastAsia="楷体_GB2312" w:cs="Calibri"/>
          <w:sz w:val="21"/>
          <w:szCs w:val="18"/>
          <w:lang w:eastAsia="zh-CN"/>
        </w:rPr>
      </w:pPr>
      <w:r>
        <w:rPr>
          <w:rFonts w:hint="default" w:ascii="Calibri" w:hAnsi="Calibri" w:eastAsia="楷体_GB2312" w:cs="Calibri"/>
          <w:b/>
          <w:bCs/>
          <w:sz w:val="21"/>
          <w:szCs w:val="18"/>
          <w:lang w:eastAsia="zh-CN"/>
        </w:rPr>
        <w:t xml:space="preserve">Risk Factors: </w:t>
      </w:r>
      <w:r>
        <w:rPr>
          <w:rFonts w:hint="default" w:ascii="Calibri" w:hAnsi="Calibri" w:eastAsia="楷体_GB2312" w:cs="Calibri"/>
          <w:sz w:val="21"/>
          <w:szCs w:val="18"/>
          <w:lang w:eastAsia="zh-CN"/>
        </w:rPr>
        <w:t>Raw material price fluctuations; supply chain disruptions; intensified market competition; changes in customer demand; policy changes.</w:t>
      </w:r>
    </w:p>
    <w:p w14:paraId="3BD0108C">
      <w:pPr>
        <w:pStyle w:val="17"/>
        <w:jc w:val="both"/>
        <w:rPr>
          <w:rFonts w:hint="default" w:ascii="Calibri" w:hAnsi="Calibri" w:eastAsia="楷体_GB2312" w:cs="Calibri"/>
          <w:lang w:eastAsia="zh-CN"/>
        </w:rPr>
      </w:pPr>
    </w:p>
    <w:p w14:paraId="3BD0108D">
      <w:pPr>
        <w:pStyle w:val="17"/>
        <w:jc w:val="both"/>
        <w:rPr>
          <w:rFonts w:hint="default" w:ascii="Calibri" w:hAnsi="Calibri" w:eastAsia="楷体_GB2312" w:cs="Calibri"/>
          <w:lang w:eastAsia="zh-CN"/>
        </w:rPr>
      </w:pPr>
    </w:p>
    <w:p w14:paraId="3BD0108E">
      <w:pPr>
        <w:pStyle w:val="17"/>
        <w:rPr>
          <w:rFonts w:hint="default" w:ascii="Calibri" w:hAnsi="Calibri" w:eastAsia="楷体_GB2312" w:cs="Calibri"/>
          <w:sz w:val="4"/>
          <w:szCs w:val="4"/>
          <w:lang w:eastAsia="zh-CN"/>
        </w:rPr>
      </w:pPr>
    </w:p>
    <w:p w14:paraId="3BD0108F">
      <w:pPr>
        <w:pStyle w:val="5"/>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10" w:type="first"/>
          <w:footerReference r:id="rId12" w:type="first"/>
          <w:headerReference r:id="rId9" w:type="default"/>
          <w:footerReference r:id="rId11" w:type="default"/>
          <w:pgSz w:w="11909" w:h="16834"/>
          <w:pgMar w:top="1610" w:right="851" w:bottom="1707" w:left="567" w:header="720" w:footer="1520" w:gutter="0"/>
          <w:cols w:space="720" w:num="1"/>
          <w:docGrid w:linePitch="360" w:charSpace="0"/>
        </w:sectPr>
      </w:pPr>
      <w:bookmarkStart w:id="0" w:name="_GoBack"/>
      <w:bookmarkEnd w:id="0"/>
    </w:p>
    <w:tbl>
      <w:tblPr>
        <w:tblStyle w:val="11"/>
        <w:tblW w:w="11199" w:type="dxa"/>
        <w:tblCaption w:val=" [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gridCol w:w="11"/>
      </w:tblGrid>
      <w:tr w14:paraId="3BD010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gridSpan w:val="2"/>
          </w:tcPr>
          <w:p w14:paraId="3BD0109D">
            <w:pPr>
              <w:rPr>
                <w:rFonts w:hint="default" w:ascii="Calibri" w:hAnsi="Calibri" w:eastAsia="楷体_GB2312" w:cs="Calibri"/>
                <w:lang w:eastAsia="zh-CN"/>
              </w:rPr>
            </w:pPr>
            <w:r>
              <w:rPr>
                <w:rFonts w:hint="default" w:ascii="Calibri" w:hAnsi="Calibri" w:eastAsia="楷体_GB2312" w:cs="Calibri"/>
                <w:color w:val="FFFFFF" w:themeColor="background1"/>
                <w:lang w:eastAsia="zh-CN"/>
                <w14:textFill>
                  <w14:solidFill>
                    <w14:schemeClr w14:val="bg1"/>
                  </w14:solidFill>
                </w14:textFill>
              </w:rPr>
              <w:t>[Table_APPENDIX]</w:t>
            </w:r>
          </w:p>
        </w:tc>
      </w:tr>
      <w:tr w14:paraId="3BD010E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1"/>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3BD010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3BD0109F">
                  <w:pPr>
                    <w:pStyle w:val="23"/>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3BD010A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BD010A1">
                  <w:pPr>
                    <w:pStyle w:val="23"/>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rPr>
                    <w:t>附录APPENDIX</w:t>
                  </w:r>
                </w:p>
                <w:p w14:paraId="3BD010A2">
                  <w:pPr>
                    <w:pStyle w:val="23"/>
                    <w:rPr>
                      <w:rFonts w:hint="default" w:ascii="Calibri" w:hAnsi="Calibri" w:eastAsia="楷体_GB2312" w:cs="Calibri"/>
                      <w:b/>
                      <w:w w:val="70"/>
                      <w:sz w:val="20"/>
                      <w:szCs w:val="20"/>
                    </w:rPr>
                  </w:pPr>
                  <w:r>
                    <w:rPr>
                      <w:rFonts w:hint="default" w:ascii="Calibri" w:hAnsi="Calibri" w:eastAsia="楷体_GB2312" w:cs="Calibri"/>
                      <w:b/>
                      <w:w w:val="70"/>
                      <w:sz w:val="20"/>
                      <w:szCs w:val="20"/>
                    </w:rPr>
                    <w:t>重要信息披露</w:t>
                  </w:r>
                </w:p>
                <w:p w14:paraId="3BD010A3">
                  <w:pPr>
                    <w:pStyle w:val="23"/>
                    <w:rPr>
                      <w:rFonts w:hint="default" w:ascii="Calibri" w:hAnsi="Calibri" w:eastAsia="楷体_GB2312" w:cs="Calibri"/>
                      <w:w w:val="70"/>
                      <w:sz w:val="20"/>
                      <w:szCs w:val="20"/>
                      <w:lang w:eastAsia="zh-CN"/>
                    </w:rPr>
                  </w:pPr>
                  <w:r>
                    <w:rPr>
                      <w:rFonts w:hint="default" w:ascii="Calibri" w:hAnsi="Calibri" w:eastAsia="楷体_GB2312" w:cs="Calibri"/>
                      <w:w w:val="70"/>
                      <w:sz w:val="20"/>
                      <w:szCs w:val="20"/>
                    </w:rPr>
                    <w:t>本研究报告由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（香港）金融控股有限公司（下称华福国际）</w:t>
                  </w:r>
                  <w:r>
                    <w:rPr>
                      <w:rFonts w:hint="default" w:ascii="Calibri" w:hAnsi="Calibri" w:eastAsia="楷体_GB2312" w:cs="Calibri"/>
                      <w:w w:val="70"/>
                      <w:sz w:val="20"/>
                      <w:szCs w:val="20"/>
                    </w:rPr>
                    <w:t>分销</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rPr>
                    <w:t>在其许可的司法管辖区内从事证券活动。</w:t>
                  </w:r>
                </w:p>
                <w:p w14:paraId="3BD010A4">
                  <w:pPr>
                    <w:pStyle w:val="23"/>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3BD010A5">
                  <w:pPr>
                    <w:pStyle w:val="23"/>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BD010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3BD010A7">
                  <w:pPr>
                    <w:pStyle w:val="23"/>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3BD010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3BD010A9">
                  <w:pPr>
                    <w:jc w:val="both"/>
                    <w:rPr>
                      <w:rFonts w:hint="default" w:ascii="Calibri" w:hAnsi="Calibri" w:eastAsia="楷体_GB2312" w:cs="Calibri"/>
                      <w:w w:val="70"/>
                      <w:sz w:val="20"/>
                      <w:szCs w:val="20"/>
                      <w:lang w:eastAsia="zh-CN"/>
                    </w:rPr>
                  </w:pPr>
                  <w:r>
                    <w:rPr>
                      <w:rFonts w:hint="default" w:ascii="Calibri" w:hAnsi="Calibri" w:eastAsia="楷体_GB2312" w:cs="Calibri"/>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BD010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3BD010AB">
                  <w:pPr>
                    <w:pStyle w:val="23"/>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3BD010A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3BD010AD">
                  <w:pPr>
                    <w:pStyle w:val="23"/>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国际及其某些关联公司可从事投资银行业务和/或对本研究中的特定股票或公司进行做市或持有自营头寸。就本研究报告而言，如需了解</w:t>
                  </w:r>
                  <w:r>
                    <w:rPr>
                      <w:rFonts w:hint="default" w:ascii="Calibri" w:hAnsi="Calibri" w:eastAsia="楷体_GB2312" w:cs="Calibri"/>
                      <w:w w:val="70"/>
                      <w:sz w:val="20"/>
                      <w:szCs w:val="20"/>
                    </w:rPr>
                    <w:t>其中提到的某一公司</w:t>
                  </w:r>
                  <w:r>
                    <w:rPr>
                      <w:rFonts w:hint="default" w:ascii="Calibri" w:hAnsi="Calibri" w:eastAsia="楷体_GB2312" w:cs="Calibri"/>
                      <w:w w:val="70"/>
                      <w:sz w:val="20"/>
                      <w:szCs w:val="20"/>
                    </w:rPr>
                    <w:t>信息，</w:t>
                  </w:r>
                  <w:r>
                    <w:rPr>
                      <w:rFonts w:hint="default" w:ascii="Calibri" w:hAnsi="Calibri" w:eastAsia="楷体_GB2312" w:cs="Calibri"/>
                    </w:rPr>
                    <w:fldChar w:fldCharType="begin"/>
                  </w:r>
                  <w:r>
                    <w:rPr>
                      <w:rFonts w:hint="default" w:ascii="Calibri" w:hAnsi="Calibri" w:eastAsia="楷体_GB2312" w:cs="Calibri"/>
                    </w:rPr>
                    <w:instrText xml:space="preserve"> HYPERLINK "mailto:请发邮件至lcd@hfisec.com.hk" </w:instrText>
                  </w:r>
                  <w:r>
                    <w:rPr>
                      <w:rFonts w:hint="default" w:ascii="Calibri" w:hAnsi="Calibri" w:eastAsia="楷体_GB2312" w:cs="Calibri"/>
                    </w:rPr>
                    <w:fldChar w:fldCharType="separate"/>
                  </w:r>
                  <w:r>
                    <w:rPr>
                      <w:rStyle w:val="13"/>
                      <w:rFonts w:hint="default" w:ascii="Calibri" w:hAnsi="Calibri" w:eastAsia="楷体_GB2312" w:cs="Calibri"/>
                      <w:w w:val="70"/>
                      <w:sz w:val="20"/>
                      <w:szCs w:val="20"/>
                    </w:rPr>
                    <w:t>请发邮件至lcd@hfisec.com.hk</w:t>
                  </w:r>
                  <w:r>
                    <w:rPr>
                      <w:rStyle w:val="13"/>
                      <w:rFonts w:hint="default" w:ascii="Calibri" w:hAnsi="Calibri" w:eastAsia="楷体_GB2312" w:cs="Calibri"/>
                      <w:w w:val="70"/>
                      <w:sz w:val="20"/>
                      <w:szCs w:val="20"/>
                    </w:rPr>
                    <w:fldChar w:fldCharType="end"/>
                  </w:r>
                  <w:r>
                    <w:rPr>
                      <w:rFonts w:hint="default" w:ascii="Calibri" w:hAnsi="Calibri" w:eastAsia="楷体_GB2312" w:cs="Calibri"/>
                      <w:w w:val="70"/>
                      <w:sz w:val="20"/>
                      <w:szCs w:val="20"/>
                    </w:rPr>
                    <w:t>）</w:t>
                  </w:r>
                </w:p>
                <w:p w14:paraId="3BD010AE">
                  <w:pPr>
                    <w:pStyle w:val="23"/>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3BD010B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B0">
                  <w:pPr>
                    <w:pStyle w:val="23"/>
                    <w:rPr>
                      <w:rFonts w:hint="default" w:ascii="Calibri" w:hAnsi="Calibri" w:eastAsia="楷体_GB2312" w:cs="Calibri"/>
                      <w:w w:val="70"/>
                      <w:sz w:val="20"/>
                      <w:szCs w:val="20"/>
                    </w:rPr>
                  </w:pPr>
                </w:p>
              </w:tc>
            </w:tr>
            <w:tr w14:paraId="3BD010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3BD010B2">
                  <w:pPr>
                    <w:pStyle w:val="23"/>
                    <w:rPr>
                      <w:rFonts w:hint="default" w:ascii="Calibri" w:hAnsi="Calibri" w:eastAsia="楷体_GB2312" w:cs="Calibri"/>
                      <w:b/>
                      <w:w w:val="70"/>
                      <w:sz w:val="20"/>
                      <w:szCs w:val="20"/>
                    </w:rPr>
                  </w:pPr>
                  <w:r>
                    <w:rPr>
                      <w:rFonts w:hint="default" w:ascii="Calibri" w:hAnsi="Calibri" w:eastAsia="楷体_GB2312" w:cs="Calibri"/>
                      <w:b/>
                      <w:w w:val="70"/>
                      <w:sz w:val="20"/>
                      <w:szCs w:val="20"/>
                    </w:rPr>
                    <w:t>评级定义</w:t>
                  </w:r>
                  <w:r>
                    <w:rPr>
                      <w:rFonts w:hint="default" w:ascii="Calibri" w:hAnsi="Calibri" w:eastAsia="楷体_GB2312" w:cs="Calibri"/>
                      <w:b/>
                      <w:w w:val="70"/>
                      <w:sz w:val="20"/>
                      <w:szCs w:val="20"/>
                      <w:lang w:eastAsia="zh-CN"/>
                    </w:rPr>
                    <w:t>（从2020年7月1日开始执行）</w:t>
                  </w:r>
                  <w:r>
                    <w:rPr>
                      <w:rFonts w:hint="default" w:ascii="Calibri" w:hAnsi="Calibri" w:eastAsia="楷体_GB2312" w:cs="Calibri"/>
                      <w:b/>
                      <w:w w:val="70"/>
                      <w:sz w:val="20"/>
                      <w:szCs w:val="20"/>
                    </w:rPr>
                    <w:t>：</w:t>
                  </w:r>
                </w:p>
                <w:p w14:paraId="3BD010B3">
                  <w:pPr>
                    <w:pStyle w:val="23"/>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国际采用相对评级系统</w:t>
                  </w:r>
                  <w:r>
                    <w:rPr>
                      <w:rFonts w:hint="default" w:ascii="Calibri" w:hAnsi="Calibri" w:eastAsia="楷体_GB2312" w:cs="Calibri"/>
                      <w:w w:val="70"/>
                      <w:sz w:val="20"/>
                      <w:szCs w:val="20"/>
                      <w:lang w:eastAsia="zh-CN"/>
                    </w:rPr>
                    <w:t>来为投资者推荐我们覆盖的公司</w:t>
                  </w:r>
                  <w:r>
                    <w:rPr>
                      <w:rFonts w:hint="default" w:ascii="Calibri" w:hAnsi="Calibri" w:eastAsia="楷体_GB2312" w:cs="Calibri"/>
                      <w:w w:val="70"/>
                      <w:sz w:val="20"/>
                      <w:szCs w:val="20"/>
                    </w:rPr>
                    <w:t>：</w:t>
                  </w:r>
                  <w:r>
                    <w:rPr>
                      <w:rFonts w:hint="default" w:ascii="Calibri" w:hAnsi="Calibri" w:eastAsia="楷体_GB2312" w:cs="Calibri"/>
                      <w:w w:val="70"/>
                      <w:sz w:val="20"/>
                      <w:szCs w:val="20"/>
                      <w:lang w:eastAsia="zh-CN"/>
                    </w:rPr>
                    <w:t>优于大市</w:t>
                  </w:r>
                  <w:r>
                    <w:rPr>
                      <w:rFonts w:hint="default" w:ascii="Calibri" w:hAnsi="Calibri" w:eastAsia="楷体_GB2312" w:cs="Calibri"/>
                      <w:w w:val="70"/>
                      <w:sz w:val="20"/>
                      <w:szCs w:val="20"/>
                    </w:rPr>
                    <w:t>、中性</w:t>
                  </w:r>
                  <w:r>
                    <w:rPr>
                      <w:rFonts w:hint="default" w:ascii="Calibri" w:hAnsi="Calibri" w:eastAsia="楷体_GB2312" w:cs="Calibri"/>
                      <w:w w:val="70"/>
                      <w:sz w:val="20"/>
                      <w:szCs w:val="20"/>
                      <w:lang w:eastAsia="zh-CN"/>
                    </w:rPr>
                    <w:t>或弱于大市</w:t>
                  </w:r>
                  <w:r>
                    <w:rPr>
                      <w:rFonts w:hint="default" w:ascii="Calibri" w:hAnsi="Calibri" w:eastAsia="楷体_GB2312" w:cs="Calibri"/>
                      <w:w w:val="70"/>
                      <w:sz w:val="20"/>
                      <w:szCs w:val="20"/>
                    </w:rPr>
                    <w:t>。</w:t>
                  </w:r>
                  <w:r>
                    <w:rPr>
                      <w:rFonts w:hint="default" w:ascii="Calibri" w:hAnsi="Calibri" w:eastAsia="楷体_GB2312" w:cs="Calibri"/>
                      <w:w w:val="70"/>
                      <w:sz w:val="20"/>
                      <w:szCs w:val="20"/>
                      <w:lang w:eastAsia="zh-CN"/>
                    </w:rPr>
                    <w:t>投资者应仔细阅读</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的评级定义。并且</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BD010B4">
                  <w:pPr>
                    <w:pStyle w:val="23"/>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3BD010B5">
                  <w:pPr>
                    <w:pStyle w:val="23"/>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rPr>
                    <w:t>优于大市</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预期相对基准指数涨幅在10%以上，基准定义如下</w:t>
                  </w:r>
                </w:p>
                <w:p w14:paraId="3BD010B6">
                  <w:pPr>
                    <w:pStyle w:val="23"/>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rPr>
                    <w:t>中性</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预期相对基准指数变化不大，基准定义如下</w:t>
                  </w:r>
                </w:p>
                <w:p w14:paraId="3BD010B7">
                  <w:pPr>
                    <w:pStyle w:val="23"/>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rPr>
                    <w:t>，未来</w:t>
                  </w:r>
                  <w:r>
                    <w:rPr>
                      <w:rFonts w:hint="default" w:ascii="Calibri" w:hAnsi="Calibri" w:eastAsia="楷体_GB2312" w:cs="Calibri"/>
                      <w:w w:val="70"/>
                      <w:sz w:val="20"/>
                      <w:szCs w:val="20"/>
                      <w:lang w:eastAsia="zh-CN"/>
                    </w:rPr>
                    <w:t>12-18</w:t>
                  </w:r>
                  <w:r>
                    <w:rPr>
                      <w:rFonts w:hint="default" w:ascii="Calibri" w:hAnsi="Calibri" w:eastAsia="楷体_GB2312" w:cs="Calibri"/>
                      <w:w w:val="70"/>
                      <w:sz w:val="20"/>
                      <w:szCs w:val="20"/>
                    </w:rPr>
                    <w:t>个月内</w:t>
                  </w:r>
                  <w:r>
                    <w:rPr>
                      <w:rFonts w:hint="default" w:ascii="Calibri" w:hAnsi="Calibri" w:eastAsia="楷体_GB2312" w:cs="Calibri"/>
                      <w:w w:val="70"/>
                      <w:sz w:val="20"/>
                      <w:szCs w:val="20"/>
                      <w:lang w:eastAsia="zh-CN"/>
                    </w:rPr>
                    <w:t>预期相对基准指数跌幅在10%以上，基准定义如下</w:t>
                  </w:r>
                </w:p>
                <w:p w14:paraId="3BD010B8">
                  <w:pPr>
                    <w:pStyle w:val="23"/>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各地股票基准指数：日本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TOPIX, 韩国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KOSPI, 台湾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TAIEX, 印度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Nifty100, 美国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SP500; 其他所有中国概念股 </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lang w:eastAsia="zh-CN"/>
                    </w:rPr>
                    <w:t xml:space="preserve"> MSCI China.</w:t>
                  </w:r>
                </w:p>
                <w:p w14:paraId="3BD010B9">
                  <w:pPr>
                    <w:pStyle w:val="23"/>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3BD010BA">
                  <w:pPr>
                    <w:pStyle w:val="23"/>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BD010BB">
                  <w:pPr>
                    <w:pStyle w:val="23"/>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3BD010BC">
                  <w:pPr>
                    <w:pStyle w:val="23"/>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3BD010BD">
                  <w:pPr>
                    <w:pStyle w:val="23"/>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3BD010BE">
                  <w:pPr>
                    <w:pStyle w:val="23"/>
                    <w:rPr>
                      <w:rFonts w:hint="default" w:ascii="Calibri" w:hAnsi="Calibri" w:eastAsia="楷体_GB2312" w:cs="Calibri"/>
                      <w:b/>
                      <w:w w:val="79"/>
                      <w:sz w:val="20"/>
                      <w:szCs w:val="20"/>
                    </w:rPr>
                  </w:pPr>
                  <w:r>
                    <w:rPr>
                      <w:rFonts w:hint="default" w:ascii="Calibri" w:hAnsi="Calibri" w:eastAsia="楷体_GB2312" w:cs="Calibri"/>
                      <w:b/>
                      <w:w w:val="79"/>
                      <w:sz w:val="20"/>
                      <w:szCs w:val="20"/>
                    </w:rPr>
                    <w:t xml:space="preserve">Benchmarks for each stock’s listed region are as follows: Japan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TOPIX, Korea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KOSPI, Taiwan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TAIEX, India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Nifty100, US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SP500; for all other China-concept stocks </w:t>
                  </w:r>
                  <w:r>
                    <w:rPr>
                      <w:rFonts w:hint="default" w:ascii="Calibri" w:hAnsi="Calibri" w:eastAsia="楷体_GB2312" w:cs="Calibri"/>
                      <w:b/>
                      <w:w w:val="79"/>
                      <w:sz w:val="20"/>
                      <w:szCs w:val="20"/>
                    </w:rPr>
                    <w:t>–</w:t>
                  </w:r>
                  <w:r>
                    <w:rPr>
                      <w:rFonts w:hint="default" w:ascii="Calibri" w:hAnsi="Calibri" w:eastAsia="楷体_GB2312" w:cs="Calibri"/>
                      <w:b/>
                      <w:w w:val="79"/>
                      <w:sz w:val="20"/>
                      <w:szCs w:val="20"/>
                    </w:rPr>
                    <w:t xml:space="preserve"> MSCI China.</w:t>
                  </w:r>
                </w:p>
                <w:p w14:paraId="3BD010BF">
                  <w:pPr>
                    <w:pStyle w:val="23"/>
                    <w:rPr>
                      <w:rFonts w:hint="default" w:ascii="Calibri" w:hAnsi="Calibri" w:eastAsia="楷体_GB2312" w:cs="Calibri"/>
                      <w:w w:val="70"/>
                      <w:sz w:val="20"/>
                      <w:szCs w:val="20"/>
                      <w:lang w:eastAsia="zh-CN"/>
                    </w:rPr>
                  </w:pPr>
                </w:p>
              </w:tc>
            </w:tr>
            <w:tr w14:paraId="3BD010C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C1">
                  <w:pPr>
                    <w:pStyle w:val="23"/>
                    <w:spacing w:after="6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rPr>
                    <w:t>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rPr>
                    <w:t>国际发布</w:t>
                  </w:r>
                  <w:r>
                    <w:rPr>
                      <w:rFonts w:hint="default" w:ascii="Calibri" w:hAnsi="Calibri" w:eastAsia="楷体_GB2312" w:cs="Calibri"/>
                      <w:w w:val="70"/>
                      <w:sz w:val="20"/>
                      <w:szCs w:val="20"/>
                      <w:lang w:eastAsia="zh-CN"/>
                    </w:rPr>
                    <w:t>计</w:t>
                  </w:r>
                  <w:r>
                    <w:rPr>
                      <w:rFonts w:hint="default" w:ascii="Calibri" w:hAnsi="Calibri"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3BD010C2">
                  <w:pPr>
                    <w:pStyle w:val="23"/>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3BD010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C4">
                  <w:pPr>
                    <w:pStyle w:val="23"/>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w:t>
                  </w:r>
                  <w:r>
                    <w:rPr>
                      <w:rFonts w:hint="default" w:ascii="Calibri" w:hAnsi="Calibri" w:eastAsia="楷体_GB2312" w:cs="Calibri"/>
                      <w:b/>
                      <w:w w:val="70"/>
                      <w:sz w:val="20"/>
                      <w:szCs w:val="20"/>
                    </w:rPr>
                    <w:t>国际</w:t>
                  </w:r>
                  <w:r>
                    <w:rPr>
                      <w:rFonts w:hint="default" w:ascii="Calibri" w:hAnsi="Calibri" w:eastAsia="楷体_GB2312" w:cs="Calibri"/>
                      <w:b/>
                      <w:w w:val="70"/>
                      <w:sz w:val="20"/>
                      <w:szCs w:val="20"/>
                      <w:lang w:eastAsia="zh-CN"/>
                    </w:rPr>
                    <w:t>A股覆盖</w:t>
                  </w:r>
                  <w:r>
                    <w:rPr>
                      <w:rFonts w:hint="default" w:ascii="Calibri" w:hAnsi="Calibri" w:eastAsia="楷体_GB2312" w:cs="Calibri"/>
                      <w:b/>
                      <w:w w:val="70"/>
                      <w:sz w:val="20"/>
                      <w:szCs w:val="20"/>
                    </w:rPr>
                    <w:t>：</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可能会就中国A股进行覆盖及评级。</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国际于</w:t>
                  </w:r>
                  <w:r>
                    <w:rPr>
                      <w:rFonts w:hint="default" w:ascii="Calibri" w:hAnsi="Calibri" w:eastAsia="楷体_GB2312" w:cs="Calibri"/>
                      <w:w w:val="70"/>
                      <w:sz w:val="20"/>
                      <w:szCs w:val="20"/>
                      <w:lang w:eastAsia="zh-CN"/>
                    </w:rPr>
                    <w:t>福州</w:t>
                  </w:r>
                  <w:r>
                    <w:rPr>
                      <w:rFonts w:hint="default" w:ascii="Calibri" w:hAnsi="Calibri" w:eastAsia="楷体_GB2312" w:cs="Calibri"/>
                      <w:w w:val="70"/>
                      <w:sz w:val="20"/>
                      <w:szCs w:val="20"/>
                      <w:lang w:eastAsia="zh-CN"/>
                    </w:rPr>
                    <w:t>的母公司，也会于中国发布中国A股的研究报告。但是，</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使用与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证券不同的评级系统，</w:t>
                  </w:r>
                  <w:r>
                    <w:rPr>
                      <w:rFonts w:hint="default" w:ascii="Calibri" w:hAnsi="Calibri" w:eastAsia="楷体_GB2312" w:cs="Calibri"/>
                      <w:w w:val="70"/>
                      <w:sz w:val="20"/>
                      <w:szCs w:val="20"/>
                      <w:lang w:eastAsia="zh-CN"/>
                    </w:rPr>
                    <w:t>且可能有完全独立的不同研究覆盖团队，</w:t>
                  </w:r>
                  <w:r>
                    <w:rPr>
                      <w:rFonts w:hint="default" w:ascii="Calibri" w:hAnsi="Calibri" w:eastAsia="楷体_GB2312" w:cs="Calibri"/>
                      <w:w w:val="70"/>
                      <w:sz w:val="20"/>
                      <w:szCs w:val="20"/>
                      <w:lang w:eastAsia="zh-CN"/>
                    </w:rPr>
                    <w:t>所以</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lang w:eastAsia="zh-CN"/>
                    </w:rPr>
                    <w:t>证券的中国A股评级</w:t>
                  </w:r>
                  <w:r>
                    <w:rPr>
                      <w:rFonts w:hint="default" w:ascii="Calibri" w:hAnsi="Calibri" w:eastAsia="楷体_GB2312" w:cs="Calibri"/>
                      <w:w w:val="70"/>
                      <w:sz w:val="20"/>
                      <w:szCs w:val="20"/>
                      <w:lang w:eastAsia="zh-CN"/>
                    </w:rPr>
                    <w:t>、目标价乃至分析逻辑</w:t>
                  </w:r>
                  <w:r>
                    <w:rPr>
                      <w:rFonts w:hint="default" w:ascii="Calibri" w:hAnsi="Calibri" w:eastAsia="楷体_GB2312" w:cs="Calibri"/>
                      <w:w w:val="70"/>
                      <w:sz w:val="20"/>
                      <w:szCs w:val="20"/>
                      <w:lang w:eastAsia="zh-CN"/>
                    </w:rPr>
                    <w:t>可能有所不同。</w:t>
                  </w:r>
                </w:p>
                <w:p w14:paraId="3BD010C5">
                  <w:pPr>
                    <w:pStyle w:val="23"/>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3BD010C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C7">
                  <w:pPr>
                    <w:pStyle w:val="23"/>
                    <w:rPr>
                      <w:rFonts w:hint="default" w:ascii="Calibri" w:hAnsi="Calibri" w:eastAsia="楷体_GB2312" w:cs="Calibri"/>
                      <w:w w:val="70"/>
                      <w:sz w:val="20"/>
                      <w:szCs w:val="20"/>
                    </w:rPr>
                  </w:pPr>
                </w:p>
              </w:tc>
            </w:tr>
            <w:tr w14:paraId="3BD010D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C9">
                  <w:pPr>
                    <w:pStyle w:val="23"/>
                    <w:spacing w:after="60"/>
                    <w:rPr>
                      <w:rFonts w:hint="default" w:ascii="Calibri" w:hAnsi="Calibri" w:eastAsia="楷体_GB2312" w:cs="Calibri"/>
                      <w:b/>
                      <w:w w:val="70"/>
                      <w:sz w:val="20"/>
                      <w:szCs w:val="20"/>
                    </w:rPr>
                  </w:pPr>
                  <w:r>
                    <w:rPr>
                      <w:rFonts w:hint="default" w:ascii="Calibri" w:hAnsi="Calibri" w:eastAsia="楷体_GB2312" w:cs="Calibri"/>
                      <w:b/>
                      <w:w w:val="70"/>
                      <w:sz w:val="20"/>
                      <w:szCs w:val="20"/>
                    </w:rPr>
                    <w:t>重要免责声明：</w:t>
                  </w:r>
                </w:p>
                <w:p w14:paraId="3BD010CA">
                  <w:pPr>
                    <w:pStyle w:val="23"/>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本报告由</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国际发行，该公司</w:t>
                  </w:r>
                  <w:r>
                    <w:rPr>
                      <w:rFonts w:hint="default" w:ascii="Calibri" w:hAnsi="Calibri" w:eastAsia="楷体_GB2312" w:cs="Calibri"/>
                      <w:w w:val="70"/>
                      <w:sz w:val="20"/>
                      <w:szCs w:val="20"/>
                      <w:lang w:eastAsia="zh-CN"/>
                    </w:rPr>
                    <w:t>是根据</w:t>
                  </w:r>
                  <w:r>
                    <w:rPr>
                      <w:rFonts w:hint="default" w:ascii="Calibri" w:hAnsi="Calibri" w:eastAsia="楷体_GB2312" w:cs="Calibri"/>
                      <w:w w:val="70"/>
                      <w:sz w:val="20"/>
                      <w:szCs w:val="20"/>
                    </w:rPr>
                    <w:t>香港证券及期货条例（第</w:t>
                  </w:r>
                  <w:r>
                    <w:rPr>
                      <w:rFonts w:hint="default" w:ascii="Calibri" w:hAnsi="Calibri" w:eastAsia="楷体_GB2312" w:cs="Calibri"/>
                      <w:w w:val="70"/>
                      <w:sz w:val="20"/>
                      <w:szCs w:val="20"/>
                      <w:lang w:eastAsia="zh-CN"/>
                    </w:rPr>
                    <w:t>571</w:t>
                  </w:r>
                  <w:r>
                    <w:rPr>
                      <w:rFonts w:hint="default" w:ascii="Calibri" w:hAnsi="Calibri" w:eastAsia="楷体_GB2312" w:cs="Calibri"/>
                      <w:w w:val="70"/>
                      <w:sz w:val="20"/>
                      <w:szCs w:val="20"/>
                    </w:rPr>
                    <w:t>章）</w:t>
                  </w:r>
                  <w:r>
                    <w:rPr>
                      <w:rFonts w:hint="default" w:ascii="Calibri" w:hAnsi="Calibri" w:eastAsia="楷体_GB2312" w:cs="Calibri"/>
                      <w:w w:val="70"/>
                      <w:sz w:val="20"/>
                      <w:szCs w:val="20"/>
                      <w:lang w:eastAsia="zh-CN"/>
                    </w:rPr>
                    <w:t>持有</w:t>
                  </w:r>
                  <w:r>
                    <w:rPr>
                      <w:rFonts w:hint="default" w:ascii="Calibri" w:hAnsi="Calibri" w:eastAsia="楷体_GB2312" w:cs="Calibri"/>
                      <w:w w:val="70"/>
                      <w:sz w:val="20"/>
                      <w:szCs w:val="20"/>
                    </w:rPr>
                    <w:t>第</w:t>
                  </w:r>
                  <w:r>
                    <w:rPr>
                      <w:rFonts w:hint="default" w:ascii="Calibri" w:hAnsi="Calibri" w:eastAsia="楷体_GB2312" w:cs="Calibri"/>
                      <w:w w:val="70"/>
                      <w:sz w:val="20"/>
                      <w:szCs w:val="20"/>
                      <w:lang w:eastAsia="zh-CN"/>
                    </w:rPr>
                    <w:t>4</w:t>
                  </w:r>
                  <w:r>
                    <w:rPr>
                      <w:rFonts w:hint="default" w:ascii="Calibri" w:hAnsi="Calibri" w:eastAsia="楷体_GB2312" w:cs="Calibri"/>
                      <w:w w:val="70"/>
                      <w:sz w:val="20"/>
                      <w:szCs w:val="20"/>
                    </w:rPr>
                    <w:t>类受规管活动（就证券提供意见）的持牌法团。</w:t>
                  </w:r>
                </w:p>
                <w:p w14:paraId="3BD010CB">
                  <w:pPr>
                    <w:pStyle w:val="23"/>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本文件所载信息和观点已被编译或源自可靠来源，但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或任何其他属于</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hint="default" w:ascii="Calibri" w:hAnsi="Calibri" w:eastAsia="楷体_GB2312" w:cs="Calibri"/>
                      <w:w w:val="70"/>
                      <w:sz w:val="20"/>
                      <w:szCs w:val="20"/>
                      <w:lang w:eastAsia="zh-CN"/>
                    </w:rPr>
                    <w:t>/</w:t>
                  </w:r>
                  <w:r>
                    <w:rPr>
                      <w:rFonts w:hint="default" w:ascii="Calibri" w:hAnsi="Calibri"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 xml:space="preserve">及其董事、雇员或代理人对此均不承担任何责任。 </w:t>
                  </w:r>
                </w:p>
                <w:p w14:paraId="3BD010CC">
                  <w:pPr>
                    <w:pStyle w:val="23"/>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除对本文内容承担责任的分析师除外，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及我们的关联公司、高级管理人员、董事和雇员，均可不时作为</w:t>
                  </w:r>
                  <w:r>
                    <w:rPr>
                      <w:rFonts w:hint="default" w:ascii="Calibri" w:hAnsi="Calibri" w:eastAsia="楷体_GB2312" w:cs="Calibri"/>
                      <w:w w:val="70"/>
                      <w:sz w:val="20"/>
                      <w:szCs w:val="20"/>
                      <w:lang w:eastAsia="zh-CN"/>
                    </w:rPr>
                    <w:t>主事人</w:t>
                  </w:r>
                  <w:r>
                    <w:rPr>
                      <w:rFonts w:hint="default" w:ascii="Calibri" w:hAnsi="Calibri" w:eastAsia="楷体_GB2312" w:cs="Calibri"/>
                      <w:w w:val="70"/>
                      <w:sz w:val="20"/>
                      <w:szCs w:val="20"/>
                    </w:rPr>
                    <w:t>就本文件所述的任何证券或衍生品持有长仓或短仓以及进行买卖。</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的销售员、交易员和其他专业人士均可向</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的相关客户和公司提供与本文件所述意见相反的口头或书面市场评论意见或交易策略</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可做出与本文件所述建议或意见不一致的投资决策。但</w:t>
                  </w:r>
                  <w:r>
                    <w:rPr>
                      <w:rFonts w:hint="default" w:ascii="Calibri" w:hAnsi="Calibri" w:eastAsia="楷体_GB2312" w:cs="Calibri"/>
                      <w:w w:val="70"/>
                      <w:sz w:val="20"/>
                      <w:szCs w:val="20"/>
                      <w:lang w:eastAsia="zh-CN"/>
                    </w:rPr>
                    <w:t>华福国际</w:t>
                  </w:r>
                  <w:r>
                    <w:rPr>
                      <w:rFonts w:hint="default" w:ascii="Calibri" w:hAnsi="Calibri" w:eastAsia="楷体_GB2312" w:cs="Calibri"/>
                      <w:w w:val="70"/>
                      <w:sz w:val="20"/>
                      <w:szCs w:val="20"/>
                    </w:rPr>
                    <w:t>没有义务来确保本文件的收件人了解到该等交易</w:t>
                  </w:r>
                  <w:r>
                    <w:rPr>
                      <w:rFonts w:hint="default" w:ascii="Calibri" w:hAnsi="Calibri" w:eastAsia="楷体_GB2312" w:cs="Calibri"/>
                      <w:w w:val="70"/>
                      <w:sz w:val="20"/>
                      <w:szCs w:val="20"/>
                      <w:lang w:eastAsia="zh-CN"/>
                    </w:rPr>
                    <w:t>决定、</w:t>
                  </w:r>
                  <w:r>
                    <w:rPr>
                      <w:rFonts w:hint="default" w:ascii="Calibri" w:hAnsi="Calibri" w:eastAsia="楷体_GB2312" w:cs="Calibri"/>
                      <w:w w:val="70"/>
                      <w:sz w:val="20"/>
                      <w:szCs w:val="20"/>
                    </w:rPr>
                    <w:t>思路或建议。</w:t>
                  </w:r>
                </w:p>
                <w:p w14:paraId="3BD010CD">
                  <w:pPr>
                    <w:pStyle w:val="23"/>
                    <w:spacing w:after="60"/>
                    <w:rPr>
                      <w:rFonts w:hint="default" w:ascii="Calibri" w:hAnsi="Calibri" w:eastAsia="楷体_GB2312" w:cs="Calibri"/>
                      <w:snapToGrid/>
                      <w:w w:val="70"/>
                      <w:sz w:val="20"/>
                      <w:szCs w:val="20"/>
                    </w:rPr>
                  </w:pPr>
                  <w:r>
                    <w:rPr>
                      <w:rFonts w:hint="default" w:ascii="Calibri" w:hAnsi="Calibri" w:eastAsia="楷体_GB2312" w:cs="Calibri"/>
                      <w:snapToGrid/>
                      <w:w w:val="70"/>
                      <w:sz w:val="20"/>
                      <w:szCs w:val="20"/>
                    </w:rPr>
                    <w:t>请访问</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snapToGrid/>
                      <w:w w:val="70"/>
                      <w:sz w:val="20"/>
                      <w:szCs w:val="20"/>
                    </w:rPr>
                    <w:t>网站</w:t>
                  </w:r>
                  <w:r>
                    <w:rPr>
                      <w:rFonts w:hint="default" w:ascii="Calibri" w:hAnsi="Calibri" w:eastAsia="楷体_GB2312" w:cs="Calibri"/>
                      <w:snapToGrid/>
                      <w:w w:val="70"/>
                      <w:sz w:val="20"/>
                      <w:szCs w:val="20"/>
                      <w:lang w:eastAsia="zh-CN"/>
                    </w:rPr>
                    <w:t xml:space="preserv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13"/>
                      <w:rFonts w:hint="default" w:ascii="Calibri" w:hAnsi="Calibri" w:eastAsia="楷体_GB2312" w:cs="Calibri"/>
                      <w:snapToGrid/>
                      <w:w w:val="70"/>
                      <w:sz w:val="20"/>
                      <w:szCs w:val="20"/>
                      <w:lang w:eastAsia="zh-CN"/>
                    </w:rPr>
                    <w:t>www.hfisec.com.hk</w:t>
                  </w:r>
                  <w:r>
                    <w:rPr>
                      <w:rStyle w:val="13"/>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w:t>
                  </w:r>
                  <w:r>
                    <w:rPr>
                      <w:rFonts w:hint="default" w:ascii="Calibri" w:hAnsi="Calibri" w:eastAsia="楷体_GB2312" w:cs="Calibri"/>
                      <w:snapToGrid/>
                      <w:w w:val="70"/>
                      <w:sz w:val="20"/>
                      <w:szCs w:val="20"/>
                    </w:rPr>
                    <w:t>，查阅更多有关</w:t>
                  </w:r>
                  <w:r>
                    <w:rPr>
                      <w:rFonts w:hint="default" w:ascii="Calibri" w:hAnsi="Calibri" w:eastAsia="楷体_GB2312" w:cs="Calibri"/>
                      <w:snapToGrid/>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snapToGrid/>
                      <w:w w:val="70"/>
                      <w:sz w:val="20"/>
                      <w:szCs w:val="20"/>
                    </w:rPr>
                    <w:t>为预防和避免利益冲突设立的组织和行政安排的内容信息。</w:t>
                  </w:r>
                </w:p>
                <w:p w14:paraId="3BD010CE">
                  <w:pPr>
                    <w:pStyle w:val="23"/>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3BD010CF">
                  <w:pPr>
                    <w:pStyle w:val="23"/>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3BD010D0">
                  <w:pPr>
                    <w:pStyle w:val="23"/>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BD010D1">
                  <w:pPr>
                    <w:pStyle w:val="23"/>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3BD010D2">
                  <w:pPr>
                    <w:pStyle w:val="23"/>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HuaFu International</w:t>
                  </w:r>
                  <w:r>
                    <w:rPr>
                      <w:rFonts w:hint="default" w:ascii="Calibri" w:hAnsi="Calibri" w:eastAsia="楷体_GB2312" w:cs="Calibri"/>
                      <w:bCs/>
                      <w:w w:val="70"/>
                      <w:sz w:val="20"/>
                      <w:szCs w:val="20"/>
                      <w:lang w:eastAsia="zh-CN"/>
                    </w:rPr>
                    <w:t>’</w:t>
                  </w:r>
                  <w:r>
                    <w:rPr>
                      <w:rFonts w:hint="default" w:ascii="Calibri" w:hAnsi="Calibri" w:eastAsia="楷体_GB2312" w:cs="Calibri"/>
                      <w:bCs/>
                      <w:w w:val="70"/>
                      <w:sz w:val="20"/>
                      <w:szCs w:val="20"/>
                      <w:lang w:eastAsia="zh-CN"/>
                    </w:rPr>
                    <w:t>s</w:t>
                  </w:r>
                  <w:r>
                    <w:rPr>
                      <w:rFonts w:hint="default" w:ascii="Calibri" w:hAnsi="Calibri" w:eastAsia="楷体_GB2312" w:cs="Calibri"/>
                      <w:bCs/>
                      <w:w w:val="70"/>
                      <w:sz w:val="20"/>
                      <w:szCs w:val="20"/>
                    </w:rPr>
                    <w:t xml:space="preserve"> 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13"/>
                      <w:rFonts w:hint="default" w:ascii="Calibri" w:hAnsi="Calibri" w:eastAsia="楷体_GB2312" w:cs="Calibri"/>
                      <w:bCs/>
                      <w:w w:val="70"/>
                      <w:sz w:val="20"/>
                      <w:szCs w:val="20"/>
                    </w:rPr>
                    <w:t xml:space="preserve">www.hfisec.com.hk </w:t>
                  </w:r>
                  <w:r>
                    <w:rPr>
                      <w:rStyle w:val="13"/>
                      <w:rFonts w:hint="default" w:ascii="Calibri" w:hAnsi="Calibri" w:eastAsia="楷体_GB2312" w:cs="Calibri"/>
                      <w:bCs/>
                      <w:w w:val="70"/>
                      <w:sz w:val="20"/>
                      <w:szCs w:val="20"/>
                    </w:rPr>
                    <w:fldChar w:fldCharType="end"/>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HuaFu International</w:t>
                  </w:r>
                  <w:r>
                    <w:rPr>
                      <w:rFonts w:hint="default" w:ascii="Calibri" w:hAnsi="Calibri" w:eastAsia="楷体_GB2312" w:cs="Calibri"/>
                      <w:bCs/>
                      <w:w w:val="70"/>
                      <w:sz w:val="20"/>
                      <w:szCs w:val="20"/>
                      <w:lang w:eastAsia="zh-CN"/>
                    </w:rPr>
                    <w:t>’</w:t>
                  </w:r>
                  <w:r>
                    <w:rPr>
                      <w:rFonts w:hint="default" w:ascii="Calibri" w:hAnsi="Calibri" w:eastAsia="楷体_GB2312" w:cs="Calibri"/>
                      <w:bCs/>
                      <w:w w:val="70"/>
                      <w:sz w:val="20"/>
                      <w:szCs w:val="20"/>
                      <w:lang w:eastAsia="zh-CN"/>
                    </w:rPr>
                    <w:t xml:space="preserve">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3BD010D3">
                  <w:pPr>
                    <w:pStyle w:val="23"/>
                    <w:spacing w:after="60"/>
                    <w:rPr>
                      <w:rFonts w:hint="default" w:ascii="Calibri" w:hAnsi="Calibri" w:eastAsia="楷体_GB2312" w:cs="Calibri"/>
                      <w:b/>
                      <w:w w:val="70"/>
                      <w:sz w:val="20"/>
                      <w:szCs w:val="20"/>
                    </w:rPr>
                  </w:pPr>
                </w:p>
              </w:tc>
            </w:tr>
            <w:tr w14:paraId="3BD010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D5">
                  <w:pPr>
                    <w:pStyle w:val="23"/>
                    <w:spacing w:after="60"/>
                    <w:rPr>
                      <w:rFonts w:hint="default" w:ascii="Calibri" w:hAnsi="Calibri" w:eastAsia="楷体_GB2312" w:cs="Calibri"/>
                      <w:b/>
                      <w:snapToGrid/>
                      <w:w w:val="70"/>
                      <w:sz w:val="20"/>
                      <w:szCs w:val="20"/>
                    </w:rPr>
                  </w:pPr>
                  <w:r>
                    <w:rPr>
                      <w:rFonts w:hint="default" w:ascii="Calibri" w:hAnsi="Calibri" w:eastAsia="楷体_GB2312" w:cs="Calibri"/>
                      <w:b/>
                      <w:snapToGrid/>
                      <w:w w:val="70"/>
                      <w:sz w:val="20"/>
                      <w:szCs w:val="20"/>
                    </w:rPr>
                    <w:t>分发和地区通知：</w:t>
                  </w:r>
                </w:p>
                <w:p w14:paraId="3BD010D6">
                  <w:pPr>
                    <w:pStyle w:val="23"/>
                    <w:spacing w:after="60"/>
                    <w:rPr>
                      <w:rFonts w:hint="default" w:ascii="Calibri" w:hAnsi="Calibri" w:eastAsia="楷体_GB2312" w:cs="Calibri"/>
                      <w:snapToGrid/>
                      <w:w w:val="70"/>
                      <w:sz w:val="20"/>
                      <w:szCs w:val="20"/>
                    </w:rPr>
                  </w:pPr>
                  <w:r>
                    <w:rPr>
                      <w:rFonts w:hint="default" w:ascii="Calibri" w:hAnsi="Calibri"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default" w:ascii="Calibri" w:hAnsi="Calibri" w:eastAsia="楷体_GB2312" w:cs="Calibri"/>
                      <w:snapToGrid/>
                      <w:w w:val="70"/>
                      <w:sz w:val="20"/>
                      <w:szCs w:val="20"/>
                      <w:lang w:eastAsia="zh-CN"/>
                    </w:rPr>
                    <w:t>华福</w:t>
                  </w:r>
                  <w:r>
                    <w:rPr>
                      <w:rFonts w:hint="default" w:ascii="Calibri" w:hAnsi="Calibri" w:eastAsia="楷体_GB2312" w:cs="Calibri"/>
                      <w:snapToGrid/>
                      <w:w w:val="70"/>
                      <w:sz w:val="20"/>
                      <w:szCs w:val="20"/>
                    </w:rPr>
                    <w:t xml:space="preserve">国际销售人员。  </w:t>
                  </w:r>
                </w:p>
                <w:p w14:paraId="3BD010D7">
                  <w:pPr>
                    <w:pStyle w:val="23"/>
                    <w:spacing w:after="60"/>
                    <w:rPr>
                      <w:rFonts w:hint="default" w:ascii="Calibri" w:hAnsi="Calibri" w:eastAsia="楷体_GB2312" w:cs="Calibri"/>
                      <w:snapToGrid/>
                      <w:w w:val="70"/>
                      <w:sz w:val="20"/>
                      <w:szCs w:val="20"/>
                    </w:rPr>
                  </w:pPr>
                  <w:r>
                    <w:rPr>
                      <w:rFonts w:hint="default" w:ascii="Calibri" w:hAnsi="Calibri" w:eastAsia="楷体_GB2312" w:cs="Calibri"/>
                      <w:b/>
                      <w:snapToGrid/>
                      <w:w w:val="70"/>
                      <w:sz w:val="20"/>
                      <w:szCs w:val="20"/>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rPr>
                    <w:t>国际负责分发该研究报告，</w:t>
                  </w:r>
                  <w:r>
                    <w:rPr>
                      <w:rFonts w:hint="default" w:ascii="Calibri" w:hAnsi="Calibri" w:eastAsia="楷体_GB2312" w:cs="Calibri"/>
                      <w:snapToGrid/>
                      <w:w w:val="70"/>
                      <w:sz w:val="20"/>
                      <w:szCs w:val="20"/>
                      <w:lang w:eastAsia="zh-CN"/>
                    </w:rPr>
                    <w:t>华福国际</w:t>
                  </w:r>
                  <w:r>
                    <w:rPr>
                      <w:rFonts w:hint="default" w:ascii="Calibri" w:hAnsi="Calibri" w:eastAsia="楷体_GB2312" w:cs="Calibri"/>
                      <w:snapToGrid/>
                      <w:w w:val="70"/>
                      <w:sz w:val="20"/>
                      <w:szCs w:val="20"/>
                      <w:lang w:eastAsia="zh-CN"/>
                    </w:rPr>
                    <w:t>是</w:t>
                  </w:r>
                  <w:r>
                    <w:rPr>
                      <w:rFonts w:hint="default" w:ascii="Calibri" w:hAnsi="Calibri" w:eastAsia="楷体_GB2312" w:cs="Calibri"/>
                      <w:snapToGrid/>
                      <w:w w:val="70"/>
                      <w:sz w:val="20"/>
                      <w:szCs w:val="20"/>
                    </w:rPr>
                    <w:t>在香港有权实施第</w:t>
                  </w:r>
                  <w:r>
                    <w:rPr>
                      <w:rFonts w:hint="default" w:ascii="Calibri" w:hAnsi="Calibri" w:eastAsia="楷体_GB2312" w:cs="Calibri"/>
                      <w:snapToGrid/>
                      <w:w w:val="70"/>
                      <w:sz w:val="20"/>
                      <w:szCs w:val="20"/>
                      <w:lang w:eastAsia="zh-CN"/>
                    </w:rPr>
                    <w:t>1</w:t>
                  </w:r>
                  <w:r>
                    <w:rPr>
                      <w:rFonts w:hint="default" w:ascii="Calibri" w:hAnsi="Calibri" w:eastAsia="楷体_GB2312" w:cs="Calibri"/>
                      <w:snapToGrid/>
                      <w:w w:val="70"/>
                      <w:sz w:val="20"/>
                      <w:szCs w:val="20"/>
                    </w:rPr>
                    <w:t>类受规管活动（从事证券交易）的持牌公司。该研究报告并不构成《证券及期货条例》</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香港法例第</w:t>
                  </w:r>
                  <w:r>
                    <w:rPr>
                      <w:rFonts w:hint="default" w:ascii="Calibri" w:hAnsi="Calibri" w:eastAsia="楷体_GB2312" w:cs="Calibri"/>
                      <w:snapToGrid/>
                      <w:w w:val="70"/>
                      <w:sz w:val="20"/>
                      <w:szCs w:val="20"/>
                      <w:lang w:eastAsia="zh-CN"/>
                    </w:rPr>
                    <w:t>571</w:t>
                  </w:r>
                  <w:r>
                    <w:rPr>
                      <w:rFonts w:hint="default" w:ascii="Calibri" w:hAnsi="Calibri" w:eastAsia="楷体_GB2312" w:cs="Calibri"/>
                      <w:snapToGrid/>
                      <w:w w:val="70"/>
                      <w:sz w:val="20"/>
                      <w:szCs w:val="20"/>
                    </w:rPr>
                    <w:t>章</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以下简称“</w:t>
                  </w:r>
                  <w:r>
                    <w:rPr>
                      <w:rFonts w:hint="default" w:ascii="Calibri" w:hAnsi="Calibri" w:eastAsia="楷体_GB2312" w:cs="Calibri"/>
                      <w:snapToGrid/>
                      <w:w w:val="70"/>
                      <w:sz w:val="20"/>
                      <w:szCs w:val="20"/>
                      <w:lang w:eastAsia="zh-CN"/>
                    </w:rPr>
                    <w:t>SFO”</w:t>
                  </w:r>
                  <w:r>
                    <w:rPr>
                      <w:rFonts w:hint="default" w:ascii="Calibri" w:hAnsi="Calibri" w:eastAsia="楷体_GB2312" w:cs="Calibri"/>
                      <w:w w:val="70"/>
                      <w:sz w:val="20"/>
                      <w:szCs w:val="20"/>
                    </w:rPr>
                    <w:t>）</w:t>
                  </w:r>
                  <w:r>
                    <w:rPr>
                      <w:rFonts w:hint="default" w:ascii="Calibri" w:hAnsi="Calibri" w:eastAsia="楷体_GB2312" w:cs="Calibri"/>
                      <w:snapToGrid/>
                      <w:w w:val="70"/>
                      <w:sz w:val="20"/>
                      <w:szCs w:val="20"/>
                    </w:rPr>
                    <w:t>所界定的要约邀请，证券要约或公众要约。本研究报告仅提供给</w:t>
                  </w:r>
                  <w:r>
                    <w:rPr>
                      <w:rFonts w:hint="default" w:ascii="Calibri" w:hAnsi="Calibri" w:eastAsia="楷体_GB2312" w:cs="Calibri"/>
                      <w:snapToGrid/>
                      <w:w w:val="70"/>
                      <w:sz w:val="20"/>
                      <w:szCs w:val="20"/>
                      <w:lang w:eastAsia="zh-CN"/>
                    </w:rPr>
                    <w:t>SFO</w:t>
                  </w:r>
                  <w:r>
                    <w:rPr>
                      <w:rFonts w:hint="default" w:ascii="Calibri" w:hAnsi="Calibri"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default" w:ascii="Calibri" w:hAnsi="Calibri" w:eastAsia="楷体_GB2312" w:cs="Calibri"/>
                      <w:snapToGrid/>
                      <w:w w:val="70"/>
                      <w:sz w:val="20"/>
                      <w:szCs w:val="20"/>
                      <w:lang w:eastAsia="zh-CN"/>
                    </w:rPr>
                    <w:t>华福国际</w:t>
                  </w:r>
                  <w:r>
                    <w:rPr>
                      <w:rFonts w:hint="default" w:ascii="Calibri" w:hAnsi="Calibri" w:eastAsia="楷体_GB2312" w:cs="Calibri"/>
                      <w:snapToGrid/>
                      <w:w w:val="70"/>
                      <w:sz w:val="20"/>
                      <w:szCs w:val="20"/>
                    </w:rPr>
                    <w:t>销售人员。</w:t>
                  </w:r>
                </w:p>
                <w:p w14:paraId="3BD010D8">
                  <w:pPr>
                    <w:pStyle w:val="23"/>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3BD010D9">
                  <w:pPr>
                    <w:pStyle w:val="23"/>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3BD010DA">
                  <w:pPr>
                    <w:pStyle w:val="23"/>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3BD010DB">
                  <w:pPr>
                    <w:pStyle w:val="23"/>
                    <w:spacing w:after="60"/>
                    <w:rPr>
                      <w:rFonts w:hint="default" w:ascii="Calibri" w:hAnsi="Calibri" w:eastAsia="楷体_GB2312" w:cs="Calibri"/>
                      <w:b/>
                      <w:w w:val="70"/>
                      <w:sz w:val="20"/>
                      <w:szCs w:val="20"/>
                    </w:rPr>
                  </w:pPr>
                </w:p>
              </w:tc>
            </w:tr>
            <w:tr w14:paraId="3BD010E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DD">
                  <w:pPr>
                    <w:pStyle w:val="23"/>
                    <w:spacing w:after="60"/>
                    <w:rPr>
                      <w:rFonts w:hint="default" w:ascii="Calibri" w:hAnsi="Calibri" w:eastAsia="楷体_GB2312" w:cs="Calibri"/>
                      <w:w w:val="70"/>
                      <w:sz w:val="20"/>
                      <w:szCs w:val="20"/>
                    </w:rPr>
                  </w:pPr>
                  <w:r>
                    <w:rPr>
                      <w:rFonts w:hint="default" w:ascii="Calibri" w:hAnsi="Calibri" w:eastAsia="楷体_GB2312" w:cs="Calibri"/>
                      <w:b/>
                      <w:w w:val="70"/>
                      <w:sz w:val="20"/>
                      <w:szCs w:val="20"/>
                    </w:rPr>
                    <w:t>中华人民共和国的通知事项：</w:t>
                  </w:r>
                  <w:r>
                    <w:rPr>
                      <w:rFonts w:hint="default" w:ascii="Calibri" w:hAnsi="Calibri" w:eastAsia="楷体_GB2312" w:cs="Calibri"/>
                      <w:w w:val="70"/>
                      <w:sz w:val="20"/>
                      <w:szCs w:val="20"/>
                    </w:rPr>
                    <w:t>在中华人民共和国</w:t>
                  </w:r>
                  <w:r>
                    <w:rPr>
                      <w:rFonts w:hint="default" w:ascii="Calibri" w:hAnsi="Calibri" w:eastAsia="楷体_GB2312" w:cs="Calibri"/>
                      <w:snapToGrid/>
                      <w:w w:val="70"/>
                      <w:sz w:val="20"/>
                      <w:szCs w:val="20"/>
                    </w:rPr>
                    <w:t>（</w:t>
                  </w:r>
                  <w:r>
                    <w:rPr>
                      <w:rFonts w:hint="default" w:ascii="Calibri" w:hAnsi="Calibri"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3BD010DE">
                  <w:pPr>
                    <w:pStyle w:val="23"/>
                    <w:spacing w:after="60"/>
                    <w:rPr>
                      <w:rFonts w:hint="default" w:ascii="Calibri" w:hAnsi="Calibri" w:eastAsia="楷体_GB2312" w:cs="Calibri"/>
                      <w:w w:val="70"/>
                      <w:sz w:val="20"/>
                      <w:szCs w:val="20"/>
                    </w:rPr>
                  </w:pPr>
                  <w:r>
                    <w:rPr>
                      <w:rFonts w:hint="default" w:ascii="Calibri" w:hAnsi="Calibri" w:eastAsia="楷体_GB2312" w:cs="Calibri"/>
                      <w:w w:val="70"/>
                      <w:sz w:val="20"/>
                      <w:szCs w:val="20"/>
                    </w:rPr>
                    <w:t>本项研究仅供收件人使用，未经</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国际的书面同意不得予以复制和再次分发。</w:t>
                  </w:r>
                </w:p>
                <w:p w14:paraId="3BD010DF">
                  <w:pPr>
                    <w:pStyle w:val="23"/>
                    <w:rPr>
                      <w:rFonts w:hint="default" w:ascii="Calibri" w:hAnsi="Calibri" w:eastAsia="楷体_GB2312" w:cs="Calibri"/>
                      <w:w w:val="70"/>
                      <w:sz w:val="20"/>
                      <w:szCs w:val="20"/>
                    </w:rPr>
                  </w:pPr>
                  <w:r>
                    <w:rPr>
                      <w:rFonts w:hint="default" w:ascii="Calibri" w:hAnsi="Calibri" w:eastAsia="楷体_GB2312" w:cs="Calibri"/>
                      <w:w w:val="70"/>
                      <w:sz w:val="20"/>
                      <w:szCs w:val="20"/>
                    </w:rPr>
                    <w:t>版权所有：</w:t>
                  </w:r>
                  <w:r>
                    <w:rPr>
                      <w:rFonts w:hint="default" w:ascii="Calibri" w:hAnsi="Calibri" w:eastAsia="楷体_GB2312" w:cs="Calibri"/>
                      <w:w w:val="70"/>
                      <w:sz w:val="20"/>
                      <w:szCs w:val="20"/>
                      <w:lang w:eastAsia="zh-CN"/>
                    </w:rPr>
                    <w:t>华福</w:t>
                  </w:r>
                  <w:r>
                    <w:rPr>
                      <w:rFonts w:hint="default" w:ascii="Calibri" w:hAnsi="Calibri" w:eastAsia="楷体_GB2312" w:cs="Calibri"/>
                      <w:w w:val="70"/>
                      <w:sz w:val="20"/>
                      <w:szCs w:val="20"/>
                    </w:rPr>
                    <w:t>国际</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年。保留所有权利。</w:t>
                  </w:r>
                </w:p>
                <w:p w14:paraId="3BD010E0">
                  <w:pPr>
                    <w:pStyle w:val="23"/>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rPr>
                    <w:t>People’s Republic of China (PRC):</w:t>
                  </w:r>
                  <w:r>
                    <w:rPr>
                      <w:rFonts w:hint="default" w:ascii="Calibri" w:hAnsi="Calibri"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BD010E1">
                  <w:pPr>
                    <w:pStyle w:val="23"/>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3BD010E2">
                  <w:pPr>
                    <w:pStyle w:val="23"/>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3BD010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BD010E4">
                  <w:pPr>
                    <w:pStyle w:val="23"/>
                    <w:spacing w:after="60"/>
                    <w:rPr>
                      <w:rFonts w:hint="default" w:ascii="Calibri" w:hAnsi="Calibri" w:eastAsia="楷体_GB2312" w:cs="Calibri"/>
                      <w:b/>
                      <w:w w:val="70"/>
                      <w:sz w:val="20"/>
                      <w:szCs w:val="20"/>
                    </w:rPr>
                  </w:pPr>
                </w:p>
              </w:tc>
            </w:tr>
            <w:tr w14:paraId="3BD01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3BD010E6">
                  <w:pPr>
                    <w:pStyle w:val="23"/>
                    <w:spacing w:after="60"/>
                    <w:rPr>
                      <w:rFonts w:hint="default" w:ascii="Calibri" w:hAnsi="Calibri" w:eastAsia="楷体_GB2312" w:cs="Calibri"/>
                      <w:b/>
                      <w:w w:val="70"/>
                      <w:sz w:val="20"/>
                      <w:szCs w:val="20"/>
                      <w:lang w:eastAsia="zh-CN"/>
                    </w:rPr>
                  </w:pPr>
                </w:p>
              </w:tc>
            </w:tr>
          </w:tbl>
          <w:p w14:paraId="3BD010E8">
            <w:pPr>
              <w:rPr>
                <w:rFonts w:hint="default" w:ascii="Calibri" w:hAnsi="Calibri" w:eastAsia="楷体_GB2312" w:cs="Calibri"/>
                <w:sz w:val="20"/>
                <w:szCs w:val="20"/>
                <w:lang w:eastAsia="zh-CN"/>
              </w:rPr>
            </w:pPr>
          </w:p>
        </w:tc>
      </w:tr>
      <w:tr w14:paraId="3BD010F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11" w:type="dxa"/>
          <w:trHeight w:val="227" w:hRule="atLeast"/>
        </w:trPr>
        <w:tc>
          <w:tcPr>
            <w:tcW w:w="11188" w:type="dxa"/>
          </w:tcPr>
          <w:p w14:paraId="3BD010EA">
            <w:pPr>
              <w:pStyle w:val="23"/>
              <w:rPr>
                <w:rFonts w:hint="default" w:ascii="Calibri" w:hAnsi="Calibri" w:eastAsia="楷体_GB2312" w:cs="Calibri"/>
                <w:b/>
                <w:w w:val="70"/>
                <w:sz w:val="20"/>
                <w:szCs w:val="20"/>
              </w:rPr>
            </w:pPr>
            <w:r>
              <w:rPr>
                <w:rFonts w:hint="default" w:ascii="Calibri" w:hAnsi="Calibri" w:eastAsia="楷体_GB2312" w:cs="Calibri"/>
                <w:b/>
                <w:w w:val="70"/>
                <w:sz w:val="20"/>
                <w:szCs w:val="20"/>
              </w:rPr>
              <w:t>Recommendation Chart</w:t>
            </w:r>
          </w:p>
          <w:tbl>
            <w:tblPr>
              <w:tblStyle w:val="11"/>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tblGrid>
            <w:tr w14:paraId="3BD010E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3BD010EB">
                  <w:pPr>
                    <w:pStyle w:val="23"/>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w:t>
                  </w:r>
                  <w:r>
                    <w:rPr>
                      <w:rFonts w:hint="default" w:ascii="Calibri" w:hAnsi="Calibri" w:eastAsia="楷体_GB2312" w:cs="Calibri"/>
                      <w:b/>
                      <w:w w:val="70"/>
                      <w:sz w:val="20"/>
                      <w:szCs w:val="20"/>
                      <w:lang w:eastAsia="zh-CN"/>
                    </w:rPr>
                    <w:t>Table_RecommendationChart]</w:t>
                  </w:r>
                </w:p>
              </w:tc>
            </w:tr>
            <w:tr w14:paraId="3BD010E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BD010ED">
                  <w:pPr>
                    <w:pStyle w:val="23"/>
                    <w:rPr>
                      <w:rFonts w:hint="default" w:ascii="Calibri" w:hAnsi="Calibri" w:eastAsia="楷体_GB2312" w:cs="Calibri"/>
                      <w:b/>
                      <w:w w:val="70"/>
                      <w:sz w:val="20"/>
                      <w:szCs w:val="20"/>
                    </w:rPr>
                  </w:pPr>
                  <w:r>
                    <w:rPr>
                      <w:rFonts w:hint="default" w:ascii="Calibri" w:hAnsi="Calibri" w:eastAsia="楷体_GB2312" w:cs="Calibri"/>
                    </w:rPr>
                    <w:drawing>
                      <wp:inline distT="0" distB="0" distL="0" distR="0">
                        <wp:extent cx="6350000" cy="3810000"/>
                        <wp:effectExtent l="0" t="0" r="5080" b="0"/>
                        <wp:docPr id="8" name="Drawing 8" descr="/data/deploy/attachments/file/temp/202603/1774417348459_faX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data/deploy/attachments/file/temp/202603/1774417348459_faXft.png"/>
                                <pic:cNvPicPr>
                                  <a:picLocks noChangeAspect="1"/>
                                </pic:cNvPicPr>
                              </pic:nvPicPr>
                              <pic:blipFill>
                                <a:blip r:embed="rId22"/>
                                <a:stretch>
                                  <a:fillRect/>
                                </a:stretch>
                              </pic:blipFill>
                              <pic:spPr>
                                <a:xfrm>
                                  <a:off x="0" y="0"/>
                                  <a:ext cx="6350000" cy="3810000"/>
                                </a:xfrm>
                                <a:prstGeom prst="rect">
                                  <a:avLst/>
                                </a:prstGeom>
                              </pic:spPr>
                            </pic:pic>
                          </a:graphicData>
                        </a:graphic>
                      </wp:inline>
                    </w:drawing>
                  </w:r>
                </w:p>
              </w:tc>
            </w:tr>
            <w:tr w14:paraId="3BD010F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BD010EF">
                  <w:pPr>
                    <w:pStyle w:val="23"/>
                    <w:rPr>
                      <w:rFonts w:hint="default" w:ascii="Calibri" w:hAnsi="Calibri" w:eastAsia="楷体_GB2312" w:cs="Calibri"/>
                      <w:b/>
                      <w:w w:val="70"/>
                      <w:sz w:val="20"/>
                      <w:szCs w:val="20"/>
                    </w:rPr>
                  </w:pPr>
                  <w:r>
                    <w:rPr>
                      <w:rFonts w:hint="default" w:ascii="Calibri" w:hAnsi="Calibri" w:eastAsia="楷体_GB2312" w:cs="Calibri"/>
                      <w:b w:val="0"/>
                      <w:i/>
                      <w:color w:val="000000"/>
                      <w:sz w:val="12"/>
                    </w:rPr>
                    <w:t>Source: Company data Bloomberg, HFI estimates</w:t>
                  </w:r>
                </w:p>
              </w:tc>
            </w:tr>
          </w:tbl>
          <w:p w14:paraId="3BD010F1">
            <w:pPr>
              <w:pStyle w:val="23"/>
              <w:rPr>
                <w:rFonts w:hint="default" w:ascii="Calibri" w:hAnsi="Calibri" w:eastAsia="楷体_GB2312" w:cs="Calibri"/>
                <w:b/>
                <w:w w:val="70"/>
                <w:sz w:val="20"/>
                <w:szCs w:val="20"/>
                <w:lang w:eastAsia="zh-CN"/>
              </w:rPr>
            </w:pPr>
          </w:p>
          <w:p w14:paraId="3BD010F2">
            <w:pPr>
              <w:pStyle w:val="69"/>
              <w:rPr>
                <w:rFonts w:hint="default" w:ascii="Calibri" w:hAnsi="Calibri" w:eastAsia="楷体_GB2312" w:cs="Calibri"/>
              </w:rPr>
            </w:pPr>
          </w:p>
        </w:tc>
      </w:tr>
    </w:tbl>
    <w:p w14:paraId="3BD010F4">
      <w:pPr>
        <w:pStyle w:val="69"/>
        <w:rPr>
          <w:rFonts w:hint="default" w:ascii="Calibri" w:hAnsi="Calibri" w:eastAsia="楷体_GB2312" w:cs="Calibri"/>
          <w:sz w:val="20"/>
          <w:szCs w:val="20"/>
        </w:rPr>
      </w:pPr>
    </w:p>
    <w:sectPr>
      <w:headerReference r:id="rId14" w:type="first"/>
      <w:footerReference r:id="rId16" w:type="first"/>
      <w:headerReference r:id="rId13" w:type="default"/>
      <w:footerReference r:id="rId15"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default"/>
    <w:sig w:usb0="E0002EFF" w:usb1="C000785B" w:usb2="00000009" w:usb3="00000000" w:csb0="400001FF" w:csb1="FFFF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C">
    <w:pPr>
      <w:pStyle w:val="19"/>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9778365</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3BD0113C">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69.95pt;height:3.95pt;width:583pt;mso-position-horizontal-relative:page;mso-position-vertical-relative:page;z-index:251660288;mso-width-relative:page;mso-height-relative:page;" fillcolor="#005BAC" filled="t" stroked="f" coordsize="21600,21600" o:gfxdata="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vOSS2QAA&#10;AA0BAAAPAAAAAAAAAAEAIAAAACIAAABkcnMvZG93bnJldi54bWxQSwECFAAUAAAACACHTuJArWeX&#10;Vh0CAAA+BAAADgAAAAAAAAABACAAAAAoAQAAZHJzL2Uyb0RvYy54bWxQSwUGAAAAAAYABgBZAQAA&#10;twUAAAAA&#10;">
              <v:fill on="t" focussize="0,0"/>
              <v:stroke on="f"/>
              <v:imagedata o:title=""/>
              <o:lock v:ext="edit" aspectratio="f"/>
              <v:textbox>
                <w:txbxContent>
                  <w:p w14:paraId="3BD0113C">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-3177540</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1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BD011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3BD0113D">
                                <w:pPr>
                                  <w:pStyle w:val="14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BD0114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BD0113F">
                                <w:pPr>
                                  <w:pStyle w:val="140"/>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D01141">
                          <w:pPr>
                            <w:pStyle w:val="140"/>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0.2pt;margin-top:775.2pt;height:63.6pt;width:580.8pt;mso-position-vertical-relative:page;z-index:251663360;mso-width-relative:page;mso-height-relative:page;" filled="f" stroked="f" coordsize="21600,21600" o:gfxdata="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a6352wAAAA4BAAAPAAAAAAAAAAEAIAAAACIAAABkcnMvZG93&#10;bnJldi54bWxQSwECFAAUAAAACACHTuJA0UYOX/0BAAAHBAAADgAAAAAAAAABACAAAAAqAQAAZHJz&#10;L2Uyb0RvYy54bWxQSwUGAAAAAAYABgBZAQAAmQUAAAAA&#10;">
              <v:fill on="f" focussize="0,0"/>
              <v:stroke on="f"/>
              <v:imagedata o:title=""/>
              <o:lock v:ext="edit" aspectratio="f"/>
              <v:textbox inset="0mm,0mm,0mm,0mm">
                <w:txbxContent>
                  <w:tbl>
                    <w:tblPr>
                      <w:tblStyle w:val="1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BD011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3BD0113D">
                          <w:pPr>
                            <w:pStyle w:val="14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BD0114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BD0113F">
                          <w:pPr>
                            <w:pStyle w:val="140"/>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D01141">
                    <w:pPr>
                      <w:pStyle w:val="140"/>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B">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E">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3BD0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3BD01110">
          <w:pPr>
            <w:pStyle w:val="2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4</w:t>
          </w:r>
          <w:r>
            <w:fldChar w:fldCharType="end"/>
          </w:r>
        </w:p>
      </w:tc>
    </w:tr>
  </w:tbl>
  <w:p w14:paraId="3BD01112">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114">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BD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3BD01124">
          <w:pPr>
            <w:pStyle w:val="2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3BD01126">
    <w:pPr>
      <w:pStyle w:val="1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128">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A">
    <w:pPr>
      <w:pStyle w:val="19"/>
    </w:pPr>
    <w:r>
      <w:rPr>
        <w:snapToGrid/>
      </w:rPr>
      <w:drawing>
        <wp:anchor distT="0" distB="0" distL="114300" distR="114300" simplePos="0" relativeHeight="251664384" behindDoc="0" locked="0" layoutInCell="1" allowOverlap="1">
          <wp:simplePos x="0" y="0"/>
          <wp:positionH relativeFrom="margin">
            <wp:align>right</wp:align>
          </wp:positionH>
          <wp:positionV relativeFrom="paragraph">
            <wp:posOffset>291465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-2529840</wp:posOffset>
              </wp:positionH>
              <wp:positionV relativeFrom="paragraph">
                <wp:posOffset>1709420</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11"/>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BD01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3BD01135">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3BD0113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3BD0113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3BD0113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9.2pt;margin-top:134.6pt;height:22.8pt;width:180.45pt;z-index:251661312;mso-width-relative:page;mso-height-relative:page;" filled="f" stroked="f" coordsize="21600,21600" o:gfxdata="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dPc5toAAAAMAQAADwAAAAAAAAABACAAAAAiAAAAZHJzL2Rvd25yZXYueG1sUEsBAhQAFAAA&#10;AAgAh07iQEQ8CgsmAgAAKwQAAA4AAAAAAAAAAQAgAAAAKQEAAGRycy9lMm9Eb2MueG1sUEsFBgAA&#10;AAAGAAYAWQEAAMEFAAAAAA==&#10;">
              <v:fill on="f" focussize="0,0"/>
              <v:stroke on="f" miterlimit="8" joinstyle="miter"/>
              <v:imagedata o:title=""/>
              <o:lock v:ext="edit" aspectratio="f"/>
              <v:textbox>
                <w:txbxContent>
                  <w:tbl>
                    <w:tblPr>
                      <w:tblStyle w:val="11"/>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BD01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3BD01135">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3BD0113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3BD0113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3BD01139">
                    <w:pPr>
                      <w:spacing w:line="40" w:lineRule="exact"/>
                      <w:rPr>
                        <w:rFonts w:eastAsia="楷体_GB2312"/>
                        <w:color w:val="23558C"/>
                        <w:sz w:val="10"/>
                        <w:szCs w:val="10"/>
                        <w:lang w:eastAsia="zh-CN"/>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3BD0113A">
                          <w:pPr>
                            <w:pStyle w:val="19"/>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3BD0113B"/>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3BD0113A">
                    <w:pPr>
                      <w:pStyle w:val="19"/>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3BD0113B"/>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0FD">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54"/>
      <w:gridCol w:w="4453"/>
    </w:tblGrid>
    <w:tr w14:paraId="3BD0110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345" w:type="dxa"/>
          <w:tcBorders>
            <w:top w:val="nil"/>
            <w:bottom w:val="nil"/>
          </w:tcBorders>
          <w:vAlign w:val="center"/>
        </w:tcPr>
        <w:p w14:paraId="3BD01109">
          <w:pPr>
            <w:pStyle w:val="19"/>
            <w:rPr>
              <w:rFonts w:eastAsia="楷体_GB2312"/>
              <w:color w:val="FF0000"/>
              <w:sz w:val="24"/>
              <w:lang w:eastAsia="zh-CN"/>
            </w:rPr>
          </w:pPr>
          <w:r>
            <w:rPr>
              <w:rFonts w:eastAsia="楷体_GB2312"/>
              <w:color w:val="FFFFFF" w:themeColor="background1"/>
              <w:sz w:val="24"/>
              <w:lang w:eastAsia="zh-CN"/>
              <w14:textFill>
                <w14:solidFill>
                  <w14:schemeClr w14:val="bg1"/>
                </w14:solidFill>
              </w14:textFill>
            </w:rPr>
            <w:t>[Table_header2]</w:t>
          </w:r>
        </w:p>
      </w:tc>
      <w:tc>
        <w:tcPr>
          <w:tcW w:w="4536" w:type="dxa"/>
          <w:tcBorders>
            <w:top w:val="nil"/>
            <w:bottom w:val="nil"/>
          </w:tcBorders>
          <w:vAlign w:val="center"/>
        </w:tcPr>
        <w:p w14:paraId="3BD0110A">
          <w:pPr>
            <w:pStyle w:val="19"/>
            <w:jc w:val="right"/>
            <w:rPr>
              <w:rStyle w:val="61"/>
              <w:rFonts w:eastAsia="楷体_GB2312"/>
              <w:color w:val="FF0000"/>
              <w:sz w:val="24"/>
              <w:lang w:eastAsia="zh-CN"/>
            </w:rPr>
          </w:pPr>
        </w:p>
      </w:tc>
    </w:tr>
    <w:tr w14:paraId="3BD0110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5" w:type="dxa"/>
          <w:tcBorders>
            <w:top w:val="nil"/>
          </w:tcBorders>
          <w:vAlign w:val="center"/>
        </w:tcPr>
        <w:p w14:paraId="3BD0110C">
          <w:pPr>
            <w:pStyle w:val="19"/>
            <w:rPr>
              <w:rFonts w:eastAsia="楷体_GB2312" w:cs="Calibri"/>
              <w:color w:val="005BAC"/>
              <w:sz w:val="24"/>
              <w:szCs w:val="24"/>
              <w:lang w:eastAsia="zh-CN"/>
            </w:rPr>
          </w:pPr>
          <w:r>
            <w:rPr>
              <w:rFonts w:ascii="Calibri" w:eastAsia="楷体_GB2312"/>
              <w:b/>
              <w:i w:val="0"/>
              <w:color w:val="215E99"/>
              <w:sz w:val="24"/>
            </w:rPr>
            <w:t>西锐飞机(2507 HK)</w:t>
          </w:r>
        </w:p>
      </w:tc>
      <w:tc>
        <w:tcPr>
          <w:tcW w:w="4536" w:type="dxa"/>
          <w:tcBorders>
            <w:top w:val="nil"/>
          </w:tcBorders>
          <w:vAlign w:val="center"/>
        </w:tcPr>
        <w:p w14:paraId="3BD0110D">
          <w:pPr>
            <w:pStyle w:val="19"/>
            <w:jc w:val="right"/>
            <w:rPr>
              <w:rStyle w:val="61"/>
              <w:rFonts w:eastAsia="楷体_GB2312" w:cs="Calibri"/>
              <w:color w:val="005BAC"/>
              <w:sz w:val="24"/>
              <w:lang w:eastAsia="zh-CN"/>
            </w:rPr>
          </w:pPr>
          <w:r>
            <w:rPr>
              <w:rFonts w:ascii="Calibri" w:eastAsia="楷体_GB2312"/>
              <w:b/>
              <w:i w:val="0"/>
              <w:color w:val="215E99"/>
              <w:sz w:val="24"/>
            </w:rPr>
            <w:t>下调至中性</w:t>
          </w:r>
        </w:p>
      </w:tc>
    </w:tr>
  </w:tbl>
  <w:p w14:paraId="3BD0110F">
    <w:pPr>
      <w:pStyle w:val="1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113">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122">
    <w:pPr>
      <w:pStyle w:val="19"/>
    </w:pPr>
  </w:p>
  <w:p w14:paraId="3BD01123">
    <w:pPr>
      <w:pStyle w:val="1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112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5"/>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4"/>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100"/>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3"/>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6"/>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2B5102"/>
    <w:multiLevelType w:val="multilevel"/>
    <w:tmpl w:val="662B5102"/>
    <w:lvl w:ilvl="0" w:tentative="0">
      <w:start w:val="1"/>
      <w:numFmt w:val="bullet"/>
      <w:pStyle w:val="85"/>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C4E34EC"/>
    <w:multiLevelType w:val="multilevel"/>
    <w:tmpl w:val="6C4E34EC"/>
    <w:lvl w:ilvl="0" w:tentative="0">
      <w:start w:val="1"/>
      <w:numFmt w:val="bullet"/>
      <w:pStyle w:val="52"/>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8A"/>
    <w:rsid w:val="000130D9"/>
    <w:rsid w:val="00013244"/>
    <w:rsid w:val="0001353C"/>
    <w:rsid w:val="00013C0A"/>
    <w:rsid w:val="000146CB"/>
    <w:rsid w:val="00014903"/>
    <w:rsid w:val="000171D2"/>
    <w:rsid w:val="000201AE"/>
    <w:rsid w:val="00020B7A"/>
    <w:rsid w:val="00020DC7"/>
    <w:rsid w:val="00021DAC"/>
    <w:rsid w:val="00021DD0"/>
    <w:rsid w:val="000228DF"/>
    <w:rsid w:val="00022C11"/>
    <w:rsid w:val="00023367"/>
    <w:rsid w:val="000234C5"/>
    <w:rsid w:val="000235E3"/>
    <w:rsid w:val="0002434D"/>
    <w:rsid w:val="00024F59"/>
    <w:rsid w:val="0002500A"/>
    <w:rsid w:val="000251C8"/>
    <w:rsid w:val="00025271"/>
    <w:rsid w:val="000255D9"/>
    <w:rsid w:val="00025E71"/>
    <w:rsid w:val="00025F59"/>
    <w:rsid w:val="000267AC"/>
    <w:rsid w:val="00026B55"/>
    <w:rsid w:val="00026DCC"/>
    <w:rsid w:val="00027183"/>
    <w:rsid w:val="0002740F"/>
    <w:rsid w:val="00027FEF"/>
    <w:rsid w:val="00032B31"/>
    <w:rsid w:val="000336C8"/>
    <w:rsid w:val="00033DF7"/>
    <w:rsid w:val="000347D5"/>
    <w:rsid w:val="00035535"/>
    <w:rsid w:val="00035E45"/>
    <w:rsid w:val="0003686B"/>
    <w:rsid w:val="000410B9"/>
    <w:rsid w:val="00041A6F"/>
    <w:rsid w:val="0004283E"/>
    <w:rsid w:val="00043062"/>
    <w:rsid w:val="00043657"/>
    <w:rsid w:val="0004399F"/>
    <w:rsid w:val="00047830"/>
    <w:rsid w:val="00047D52"/>
    <w:rsid w:val="00047F1F"/>
    <w:rsid w:val="000516AD"/>
    <w:rsid w:val="00051EC9"/>
    <w:rsid w:val="00052DCF"/>
    <w:rsid w:val="00053BBB"/>
    <w:rsid w:val="00053F18"/>
    <w:rsid w:val="00054224"/>
    <w:rsid w:val="00054231"/>
    <w:rsid w:val="0005444B"/>
    <w:rsid w:val="00054451"/>
    <w:rsid w:val="000548F3"/>
    <w:rsid w:val="000551D4"/>
    <w:rsid w:val="00055381"/>
    <w:rsid w:val="000564C8"/>
    <w:rsid w:val="00056B03"/>
    <w:rsid w:val="00057779"/>
    <w:rsid w:val="00057EDA"/>
    <w:rsid w:val="00060BC0"/>
    <w:rsid w:val="00060C81"/>
    <w:rsid w:val="00062452"/>
    <w:rsid w:val="000629E3"/>
    <w:rsid w:val="00062CC5"/>
    <w:rsid w:val="000639EB"/>
    <w:rsid w:val="00063EA0"/>
    <w:rsid w:val="000640E9"/>
    <w:rsid w:val="0006450C"/>
    <w:rsid w:val="00064BEB"/>
    <w:rsid w:val="00065200"/>
    <w:rsid w:val="000662BB"/>
    <w:rsid w:val="00066838"/>
    <w:rsid w:val="00067C6F"/>
    <w:rsid w:val="000700E0"/>
    <w:rsid w:val="00070B53"/>
    <w:rsid w:val="00072EBE"/>
    <w:rsid w:val="0007309A"/>
    <w:rsid w:val="00073BEB"/>
    <w:rsid w:val="000746CD"/>
    <w:rsid w:val="0007570F"/>
    <w:rsid w:val="00075771"/>
    <w:rsid w:val="00077BA0"/>
    <w:rsid w:val="00077E8C"/>
    <w:rsid w:val="00080296"/>
    <w:rsid w:val="000810B3"/>
    <w:rsid w:val="00081E65"/>
    <w:rsid w:val="00085E3F"/>
    <w:rsid w:val="000860EA"/>
    <w:rsid w:val="00086E96"/>
    <w:rsid w:val="0008775D"/>
    <w:rsid w:val="0009175B"/>
    <w:rsid w:val="00091895"/>
    <w:rsid w:val="00091AFF"/>
    <w:rsid w:val="000920C4"/>
    <w:rsid w:val="000924C1"/>
    <w:rsid w:val="00093274"/>
    <w:rsid w:val="00094A4C"/>
    <w:rsid w:val="00094B1D"/>
    <w:rsid w:val="00094FAC"/>
    <w:rsid w:val="000958A7"/>
    <w:rsid w:val="000964A0"/>
    <w:rsid w:val="000964CE"/>
    <w:rsid w:val="000968FB"/>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A1B"/>
    <w:rsid w:val="000A6FBA"/>
    <w:rsid w:val="000A7E66"/>
    <w:rsid w:val="000B1391"/>
    <w:rsid w:val="000B13C1"/>
    <w:rsid w:val="000B18D6"/>
    <w:rsid w:val="000B2336"/>
    <w:rsid w:val="000B33B6"/>
    <w:rsid w:val="000B3B6A"/>
    <w:rsid w:val="000B465C"/>
    <w:rsid w:val="000B4EAC"/>
    <w:rsid w:val="000B5622"/>
    <w:rsid w:val="000B6286"/>
    <w:rsid w:val="000B7DE2"/>
    <w:rsid w:val="000C02F6"/>
    <w:rsid w:val="000C1F65"/>
    <w:rsid w:val="000C2BC1"/>
    <w:rsid w:val="000C2E9E"/>
    <w:rsid w:val="000C3D03"/>
    <w:rsid w:val="000C627B"/>
    <w:rsid w:val="000C6614"/>
    <w:rsid w:val="000C7E1A"/>
    <w:rsid w:val="000D158C"/>
    <w:rsid w:val="000D1903"/>
    <w:rsid w:val="000D19B0"/>
    <w:rsid w:val="000D1A3C"/>
    <w:rsid w:val="000D2D34"/>
    <w:rsid w:val="000D61EA"/>
    <w:rsid w:val="000E1100"/>
    <w:rsid w:val="000E1A93"/>
    <w:rsid w:val="000E1FB8"/>
    <w:rsid w:val="000E35E3"/>
    <w:rsid w:val="000E38B5"/>
    <w:rsid w:val="000E3BD4"/>
    <w:rsid w:val="000E3E8B"/>
    <w:rsid w:val="000E4F8C"/>
    <w:rsid w:val="000E5287"/>
    <w:rsid w:val="000E5862"/>
    <w:rsid w:val="000E5D6F"/>
    <w:rsid w:val="000E664D"/>
    <w:rsid w:val="000F1504"/>
    <w:rsid w:val="000F2165"/>
    <w:rsid w:val="000F240F"/>
    <w:rsid w:val="000F2DBB"/>
    <w:rsid w:val="000F3079"/>
    <w:rsid w:val="000F344B"/>
    <w:rsid w:val="000F3823"/>
    <w:rsid w:val="000F3E87"/>
    <w:rsid w:val="000F445A"/>
    <w:rsid w:val="000F4524"/>
    <w:rsid w:val="000F48CA"/>
    <w:rsid w:val="000F4B02"/>
    <w:rsid w:val="000F4E66"/>
    <w:rsid w:val="000F520F"/>
    <w:rsid w:val="000F587B"/>
    <w:rsid w:val="000F58C6"/>
    <w:rsid w:val="000F5BDB"/>
    <w:rsid w:val="000F6139"/>
    <w:rsid w:val="000F626D"/>
    <w:rsid w:val="000F6300"/>
    <w:rsid w:val="000F6823"/>
    <w:rsid w:val="000F73BE"/>
    <w:rsid w:val="0010176D"/>
    <w:rsid w:val="00103CDB"/>
    <w:rsid w:val="00105298"/>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130B"/>
    <w:rsid w:val="00121D76"/>
    <w:rsid w:val="00123AC1"/>
    <w:rsid w:val="0012412A"/>
    <w:rsid w:val="00124271"/>
    <w:rsid w:val="00125D88"/>
    <w:rsid w:val="0012686A"/>
    <w:rsid w:val="00126871"/>
    <w:rsid w:val="00127CD0"/>
    <w:rsid w:val="00130841"/>
    <w:rsid w:val="00130BC2"/>
    <w:rsid w:val="001311FC"/>
    <w:rsid w:val="0013302A"/>
    <w:rsid w:val="00133D86"/>
    <w:rsid w:val="0013455D"/>
    <w:rsid w:val="001345B6"/>
    <w:rsid w:val="00135A41"/>
    <w:rsid w:val="00136803"/>
    <w:rsid w:val="00137678"/>
    <w:rsid w:val="0014055E"/>
    <w:rsid w:val="00140D27"/>
    <w:rsid w:val="00140E2E"/>
    <w:rsid w:val="00141167"/>
    <w:rsid w:val="00143223"/>
    <w:rsid w:val="001447D7"/>
    <w:rsid w:val="00144ADD"/>
    <w:rsid w:val="001453D1"/>
    <w:rsid w:val="00146B74"/>
    <w:rsid w:val="00147D4C"/>
    <w:rsid w:val="00147D9D"/>
    <w:rsid w:val="00150630"/>
    <w:rsid w:val="00151197"/>
    <w:rsid w:val="001513EB"/>
    <w:rsid w:val="0015270C"/>
    <w:rsid w:val="00152755"/>
    <w:rsid w:val="001529C2"/>
    <w:rsid w:val="00153A16"/>
    <w:rsid w:val="00153A6A"/>
    <w:rsid w:val="00153D09"/>
    <w:rsid w:val="00154F38"/>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DCB"/>
    <w:rsid w:val="001721EC"/>
    <w:rsid w:val="00175F0D"/>
    <w:rsid w:val="001763B0"/>
    <w:rsid w:val="0017673B"/>
    <w:rsid w:val="0017675F"/>
    <w:rsid w:val="001771D0"/>
    <w:rsid w:val="00177FA4"/>
    <w:rsid w:val="00180D13"/>
    <w:rsid w:val="00181893"/>
    <w:rsid w:val="00181F69"/>
    <w:rsid w:val="00182FB0"/>
    <w:rsid w:val="001851F4"/>
    <w:rsid w:val="0018583D"/>
    <w:rsid w:val="00185B06"/>
    <w:rsid w:val="00186D51"/>
    <w:rsid w:val="001872F4"/>
    <w:rsid w:val="001875FC"/>
    <w:rsid w:val="0019085F"/>
    <w:rsid w:val="0019111C"/>
    <w:rsid w:val="00191D87"/>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473"/>
    <w:rsid w:val="001B1F03"/>
    <w:rsid w:val="001B3090"/>
    <w:rsid w:val="001B31CA"/>
    <w:rsid w:val="001B3D32"/>
    <w:rsid w:val="001B3E45"/>
    <w:rsid w:val="001B3EF5"/>
    <w:rsid w:val="001B45FD"/>
    <w:rsid w:val="001B572E"/>
    <w:rsid w:val="001B69E6"/>
    <w:rsid w:val="001B72B7"/>
    <w:rsid w:val="001C020B"/>
    <w:rsid w:val="001C0553"/>
    <w:rsid w:val="001C0FB3"/>
    <w:rsid w:val="001C105A"/>
    <w:rsid w:val="001C1410"/>
    <w:rsid w:val="001C2549"/>
    <w:rsid w:val="001C2D27"/>
    <w:rsid w:val="001C3243"/>
    <w:rsid w:val="001C3C78"/>
    <w:rsid w:val="001C5458"/>
    <w:rsid w:val="001C577A"/>
    <w:rsid w:val="001C5D7B"/>
    <w:rsid w:val="001C62E1"/>
    <w:rsid w:val="001C637C"/>
    <w:rsid w:val="001C6401"/>
    <w:rsid w:val="001C777D"/>
    <w:rsid w:val="001C77F6"/>
    <w:rsid w:val="001C7FED"/>
    <w:rsid w:val="001D00D0"/>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6299"/>
    <w:rsid w:val="001F6707"/>
    <w:rsid w:val="001F75AC"/>
    <w:rsid w:val="001F78F7"/>
    <w:rsid w:val="00200B71"/>
    <w:rsid w:val="00201113"/>
    <w:rsid w:val="0020168F"/>
    <w:rsid w:val="002017C5"/>
    <w:rsid w:val="00201E49"/>
    <w:rsid w:val="0020268B"/>
    <w:rsid w:val="0020295D"/>
    <w:rsid w:val="00203E93"/>
    <w:rsid w:val="002047C0"/>
    <w:rsid w:val="00205DDC"/>
    <w:rsid w:val="00205F60"/>
    <w:rsid w:val="00206011"/>
    <w:rsid w:val="0020724C"/>
    <w:rsid w:val="00207881"/>
    <w:rsid w:val="002110FC"/>
    <w:rsid w:val="00211B55"/>
    <w:rsid w:val="0021325D"/>
    <w:rsid w:val="00214810"/>
    <w:rsid w:val="00214CA6"/>
    <w:rsid w:val="00215AB9"/>
    <w:rsid w:val="00215D4D"/>
    <w:rsid w:val="00215E52"/>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3031"/>
    <w:rsid w:val="002333C1"/>
    <w:rsid w:val="00237463"/>
    <w:rsid w:val="0023779B"/>
    <w:rsid w:val="00240167"/>
    <w:rsid w:val="0024040E"/>
    <w:rsid w:val="00240493"/>
    <w:rsid w:val="002408B0"/>
    <w:rsid w:val="00240D3A"/>
    <w:rsid w:val="002416ED"/>
    <w:rsid w:val="00241CBE"/>
    <w:rsid w:val="00241E5D"/>
    <w:rsid w:val="00242E7B"/>
    <w:rsid w:val="0024314C"/>
    <w:rsid w:val="00243BC1"/>
    <w:rsid w:val="00244462"/>
    <w:rsid w:val="00245858"/>
    <w:rsid w:val="00246972"/>
    <w:rsid w:val="00247965"/>
    <w:rsid w:val="002501F5"/>
    <w:rsid w:val="0025139A"/>
    <w:rsid w:val="00251EC5"/>
    <w:rsid w:val="002529E2"/>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948"/>
    <w:rsid w:val="00267EFE"/>
    <w:rsid w:val="00270C4E"/>
    <w:rsid w:val="002716F0"/>
    <w:rsid w:val="002721BC"/>
    <w:rsid w:val="0027305C"/>
    <w:rsid w:val="00275A6D"/>
    <w:rsid w:val="00275B79"/>
    <w:rsid w:val="00275CDD"/>
    <w:rsid w:val="002762A7"/>
    <w:rsid w:val="00276A7D"/>
    <w:rsid w:val="00276B51"/>
    <w:rsid w:val="00276D38"/>
    <w:rsid w:val="002772E9"/>
    <w:rsid w:val="002777FE"/>
    <w:rsid w:val="00280FB4"/>
    <w:rsid w:val="00281553"/>
    <w:rsid w:val="00281946"/>
    <w:rsid w:val="00281A1E"/>
    <w:rsid w:val="00282413"/>
    <w:rsid w:val="00282468"/>
    <w:rsid w:val="0028248E"/>
    <w:rsid w:val="00282A74"/>
    <w:rsid w:val="00282B2F"/>
    <w:rsid w:val="00282B6C"/>
    <w:rsid w:val="002833B6"/>
    <w:rsid w:val="00283A36"/>
    <w:rsid w:val="00283A64"/>
    <w:rsid w:val="002843D0"/>
    <w:rsid w:val="002846D0"/>
    <w:rsid w:val="00284A68"/>
    <w:rsid w:val="00286353"/>
    <w:rsid w:val="0028644A"/>
    <w:rsid w:val="00286C1A"/>
    <w:rsid w:val="00286C20"/>
    <w:rsid w:val="00286E37"/>
    <w:rsid w:val="0029111D"/>
    <w:rsid w:val="00293C73"/>
    <w:rsid w:val="00293E45"/>
    <w:rsid w:val="0029503A"/>
    <w:rsid w:val="002969CE"/>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721"/>
    <w:rsid w:val="002B2987"/>
    <w:rsid w:val="002B2C18"/>
    <w:rsid w:val="002B421E"/>
    <w:rsid w:val="002B4A3C"/>
    <w:rsid w:val="002B4AC7"/>
    <w:rsid w:val="002B516B"/>
    <w:rsid w:val="002B6571"/>
    <w:rsid w:val="002B68AF"/>
    <w:rsid w:val="002B7296"/>
    <w:rsid w:val="002C07D1"/>
    <w:rsid w:val="002C0CCE"/>
    <w:rsid w:val="002C1347"/>
    <w:rsid w:val="002C1857"/>
    <w:rsid w:val="002C1C8D"/>
    <w:rsid w:val="002C2D27"/>
    <w:rsid w:val="002C3E56"/>
    <w:rsid w:val="002C51E2"/>
    <w:rsid w:val="002C5BFC"/>
    <w:rsid w:val="002C609E"/>
    <w:rsid w:val="002C6476"/>
    <w:rsid w:val="002C68FB"/>
    <w:rsid w:val="002C6AA2"/>
    <w:rsid w:val="002C6FAE"/>
    <w:rsid w:val="002C7902"/>
    <w:rsid w:val="002C7CC5"/>
    <w:rsid w:val="002D1C70"/>
    <w:rsid w:val="002D3B23"/>
    <w:rsid w:val="002D3D8A"/>
    <w:rsid w:val="002D4438"/>
    <w:rsid w:val="002D524C"/>
    <w:rsid w:val="002D7C1D"/>
    <w:rsid w:val="002D7CB8"/>
    <w:rsid w:val="002E3842"/>
    <w:rsid w:val="002E400B"/>
    <w:rsid w:val="002E4281"/>
    <w:rsid w:val="002E5175"/>
    <w:rsid w:val="002E6900"/>
    <w:rsid w:val="002F00B0"/>
    <w:rsid w:val="002F00E8"/>
    <w:rsid w:val="002F09A8"/>
    <w:rsid w:val="002F09F8"/>
    <w:rsid w:val="002F0EEC"/>
    <w:rsid w:val="002F113C"/>
    <w:rsid w:val="002F1C9A"/>
    <w:rsid w:val="002F1E40"/>
    <w:rsid w:val="002F3F48"/>
    <w:rsid w:val="002F437F"/>
    <w:rsid w:val="002F65E1"/>
    <w:rsid w:val="002F74B7"/>
    <w:rsid w:val="002F79B1"/>
    <w:rsid w:val="00301355"/>
    <w:rsid w:val="003015C5"/>
    <w:rsid w:val="0030327A"/>
    <w:rsid w:val="00303F8F"/>
    <w:rsid w:val="00304304"/>
    <w:rsid w:val="00304467"/>
    <w:rsid w:val="00304E2E"/>
    <w:rsid w:val="003053EE"/>
    <w:rsid w:val="00305579"/>
    <w:rsid w:val="00305FAD"/>
    <w:rsid w:val="003104B3"/>
    <w:rsid w:val="003111EE"/>
    <w:rsid w:val="003122D1"/>
    <w:rsid w:val="003137DC"/>
    <w:rsid w:val="00313885"/>
    <w:rsid w:val="003142B9"/>
    <w:rsid w:val="003170E4"/>
    <w:rsid w:val="00317870"/>
    <w:rsid w:val="003200D1"/>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CFB"/>
    <w:rsid w:val="00363BD9"/>
    <w:rsid w:val="00364B54"/>
    <w:rsid w:val="00365E9C"/>
    <w:rsid w:val="00366310"/>
    <w:rsid w:val="00366ED6"/>
    <w:rsid w:val="0036739C"/>
    <w:rsid w:val="003677DE"/>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190"/>
    <w:rsid w:val="00385A0D"/>
    <w:rsid w:val="0038635C"/>
    <w:rsid w:val="00387071"/>
    <w:rsid w:val="00387C20"/>
    <w:rsid w:val="00387F76"/>
    <w:rsid w:val="003902FB"/>
    <w:rsid w:val="00391299"/>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A7A97"/>
    <w:rsid w:val="003B0F8B"/>
    <w:rsid w:val="003B2E59"/>
    <w:rsid w:val="003B3DFE"/>
    <w:rsid w:val="003B3E37"/>
    <w:rsid w:val="003B3E41"/>
    <w:rsid w:val="003B509D"/>
    <w:rsid w:val="003B53AD"/>
    <w:rsid w:val="003B69AF"/>
    <w:rsid w:val="003B6D8D"/>
    <w:rsid w:val="003B7A01"/>
    <w:rsid w:val="003C0B2E"/>
    <w:rsid w:val="003C0CEC"/>
    <w:rsid w:val="003C2B17"/>
    <w:rsid w:val="003C2B67"/>
    <w:rsid w:val="003C3701"/>
    <w:rsid w:val="003C3ED1"/>
    <w:rsid w:val="003C5F1F"/>
    <w:rsid w:val="003C635C"/>
    <w:rsid w:val="003D0442"/>
    <w:rsid w:val="003D2049"/>
    <w:rsid w:val="003D220D"/>
    <w:rsid w:val="003D2FBC"/>
    <w:rsid w:val="003D306F"/>
    <w:rsid w:val="003D4C53"/>
    <w:rsid w:val="003D5B68"/>
    <w:rsid w:val="003D60E8"/>
    <w:rsid w:val="003E0642"/>
    <w:rsid w:val="003E095A"/>
    <w:rsid w:val="003E1544"/>
    <w:rsid w:val="003E1742"/>
    <w:rsid w:val="003E1947"/>
    <w:rsid w:val="003E20CF"/>
    <w:rsid w:val="003E21EF"/>
    <w:rsid w:val="003E36AF"/>
    <w:rsid w:val="003E4225"/>
    <w:rsid w:val="003E46AE"/>
    <w:rsid w:val="003E6A30"/>
    <w:rsid w:val="003F0B9B"/>
    <w:rsid w:val="003F1C5D"/>
    <w:rsid w:val="003F3133"/>
    <w:rsid w:val="003F3890"/>
    <w:rsid w:val="003F3B50"/>
    <w:rsid w:val="003F3D61"/>
    <w:rsid w:val="003F471A"/>
    <w:rsid w:val="003F53D2"/>
    <w:rsid w:val="003F6324"/>
    <w:rsid w:val="003F63B6"/>
    <w:rsid w:val="003F7C49"/>
    <w:rsid w:val="003F7F30"/>
    <w:rsid w:val="00401985"/>
    <w:rsid w:val="00401B4F"/>
    <w:rsid w:val="00402599"/>
    <w:rsid w:val="00402B6F"/>
    <w:rsid w:val="00402DAC"/>
    <w:rsid w:val="00402EF7"/>
    <w:rsid w:val="00403664"/>
    <w:rsid w:val="004040BC"/>
    <w:rsid w:val="00405023"/>
    <w:rsid w:val="00406080"/>
    <w:rsid w:val="00407691"/>
    <w:rsid w:val="00407D23"/>
    <w:rsid w:val="00410565"/>
    <w:rsid w:val="00410C8E"/>
    <w:rsid w:val="0041116F"/>
    <w:rsid w:val="0041162A"/>
    <w:rsid w:val="00411712"/>
    <w:rsid w:val="00411D19"/>
    <w:rsid w:val="00411FBC"/>
    <w:rsid w:val="0041212F"/>
    <w:rsid w:val="0041218C"/>
    <w:rsid w:val="0041231B"/>
    <w:rsid w:val="00412436"/>
    <w:rsid w:val="004128B0"/>
    <w:rsid w:val="004133EF"/>
    <w:rsid w:val="0041342D"/>
    <w:rsid w:val="00413DA3"/>
    <w:rsid w:val="00413FAA"/>
    <w:rsid w:val="00414D4E"/>
    <w:rsid w:val="0041610C"/>
    <w:rsid w:val="004165D1"/>
    <w:rsid w:val="0042042B"/>
    <w:rsid w:val="00420FFA"/>
    <w:rsid w:val="0042143C"/>
    <w:rsid w:val="00423186"/>
    <w:rsid w:val="00424323"/>
    <w:rsid w:val="00425552"/>
    <w:rsid w:val="00425799"/>
    <w:rsid w:val="004268E2"/>
    <w:rsid w:val="00426E9A"/>
    <w:rsid w:val="004308C2"/>
    <w:rsid w:val="0043142D"/>
    <w:rsid w:val="004317E7"/>
    <w:rsid w:val="00432736"/>
    <w:rsid w:val="0043325C"/>
    <w:rsid w:val="004343C0"/>
    <w:rsid w:val="004358FB"/>
    <w:rsid w:val="00436E43"/>
    <w:rsid w:val="00436F91"/>
    <w:rsid w:val="00437AE7"/>
    <w:rsid w:val="00437C5D"/>
    <w:rsid w:val="004419D5"/>
    <w:rsid w:val="004427CF"/>
    <w:rsid w:val="0044308E"/>
    <w:rsid w:val="004459F7"/>
    <w:rsid w:val="00445B35"/>
    <w:rsid w:val="0044603F"/>
    <w:rsid w:val="00446483"/>
    <w:rsid w:val="00446E1E"/>
    <w:rsid w:val="00447892"/>
    <w:rsid w:val="00447F55"/>
    <w:rsid w:val="00450236"/>
    <w:rsid w:val="00451B81"/>
    <w:rsid w:val="00451D9F"/>
    <w:rsid w:val="00452258"/>
    <w:rsid w:val="00452AA8"/>
    <w:rsid w:val="0045342C"/>
    <w:rsid w:val="00454315"/>
    <w:rsid w:val="00455784"/>
    <w:rsid w:val="0045656D"/>
    <w:rsid w:val="00457009"/>
    <w:rsid w:val="004614F7"/>
    <w:rsid w:val="004625C9"/>
    <w:rsid w:val="00463078"/>
    <w:rsid w:val="0046405E"/>
    <w:rsid w:val="0046476B"/>
    <w:rsid w:val="00466070"/>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87DDB"/>
    <w:rsid w:val="00490C1E"/>
    <w:rsid w:val="00490D07"/>
    <w:rsid w:val="004917E9"/>
    <w:rsid w:val="00491C58"/>
    <w:rsid w:val="004921D5"/>
    <w:rsid w:val="00492629"/>
    <w:rsid w:val="004926F7"/>
    <w:rsid w:val="00493228"/>
    <w:rsid w:val="00493479"/>
    <w:rsid w:val="00493ED4"/>
    <w:rsid w:val="00494369"/>
    <w:rsid w:val="004957E9"/>
    <w:rsid w:val="00495A6D"/>
    <w:rsid w:val="00496684"/>
    <w:rsid w:val="00496F1D"/>
    <w:rsid w:val="004A10C4"/>
    <w:rsid w:val="004A1510"/>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52F"/>
    <w:rsid w:val="004D07D7"/>
    <w:rsid w:val="004D08FF"/>
    <w:rsid w:val="004D0B93"/>
    <w:rsid w:val="004D179A"/>
    <w:rsid w:val="004D2B04"/>
    <w:rsid w:val="004D3AD0"/>
    <w:rsid w:val="004D414B"/>
    <w:rsid w:val="004D5D78"/>
    <w:rsid w:val="004D63DD"/>
    <w:rsid w:val="004D6FD8"/>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0D96"/>
    <w:rsid w:val="00501824"/>
    <w:rsid w:val="00502CBA"/>
    <w:rsid w:val="0050337A"/>
    <w:rsid w:val="00504579"/>
    <w:rsid w:val="005046B3"/>
    <w:rsid w:val="005058BF"/>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8D7"/>
    <w:rsid w:val="00526CF6"/>
    <w:rsid w:val="005278BB"/>
    <w:rsid w:val="00530EA3"/>
    <w:rsid w:val="005316E3"/>
    <w:rsid w:val="005322A6"/>
    <w:rsid w:val="0053303A"/>
    <w:rsid w:val="00533A32"/>
    <w:rsid w:val="00533DBD"/>
    <w:rsid w:val="005345BE"/>
    <w:rsid w:val="00534B5F"/>
    <w:rsid w:val="00535196"/>
    <w:rsid w:val="005353F3"/>
    <w:rsid w:val="00535B57"/>
    <w:rsid w:val="00535FC6"/>
    <w:rsid w:val="00536353"/>
    <w:rsid w:val="005368CB"/>
    <w:rsid w:val="00537C21"/>
    <w:rsid w:val="00540A1F"/>
    <w:rsid w:val="00540E1E"/>
    <w:rsid w:val="00541053"/>
    <w:rsid w:val="00541FF6"/>
    <w:rsid w:val="00542B47"/>
    <w:rsid w:val="00543926"/>
    <w:rsid w:val="00543C68"/>
    <w:rsid w:val="00543D0D"/>
    <w:rsid w:val="00544B2A"/>
    <w:rsid w:val="00546EDD"/>
    <w:rsid w:val="00547212"/>
    <w:rsid w:val="005502FC"/>
    <w:rsid w:val="0055185B"/>
    <w:rsid w:val="00552ABB"/>
    <w:rsid w:val="00552EA0"/>
    <w:rsid w:val="00553786"/>
    <w:rsid w:val="00553847"/>
    <w:rsid w:val="0055395D"/>
    <w:rsid w:val="00553ED4"/>
    <w:rsid w:val="00554097"/>
    <w:rsid w:val="00554174"/>
    <w:rsid w:val="005545B6"/>
    <w:rsid w:val="005554D3"/>
    <w:rsid w:val="00555A69"/>
    <w:rsid w:val="00556102"/>
    <w:rsid w:val="0055727A"/>
    <w:rsid w:val="0055730F"/>
    <w:rsid w:val="00560063"/>
    <w:rsid w:val="005600C6"/>
    <w:rsid w:val="00560847"/>
    <w:rsid w:val="00560D70"/>
    <w:rsid w:val="00561FC9"/>
    <w:rsid w:val="0056232A"/>
    <w:rsid w:val="005625E4"/>
    <w:rsid w:val="00562E67"/>
    <w:rsid w:val="005631DD"/>
    <w:rsid w:val="0056356D"/>
    <w:rsid w:val="005654CF"/>
    <w:rsid w:val="0056795A"/>
    <w:rsid w:val="005706CD"/>
    <w:rsid w:val="00570B4D"/>
    <w:rsid w:val="00570D9C"/>
    <w:rsid w:val="00570E72"/>
    <w:rsid w:val="00570EC0"/>
    <w:rsid w:val="00575E9D"/>
    <w:rsid w:val="00576317"/>
    <w:rsid w:val="005777CB"/>
    <w:rsid w:val="005779C2"/>
    <w:rsid w:val="00577DCE"/>
    <w:rsid w:val="005805F8"/>
    <w:rsid w:val="00580CF8"/>
    <w:rsid w:val="005811FD"/>
    <w:rsid w:val="00582AE8"/>
    <w:rsid w:val="0058321A"/>
    <w:rsid w:val="00584671"/>
    <w:rsid w:val="00585902"/>
    <w:rsid w:val="00585A30"/>
    <w:rsid w:val="00587EA1"/>
    <w:rsid w:val="005911BA"/>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2D1D"/>
    <w:rsid w:val="005A4568"/>
    <w:rsid w:val="005A6767"/>
    <w:rsid w:val="005A69D6"/>
    <w:rsid w:val="005A70A6"/>
    <w:rsid w:val="005A7259"/>
    <w:rsid w:val="005A773F"/>
    <w:rsid w:val="005A77B9"/>
    <w:rsid w:val="005B0456"/>
    <w:rsid w:val="005B0707"/>
    <w:rsid w:val="005B0BAC"/>
    <w:rsid w:val="005B0C31"/>
    <w:rsid w:val="005B174E"/>
    <w:rsid w:val="005B18D4"/>
    <w:rsid w:val="005B2D1A"/>
    <w:rsid w:val="005B403B"/>
    <w:rsid w:val="005B434C"/>
    <w:rsid w:val="005B4BA6"/>
    <w:rsid w:val="005B5EA9"/>
    <w:rsid w:val="005B6311"/>
    <w:rsid w:val="005B6506"/>
    <w:rsid w:val="005B7391"/>
    <w:rsid w:val="005C04B0"/>
    <w:rsid w:val="005C09AD"/>
    <w:rsid w:val="005C18C3"/>
    <w:rsid w:val="005C1CF1"/>
    <w:rsid w:val="005C274F"/>
    <w:rsid w:val="005C31A9"/>
    <w:rsid w:val="005C61D7"/>
    <w:rsid w:val="005C6F27"/>
    <w:rsid w:val="005C737F"/>
    <w:rsid w:val="005D03EA"/>
    <w:rsid w:val="005D1570"/>
    <w:rsid w:val="005D2BEF"/>
    <w:rsid w:val="005D33F1"/>
    <w:rsid w:val="005D57C0"/>
    <w:rsid w:val="005D5E45"/>
    <w:rsid w:val="005D6BB5"/>
    <w:rsid w:val="005E20FD"/>
    <w:rsid w:val="005E261A"/>
    <w:rsid w:val="005E3B1F"/>
    <w:rsid w:val="005E3B8F"/>
    <w:rsid w:val="005E3F8F"/>
    <w:rsid w:val="005E420F"/>
    <w:rsid w:val="005E437D"/>
    <w:rsid w:val="005E46DB"/>
    <w:rsid w:val="005E4A06"/>
    <w:rsid w:val="005E53EB"/>
    <w:rsid w:val="005E6364"/>
    <w:rsid w:val="005E665B"/>
    <w:rsid w:val="005E699B"/>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2089"/>
    <w:rsid w:val="0061306B"/>
    <w:rsid w:val="00613770"/>
    <w:rsid w:val="0061378B"/>
    <w:rsid w:val="00613888"/>
    <w:rsid w:val="0061515D"/>
    <w:rsid w:val="00616808"/>
    <w:rsid w:val="00617AA6"/>
    <w:rsid w:val="006203C0"/>
    <w:rsid w:val="00620A28"/>
    <w:rsid w:val="00620A3C"/>
    <w:rsid w:val="00620A80"/>
    <w:rsid w:val="00621210"/>
    <w:rsid w:val="00621B73"/>
    <w:rsid w:val="00621E59"/>
    <w:rsid w:val="006231C9"/>
    <w:rsid w:val="006234FF"/>
    <w:rsid w:val="00624B75"/>
    <w:rsid w:val="00625A26"/>
    <w:rsid w:val="006260F8"/>
    <w:rsid w:val="0062761B"/>
    <w:rsid w:val="0063008E"/>
    <w:rsid w:val="00630818"/>
    <w:rsid w:val="006322FD"/>
    <w:rsid w:val="00633456"/>
    <w:rsid w:val="00634861"/>
    <w:rsid w:val="00634A29"/>
    <w:rsid w:val="00634D33"/>
    <w:rsid w:val="00635858"/>
    <w:rsid w:val="00636FAA"/>
    <w:rsid w:val="0063744B"/>
    <w:rsid w:val="00637601"/>
    <w:rsid w:val="006377A1"/>
    <w:rsid w:val="00637824"/>
    <w:rsid w:val="00640134"/>
    <w:rsid w:val="006402D8"/>
    <w:rsid w:val="00640F23"/>
    <w:rsid w:val="00641930"/>
    <w:rsid w:val="00641D04"/>
    <w:rsid w:val="00642C08"/>
    <w:rsid w:val="0064318B"/>
    <w:rsid w:val="00643514"/>
    <w:rsid w:val="006459A5"/>
    <w:rsid w:val="00647178"/>
    <w:rsid w:val="00647698"/>
    <w:rsid w:val="0065015C"/>
    <w:rsid w:val="006510CB"/>
    <w:rsid w:val="00651357"/>
    <w:rsid w:val="006524B1"/>
    <w:rsid w:val="006525C9"/>
    <w:rsid w:val="0065371E"/>
    <w:rsid w:val="00654941"/>
    <w:rsid w:val="006554AB"/>
    <w:rsid w:val="00657A3D"/>
    <w:rsid w:val="00657E2E"/>
    <w:rsid w:val="0066094D"/>
    <w:rsid w:val="00661496"/>
    <w:rsid w:val="00661B37"/>
    <w:rsid w:val="00663003"/>
    <w:rsid w:val="0066338C"/>
    <w:rsid w:val="00665CA9"/>
    <w:rsid w:val="006665B8"/>
    <w:rsid w:val="006666F4"/>
    <w:rsid w:val="00666BD8"/>
    <w:rsid w:val="00666CD2"/>
    <w:rsid w:val="006671B2"/>
    <w:rsid w:val="00667E63"/>
    <w:rsid w:val="006703CB"/>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4FDE"/>
    <w:rsid w:val="006850A8"/>
    <w:rsid w:val="0068626B"/>
    <w:rsid w:val="00686923"/>
    <w:rsid w:val="00687A44"/>
    <w:rsid w:val="00687E1E"/>
    <w:rsid w:val="00690DED"/>
    <w:rsid w:val="00692376"/>
    <w:rsid w:val="00692771"/>
    <w:rsid w:val="00692E5F"/>
    <w:rsid w:val="00693AB3"/>
    <w:rsid w:val="00694022"/>
    <w:rsid w:val="0069527F"/>
    <w:rsid w:val="00695726"/>
    <w:rsid w:val="006962D7"/>
    <w:rsid w:val="00697704"/>
    <w:rsid w:val="006A014D"/>
    <w:rsid w:val="006A1237"/>
    <w:rsid w:val="006A1255"/>
    <w:rsid w:val="006A2308"/>
    <w:rsid w:val="006A3270"/>
    <w:rsid w:val="006A3A3C"/>
    <w:rsid w:val="006A3FE7"/>
    <w:rsid w:val="006A4D7D"/>
    <w:rsid w:val="006A4FE9"/>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1AF1"/>
    <w:rsid w:val="006C2CCC"/>
    <w:rsid w:val="006C319B"/>
    <w:rsid w:val="006C34CB"/>
    <w:rsid w:val="006C4687"/>
    <w:rsid w:val="006C478B"/>
    <w:rsid w:val="006C5C78"/>
    <w:rsid w:val="006C61E6"/>
    <w:rsid w:val="006C7548"/>
    <w:rsid w:val="006D14C1"/>
    <w:rsid w:val="006D14EC"/>
    <w:rsid w:val="006D1E8A"/>
    <w:rsid w:val="006D3905"/>
    <w:rsid w:val="006D3B72"/>
    <w:rsid w:val="006D3D1D"/>
    <w:rsid w:val="006D48DE"/>
    <w:rsid w:val="006D4E13"/>
    <w:rsid w:val="006D5FAE"/>
    <w:rsid w:val="006D65DC"/>
    <w:rsid w:val="006D6C59"/>
    <w:rsid w:val="006D7950"/>
    <w:rsid w:val="006D797C"/>
    <w:rsid w:val="006E0668"/>
    <w:rsid w:val="006E0FB2"/>
    <w:rsid w:val="006E109A"/>
    <w:rsid w:val="006E1402"/>
    <w:rsid w:val="006E2309"/>
    <w:rsid w:val="006E3615"/>
    <w:rsid w:val="006E4225"/>
    <w:rsid w:val="006E6A4C"/>
    <w:rsid w:val="006E6C49"/>
    <w:rsid w:val="006E6DC2"/>
    <w:rsid w:val="006E746C"/>
    <w:rsid w:val="006F01BE"/>
    <w:rsid w:val="006F4323"/>
    <w:rsid w:val="006F4BB4"/>
    <w:rsid w:val="006F5B75"/>
    <w:rsid w:val="006F5CF7"/>
    <w:rsid w:val="006F5F73"/>
    <w:rsid w:val="006F6893"/>
    <w:rsid w:val="006F7249"/>
    <w:rsid w:val="006F73EC"/>
    <w:rsid w:val="006F7776"/>
    <w:rsid w:val="006F7F16"/>
    <w:rsid w:val="00700C42"/>
    <w:rsid w:val="00700FC4"/>
    <w:rsid w:val="00700FFC"/>
    <w:rsid w:val="00701493"/>
    <w:rsid w:val="00701859"/>
    <w:rsid w:val="0070263D"/>
    <w:rsid w:val="00702F23"/>
    <w:rsid w:val="0070326F"/>
    <w:rsid w:val="00703F83"/>
    <w:rsid w:val="007056D7"/>
    <w:rsid w:val="007059DF"/>
    <w:rsid w:val="00706C26"/>
    <w:rsid w:val="00706EC1"/>
    <w:rsid w:val="00707768"/>
    <w:rsid w:val="00707DB7"/>
    <w:rsid w:val="00710759"/>
    <w:rsid w:val="0071239E"/>
    <w:rsid w:val="00712830"/>
    <w:rsid w:val="007133D1"/>
    <w:rsid w:val="00714ABF"/>
    <w:rsid w:val="0071706B"/>
    <w:rsid w:val="00717115"/>
    <w:rsid w:val="0072046F"/>
    <w:rsid w:val="007207EC"/>
    <w:rsid w:val="007224DE"/>
    <w:rsid w:val="007234E6"/>
    <w:rsid w:val="0072445F"/>
    <w:rsid w:val="007269BB"/>
    <w:rsid w:val="00730428"/>
    <w:rsid w:val="0073070E"/>
    <w:rsid w:val="00730D85"/>
    <w:rsid w:val="00731D6D"/>
    <w:rsid w:val="00733A7D"/>
    <w:rsid w:val="00733B2D"/>
    <w:rsid w:val="007345FF"/>
    <w:rsid w:val="00735B26"/>
    <w:rsid w:val="0073669C"/>
    <w:rsid w:val="0073677A"/>
    <w:rsid w:val="0073771D"/>
    <w:rsid w:val="007402BF"/>
    <w:rsid w:val="007405CD"/>
    <w:rsid w:val="00740E08"/>
    <w:rsid w:val="00740F14"/>
    <w:rsid w:val="007414B7"/>
    <w:rsid w:val="00741557"/>
    <w:rsid w:val="00741671"/>
    <w:rsid w:val="00741897"/>
    <w:rsid w:val="00741B9F"/>
    <w:rsid w:val="00741E18"/>
    <w:rsid w:val="0074206B"/>
    <w:rsid w:val="00742C0B"/>
    <w:rsid w:val="0074407E"/>
    <w:rsid w:val="00745F05"/>
    <w:rsid w:val="00746029"/>
    <w:rsid w:val="00746511"/>
    <w:rsid w:val="00747BC9"/>
    <w:rsid w:val="00750AD1"/>
    <w:rsid w:val="0075187E"/>
    <w:rsid w:val="00751E5C"/>
    <w:rsid w:val="00752269"/>
    <w:rsid w:val="00752ED0"/>
    <w:rsid w:val="0075307C"/>
    <w:rsid w:val="0075313B"/>
    <w:rsid w:val="00753930"/>
    <w:rsid w:val="00753B92"/>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437"/>
    <w:rsid w:val="007705B0"/>
    <w:rsid w:val="0077147E"/>
    <w:rsid w:val="00771E4E"/>
    <w:rsid w:val="00771E96"/>
    <w:rsid w:val="00775636"/>
    <w:rsid w:val="007757AF"/>
    <w:rsid w:val="00776FDA"/>
    <w:rsid w:val="00781411"/>
    <w:rsid w:val="0078218B"/>
    <w:rsid w:val="00783043"/>
    <w:rsid w:val="0078393B"/>
    <w:rsid w:val="007849F9"/>
    <w:rsid w:val="00784ACD"/>
    <w:rsid w:val="00784C5B"/>
    <w:rsid w:val="0078589A"/>
    <w:rsid w:val="00785D74"/>
    <w:rsid w:val="0078790B"/>
    <w:rsid w:val="00787E95"/>
    <w:rsid w:val="007903C3"/>
    <w:rsid w:val="00790482"/>
    <w:rsid w:val="0079180D"/>
    <w:rsid w:val="00791E51"/>
    <w:rsid w:val="007928DE"/>
    <w:rsid w:val="0079293B"/>
    <w:rsid w:val="0079367A"/>
    <w:rsid w:val="007938EA"/>
    <w:rsid w:val="00793AD5"/>
    <w:rsid w:val="0079434C"/>
    <w:rsid w:val="00794CF1"/>
    <w:rsid w:val="00794E8C"/>
    <w:rsid w:val="00795A24"/>
    <w:rsid w:val="00795AC2"/>
    <w:rsid w:val="00796EDB"/>
    <w:rsid w:val="00796FE4"/>
    <w:rsid w:val="007A0124"/>
    <w:rsid w:val="007A03CF"/>
    <w:rsid w:val="007A0ED1"/>
    <w:rsid w:val="007A124E"/>
    <w:rsid w:val="007A24CA"/>
    <w:rsid w:val="007A385B"/>
    <w:rsid w:val="007A3FB9"/>
    <w:rsid w:val="007A41F0"/>
    <w:rsid w:val="007A42AA"/>
    <w:rsid w:val="007A4335"/>
    <w:rsid w:val="007A470E"/>
    <w:rsid w:val="007A49CA"/>
    <w:rsid w:val="007B26C7"/>
    <w:rsid w:val="007B3CA5"/>
    <w:rsid w:val="007B49B6"/>
    <w:rsid w:val="007B6782"/>
    <w:rsid w:val="007B6957"/>
    <w:rsid w:val="007B7581"/>
    <w:rsid w:val="007C06C1"/>
    <w:rsid w:val="007C1AF4"/>
    <w:rsid w:val="007C1F38"/>
    <w:rsid w:val="007C2643"/>
    <w:rsid w:val="007C29E7"/>
    <w:rsid w:val="007C40E0"/>
    <w:rsid w:val="007C4B87"/>
    <w:rsid w:val="007C56ED"/>
    <w:rsid w:val="007C5CF4"/>
    <w:rsid w:val="007C60BE"/>
    <w:rsid w:val="007C60F0"/>
    <w:rsid w:val="007C6AF5"/>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3200"/>
    <w:rsid w:val="007E3865"/>
    <w:rsid w:val="007E3C27"/>
    <w:rsid w:val="007E429C"/>
    <w:rsid w:val="007E5DB9"/>
    <w:rsid w:val="007E6A26"/>
    <w:rsid w:val="007E744F"/>
    <w:rsid w:val="007E7B1A"/>
    <w:rsid w:val="007E7F70"/>
    <w:rsid w:val="007F1586"/>
    <w:rsid w:val="007F17DD"/>
    <w:rsid w:val="007F25B0"/>
    <w:rsid w:val="007F276A"/>
    <w:rsid w:val="007F50E9"/>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4E3A"/>
    <w:rsid w:val="008157EC"/>
    <w:rsid w:val="0081608B"/>
    <w:rsid w:val="00816811"/>
    <w:rsid w:val="008205E9"/>
    <w:rsid w:val="00820657"/>
    <w:rsid w:val="00821076"/>
    <w:rsid w:val="008227EF"/>
    <w:rsid w:val="00823286"/>
    <w:rsid w:val="0082334C"/>
    <w:rsid w:val="008239BD"/>
    <w:rsid w:val="00823B5C"/>
    <w:rsid w:val="00823E34"/>
    <w:rsid w:val="00824955"/>
    <w:rsid w:val="008259DF"/>
    <w:rsid w:val="00825CDA"/>
    <w:rsid w:val="00825F4A"/>
    <w:rsid w:val="008266EF"/>
    <w:rsid w:val="00826CA7"/>
    <w:rsid w:val="008271D6"/>
    <w:rsid w:val="00827430"/>
    <w:rsid w:val="008276D2"/>
    <w:rsid w:val="00830CAF"/>
    <w:rsid w:val="0083248F"/>
    <w:rsid w:val="00834875"/>
    <w:rsid w:val="0083496D"/>
    <w:rsid w:val="00835155"/>
    <w:rsid w:val="008352A7"/>
    <w:rsid w:val="00836421"/>
    <w:rsid w:val="00836F18"/>
    <w:rsid w:val="00837129"/>
    <w:rsid w:val="00837B3D"/>
    <w:rsid w:val="0084074A"/>
    <w:rsid w:val="00840772"/>
    <w:rsid w:val="00841A24"/>
    <w:rsid w:val="00841DC6"/>
    <w:rsid w:val="00842805"/>
    <w:rsid w:val="008433DF"/>
    <w:rsid w:val="00843C16"/>
    <w:rsid w:val="0084404E"/>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B76"/>
    <w:rsid w:val="00863DAF"/>
    <w:rsid w:val="00863ED1"/>
    <w:rsid w:val="00864B81"/>
    <w:rsid w:val="008656E0"/>
    <w:rsid w:val="00865F16"/>
    <w:rsid w:val="0086689F"/>
    <w:rsid w:val="00867F11"/>
    <w:rsid w:val="008718D1"/>
    <w:rsid w:val="00872A74"/>
    <w:rsid w:val="00873693"/>
    <w:rsid w:val="00874140"/>
    <w:rsid w:val="00874319"/>
    <w:rsid w:val="00874960"/>
    <w:rsid w:val="00874D24"/>
    <w:rsid w:val="00875D97"/>
    <w:rsid w:val="008760E1"/>
    <w:rsid w:val="0087779D"/>
    <w:rsid w:val="00877C59"/>
    <w:rsid w:val="008802BF"/>
    <w:rsid w:val="00880DA8"/>
    <w:rsid w:val="00881B0F"/>
    <w:rsid w:val="00881B5D"/>
    <w:rsid w:val="008830C3"/>
    <w:rsid w:val="0088398F"/>
    <w:rsid w:val="00883CEC"/>
    <w:rsid w:val="00886B9B"/>
    <w:rsid w:val="00887064"/>
    <w:rsid w:val="00887955"/>
    <w:rsid w:val="00890CDB"/>
    <w:rsid w:val="00891AFC"/>
    <w:rsid w:val="00891D6D"/>
    <w:rsid w:val="00891FDB"/>
    <w:rsid w:val="008920E3"/>
    <w:rsid w:val="00893041"/>
    <w:rsid w:val="00893710"/>
    <w:rsid w:val="00895031"/>
    <w:rsid w:val="00897D5C"/>
    <w:rsid w:val="008A053A"/>
    <w:rsid w:val="008A1623"/>
    <w:rsid w:val="008A256A"/>
    <w:rsid w:val="008A269D"/>
    <w:rsid w:val="008A35E2"/>
    <w:rsid w:val="008A3ED4"/>
    <w:rsid w:val="008A436D"/>
    <w:rsid w:val="008A5986"/>
    <w:rsid w:val="008A5B6E"/>
    <w:rsid w:val="008A6029"/>
    <w:rsid w:val="008A638A"/>
    <w:rsid w:val="008B0BC4"/>
    <w:rsid w:val="008B0DBE"/>
    <w:rsid w:val="008B12C1"/>
    <w:rsid w:val="008B156A"/>
    <w:rsid w:val="008B1576"/>
    <w:rsid w:val="008B1E0D"/>
    <w:rsid w:val="008B3BC9"/>
    <w:rsid w:val="008B462F"/>
    <w:rsid w:val="008B786E"/>
    <w:rsid w:val="008C034F"/>
    <w:rsid w:val="008C0421"/>
    <w:rsid w:val="008C04FE"/>
    <w:rsid w:val="008C0AE4"/>
    <w:rsid w:val="008C0F64"/>
    <w:rsid w:val="008C130F"/>
    <w:rsid w:val="008C3D68"/>
    <w:rsid w:val="008C4022"/>
    <w:rsid w:val="008C55B9"/>
    <w:rsid w:val="008C7829"/>
    <w:rsid w:val="008D00A2"/>
    <w:rsid w:val="008D00B7"/>
    <w:rsid w:val="008D04A2"/>
    <w:rsid w:val="008D0826"/>
    <w:rsid w:val="008D1558"/>
    <w:rsid w:val="008D1C72"/>
    <w:rsid w:val="008D3A2B"/>
    <w:rsid w:val="008D4565"/>
    <w:rsid w:val="008D476D"/>
    <w:rsid w:val="008D479D"/>
    <w:rsid w:val="008D5313"/>
    <w:rsid w:val="008D5CBB"/>
    <w:rsid w:val="008D6ABE"/>
    <w:rsid w:val="008E02C4"/>
    <w:rsid w:val="008E0A2E"/>
    <w:rsid w:val="008E1B77"/>
    <w:rsid w:val="008E2F9B"/>
    <w:rsid w:val="008E33C0"/>
    <w:rsid w:val="008E37AB"/>
    <w:rsid w:val="008E3C50"/>
    <w:rsid w:val="008E4920"/>
    <w:rsid w:val="008E5B1A"/>
    <w:rsid w:val="008E5E24"/>
    <w:rsid w:val="008E5F12"/>
    <w:rsid w:val="008E5F49"/>
    <w:rsid w:val="008E612D"/>
    <w:rsid w:val="008E651E"/>
    <w:rsid w:val="008E7944"/>
    <w:rsid w:val="008F0B3A"/>
    <w:rsid w:val="008F0D41"/>
    <w:rsid w:val="008F13E3"/>
    <w:rsid w:val="008F3387"/>
    <w:rsid w:val="008F37C6"/>
    <w:rsid w:val="008F52E0"/>
    <w:rsid w:val="008F77A6"/>
    <w:rsid w:val="008F7CBA"/>
    <w:rsid w:val="009004AA"/>
    <w:rsid w:val="00900647"/>
    <w:rsid w:val="009007C7"/>
    <w:rsid w:val="00900F7A"/>
    <w:rsid w:val="009013F5"/>
    <w:rsid w:val="00902402"/>
    <w:rsid w:val="00902758"/>
    <w:rsid w:val="00904623"/>
    <w:rsid w:val="009049C8"/>
    <w:rsid w:val="00904C4A"/>
    <w:rsid w:val="0090788B"/>
    <w:rsid w:val="00910871"/>
    <w:rsid w:val="00910FA0"/>
    <w:rsid w:val="009117F0"/>
    <w:rsid w:val="009118EE"/>
    <w:rsid w:val="009123BE"/>
    <w:rsid w:val="009125F5"/>
    <w:rsid w:val="00912B3D"/>
    <w:rsid w:val="00912C52"/>
    <w:rsid w:val="0091317C"/>
    <w:rsid w:val="00913F76"/>
    <w:rsid w:val="0091421D"/>
    <w:rsid w:val="009157EA"/>
    <w:rsid w:val="00915DDC"/>
    <w:rsid w:val="00920242"/>
    <w:rsid w:val="00920744"/>
    <w:rsid w:val="0092240B"/>
    <w:rsid w:val="00922908"/>
    <w:rsid w:val="00922BEA"/>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406"/>
    <w:rsid w:val="00935923"/>
    <w:rsid w:val="00935CAD"/>
    <w:rsid w:val="00935F05"/>
    <w:rsid w:val="00937073"/>
    <w:rsid w:val="009377BA"/>
    <w:rsid w:val="00940E4B"/>
    <w:rsid w:val="009411B9"/>
    <w:rsid w:val="00943A4D"/>
    <w:rsid w:val="00944425"/>
    <w:rsid w:val="00944A7C"/>
    <w:rsid w:val="00944DC6"/>
    <w:rsid w:val="009454A9"/>
    <w:rsid w:val="00946FED"/>
    <w:rsid w:val="0094759D"/>
    <w:rsid w:val="009501FB"/>
    <w:rsid w:val="0095185C"/>
    <w:rsid w:val="00953E9E"/>
    <w:rsid w:val="00954096"/>
    <w:rsid w:val="009552BF"/>
    <w:rsid w:val="009553D6"/>
    <w:rsid w:val="009557B6"/>
    <w:rsid w:val="0095597C"/>
    <w:rsid w:val="009562F4"/>
    <w:rsid w:val="00956388"/>
    <w:rsid w:val="00956504"/>
    <w:rsid w:val="009566AB"/>
    <w:rsid w:val="00956744"/>
    <w:rsid w:val="00957131"/>
    <w:rsid w:val="00960B97"/>
    <w:rsid w:val="009627C7"/>
    <w:rsid w:val="00962ADE"/>
    <w:rsid w:val="00963062"/>
    <w:rsid w:val="00963396"/>
    <w:rsid w:val="00963506"/>
    <w:rsid w:val="00963963"/>
    <w:rsid w:val="00963F76"/>
    <w:rsid w:val="009641ED"/>
    <w:rsid w:val="009642A3"/>
    <w:rsid w:val="009656C9"/>
    <w:rsid w:val="0096591E"/>
    <w:rsid w:val="00965CDA"/>
    <w:rsid w:val="009661D3"/>
    <w:rsid w:val="00967118"/>
    <w:rsid w:val="00967931"/>
    <w:rsid w:val="0097068C"/>
    <w:rsid w:val="009708EE"/>
    <w:rsid w:val="0097094C"/>
    <w:rsid w:val="009713BB"/>
    <w:rsid w:val="00972CE0"/>
    <w:rsid w:val="0097356D"/>
    <w:rsid w:val="009736D7"/>
    <w:rsid w:val="00974333"/>
    <w:rsid w:val="009743DE"/>
    <w:rsid w:val="00974D40"/>
    <w:rsid w:val="00975D4D"/>
    <w:rsid w:val="0097633E"/>
    <w:rsid w:val="0097686A"/>
    <w:rsid w:val="009772F1"/>
    <w:rsid w:val="009801CE"/>
    <w:rsid w:val="00980E77"/>
    <w:rsid w:val="00981726"/>
    <w:rsid w:val="00981943"/>
    <w:rsid w:val="009820F7"/>
    <w:rsid w:val="00984A3E"/>
    <w:rsid w:val="00984C1A"/>
    <w:rsid w:val="00984EDD"/>
    <w:rsid w:val="0098612C"/>
    <w:rsid w:val="009864DF"/>
    <w:rsid w:val="0098686E"/>
    <w:rsid w:val="00986CDA"/>
    <w:rsid w:val="00986EE5"/>
    <w:rsid w:val="00990575"/>
    <w:rsid w:val="00991BC3"/>
    <w:rsid w:val="009922E0"/>
    <w:rsid w:val="00992B2F"/>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A76A7"/>
    <w:rsid w:val="009B0AA1"/>
    <w:rsid w:val="009B19B4"/>
    <w:rsid w:val="009B1E6D"/>
    <w:rsid w:val="009B29A2"/>
    <w:rsid w:val="009B2BBA"/>
    <w:rsid w:val="009B30B8"/>
    <w:rsid w:val="009B344B"/>
    <w:rsid w:val="009B4D3E"/>
    <w:rsid w:val="009B61A9"/>
    <w:rsid w:val="009B7610"/>
    <w:rsid w:val="009C13A3"/>
    <w:rsid w:val="009C2ED6"/>
    <w:rsid w:val="009C35E1"/>
    <w:rsid w:val="009C4F95"/>
    <w:rsid w:val="009C5D54"/>
    <w:rsid w:val="009C5DD4"/>
    <w:rsid w:val="009C7409"/>
    <w:rsid w:val="009C76B8"/>
    <w:rsid w:val="009C7DA0"/>
    <w:rsid w:val="009D1062"/>
    <w:rsid w:val="009D34CF"/>
    <w:rsid w:val="009D3F59"/>
    <w:rsid w:val="009D47C2"/>
    <w:rsid w:val="009D47F3"/>
    <w:rsid w:val="009D4CB6"/>
    <w:rsid w:val="009D5046"/>
    <w:rsid w:val="009D6000"/>
    <w:rsid w:val="009D6593"/>
    <w:rsid w:val="009D71D0"/>
    <w:rsid w:val="009D7F09"/>
    <w:rsid w:val="009E0380"/>
    <w:rsid w:val="009E148A"/>
    <w:rsid w:val="009E19F6"/>
    <w:rsid w:val="009E2B8F"/>
    <w:rsid w:val="009E38A0"/>
    <w:rsid w:val="009E3F27"/>
    <w:rsid w:val="009E5144"/>
    <w:rsid w:val="009E532C"/>
    <w:rsid w:val="009E6FC1"/>
    <w:rsid w:val="009E752B"/>
    <w:rsid w:val="009E7C3E"/>
    <w:rsid w:val="009F1749"/>
    <w:rsid w:val="009F2B81"/>
    <w:rsid w:val="009F2CCD"/>
    <w:rsid w:val="009F37AF"/>
    <w:rsid w:val="009F399F"/>
    <w:rsid w:val="009F41E5"/>
    <w:rsid w:val="009F4B84"/>
    <w:rsid w:val="009F5B76"/>
    <w:rsid w:val="009F5E85"/>
    <w:rsid w:val="009F62BD"/>
    <w:rsid w:val="009F6771"/>
    <w:rsid w:val="009F68EE"/>
    <w:rsid w:val="00A01CE2"/>
    <w:rsid w:val="00A0269F"/>
    <w:rsid w:val="00A029B0"/>
    <w:rsid w:val="00A02FFF"/>
    <w:rsid w:val="00A041F3"/>
    <w:rsid w:val="00A0555E"/>
    <w:rsid w:val="00A0603A"/>
    <w:rsid w:val="00A06629"/>
    <w:rsid w:val="00A0790F"/>
    <w:rsid w:val="00A07B48"/>
    <w:rsid w:val="00A07E9F"/>
    <w:rsid w:val="00A108FA"/>
    <w:rsid w:val="00A109FF"/>
    <w:rsid w:val="00A12085"/>
    <w:rsid w:val="00A1275A"/>
    <w:rsid w:val="00A13870"/>
    <w:rsid w:val="00A13DED"/>
    <w:rsid w:val="00A14AF7"/>
    <w:rsid w:val="00A15859"/>
    <w:rsid w:val="00A15FA0"/>
    <w:rsid w:val="00A16500"/>
    <w:rsid w:val="00A167A3"/>
    <w:rsid w:val="00A170EC"/>
    <w:rsid w:val="00A20F34"/>
    <w:rsid w:val="00A2158B"/>
    <w:rsid w:val="00A220A2"/>
    <w:rsid w:val="00A2243C"/>
    <w:rsid w:val="00A23607"/>
    <w:rsid w:val="00A23800"/>
    <w:rsid w:val="00A24EC6"/>
    <w:rsid w:val="00A25182"/>
    <w:rsid w:val="00A25A13"/>
    <w:rsid w:val="00A27244"/>
    <w:rsid w:val="00A27C46"/>
    <w:rsid w:val="00A30D22"/>
    <w:rsid w:val="00A32571"/>
    <w:rsid w:val="00A344B6"/>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905"/>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16FA"/>
    <w:rsid w:val="00A81DF9"/>
    <w:rsid w:val="00A83BC7"/>
    <w:rsid w:val="00A8485C"/>
    <w:rsid w:val="00A861EE"/>
    <w:rsid w:val="00A867FC"/>
    <w:rsid w:val="00A8751B"/>
    <w:rsid w:val="00A90C94"/>
    <w:rsid w:val="00A91C02"/>
    <w:rsid w:val="00A93235"/>
    <w:rsid w:val="00A94B33"/>
    <w:rsid w:val="00A96347"/>
    <w:rsid w:val="00A972B4"/>
    <w:rsid w:val="00A97E9A"/>
    <w:rsid w:val="00AA1F05"/>
    <w:rsid w:val="00AA3A64"/>
    <w:rsid w:val="00AA5CA5"/>
    <w:rsid w:val="00AA6479"/>
    <w:rsid w:val="00AA785F"/>
    <w:rsid w:val="00AA7EF4"/>
    <w:rsid w:val="00AB1AC6"/>
    <w:rsid w:val="00AB1AE9"/>
    <w:rsid w:val="00AB29FC"/>
    <w:rsid w:val="00AB2AB5"/>
    <w:rsid w:val="00AB337B"/>
    <w:rsid w:val="00AB6B96"/>
    <w:rsid w:val="00AB7470"/>
    <w:rsid w:val="00AC133B"/>
    <w:rsid w:val="00AC1564"/>
    <w:rsid w:val="00AC227D"/>
    <w:rsid w:val="00AC23A8"/>
    <w:rsid w:val="00AC260D"/>
    <w:rsid w:val="00AC2A2B"/>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4D2D"/>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E792F"/>
    <w:rsid w:val="00AF009B"/>
    <w:rsid w:val="00AF0C2C"/>
    <w:rsid w:val="00AF0CD8"/>
    <w:rsid w:val="00AF18E4"/>
    <w:rsid w:val="00AF2AD8"/>
    <w:rsid w:val="00AF37D3"/>
    <w:rsid w:val="00AF38E9"/>
    <w:rsid w:val="00AF3A97"/>
    <w:rsid w:val="00AF4FDD"/>
    <w:rsid w:val="00AF608F"/>
    <w:rsid w:val="00AF724B"/>
    <w:rsid w:val="00B00072"/>
    <w:rsid w:val="00B00508"/>
    <w:rsid w:val="00B00516"/>
    <w:rsid w:val="00B0053A"/>
    <w:rsid w:val="00B00EE7"/>
    <w:rsid w:val="00B01140"/>
    <w:rsid w:val="00B02045"/>
    <w:rsid w:val="00B025B8"/>
    <w:rsid w:val="00B035F5"/>
    <w:rsid w:val="00B0389A"/>
    <w:rsid w:val="00B03C2B"/>
    <w:rsid w:val="00B04931"/>
    <w:rsid w:val="00B051F8"/>
    <w:rsid w:val="00B060DC"/>
    <w:rsid w:val="00B063A2"/>
    <w:rsid w:val="00B0667C"/>
    <w:rsid w:val="00B06B06"/>
    <w:rsid w:val="00B06FA5"/>
    <w:rsid w:val="00B107CE"/>
    <w:rsid w:val="00B11D91"/>
    <w:rsid w:val="00B124FF"/>
    <w:rsid w:val="00B13DF4"/>
    <w:rsid w:val="00B15A48"/>
    <w:rsid w:val="00B17430"/>
    <w:rsid w:val="00B17B0D"/>
    <w:rsid w:val="00B20715"/>
    <w:rsid w:val="00B213E2"/>
    <w:rsid w:val="00B21427"/>
    <w:rsid w:val="00B229F1"/>
    <w:rsid w:val="00B22E62"/>
    <w:rsid w:val="00B24A34"/>
    <w:rsid w:val="00B24BBD"/>
    <w:rsid w:val="00B25617"/>
    <w:rsid w:val="00B25A3C"/>
    <w:rsid w:val="00B25BB7"/>
    <w:rsid w:val="00B2628A"/>
    <w:rsid w:val="00B26CC0"/>
    <w:rsid w:val="00B26D0E"/>
    <w:rsid w:val="00B30D92"/>
    <w:rsid w:val="00B30FB0"/>
    <w:rsid w:val="00B312F9"/>
    <w:rsid w:val="00B315FB"/>
    <w:rsid w:val="00B324AB"/>
    <w:rsid w:val="00B33824"/>
    <w:rsid w:val="00B341BA"/>
    <w:rsid w:val="00B342BA"/>
    <w:rsid w:val="00B342FA"/>
    <w:rsid w:val="00B34CC6"/>
    <w:rsid w:val="00B3764A"/>
    <w:rsid w:val="00B403F9"/>
    <w:rsid w:val="00B40C36"/>
    <w:rsid w:val="00B42732"/>
    <w:rsid w:val="00B42D4E"/>
    <w:rsid w:val="00B43126"/>
    <w:rsid w:val="00B43723"/>
    <w:rsid w:val="00B44135"/>
    <w:rsid w:val="00B4661E"/>
    <w:rsid w:val="00B46C01"/>
    <w:rsid w:val="00B46E08"/>
    <w:rsid w:val="00B5001E"/>
    <w:rsid w:val="00B5065C"/>
    <w:rsid w:val="00B516D4"/>
    <w:rsid w:val="00B51B91"/>
    <w:rsid w:val="00B52274"/>
    <w:rsid w:val="00B525C0"/>
    <w:rsid w:val="00B54342"/>
    <w:rsid w:val="00B554CA"/>
    <w:rsid w:val="00B561AB"/>
    <w:rsid w:val="00B56B85"/>
    <w:rsid w:val="00B56E8B"/>
    <w:rsid w:val="00B57698"/>
    <w:rsid w:val="00B60541"/>
    <w:rsid w:val="00B6066B"/>
    <w:rsid w:val="00B60AC1"/>
    <w:rsid w:val="00B61A7B"/>
    <w:rsid w:val="00B63D00"/>
    <w:rsid w:val="00B646F2"/>
    <w:rsid w:val="00B64F5F"/>
    <w:rsid w:val="00B653F7"/>
    <w:rsid w:val="00B66A9C"/>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0DDF"/>
    <w:rsid w:val="00B8145D"/>
    <w:rsid w:val="00B821C4"/>
    <w:rsid w:val="00B82347"/>
    <w:rsid w:val="00B83123"/>
    <w:rsid w:val="00B83A29"/>
    <w:rsid w:val="00B8775E"/>
    <w:rsid w:val="00B8791D"/>
    <w:rsid w:val="00B917BE"/>
    <w:rsid w:val="00B91D4D"/>
    <w:rsid w:val="00B922C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26C"/>
    <w:rsid w:val="00BA25F6"/>
    <w:rsid w:val="00BA4713"/>
    <w:rsid w:val="00BA4DAF"/>
    <w:rsid w:val="00BA53AB"/>
    <w:rsid w:val="00BA5875"/>
    <w:rsid w:val="00BA59FB"/>
    <w:rsid w:val="00BA746F"/>
    <w:rsid w:val="00BA7A83"/>
    <w:rsid w:val="00BA7ADC"/>
    <w:rsid w:val="00BB1547"/>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9B9"/>
    <w:rsid w:val="00BD19BF"/>
    <w:rsid w:val="00BD3E93"/>
    <w:rsid w:val="00BD444B"/>
    <w:rsid w:val="00BD45A1"/>
    <w:rsid w:val="00BD491B"/>
    <w:rsid w:val="00BD4933"/>
    <w:rsid w:val="00BD52A7"/>
    <w:rsid w:val="00BD5EE3"/>
    <w:rsid w:val="00BE1986"/>
    <w:rsid w:val="00BE211C"/>
    <w:rsid w:val="00BE2538"/>
    <w:rsid w:val="00BE38C9"/>
    <w:rsid w:val="00BE42FB"/>
    <w:rsid w:val="00BE435D"/>
    <w:rsid w:val="00BE5BA7"/>
    <w:rsid w:val="00BE6A80"/>
    <w:rsid w:val="00BE6F02"/>
    <w:rsid w:val="00BF1B4D"/>
    <w:rsid w:val="00BF2D5C"/>
    <w:rsid w:val="00BF32A2"/>
    <w:rsid w:val="00BF3C85"/>
    <w:rsid w:val="00BF425F"/>
    <w:rsid w:val="00BF4A39"/>
    <w:rsid w:val="00BF4F35"/>
    <w:rsid w:val="00BF5A1F"/>
    <w:rsid w:val="00BF5CC2"/>
    <w:rsid w:val="00C0086C"/>
    <w:rsid w:val="00C00C0A"/>
    <w:rsid w:val="00C00F13"/>
    <w:rsid w:val="00C0229C"/>
    <w:rsid w:val="00C023E0"/>
    <w:rsid w:val="00C03C87"/>
    <w:rsid w:val="00C0411F"/>
    <w:rsid w:val="00C044ED"/>
    <w:rsid w:val="00C05571"/>
    <w:rsid w:val="00C0573A"/>
    <w:rsid w:val="00C06C88"/>
    <w:rsid w:val="00C06D0A"/>
    <w:rsid w:val="00C07480"/>
    <w:rsid w:val="00C07E3A"/>
    <w:rsid w:val="00C10FAC"/>
    <w:rsid w:val="00C11020"/>
    <w:rsid w:val="00C1119D"/>
    <w:rsid w:val="00C11381"/>
    <w:rsid w:val="00C11A78"/>
    <w:rsid w:val="00C11BEE"/>
    <w:rsid w:val="00C120C8"/>
    <w:rsid w:val="00C12446"/>
    <w:rsid w:val="00C12A35"/>
    <w:rsid w:val="00C134C5"/>
    <w:rsid w:val="00C13584"/>
    <w:rsid w:val="00C139EE"/>
    <w:rsid w:val="00C145D4"/>
    <w:rsid w:val="00C16B7A"/>
    <w:rsid w:val="00C16FF4"/>
    <w:rsid w:val="00C17E74"/>
    <w:rsid w:val="00C20CEA"/>
    <w:rsid w:val="00C21794"/>
    <w:rsid w:val="00C217A5"/>
    <w:rsid w:val="00C21BCB"/>
    <w:rsid w:val="00C22B4F"/>
    <w:rsid w:val="00C23539"/>
    <w:rsid w:val="00C23BAD"/>
    <w:rsid w:val="00C241C9"/>
    <w:rsid w:val="00C24702"/>
    <w:rsid w:val="00C247B9"/>
    <w:rsid w:val="00C25020"/>
    <w:rsid w:val="00C25700"/>
    <w:rsid w:val="00C25EA7"/>
    <w:rsid w:val="00C27899"/>
    <w:rsid w:val="00C300AC"/>
    <w:rsid w:val="00C324DA"/>
    <w:rsid w:val="00C32A43"/>
    <w:rsid w:val="00C366B0"/>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D29"/>
    <w:rsid w:val="00C53C26"/>
    <w:rsid w:val="00C547B7"/>
    <w:rsid w:val="00C54862"/>
    <w:rsid w:val="00C54B6B"/>
    <w:rsid w:val="00C557D5"/>
    <w:rsid w:val="00C55C55"/>
    <w:rsid w:val="00C55E58"/>
    <w:rsid w:val="00C57013"/>
    <w:rsid w:val="00C57F58"/>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5D4"/>
    <w:rsid w:val="00C70D01"/>
    <w:rsid w:val="00C71BA1"/>
    <w:rsid w:val="00C720DE"/>
    <w:rsid w:val="00C72546"/>
    <w:rsid w:val="00C746A5"/>
    <w:rsid w:val="00C75704"/>
    <w:rsid w:val="00C7574E"/>
    <w:rsid w:val="00C75ADD"/>
    <w:rsid w:val="00C81010"/>
    <w:rsid w:val="00C81797"/>
    <w:rsid w:val="00C819A6"/>
    <w:rsid w:val="00C81A01"/>
    <w:rsid w:val="00C82085"/>
    <w:rsid w:val="00C823F2"/>
    <w:rsid w:val="00C8353A"/>
    <w:rsid w:val="00C83822"/>
    <w:rsid w:val="00C8383F"/>
    <w:rsid w:val="00C842FE"/>
    <w:rsid w:val="00C8641D"/>
    <w:rsid w:val="00C866C6"/>
    <w:rsid w:val="00C86A89"/>
    <w:rsid w:val="00C86B25"/>
    <w:rsid w:val="00C86F65"/>
    <w:rsid w:val="00C91F21"/>
    <w:rsid w:val="00C93A4E"/>
    <w:rsid w:val="00C93B4A"/>
    <w:rsid w:val="00C94A7B"/>
    <w:rsid w:val="00C94FA8"/>
    <w:rsid w:val="00C9501D"/>
    <w:rsid w:val="00C95A9C"/>
    <w:rsid w:val="00CA0C07"/>
    <w:rsid w:val="00CA1ED3"/>
    <w:rsid w:val="00CA2B69"/>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5170"/>
    <w:rsid w:val="00CC5EDE"/>
    <w:rsid w:val="00CC60D1"/>
    <w:rsid w:val="00CC6182"/>
    <w:rsid w:val="00CC6310"/>
    <w:rsid w:val="00CC64E8"/>
    <w:rsid w:val="00CC6DD5"/>
    <w:rsid w:val="00CC7BBA"/>
    <w:rsid w:val="00CD0F83"/>
    <w:rsid w:val="00CD1452"/>
    <w:rsid w:val="00CD24E9"/>
    <w:rsid w:val="00CD24EB"/>
    <w:rsid w:val="00CD335E"/>
    <w:rsid w:val="00CD3563"/>
    <w:rsid w:val="00CD451A"/>
    <w:rsid w:val="00CD52B2"/>
    <w:rsid w:val="00CD554B"/>
    <w:rsid w:val="00CD57AF"/>
    <w:rsid w:val="00CD5933"/>
    <w:rsid w:val="00CD6E99"/>
    <w:rsid w:val="00CD7C37"/>
    <w:rsid w:val="00CE05C9"/>
    <w:rsid w:val="00CE0ED0"/>
    <w:rsid w:val="00CE1734"/>
    <w:rsid w:val="00CE1DA5"/>
    <w:rsid w:val="00CE2063"/>
    <w:rsid w:val="00CE2C2E"/>
    <w:rsid w:val="00CE3183"/>
    <w:rsid w:val="00CE4C75"/>
    <w:rsid w:val="00CE55D8"/>
    <w:rsid w:val="00CE5783"/>
    <w:rsid w:val="00CE5C88"/>
    <w:rsid w:val="00CE5E93"/>
    <w:rsid w:val="00CE61F4"/>
    <w:rsid w:val="00CE700F"/>
    <w:rsid w:val="00CE7E64"/>
    <w:rsid w:val="00CF0EC1"/>
    <w:rsid w:val="00CF15BC"/>
    <w:rsid w:val="00CF16D6"/>
    <w:rsid w:val="00CF199B"/>
    <w:rsid w:val="00CF26EA"/>
    <w:rsid w:val="00CF277D"/>
    <w:rsid w:val="00CF3BC6"/>
    <w:rsid w:val="00CF40B8"/>
    <w:rsid w:val="00CF59C9"/>
    <w:rsid w:val="00CF5E5C"/>
    <w:rsid w:val="00D02025"/>
    <w:rsid w:val="00D02120"/>
    <w:rsid w:val="00D03123"/>
    <w:rsid w:val="00D037DA"/>
    <w:rsid w:val="00D03987"/>
    <w:rsid w:val="00D03DA8"/>
    <w:rsid w:val="00D04B94"/>
    <w:rsid w:val="00D04CB7"/>
    <w:rsid w:val="00D06043"/>
    <w:rsid w:val="00D07476"/>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34E5"/>
    <w:rsid w:val="00D2493A"/>
    <w:rsid w:val="00D24A86"/>
    <w:rsid w:val="00D24E76"/>
    <w:rsid w:val="00D24F4A"/>
    <w:rsid w:val="00D25A7F"/>
    <w:rsid w:val="00D272C3"/>
    <w:rsid w:val="00D27520"/>
    <w:rsid w:val="00D306DB"/>
    <w:rsid w:val="00D31565"/>
    <w:rsid w:val="00D31645"/>
    <w:rsid w:val="00D34687"/>
    <w:rsid w:val="00D34FA5"/>
    <w:rsid w:val="00D353C6"/>
    <w:rsid w:val="00D361F8"/>
    <w:rsid w:val="00D36541"/>
    <w:rsid w:val="00D366F4"/>
    <w:rsid w:val="00D3709E"/>
    <w:rsid w:val="00D40097"/>
    <w:rsid w:val="00D40EDC"/>
    <w:rsid w:val="00D410EF"/>
    <w:rsid w:val="00D41A7E"/>
    <w:rsid w:val="00D42C02"/>
    <w:rsid w:val="00D44724"/>
    <w:rsid w:val="00D44AC4"/>
    <w:rsid w:val="00D45610"/>
    <w:rsid w:val="00D45E85"/>
    <w:rsid w:val="00D46012"/>
    <w:rsid w:val="00D46451"/>
    <w:rsid w:val="00D46484"/>
    <w:rsid w:val="00D46FDC"/>
    <w:rsid w:val="00D507B7"/>
    <w:rsid w:val="00D5265A"/>
    <w:rsid w:val="00D52894"/>
    <w:rsid w:val="00D53298"/>
    <w:rsid w:val="00D54575"/>
    <w:rsid w:val="00D54C4A"/>
    <w:rsid w:val="00D563AE"/>
    <w:rsid w:val="00D57597"/>
    <w:rsid w:val="00D57A66"/>
    <w:rsid w:val="00D57DB7"/>
    <w:rsid w:val="00D6071D"/>
    <w:rsid w:val="00D61312"/>
    <w:rsid w:val="00D6185B"/>
    <w:rsid w:val="00D61A69"/>
    <w:rsid w:val="00D61AC1"/>
    <w:rsid w:val="00D61D31"/>
    <w:rsid w:val="00D6265D"/>
    <w:rsid w:val="00D63A1D"/>
    <w:rsid w:val="00D649CF"/>
    <w:rsid w:val="00D6637C"/>
    <w:rsid w:val="00D67553"/>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629C"/>
    <w:rsid w:val="00D87829"/>
    <w:rsid w:val="00D90C06"/>
    <w:rsid w:val="00D91250"/>
    <w:rsid w:val="00D91A22"/>
    <w:rsid w:val="00D92E24"/>
    <w:rsid w:val="00D93FAE"/>
    <w:rsid w:val="00D94043"/>
    <w:rsid w:val="00D95AA6"/>
    <w:rsid w:val="00D95BBB"/>
    <w:rsid w:val="00D9634B"/>
    <w:rsid w:val="00D964F1"/>
    <w:rsid w:val="00D974BE"/>
    <w:rsid w:val="00DA0E91"/>
    <w:rsid w:val="00DA0F5B"/>
    <w:rsid w:val="00DA2ED0"/>
    <w:rsid w:val="00DA4528"/>
    <w:rsid w:val="00DA502B"/>
    <w:rsid w:val="00DA6755"/>
    <w:rsid w:val="00DA6AE3"/>
    <w:rsid w:val="00DA6D39"/>
    <w:rsid w:val="00DA72A4"/>
    <w:rsid w:val="00DB0086"/>
    <w:rsid w:val="00DB05C0"/>
    <w:rsid w:val="00DB0846"/>
    <w:rsid w:val="00DB1134"/>
    <w:rsid w:val="00DB1804"/>
    <w:rsid w:val="00DB1945"/>
    <w:rsid w:val="00DB1A45"/>
    <w:rsid w:val="00DB38AA"/>
    <w:rsid w:val="00DB39CD"/>
    <w:rsid w:val="00DB3AC0"/>
    <w:rsid w:val="00DB3CE7"/>
    <w:rsid w:val="00DB42A5"/>
    <w:rsid w:val="00DB486F"/>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2CD"/>
    <w:rsid w:val="00DC46C3"/>
    <w:rsid w:val="00DC5172"/>
    <w:rsid w:val="00DC53B9"/>
    <w:rsid w:val="00DC54D4"/>
    <w:rsid w:val="00DC6741"/>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D6DB4"/>
    <w:rsid w:val="00DE0A1B"/>
    <w:rsid w:val="00DE109D"/>
    <w:rsid w:val="00DE1D00"/>
    <w:rsid w:val="00DE2114"/>
    <w:rsid w:val="00DE2151"/>
    <w:rsid w:val="00DE2A0D"/>
    <w:rsid w:val="00DE2A5D"/>
    <w:rsid w:val="00DE51F1"/>
    <w:rsid w:val="00DE5966"/>
    <w:rsid w:val="00DE678F"/>
    <w:rsid w:val="00DE72C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3A1"/>
    <w:rsid w:val="00E044E3"/>
    <w:rsid w:val="00E056B2"/>
    <w:rsid w:val="00E07328"/>
    <w:rsid w:val="00E075B9"/>
    <w:rsid w:val="00E10578"/>
    <w:rsid w:val="00E105AC"/>
    <w:rsid w:val="00E112D0"/>
    <w:rsid w:val="00E1189E"/>
    <w:rsid w:val="00E1258A"/>
    <w:rsid w:val="00E12D6F"/>
    <w:rsid w:val="00E130B4"/>
    <w:rsid w:val="00E13878"/>
    <w:rsid w:val="00E13CF8"/>
    <w:rsid w:val="00E13E4E"/>
    <w:rsid w:val="00E14465"/>
    <w:rsid w:val="00E14935"/>
    <w:rsid w:val="00E15431"/>
    <w:rsid w:val="00E156ED"/>
    <w:rsid w:val="00E158B1"/>
    <w:rsid w:val="00E17812"/>
    <w:rsid w:val="00E17CFE"/>
    <w:rsid w:val="00E20351"/>
    <w:rsid w:val="00E21913"/>
    <w:rsid w:val="00E2231A"/>
    <w:rsid w:val="00E23031"/>
    <w:rsid w:val="00E23901"/>
    <w:rsid w:val="00E23BE3"/>
    <w:rsid w:val="00E24FF2"/>
    <w:rsid w:val="00E26A58"/>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1F3"/>
    <w:rsid w:val="00E44F02"/>
    <w:rsid w:val="00E46546"/>
    <w:rsid w:val="00E468CF"/>
    <w:rsid w:val="00E46E2E"/>
    <w:rsid w:val="00E50765"/>
    <w:rsid w:val="00E51172"/>
    <w:rsid w:val="00E51E14"/>
    <w:rsid w:val="00E528A5"/>
    <w:rsid w:val="00E532CB"/>
    <w:rsid w:val="00E55C6C"/>
    <w:rsid w:val="00E56453"/>
    <w:rsid w:val="00E564AA"/>
    <w:rsid w:val="00E60005"/>
    <w:rsid w:val="00E60F0A"/>
    <w:rsid w:val="00E64CA2"/>
    <w:rsid w:val="00E65EFB"/>
    <w:rsid w:val="00E663FB"/>
    <w:rsid w:val="00E6700A"/>
    <w:rsid w:val="00E71FF3"/>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76D"/>
    <w:rsid w:val="00E87D5F"/>
    <w:rsid w:val="00E90BF1"/>
    <w:rsid w:val="00E91109"/>
    <w:rsid w:val="00E912F1"/>
    <w:rsid w:val="00E91318"/>
    <w:rsid w:val="00E91320"/>
    <w:rsid w:val="00E919C6"/>
    <w:rsid w:val="00E91F1B"/>
    <w:rsid w:val="00E924E8"/>
    <w:rsid w:val="00E93276"/>
    <w:rsid w:val="00E9516E"/>
    <w:rsid w:val="00E96174"/>
    <w:rsid w:val="00E96EB7"/>
    <w:rsid w:val="00E973F0"/>
    <w:rsid w:val="00E97851"/>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63A"/>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2F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3FD7"/>
    <w:rsid w:val="00ED48C9"/>
    <w:rsid w:val="00ED5DC3"/>
    <w:rsid w:val="00ED7950"/>
    <w:rsid w:val="00ED7F3C"/>
    <w:rsid w:val="00EE1978"/>
    <w:rsid w:val="00EE2014"/>
    <w:rsid w:val="00EE2CDE"/>
    <w:rsid w:val="00EE30DA"/>
    <w:rsid w:val="00EE3795"/>
    <w:rsid w:val="00EE398E"/>
    <w:rsid w:val="00EE3A25"/>
    <w:rsid w:val="00EE3DD7"/>
    <w:rsid w:val="00EE6534"/>
    <w:rsid w:val="00EE72DF"/>
    <w:rsid w:val="00EE7B1A"/>
    <w:rsid w:val="00EF1256"/>
    <w:rsid w:val="00EF1360"/>
    <w:rsid w:val="00EF23AF"/>
    <w:rsid w:val="00EF2504"/>
    <w:rsid w:val="00EF29B5"/>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2C12"/>
    <w:rsid w:val="00F03A18"/>
    <w:rsid w:val="00F04691"/>
    <w:rsid w:val="00F0497A"/>
    <w:rsid w:val="00F04BD6"/>
    <w:rsid w:val="00F053DC"/>
    <w:rsid w:val="00F05553"/>
    <w:rsid w:val="00F055C4"/>
    <w:rsid w:val="00F05948"/>
    <w:rsid w:val="00F06FD4"/>
    <w:rsid w:val="00F102AD"/>
    <w:rsid w:val="00F1092C"/>
    <w:rsid w:val="00F10A55"/>
    <w:rsid w:val="00F1179A"/>
    <w:rsid w:val="00F119FD"/>
    <w:rsid w:val="00F123CA"/>
    <w:rsid w:val="00F12723"/>
    <w:rsid w:val="00F1274F"/>
    <w:rsid w:val="00F12B57"/>
    <w:rsid w:val="00F13196"/>
    <w:rsid w:val="00F133F1"/>
    <w:rsid w:val="00F13A83"/>
    <w:rsid w:val="00F13B8F"/>
    <w:rsid w:val="00F13E92"/>
    <w:rsid w:val="00F169DB"/>
    <w:rsid w:val="00F16E81"/>
    <w:rsid w:val="00F170B0"/>
    <w:rsid w:val="00F174C5"/>
    <w:rsid w:val="00F1772A"/>
    <w:rsid w:val="00F204B6"/>
    <w:rsid w:val="00F205B5"/>
    <w:rsid w:val="00F218A0"/>
    <w:rsid w:val="00F218F9"/>
    <w:rsid w:val="00F21EBF"/>
    <w:rsid w:val="00F225DE"/>
    <w:rsid w:val="00F229D3"/>
    <w:rsid w:val="00F238C3"/>
    <w:rsid w:val="00F23DC9"/>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09D7"/>
    <w:rsid w:val="00F41F92"/>
    <w:rsid w:val="00F4208D"/>
    <w:rsid w:val="00F42E84"/>
    <w:rsid w:val="00F434AF"/>
    <w:rsid w:val="00F44026"/>
    <w:rsid w:val="00F4452E"/>
    <w:rsid w:val="00F45299"/>
    <w:rsid w:val="00F45B43"/>
    <w:rsid w:val="00F4678A"/>
    <w:rsid w:val="00F50680"/>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10D"/>
    <w:rsid w:val="00F73412"/>
    <w:rsid w:val="00F737C8"/>
    <w:rsid w:val="00F74BF7"/>
    <w:rsid w:val="00F74C11"/>
    <w:rsid w:val="00F75FEB"/>
    <w:rsid w:val="00F764F0"/>
    <w:rsid w:val="00F76CE8"/>
    <w:rsid w:val="00F7710C"/>
    <w:rsid w:val="00F776F8"/>
    <w:rsid w:val="00F77FCE"/>
    <w:rsid w:val="00F80938"/>
    <w:rsid w:val="00F81BED"/>
    <w:rsid w:val="00F821DB"/>
    <w:rsid w:val="00F82C66"/>
    <w:rsid w:val="00F841BF"/>
    <w:rsid w:val="00F84BF5"/>
    <w:rsid w:val="00F85F67"/>
    <w:rsid w:val="00F86C95"/>
    <w:rsid w:val="00F86D7A"/>
    <w:rsid w:val="00F8706F"/>
    <w:rsid w:val="00F870E2"/>
    <w:rsid w:val="00F90448"/>
    <w:rsid w:val="00F90D29"/>
    <w:rsid w:val="00F9156A"/>
    <w:rsid w:val="00F917FF"/>
    <w:rsid w:val="00F92721"/>
    <w:rsid w:val="00F93A03"/>
    <w:rsid w:val="00F94D99"/>
    <w:rsid w:val="00F95741"/>
    <w:rsid w:val="00F959B1"/>
    <w:rsid w:val="00F95B12"/>
    <w:rsid w:val="00F95BC2"/>
    <w:rsid w:val="00F96282"/>
    <w:rsid w:val="00FA01A3"/>
    <w:rsid w:val="00FA0819"/>
    <w:rsid w:val="00FA2298"/>
    <w:rsid w:val="00FA2786"/>
    <w:rsid w:val="00FA2A2D"/>
    <w:rsid w:val="00FA2DAD"/>
    <w:rsid w:val="00FA41CF"/>
    <w:rsid w:val="00FA5DCF"/>
    <w:rsid w:val="00FA5FF1"/>
    <w:rsid w:val="00FA6D4D"/>
    <w:rsid w:val="00FA705E"/>
    <w:rsid w:val="00FA79B9"/>
    <w:rsid w:val="00FB0362"/>
    <w:rsid w:val="00FB0809"/>
    <w:rsid w:val="00FB132D"/>
    <w:rsid w:val="00FB1BC9"/>
    <w:rsid w:val="00FB1FEE"/>
    <w:rsid w:val="00FB4389"/>
    <w:rsid w:val="00FB4401"/>
    <w:rsid w:val="00FB4D50"/>
    <w:rsid w:val="00FB4FA4"/>
    <w:rsid w:val="00FB6EC2"/>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443A"/>
    <w:rsid w:val="00FE446F"/>
    <w:rsid w:val="00FE4954"/>
    <w:rsid w:val="00FE4BBD"/>
    <w:rsid w:val="00FE5FB5"/>
    <w:rsid w:val="00FE61E2"/>
    <w:rsid w:val="00FE61FA"/>
    <w:rsid w:val="00FE657D"/>
    <w:rsid w:val="00FE6A57"/>
    <w:rsid w:val="00FF01C2"/>
    <w:rsid w:val="00FF0DB4"/>
    <w:rsid w:val="00FF1124"/>
    <w:rsid w:val="00FF11FF"/>
    <w:rsid w:val="00FF22EF"/>
    <w:rsid w:val="00FF2B69"/>
    <w:rsid w:val="00FF557C"/>
    <w:rsid w:val="00FF68BE"/>
    <w:rsid w:val="00FF6BF5"/>
    <w:rsid w:val="00FF7280"/>
    <w:rsid w:val="00FF74F9"/>
    <w:rsid w:val="00FF7DAE"/>
    <w:rsid w:val="01C26E13"/>
    <w:rsid w:val="05E27A84"/>
    <w:rsid w:val="08597DA5"/>
    <w:rsid w:val="098614CC"/>
    <w:rsid w:val="0EFE7BB2"/>
    <w:rsid w:val="18855DBE"/>
    <w:rsid w:val="23EA50E4"/>
    <w:rsid w:val="2C976410"/>
    <w:rsid w:val="327A252B"/>
    <w:rsid w:val="34C91C8B"/>
    <w:rsid w:val="3CBE5E91"/>
    <w:rsid w:val="4D551EB6"/>
    <w:rsid w:val="4F355550"/>
    <w:rsid w:val="52BB46ED"/>
    <w:rsid w:val="566172F0"/>
    <w:rsid w:val="589D0DFC"/>
    <w:rsid w:val="59170968"/>
    <w:rsid w:val="5C0A47B4"/>
    <w:rsid w:val="668B029F"/>
    <w:rsid w:val="6D945789"/>
    <w:rsid w:val="78AB76E6"/>
    <w:rsid w:val="7B352E0A"/>
    <w:rsid w:val="7EFB6738"/>
    <w:rsid w:val="7F9C1D9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4"/>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Normal (Web)"/>
    <w:basedOn w:val="1"/>
    <w:semiHidden/>
    <w:unhideWhenUsed/>
    <w:qFormat/>
    <w:uiPriority w:val="0"/>
    <w:rPr>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99"/>
    <w:rPr>
      <w:color w:val="0000FF"/>
      <w:u w:val="single"/>
    </w:rPr>
  </w:style>
  <w:style w:type="character" w:customStyle="1" w:styleId="14">
    <w:name w:val="批注框文本 字符"/>
    <w:basedOn w:val="12"/>
    <w:link w:val="6"/>
    <w:qFormat/>
    <w:uiPriority w:val="0"/>
    <w:rPr>
      <w:rFonts w:ascii="Tahoma" w:hAnsi="Tahoma" w:cs="Tahoma"/>
      <w:lang w:eastAsia="ja-JP"/>
    </w:rPr>
  </w:style>
  <w:style w:type="paragraph" w:customStyle="1" w:styleId="15">
    <w:name w:val="EFAFPReportType"/>
    <w:link w:val="79"/>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6">
    <w:name w:val="EFABullet"/>
    <w:basedOn w:val="17"/>
    <w:qFormat/>
    <w:uiPriority w:val="99"/>
    <w:pPr>
      <w:numPr>
        <w:ilvl w:val="0"/>
        <w:numId w:val="1"/>
      </w:numPr>
      <w:tabs>
        <w:tab w:val="left" w:pos="480"/>
      </w:tabs>
      <w:ind w:left="192" w:firstLine="0"/>
    </w:pPr>
    <w:rPr>
      <w:szCs w:val="22"/>
    </w:rPr>
  </w:style>
  <w:style w:type="paragraph" w:customStyle="1" w:styleId="17">
    <w:name w:val="EFABodyText"/>
    <w:link w:val="35"/>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18">
    <w:name w:val="EFAButton"/>
    <w:basedOn w:val="19"/>
    <w:qFormat/>
    <w:uiPriority w:val="0"/>
    <w:rPr>
      <w:b/>
    </w:rPr>
  </w:style>
  <w:style w:type="paragraph" w:customStyle="1" w:styleId="19">
    <w:name w:val="EFANormal"/>
    <w:link w:val="34"/>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0">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1">
    <w:name w:val="EFAFPFrameText_11.5pt_Right"/>
    <w:basedOn w:val="22"/>
    <w:link w:val="110"/>
    <w:qFormat/>
    <w:uiPriority w:val="0"/>
    <w:pPr>
      <w:framePr w:wrap="around" w:xAlign="right" w:y="1"/>
      <w:jc w:val="right"/>
    </w:pPr>
    <w:rPr>
      <w:bCs/>
      <w:szCs w:val="32"/>
    </w:rPr>
  </w:style>
  <w:style w:type="paragraph" w:customStyle="1" w:styleId="22">
    <w:name w:val="EFAFPFrameText_11.5pt"/>
    <w:link w:val="10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3">
    <w:name w:val="EFADisclaimerText"/>
    <w:basedOn w:val="19"/>
    <w:link w:val="138"/>
    <w:qFormat/>
    <w:uiPriority w:val="99"/>
    <w:pPr>
      <w:jc w:val="both"/>
    </w:pPr>
  </w:style>
  <w:style w:type="paragraph" w:styleId="24">
    <w:name w:val="List Paragraph"/>
    <w:basedOn w:val="1"/>
    <w:qFormat/>
    <w:uiPriority w:val="34"/>
    <w:pPr>
      <w:ind w:left="720"/>
      <w:contextualSpacing/>
    </w:pPr>
  </w:style>
  <w:style w:type="paragraph" w:customStyle="1" w:styleId="25">
    <w:name w:val="EFABullet_Red"/>
    <w:basedOn w:val="26"/>
    <w:qFormat/>
    <w:uiPriority w:val="99"/>
    <w:pPr>
      <w:numPr>
        <w:ilvl w:val="0"/>
        <w:numId w:val="2"/>
      </w:numPr>
      <w:tabs>
        <w:tab w:val="left" w:pos="481"/>
      </w:tabs>
      <w:ind w:left="0" w:firstLine="0"/>
    </w:pPr>
  </w:style>
  <w:style w:type="paragraph" w:customStyle="1" w:styleId="26">
    <w:name w:val="EFAFP_BodyText"/>
    <w:link w:val="3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7">
    <w:name w:val="EFA2ndPageHeader"/>
    <w:basedOn w:val="19"/>
    <w:qFormat/>
    <w:uiPriority w:val="0"/>
    <w:pPr>
      <w:spacing w:before="40" w:after="40"/>
      <w:jc w:val="right"/>
    </w:pPr>
    <w:rPr>
      <w:color w:val="FF0000"/>
      <w:sz w:val="24"/>
    </w:rPr>
  </w:style>
  <w:style w:type="paragraph" w:customStyle="1" w:styleId="28">
    <w:name w:val="EFAPageFooter"/>
    <w:basedOn w:val="19"/>
    <w:qFormat/>
    <w:uiPriority w:val="0"/>
    <w:pPr>
      <w:framePr w:wrap="around" w:vAnchor="page" w:hAnchor="page" w:x="347" w:y="15481"/>
      <w:tabs>
        <w:tab w:val="center" w:pos="5165"/>
      </w:tabs>
    </w:pPr>
    <w:rPr>
      <w:b/>
      <w:sz w:val="20"/>
      <w:szCs w:val="20"/>
    </w:rPr>
  </w:style>
  <w:style w:type="paragraph" w:customStyle="1" w:styleId="29">
    <w:name w:val="EFAPageHeader"/>
    <w:basedOn w:val="19"/>
    <w:qFormat/>
    <w:uiPriority w:val="0"/>
    <w:pPr>
      <w:tabs>
        <w:tab w:val="right" w:pos="10692"/>
      </w:tabs>
      <w:spacing w:before="40" w:after="40"/>
    </w:pPr>
    <w:rPr>
      <w:color w:val="005BAC"/>
      <w:sz w:val="24"/>
    </w:rPr>
  </w:style>
  <w:style w:type="paragraph" w:customStyle="1" w:styleId="30">
    <w:name w:val="EFAHiddenBookmark"/>
    <w:basedOn w:val="1"/>
    <w:link w:val="31"/>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1">
    <w:name w:val="EFAHiddenBookmark Char"/>
    <w:link w:val="30"/>
    <w:qFormat/>
    <w:uiPriority w:val="99"/>
    <w:rPr>
      <w:rFonts w:ascii="Arial" w:hAnsi="Arial" w:eastAsia="Times New Roman"/>
      <w:vanish/>
      <w:kern w:val="2"/>
      <w:sz w:val="14"/>
      <w:szCs w:val="19"/>
      <w:lang w:val="en-GB" w:eastAsia="en-US"/>
    </w:rPr>
  </w:style>
  <w:style w:type="paragraph" w:customStyle="1" w:styleId="32">
    <w:name w:val="EFAPoweredByEFA"/>
    <w:link w:val="33"/>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3">
    <w:name w:val="EFAPoweredByEFA Char"/>
    <w:link w:val="32"/>
    <w:qFormat/>
    <w:uiPriority w:val="0"/>
    <w:rPr>
      <w:rFonts w:ascii="Arial" w:hAnsi="Arial" w:eastAsia="PMingLiU"/>
      <w:color w:val="5A5A5A"/>
      <w:sz w:val="9"/>
      <w:szCs w:val="9"/>
      <w:lang w:eastAsia="zh-TW"/>
    </w:rPr>
  </w:style>
  <w:style w:type="character" w:customStyle="1" w:styleId="34">
    <w:name w:val="EFANormal Char"/>
    <w:basedOn w:val="12"/>
    <w:link w:val="19"/>
    <w:qFormat/>
    <w:uiPriority w:val="0"/>
    <w:rPr>
      <w:lang w:eastAsia="ja-JP"/>
    </w:rPr>
  </w:style>
  <w:style w:type="character" w:customStyle="1" w:styleId="35">
    <w:name w:val="EFABodyText Char"/>
    <w:basedOn w:val="12"/>
    <w:link w:val="17"/>
    <w:qFormat/>
    <w:uiPriority w:val="0"/>
    <w:rPr>
      <w:sz w:val="20"/>
      <w:lang w:eastAsia="ja-JP"/>
    </w:rPr>
  </w:style>
  <w:style w:type="character" w:customStyle="1" w:styleId="36">
    <w:name w:val="EFAFP_BodyText Char"/>
    <w:basedOn w:val="12"/>
    <w:link w:val="26"/>
    <w:qFormat/>
    <w:uiPriority w:val="0"/>
    <w:rPr>
      <w:sz w:val="20"/>
      <w:lang w:eastAsia="ja-JP"/>
    </w:rPr>
  </w:style>
  <w:style w:type="paragraph" w:customStyle="1" w:styleId="37">
    <w:name w:val="EFAFPTag"/>
    <w:basedOn w:val="19"/>
    <w:qFormat/>
    <w:uiPriority w:val="0"/>
    <w:pPr>
      <w:jc w:val="center"/>
    </w:pPr>
    <w:rPr>
      <w:b/>
    </w:rPr>
  </w:style>
  <w:style w:type="paragraph" w:customStyle="1" w:styleId="38">
    <w:name w:val="EFAFPFooter2"/>
    <w:link w:val="124"/>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39">
    <w:name w:val="EFACharGrey"/>
    <w:qFormat/>
    <w:uiPriority w:val="1"/>
    <w:rPr>
      <w:color w:val="808080"/>
    </w:rPr>
  </w:style>
  <w:style w:type="paragraph" w:customStyle="1" w:styleId="40">
    <w:name w:val="EFAFPTitle"/>
    <w:link w:val="109"/>
    <w:qFormat/>
    <w:uiPriority w:val="0"/>
    <w:pPr>
      <w:framePr w:wrap="around" w:vAnchor="margin" w:hAnchor="text" w:xAlign="right" w:y="1"/>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1">
    <w:name w:val="EFAFPColFrameText"/>
    <w:link w:val="43"/>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2">
    <w:name w:val="EFAFPColFrameText_Right"/>
    <w:basedOn w:val="41"/>
    <w:qFormat/>
    <w:uiPriority w:val="0"/>
    <w:pPr>
      <w:framePr w:wrap="around"/>
      <w:jc w:val="right"/>
    </w:pPr>
  </w:style>
  <w:style w:type="character" w:customStyle="1" w:styleId="43">
    <w:name w:val="EFAFPColFrameText Char"/>
    <w:basedOn w:val="12"/>
    <w:link w:val="41"/>
    <w:qFormat/>
    <w:uiPriority w:val="0"/>
    <w:rPr>
      <w:sz w:val="14"/>
      <w:szCs w:val="14"/>
    </w:rPr>
  </w:style>
  <w:style w:type="paragraph" w:customStyle="1" w:styleId="44">
    <w:name w:val="EFAFPColFrameHeading"/>
    <w:basedOn w:val="41"/>
    <w:qFormat/>
    <w:uiPriority w:val="0"/>
    <w:pPr>
      <w:framePr w:wrap="around"/>
    </w:pPr>
    <w:rPr>
      <w:b/>
      <w:color w:val="23558C"/>
      <w:sz w:val="16"/>
    </w:rPr>
  </w:style>
  <w:style w:type="paragraph" w:customStyle="1" w:styleId="45">
    <w:name w:val="EFAFPColFrameText_Left"/>
    <w:basedOn w:val="41"/>
    <w:link w:val="67"/>
    <w:qFormat/>
    <w:uiPriority w:val="0"/>
    <w:pPr>
      <w:framePr w:wrap="around"/>
    </w:pPr>
  </w:style>
  <w:style w:type="paragraph" w:customStyle="1" w:styleId="46">
    <w:name w:val="EFAFPColFrame_Source"/>
    <w:basedOn w:val="45"/>
    <w:qFormat/>
    <w:uiPriority w:val="0"/>
    <w:pPr>
      <w:framePr w:wrap="around"/>
    </w:pPr>
    <w:rPr>
      <w:sz w:val="12"/>
      <w:szCs w:val="12"/>
    </w:rPr>
  </w:style>
  <w:style w:type="character" w:customStyle="1" w:styleId="47">
    <w:name w:val="EFACharBold"/>
    <w:basedOn w:val="12"/>
    <w:qFormat/>
    <w:uiPriority w:val="1"/>
    <w:rPr>
      <w:b/>
    </w:rPr>
  </w:style>
  <w:style w:type="paragraph" w:customStyle="1" w:styleId="48">
    <w:name w:val="EFAFPColFrame_AnalystName"/>
    <w:basedOn w:val="45"/>
    <w:qFormat/>
    <w:uiPriority w:val="0"/>
    <w:pPr>
      <w:framePr w:wrap="around"/>
    </w:pPr>
    <w:rPr>
      <w:b/>
      <w:sz w:val="16"/>
    </w:rPr>
  </w:style>
  <w:style w:type="paragraph" w:customStyle="1" w:styleId="49">
    <w:name w:val="EFAFPColFrameText_8pt"/>
    <w:basedOn w:val="45"/>
    <w:qFormat/>
    <w:uiPriority w:val="0"/>
    <w:pPr>
      <w:framePr w:wrap="around"/>
    </w:pPr>
    <w:rPr>
      <w:sz w:val="16"/>
    </w:rPr>
  </w:style>
  <w:style w:type="paragraph" w:customStyle="1" w:styleId="50">
    <w:name w:val="EFAFP_Source"/>
    <w:basedOn w:val="19"/>
    <w:qFormat/>
    <w:uiPriority w:val="0"/>
    <w:rPr>
      <w:sz w:val="12"/>
      <w:szCs w:val="12"/>
    </w:rPr>
  </w:style>
  <w:style w:type="paragraph" w:customStyle="1" w:styleId="51">
    <w:name w:val="EFAFP_Abstract"/>
    <w:qFormat/>
    <w:uiPriority w:val="0"/>
    <w:rPr>
      <w:rFonts w:ascii="Calibri" w:hAnsi="Calibri" w:eastAsia="MS Mincho" w:cs="Times New Roman"/>
      <w:snapToGrid w:val="0"/>
      <w:sz w:val="18"/>
      <w:szCs w:val="16"/>
      <w:lang w:val="en-US" w:eastAsia="ja-JP" w:bidi="ar-SA"/>
    </w:rPr>
  </w:style>
  <w:style w:type="paragraph" w:customStyle="1" w:styleId="52">
    <w:name w:val="EFABullet_Green"/>
    <w:basedOn w:val="26"/>
    <w:qFormat/>
    <w:uiPriority w:val="0"/>
    <w:pPr>
      <w:numPr>
        <w:ilvl w:val="0"/>
        <w:numId w:val="3"/>
      </w:numPr>
      <w:tabs>
        <w:tab w:val="left" w:pos="468"/>
      </w:tabs>
      <w:ind w:left="0" w:firstLine="0"/>
    </w:pPr>
  </w:style>
  <w:style w:type="paragraph" w:customStyle="1" w:styleId="53">
    <w:name w:val="EFABullet_Blue"/>
    <w:basedOn w:val="26"/>
    <w:qFormat/>
    <w:uiPriority w:val="0"/>
    <w:pPr>
      <w:numPr>
        <w:ilvl w:val="0"/>
        <w:numId w:val="4"/>
      </w:numPr>
      <w:tabs>
        <w:tab w:val="left" w:pos="468"/>
      </w:tabs>
      <w:ind w:left="0" w:firstLine="0"/>
    </w:pPr>
  </w:style>
  <w:style w:type="paragraph" w:customStyle="1" w:styleId="54">
    <w:name w:val="EFABullet_Yellow"/>
    <w:basedOn w:val="26"/>
    <w:qFormat/>
    <w:uiPriority w:val="0"/>
    <w:pPr>
      <w:numPr>
        <w:ilvl w:val="0"/>
        <w:numId w:val="5"/>
      </w:numPr>
      <w:tabs>
        <w:tab w:val="left" w:pos="468"/>
      </w:tabs>
      <w:ind w:left="0" w:firstLine="0"/>
    </w:pPr>
  </w:style>
  <w:style w:type="paragraph" w:customStyle="1" w:styleId="55">
    <w:name w:val="EFASource"/>
    <w:basedOn w:val="17"/>
    <w:qFormat/>
    <w:uiPriority w:val="0"/>
    <w:rPr>
      <w:sz w:val="12"/>
      <w:szCs w:val="14"/>
    </w:rPr>
  </w:style>
  <w:style w:type="paragraph" w:customStyle="1" w:styleId="56">
    <w:name w:val="EFASubHeader"/>
    <w:basedOn w:val="17"/>
    <w:next w:val="17"/>
    <w:link w:val="107"/>
    <w:qFormat/>
    <w:uiPriority w:val="0"/>
    <w:rPr>
      <w:b/>
      <w:bCs/>
    </w:rPr>
  </w:style>
  <w:style w:type="paragraph" w:customStyle="1" w:styleId="57">
    <w:name w:val="EFADisclaimerHeading"/>
    <w:basedOn w:val="23"/>
    <w:next w:val="23"/>
    <w:qFormat/>
    <w:uiPriority w:val="99"/>
    <w:rPr>
      <w:b/>
    </w:rPr>
  </w:style>
  <w:style w:type="paragraph" w:customStyle="1" w:styleId="58">
    <w:name w:val="EFADisclaimerHeading2"/>
    <w:basedOn w:val="23"/>
    <w:next w:val="23"/>
    <w:qFormat/>
    <w:uiPriority w:val="0"/>
    <w:rPr>
      <w:b/>
      <w:sz w:val="20"/>
      <w:szCs w:val="20"/>
    </w:rPr>
  </w:style>
  <w:style w:type="paragraph" w:customStyle="1" w:styleId="59">
    <w:name w:val="EFADisclaimerHeading3"/>
    <w:basedOn w:val="23"/>
    <w:qFormat/>
    <w:uiPriority w:val="0"/>
    <w:rPr>
      <w:b/>
      <w:sz w:val="18"/>
      <w:szCs w:val="18"/>
    </w:rPr>
  </w:style>
  <w:style w:type="paragraph" w:customStyle="1" w:styleId="60">
    <w:name w:val="EFASideComment"/>
    <w:basedOn w:val="17"/>
    <w:qFormat/>
    <w:uiPriority w:val="0"/>
    <w:pPr>
      <w:framePr w:w="2980" w:hSpace="180" w:wrap="around" w:vAnchor="text" w:hAnchor="text" w:x="-3250" w:y="160"/>
    </w:pPr>
  </w:style>
  <w:style w:type="character" w:customStyle="1" w:styleId="61">
    <w:name w:val="EFACharBold_and_AllCap"/>
    <w:qFormat/>
    <w:uiPriority w:val="1"/>
    <w:rPr>
      <w:b/>
      <w:caps/>
    </w:rPr>
  </w:style>
  <w:style w:type="paragraph" w:customStyle="1" w:styleId="62">
    <w:name w:val="__Table_Normal"/>
    <w:basedOn w:val="1"/>
    <w:link w:val="63"/>
    <w:qFormat/>
    <w:uiPriority w:val="0"/>
    <w:rPr>
      <w:snapToGrid/>
      <w:color w:val="000000"/>
      <w:kern w:val="28"/>
    </w:rPr>
  </w:style>
  <w:style w:type="character" w:customStyle="1" w:styleId="63">
    <w:name w:val="__Table_Normal Char"/>
    <w:basedOn w:val="12"/>
    <w:link w:val="62"/>
    <w:qFormat/>
    <w:uiPriority w:val="0"/>
    <w:rPr>
      <w:snapToGrid/>
      <w:color w:val="000000"/>
      <w:kern w:val="28"/>
      <w:lang w:eastAsia="ja-JP"/>
    </w:rPr>
  </w:style>
  <w:style w:type="paragraph" w:customStyle="1" w:styleId="64">
    <w:name w:val="Front pg Tbl left just 7 pt"/>
    <w:basedOn w:val="1"/>
    <w:link w:val="65"/>
    <w:qFormat/>
    <w:uiPriority w:val="0"/>
    <w:rPr>
      <w:snapToGrid/>
      <w:sz w:val="14"/>
      <w:szCs w:val="24"/>
    </w:rPr>
  </w:style>
  <w:style w:type="character" w:customStyle="1" w:styleId="65">
    <w:name w:val="Front pg Tbl left just 7 pt Char Char"/>
    <w:basedOn w:val="12"/>
    <w:link w:val="64"/>
    <w:qFormat/>
    <w:uiPriority w:val="0"/>
    <w:rPr>
      <w:snapToGrid/>
      <w:sz w:val="14"/>
      <w:szCs w:val="24"/>
      <w:lang w:eastAsia="ja-JP"/>
    </w:rPr>
  </w:style>
  <w:style w:type="paragraph" w:customStyle="1" w:styleId="66">
    <w:name w:val="EFAFPColFrameText_Center"/>
    <w:basedOn w:val="45"/>
    <w:link w:val="68"/>
    <w:qFormat/>
    <w:uiPriority w:val="0"/>
    <w:pPr>
      <w:framePr w:wrap="around"/>
    </w:pPr>
  </w:style>
  <w:style w:type="character" w:customStyle="1" w:styleId="67">
    <w:name w:val="EFAFPColFrameText_Left Char"/>
    <w:basedOn w:val="43"/>
    <w:link w:val="45"/>
    <w:qFormat/>
    <w:uiPriority w:val="0"/>
    <w:rPr>
      <w:sz w:val="14"/>
      <w:szCs w:val="14"/>
    </w:rPr>
  </w:style>
  <w:style w:type="character" w:customStyle="1" w:styleId="68">
    <w:name w:val="EFAFPColFrameText_Center Char"/>
    <w:basedOn w:val="67"/>
    <w:link w:val="66"/>
    <w:qFormat/>
    <w:uiPriority w:val="0"/>
    <w:rPr>
      <w:sz w:val="14"/>
      <w:szCs w:val="14"/>
    </w:rPr>
  </w:style>
  <w:style w:type="paragraph" w:customStyle="1" w:styleId="69">
    <w:name w:val="EFAAnchor"/>
    <w:basedOn w:val="19"/>
    <w:qFormat/>
    <w:uiPriority w:val="0"/>
    <w:rPr>
      <w:sz w:val="4"/>
      <w:lang w:eastAsia="zh-CN"/>
    </w:rPr>
  </w:style>
  <w:style w:type="paragraph" w:customStyle="1" w:styleId="70">
    <w:name w:val="EFAFPColFrameAnchor"/>
    <w:basedOn w:val="41"/>
    <w:qFormat/>
    <w:uiPriority w:val="0"/>
    <w:pPr>
      <w:framePr w:wrap="around"/>
    </w:pPr>
    <w:rPr>
      <w:sz w:val="4"/>
      <w:szCs w:val="4"/>
    </w:rPr>
  </w:style>
  <w:style w:type="paragraph" w:customStyle="1" w:styleId="71">
    <w:name w:val="EFAFigureTitle_SC"/>
    <w:basedOn w:val="17"/>
    <w:next w:val="17"/>
    <w:link w:val="73"/>
    <w:qFormat/>
    <w:uiPriority w:val="0"/>
    <w:pPr>
      <w:spacing w:before="40" w:after="40"/>
    </w:pPr>
    <w:rPr>
      <w:rFonts w:cs="Calibri"/>
      <w:b/>
      <w:sz w:val="17"/>
    </w:rPr>
  </w:style>
  <w:style w:type="paragraph" w:customStyle="1" w:styleId="72">
    <w:name w:val="EFASource_SC"/>
    <w:basedOn w:val="17"/>
    <w:next w:val="17"/>
    <w:qFormat/>
    <w:uiPriority w:val="0"/>
    <w:rPr>
      <w:sz w:val="12"/>
    </w:rPr>
  </w:style>
  <w:style w:type="character" w:customStyle="1" w:styleId="73">
    <w:name w:val="EFAFigureTitle_SC Char"/>
    <w:basedOn w:val="35"/>
    <w:link w:val="71"/>
    <w:qFormat/>
    <w:uiPriority w:val="0"/>
    <w:rPr>
      <w:rFonts w:cs="Calibri"/>
      <w:b/>
      <w:sz w:val="17"/>
      <w:lang w:eastAsia="ja-JP"/>
    </w:rPr>
  </w:style>
  <w:style w:type="paragraph" w:customStyle="1" w:styleId="74">
    <w:name w:val="EFAFPCol_Hdr2"/>
    <w:basedOn w:val="41"/>
    <w:link w:val="76"/>
    <w:qFormat/>
    <w:uiPriority w:val="0"/>
    <w:pPr>
      <w:framePr w:wrap="around"/>
      <w:jc w:val="both"/>
    </w:pPr>
    <w:rPr>
      <w:b/>
      <w:color w:val="808080"/>
      <w:sz w:val="24"/>
      <w:szCs w:val="24"/>
    </w:rPr>
  </w:style>
  <w:style w:type="paragraph" w:customStyle="1" w:styleId="75">
    <w:name w:val="EFAFP_CustomRec"/>
    <w:link w:val="78"/>
    <w:qFormat/>
    <w:uiPriority w:val="0"/>
    <w:rPr>
      <w:rFonts w:ascii="Calibri" w:hAnsi="Calibri" w:eastAsia="MS Mincho" w:cs="Times New Roman"/>
      <w:b/>
      <w:bCs/>
      <w:snapToGrid w:val="0"/>
      <w:color w:val="23558C"/>
      <w:sz w:val="40"/>
      <w:szCs w:val="24"/>
      <w:lang w:val="en-US" w:eastAsia="zh-CN" w:bidi="ar-SA"/>
    </w:rPr>
  </w:style>
  <w:style w:type="character" w:customStyle="1" w:styleId="76">
    <w:name w:val="EFAFPCol_Hdr2 Char"/>
    <w:basedOn w:val="43"/>
    <w:link w:val="74"/>
    <w:qFormat/>
    <w:uiPriority w:val="0"/>
    <w:rPr>
      <w:b/>
      <w:color w:val="808080"/>
      <w:sz w:val="24"/>
      <w:szCs w:val="24"/>
    </w:rPr>
  </w:style>
  <w:style w:type="paragraph" w:customStyle="1" w:styleId="77">
    <w:name w:val="EFAFP_Rec"/>
    <w:basedOn w:val="41"/>
    <w:link w:val="80"/>
    <w:qFormat/>
    <w:uiPriority w:val="0"/>
    <w:pPr>
      <w:framePr w:wrap="around"/>
    </w:pPr>
    <w:rPr>
      <w:b/>
      <w:bCs/>
      <w:color w:val="23558C"/>
      <w:sz w:val="36"/>
    </w:rPr>
  </w:style>
  <w:style w:type="character" w:customStyle="1" w:styleId="78">
    <w:name w:val="EFAFP_CustomRec Char"/>
    <w:basedOn w:val="12"/>
    <w:link w:val="75"/>
    <w:qFormat/>
    <w:uiPriority w:val="0"/>
    <w:rPr>
      <w:b/>
      <w:bCs/>
      <w:color w:val="23558C"/>
      <w:sz w:val="40"/>
      <w:szCs w:val="24"/>
    </w:rPr>
  </w:style>
  <w:style w:type="character" w:customStyle="1" w:styleId="79">
    <w:name w:val="EFAFPReportType Char"/>
    <w:basedOn w:val="12"/>
    <w:link w:val="15"/>
    <w:qFormat/>
    <w:uiPriority w:val="0"/>
    <w:rPr>
      <w:color w:val="23558C"/>
      <w:sz w:val="44"/>
      <w:szCs w:val="44"/>
      <w:lang w:eastAsia="ja-JP"/>
    </w:rPr>
  </w:style>
  <w:style w:type="character" w:customStyle="1" w:styleId="80">
    <w:name w:val="EFAFP_Rec Char"/>
    <w:basedOn w:val="76"/>
    <w:link w:val="77"/>
    <w:qFormat/>
    <w:uiPriority w:val="0"/>
    <w:rPr>
      <w:bCs/>
      <w:color w:val="23558C"/>
      <w:sz w:val="36"/>
      <w:szCs w:val="14"/>
    </w:rPr>
  </w:style>
  <w:style w:type="paragraph" w:customStyle="1" w:styleId="81">
    <w:name w:val="EFAFPHdrInfo"/>
    <w:link w:val="82"/>
    <w:qFormat/>
    <w:uiPriority w:val="0"/>
    <w:pPr>
      <w:framePr w:wrap="around" w:vAnchor="margin" w:hAnchor="text" w:xAlign="right" w:y="1"/>
      <w:ind w:left="240"/>
    </w:pPr>
    <w:rPr>
      <w:rFonts w:ascii="Calibri" w:hAnsi="Calibri" w:eastAsia="MS Mincho" w:cs="Times New Roman"/>
      <w:b/>
      <w:bCs/>
      <w:snapToGrid w:val="0"/>
      <w:color w:val="000000"/>
      <w:sz w:val="32"/>
      <w:szCs w:val="32"/>
      <w:lang w:val="en-US" w:eastAsia="ja-JP" w:bidi="ar-SA"/>
    </w:rPr>
  </w:style>
  <w:style w:type="character" w:customStyle="1" w:styleId="82">
    <w:name w:val="EFAFPHdrInfo Char"/>
    <w:basedOn w:val="79"/>
    <w:link w:val="81"/>
    <w:qFormat/>
    <w:uiPriority w:val="0"/>
    <w:rPr>
      <w:b/>
      <w:bCs/>
      <w:color w:val="000000"/>
      <w:sz w:val="32"/>
      <w:szCs w:val="32"/>
      <w:lang w:eastAsia="ja-JP"/>
    </w:rPr>
  </w:style>
  <w:style w:type="paragraph" w:customStyle="1" w:styleId="83">
    <w:name w:val="Style EFAFP_BodyText + After:  6 pt"/>
    <w:basedOn w:val="26"/>
    <w:qFormat/>
    <w:uiPriority w:val="0"/>
    <w:pPr>
      <w:spacing w:after="120"/>
    </w:pPr>
    <w:rPr>
      <w:rFonts w:eastAsia="Times New Roman"/>
      <w:snapToGrid/>
      <w:sz w:val="22"/>
      <w:szCs w:val="20"/>
    </w:rPr>
  </w:style>
  <w:style w:type="paragraph" w:customStyle="1" w:styleId="84">
    <w:name w:val="Style EFAFP_BodyText + 12 pt Bold Black After:  6 pt Kern at 14..."/>
    <w:basedOn w:val="26"/>
    <w:qFormat/>
    <w:uiPriority w:val="0"/>
    <w:pPr>
      <w:spacing w:after="120"/>
    </w:pPr>
    <w:rPr>
      <w:rFonts w:eastAsia="Times New Roman"/>
      <w:b/>
      <w:bCs/>
      <w:snapToGrid/>
      <w:color w:val="000000"/>
      <w:kern w:val="28"/>
      <w:sz w:val="26"/>
      <w:szCs w:val="20"/>
    </w:rPr>
  </w:style>
  <w:style w:type="paragraph" w:customStyle="1" w:styleId="85">
    <w:name w:val="EFAFP_Headline"/>
    <w:next w:val="86"/>
    <w:link w:val="87"/>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6">
    <w:name w:val="EFAFP_BodyText2"/>
    <w:link w:val="89"/>
    <w:qFormat/>
    <w:uiPriority w:val="0"/>
    <w:pPr>
      <w:adjustRightInd w:val="0"/>
      <w:snapToGrid w:val="0"/>
      <w:spacing w:after="120"/>
    </w:pPr>
    <w:rPr>
      <w:rFonts w:ascii="Calibri" w:hAnsi="Calibri" w:eastAsia="Times New Roman" w:cs="PMingLiU"/>
      <w:lang w:val="en-US" w:eastAsia="ja-JP" w:bidi="ar-SA"/>
    </w:rPr>
  </w:style>
  <w:style w:type="character" w:customStyle="1" w:styleId="87">
    <w:name w:val="EFAFP_Headline Char"/>
    <w:basedOn w:val="12"/>
    <w:link w:val="85"/>
    <w:qFormat/>
    <w:uiPriority w:val="0"/>
    <w:rPr>
      <w:rFonts w:eastAsia="Times New Roman"/>
      <w:b/>
      <w:bCs/>
      <w:snapToGrid/>
      <w:color w:val="23558C"/>
      <w:kern w:val="28"/>
      <w:sz w:val="28"/>
      <w:szCs w:val="20"/>
      <w:lang w:eastAsia="ja-JP"/>
    </w:rPr>
  </w:style>
  <w:style w:type="character" w:customStyle="1" w:styleId="88">
    <w:name w:val="EFABlueChar"/>
    <w:qFormat/>
    <w:uiPriority w:val="1"/>
    <w:rPr>
      <w:b/>
      <w:color w:val="23508C"/>
    </w:rPr>
  </w:style>
  <w:style w:type="character" w:customStyle="1" w:styleId="89">
    <w:name w:val="EFAFP_BodyText2 Char"/>
    <w:basedOn w:val="12"/>
    <w:link w:val="86"/>
    <w:qFormat/>
    <w:uiPriority w:val="0"/>
    <w:rPr>
      <w:rFonts w:eastAsia="Times New Roman" w:cs="PMingLiU"/>
      <w:snapToGrid/>
      <w:sz w:val="20"/>
      <w:szCs w:val="20"/>
      <w:lang w:eastAsia="ja-JP"/>
    </w:rPr>
  </w:style>
  <w:style w:type="paragraph" w:customStyle="1" w:styleId="90">
    <w:name w:val="EFAHeading2"/>
    <w:basedOn w:val="1"/>
    <w:link w:val="92"/>
    <w:qFormat/>
    <w:uiPriority w:val="0"/>
    <w:pPr>
      <w:widowControl w:val="0"/>
      <w:adjustRightInd w:val="0"/>
      <w:snapToGrid w:val="0"/>
      <w:spacing w:before="160"/>
    </w:pPr>
    <w:rPr>
      <w:color w:val="23558C"/>
      <w:kern w:val="28"/>
      <w:sz w:val="28"/>
    </w:rPr>
  </w:style>
  <w:style w:type="paragraph" w:customStyle="1" w:styleId="91">
    <w:name w:val="EFABodyText2"/>
    <w:basedOn w:val="17"/>
    <w:link w:val="94"/>
    <w:qFormat/>
    <w:uiPriority w:val="0"/>
    <w:rPr>
      <w:szCs w:val="22"/>
    </w:rPr>
  </w:style>
  <w:style w:type="character" w:customStyle="1" w:styleId="92">
    <w:name w:val="EFAHeading2 Char"/>
    <w:basedOn w:val="12"/>
    <w:link w:val="90"/>
    <w:qFormat/>
    <w:uiPriority w:val="0"/>
    <w:rPr>
      <w:color w:val="23558C"/>
      <w:kern w:val="28"/>
      <w:sz w:val="28"/>
      <w:lang w:eastAsia="ja-JP"/>
    </w:rPr>
  </w:style>
  <w:style w:type="paragraph" w:customStyle="1" w:styleId="93">
    <w:name w:val="EFAHeading_with_bullet"/>
    <w:basedOn w:val="1"/>
    <w:next w:val="91"/>
    <w:link w:val="95"/>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4">
    <w:name w:val="EFABodyText2 Char"/>
    <w:basedOn w:val="35"/>
    <w:link w:val="91"/>
    <w:qFormat/>
    <w:uiPriority w:val="0"/>
    <w:rPr>
      <w:sz w:val="20"/>
      <w:szCs w:val="22"/>
      <w:lang w:eastAsia="ja-JP"/>
    </w:rPr>
  </w:style>
  <w:style w:type="character" w:customStyle="1" w:styleId="95">
    <w:name w:val="EFAHeading_with_bullet Char"/>
    <w:basedOn w:val="12"/>
    <w:link w:val="93"/>
    <w:qFormat/>
    <w:uiPriority w:val="0"/>
    <w:rPr>
      <w:b/>
      <w:color w:val="23558C"/>
      <w:kern w:val="28"/>
      <w:sz w:val="28"/>
      <w:lang w:eastAsia="ja-JP"/>
    </w:rPr>
  </w:style>
  <w:style w:type="paragraph" w:customStyle="1" w:styleId="96">
    <w:name w:val="EFARiskText"/>
    <w:link w:val="98"/>
    <w:qFormat/>
    <w:uiPriority w:val="0"/>
    <w:pPr>
      <w:jc w:val="center"/>
    </w:pPr>
    <w:rPr>
      <w:rFonts w:ascii="Calibri" w:hAnsi="Calibri" w:eastAsia="MS Mincho" w:cs="Times New Roman"/>
      <w:color w:val="23508C"/>
      <w:sz w:val="16"/>
      <w:szCs w:val="16"/>
      <w:lang w:val="en-US" w:eastAsia="ja-JP" w:bidi="ar-SA"/>
    </w:rPr>
  </w:style>
  <w:style w:type="paragraph" w:customStyle="1" w:styleId="97">
    <w:name w:val="EFARiskText_Inv"/>
    <w:basedOn w:val="96"/>
    <w:link w:val="99"/>
    <w:qFormat/>
    <w:uiPriority w:val="0"/>
    <w:rPr>
      <w:b/>
      <w:color w:val="FFFFFF"/>
    </w:rPr>
  </w:style>
  <w:style w:type="character" w:customStyle="1" w:styleId="98">
    <w:name w:val="EFARiskText Char"/>
    <w:basedOn w:val="12"/>
    <w:link w:val="96"/>
    <w:qFormat/>
    <w:uiPriority w:val="0"/>
    <w:rPr>
      <w:snapToGrid/>
      <w:color w:val="23508C"/>
      <w:lang w:eastAsia="ja-JP"/>
    </w:rPr>
  </w:style>
  <w:style w:type="character" w:customStyle="1" w:styleId="99">
    <w:name w:val="EFARiskText_Inv Char"/>
    <w:basedOn w:val="98"/>
    <w:link w:val="97"/>
    <w:qFormat/>
    <w:uiPriority w:val="0"/>
    <w:rPr>
      <w:b/>
      <w:snapToGrid/>
      <w:color w:val="FFFFFF"/>
      <w:lang w:eastAsia="ja-JP"/>
    </w:rPr>
  </w:style>
  <w:style w:type="paragraph" w:customStyle="1" w:styleId="100">
    <w:name w:val="EFAHeading3"/>
    <w:basedOn w:val="1"/>
    <w:link w:val="105"/>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1">
    <w:name w:val="EFATextInBullet"/>
    <w:link w:val="103"/>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2">
    <w:name w:val="EFATextInBullet_Inv"/>
    <w:basedOn w:val="101"/>
    <w:qFormat/>
    <w:uiPriority w:val="0"/>
    <w:rPr>
      <w:color w:val="FFFFFF" w:themeColor="background1"/>
      <w14:textFill>
        <w14:solidFill>
          <w14:schemeClr w14:val="bg1"/>
        </w14:solidFill>
      </w14:textFill>
    </w:rPr>
  </w:style>
  <w:style w:type="character" w:customStyle="1" w:styleId="103">
    <w:name w:val="EFATextInBullet Char"/>
    <w:basedOn w:val="12"/>
    <w:link w:val="101"/>
    <w:qFormat/>
    <w:uiPriority w:val="0"/>
    <w:rPr>
      <w:b/>
      <w:bCs/>
      <w:lang w:eastAsia="ja-JP"/>
    </w:rPr>
  </w:style>
  <w:style w:type="paragraph" w:customStyle="1" w:styleId="104">
    <w:name w:val="EFAHeading"/>
    <w:link w:val="106"/>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5">
    <w:name w:val="EFAHeading3 Char"/>
    <w:basedOn w:val="12"/>
    <w:link w:val="100"/>
    <w:qFormat/>
    <w:uiPriority w:val="0"/>
    <w:rPr>
      <w:b/>
      <w:color w:val="23558C"/>
      <w:kern w:val="28"/>
      <w:sz w:val="28"/>
      <w:lang w:eastAsia="ja-JP"/>
    </w:rPr>
  </w:style>
  <w:style w:type="character" w:customStyle="1" w:styleId="106">
    <w:name w:val="EFAHeading Char"/>
    <w:basedOn w:val="12"/>
    <w:link w:val="104"/>
    <w:qFormat/>
    <w:uiPriority w:val="0"/>
    <w:rPr>
      <w:b/>
      <w:color w:val="000000"/>
      <w:kern w:val="28"/>
      <w:sz w:val="24"/>
      <w:szCs w:val="14"/>
      <w:lang w:eastAsia="ja-JP"/>
    </w:rPr>
  </w:style>
  <w:style w:type="character" w:customStyle="1" w:styleId="107">
    <w:name w:val="EFASubHeader Char"/>
    <w:basedOn w:val="35"/>
    <w:link w:val="56"/>
    <w:qFormat/>
    <w:uiPriority w:val="0"/>
    <w:rPr>
      <w:b/>
      <w:bCs/>
      <w:sz w:val="20"/>
      <w:lang w:eastAsia="ja-JP"/>
    </w:rPr>
  </w:style>
  <w:style w:type="character" w:customStyle="1" w:styleId="108">
    <w:name w:val="EFAFPFrameText_11.5pt Char"/>
    <w:basedOn w:val="12"/>
    <w:link w:val="22"/>
    <w:qFormat/>
    <w:uiPriority w:val="0"/>
    <w:rPr>
      <w:b/>
      <w:color w:val="23558C"/>
      <w:sz w:val="24"/>
      <w:lang w:eastAsia="ja-JP"/>
    </w:rPr>
  </w:style>
  <w:style w:type="character" w:customStyle="1" w:styleId="109">
    <w:name w:val="EFAFPTitle Char"/>
    <w:basedOn w:val="12"/>
    <w:link w:val="40"/>
    <w:qFormat/>
    <w:uiPriority w:val="0"/>
    <w:rPr>
      <w:b/>
      <w:color w:val="FFFFFF"/>
      <w:sz w:val="32"/>
      <w:szCs w:val="32"/>
      <w:lang w:eastAsia="ja-JP"/>
    </w:rPr>
  </w:style>
  <w:style w:type="character" w:customStyle="1" w:styleId="110">
    <w:name w:val="EFAFPFrameText_11.5pt_Right Char"/>
    <w:basedOn w:val="108"/>
    <w:link w:val="21"/>
    <w:qFormat/>
    <w:uiPriority w:val="0"/>
    <w:rPr>
      <w:bCs/>
      <w:color w:val="23558C"/>
      <w:sz w:val="24"/>
      <w:szCs w:val="32"/>
      <w:lang w:eastAsia="ja-JP"/>
    </w:rPr>
  </w:style>
  <w:style w:type="paragraph" w:customStyle="1" w:styleId="111">
    <w:name w:val="EFADisclaimerHiddenText"/>
    <w:link w:val="112"/>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2">
    <w:name w:val="EFADisclaimerHiddenText Char"/>
    <w:basedOn w:val="12"/>
    <w:link w:val="111"/>
    <w:qFormat/>
    <w:uiPriority w:val="0"/>
    <w:rPr>
      <w:vanish/>
      <w:color w:val="FFFFFF"/>
      <w:sz w:val="2"/>
      <w:lang w:eastAsia="ja-JP"/>
    </w:rPr>
  </w:style>
  <w:style w:type="paragraph" w:customStyle="1" w:styleId="113">
    <w:name w:val="EFATagging"/>
    <w:link w:val="114"/>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4">
    <w:name w:val="EFATagging Char"/>
    <w:basedOn w:val="12"/>
    <w:link w:val="113"/>
    <w:qFormat/>
    <w:uiPriority w:val="0"/>
    <w:rPr>
      <w:bCs/>
      <w:color w:val="0066CC" w:themeColor="accent1" w:themeShade="80"/>
      <w:lang w:eastAsia="ja-JP"/>
    </w:rPr>
  </w:style>
  <w:style w:type="paragraph" w:customStyle="1" w:styleId="115">
    <w:name w:val="EFAFP_Tagging"/>
    <w:link w:val="116"/>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6">
    <w:name w:val="EFAFP_Tagging Char"/>
    <w:basedOn w:val="12"/>
    <w:link w:val="115"/>
    <w:qFormat/>
    <w:uiPriority w:val="0"/>
    <w:rPr>
      <w:color w:val="0066CC" w:themeColor="accent1" w:themeShade="80"/>
      <w:szCs w:val="20"/>
      <w:lang w:eastAsia="ja-JP"/>
    </w:rPr>
  </w:style>
  <w:style w:type="paragraph" w:customStyle="1" w:styleId="117">
    <w:name w:val="EFAFPHdrInfo3"/>
    <w:link w:val="118"/>
    <w:qFormat/>
    <w:uiPriority w:val="0"/>
    <w:rPr>
      <w:rFonts w:ascii="Calibri" w:hAnsi="Calibri" w:eastAsia="MS Mincho" w:cs="Times New Roman"/>
      <w:b/>
      <w:bCs/>
      <w:snapToGrid w:val="0"/>
      <w:color w:val="000000"/>
      <w:sz w:val="32"/>
      <w:lang w:val="en-US" w:eastAsia="ja-JP" w:bidi="ar-SA"/>
    </w:rPr>
  </w:style>
  <w:style w:type="character" w:customStyle="1" w:styleId="118">
    <w:name w:val="EFAFPHdrInfo3 Char"/>
    <w:basedOn w:val="12"/>
    <w:link w:val="117"/>
    <w:qFormat/>
    <w:uiPriority w:val="0"/>
    <w:rPr>
      <w:b/>
      <w:bCs/>
      <w:color w:val="000000"/>
      <w:sz w:val="32"/>
      <w:szCs w:val="20"/>
      <w:lang w:eastAsia="ja-JP"/>
    </w:rPr>
  </w:style>
  <w:style w:type="paragraph" w:customStyle="1" w:styleId="119">
    <w:name w:val="EFAFP_HTI_Link"/>
    <w:basedOn w:val="41"/>
    <w:qFormat/>
    <w:uiPriority w:val="0"/>
    <w:pPr>
      <w:framePr w:wrap="around"/>
      <w:jc w:val="center"/>
    </w:pPr>
    <w:rPr>
      <w:sz w:val="20"/>
      <w:szCs w:val="20"/>
    </w:rPr>
  </w:style>
  <w:style w:type="paragraph" w:customStyle="1" w:styleId="120">
    <w:name w:val="EFAFPTitle6"/>
    <w:link w:val="121"/>
    <w:qFormat/>
    <w:uiPriority w:val="0"/>
    <w:rPr>
      <w:rFonts w:ascii="Calibri" w:hAnsi="Calibri" w:eastAsia="MS Mincho" w:cs="Times New Roman"/>
      <w:b/>
      <w:bCs/>
      <w:snapToGrid w:val="0"/>
      <w:color w:val="FFFFFF"/>
      <w:sz w:val="32"/>
      <w:lang w:val="en-US" w:eastAsia="ja-JP" w:bidi="ar-SA"/>
    </w:rPr>
  </w:style>
  <w:style w:type="character" w:customStyle="1" w:styleId="121">
    <w:name w:val="EFAFPTitle6 Char"/>
    <w:basedOn w:val="12"/>
    <w:link w:val="120"/>
    <w:qFormat/>
    <w:uiPriority w:val="0"/>
    <w:rPr>
      <w:b/>
      <w:bCs/>
      <w:color w:val="FFFFFF"/>
      <w:sz w:val="32"/>
      <w:szCs w:val="20"/>
      <w:lang w:eastAsia="ja-JP"/>
    </w:rPr>
  </w:style>
  <w:style w:type="paragraph" w:customStyle="1" w:styleId="122">
    <w:name w:val="EFAHiddenText"/>
    <w:link w:val="123"/>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3">
    <w:name w:val="EFAHiddenText Char"/>
    <w:basedOn w:val="12"/>
    <w:link w:val="122"/>
    <w:qFormat/>
    <w:uiPriority w:val="0"/>
    <w:rPr>
      <w:vanish/>
      <w:sz w:val="2"/>
      <w:lang w:eastAsia="ja-JP"/>
    </w:rPr>
  </w:style>
  <w:style w:type="character" w:customStyle="1" w:styleId="124">
    <w:name w:val="EFAFPFooter2 Char"/>
    <w:basedOn w:val="12"/>
    <w:link w:val="38"/>
    <w:qFormat/>
    <w:uiPriority w:val="0"/>
    <w:rPr>
      <w:rFonts w:cs="Arial"/>
      <w:sz w:val="21"/>
      <w:lang w:eastAsia="ja-JP"/>
    </w:rPr>
  </w:style>
  <w:style w:type="table" w:customStyle="1" w:styleId="125">
    <w:name w:val="Table Grid1"/>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6">
    <w:name w:val="EFAFP_HTI_Link2"/>
    <w:link w:val="127"/>
    <w:qFormat/>
    <w:uiPriority w:val="0"/>
    <w:rPr>
      <w:rFonts w:ascii="Calibri" w:hAnsi="Calibri" w:eastAsia="MS Mincho" w:cs="Times New Roman"/>
      <w:snapToGrid w:val="0"/>
      <w:sz w:val="16"/>
      <w:szCs w:val="16"/>
      <w:lang w:val="en-US" w:eastAsia="zh-CN" w:bidi="ar-SA"/>
    </w:rPr>
  </w:style>
  <w:style w:type="character" w:customStyle="1" w:styleId="127">
    <w:name w:val="EFAFP_HTI_Link2 Char"/>
    <w:basedOn w:val="12"/>
    <w:link w:val="126"/>
    <w:qFormat/>
    <w:uiPriority w:val="0"/>
  </w:style>
  <w:style w:type="paragraph" w:customStyle="1" w:styleId="128">
    <w:name w:val="EFAFP_HeadLine_SE"/>
    <w:link w:val="130"/>
    <w:qFormat/>
    <w:uiPriority w:val="0"/>
    <w:rPr>
      <w:rFonts w:ascii="Calibri" w:hAnsi="Calibri" w:eastAsia="Times New Roman" w:cs="Times New Roman"/>
      <w:b/>
      <w:bCs/>
      <w:color w:val="23558C"/>
      <w:kern w:val="28"/>
      <w:sz w:val="22"/>
      <w:lang w:val="en-US" w:eastAsia="ja-JP" w:bidi="ar-SA"/>
    </w:rPr>
  </w:style>
  <w:style w:type="paragraph" w:customStyle="1" w:styleId="129">
    <w:name w:val="EFAFPBodyText_SE"/>
    <w:link w:val="131"/>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0">
    <w:name w:val="EFAFP_HeadLine_SE Char"/>
    <w:basedOn w:val="12"/>
    <w:link w:val="128"/>
    <w:qFormat/>
    <w:uiPriority w:val="0"/>
    <w:rPr>
      <w:rFonts w:eastAsia="Times New Roman"/>
      <w:b/>
      <w:bCs/>
      <w:snapToGrid/>
      <w:color w:val="23558C"/>
      <w:kern w:val="28"/>
      <w:sz w:val="22"/>
      <w:szCs w:val="20"/>
      <w:lang w:eastAsia="ja-JP"/>
    </w:rPr>
  </w:style>
  <w:style w:type="character" w:customStyle="1" w:styleId="131">
    <w:name w:val="EFAFPBodyText_SE Char"/>
    <w:basedOn w:val="12"/>
    <w:link w:val="129"/>
    <w:qFormat/>
    <w:uiPriority w:val="0"/>
    <w:rPr>
      <w:rFonts w:eastAsia="Times New Roman" w:cs="PMingLiU"/>
      <w:snapToGrid/>
      <w:sz w:val="20"/>
      <w:szCs w:val="20"/>
      <w:lang w:eastAsia="ja-JP"/>
    </w:rPr>
  </w:style>
  <w:style w:type="paragraph" w:customStyle="1" w:styleId="132">
    <w:name w:val="EFAHeader_SE"/>
    <w:link w:val="134"/>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3">
    <w:name w:val="EFABodyText_SE"/>
    <w:link w:val="136"/>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4">
    <w:name w:val="EFAHeader_SE Char"/>
    <w:basedOn w:val="12"/>
    <w:link w:val="132"/>
    <w:qFormat/>
    <w:uiPriority w:val="0"/>
    <w:rPr>
      <w:b/>
      <w:bCs/>
      <w:snapToGrid/>
      <w:color w:val="23558C"/>
      <w:kern w:val="28"/>
      <w:sz w:val="22"/>
      <w:lang w:eastAsia="ja-JP"/>
    </w:rPr>
  </w:style>
  <w:style w:type="paragraph" w:customStyle="1" w:styleId="135">
    <w:name w:val="EFABodyText_SE2"/>
    <w:link w:val="137"/>
    <w:qFormat/>
    <w:uiPriority w:val="0"/>
    <w:rPr>
      <w:rFonts w:ascii="Calibri" w:hAnsi="Calibri" w:eastAsia="Times New Roman" w:cs="PMingLiU"/>
      <w:lang w:val="en-US" w:eastAsia="ja-JP" w:bidi="ar-SA"/>
    </w:rPr>
  </w:style>
  <w:style w:type="character" w:customStyle="1" w:styleId="136">
    <w:name w:val="EFABodyText_SE Char"/>
    <w:basedOn w:val="12"/>
    <w:link w:val="133"/>
    <w:qFormat/>
    <w:uiPriority w:val="0"/>
    <w:rPr>
      <w:rFonts w:eastAsia="Times New Roman" w:cs="PMingLiU"/>
      <w:snapToGrid/>
      <w:sz w:val="20"/>
      <w:szCs w:val="20"/>
      <w:lang w:eastAsia="ja-JP"/>
    </w:rPr>
  </w:style>
  <w:style w:type="character" w:customStyle="1" w:styleId="137">
    <w:name w:val="EFABodyText_SE2 Char"/>
    <w:basedOn w:val="12"/>
    <w:link w:val="135"/>
    <w:qFormat/>
    <w:uiPriority w:val="0"/>
    <w:rPr>
      <w:rFonts w:eastAsia="Times New Roman" w:cs="PMingLiU"/>
      <w:snapToGrid/>
      <w:sz w:val="20"/>
      <w:szCs w:val="20"/>
      <w:lang w:eastAsia="ja-JP"/>
    </w:rPr>
  </w:style>
  <w:style w:type="character" w:customStyle="1" w:styleId="138">
    <w:name w:val="EFADisclaimerText Char"/>
    <w:basedOn w:val="12"/>
    <w:link w:val="23"/>
    <w:qFormat/>
    <w:locked/>
    <w:uiPriority w:val="99"/>
    <w:rPr>
      <w:lang w:eastAsia="ja-JP"/>
    </w:rPr>
  </w:style>
  <w:style w:type="paragraph" w:customStyle="1" w:styleId="139">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0">
    <w:name w:val="EFAFPFooter"/>
    <w:basedOn w:val="19"/>
    <w:qFormat/>
    <w:uiPriority w:val="0"/>
    <w:pPr>
      <w:tabs>
        <w:tab w:val="right" w:pos="10679"/>
      </w:tabs>
      <w:autoSpaceDE w:val="0"/>
      <w:autoSpaceDN w:val="0"/>
      <w:jc w:val="both"/>
    </w:pPr>
    <w:rPr>
      <w:rFonts w:eastAsia="宋体" w:cs="Arial"/>
      <w:b/>
    </w:rPr>
  </w:style>
  <w:style w:type="paragraph" w:customStyle="1" w:styleId="141">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2">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3">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4">
    <w:name w:val="Common"/>
    <w:basedOn w:val="11"/>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character" w:customStyle="1" w:styleId="145">
    <w:name w:val="未处理的提及1"/>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emf"/><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7AD80-E7A4-48BC-99CA-4BA1C3C1B478}">
  <ds:schemaRefs/>
</ds:datastoreItem>
</file>

<file path=docProps/app.xml><?xml version="1.0" encoding="utf-8"?>
<Properties xmlns="http://schemas.openxmlformats.org/officeDocument/2006/extended-properties" xmlns:vt="http://schemas.openxmlformats.org/officeDocument/2006/docPropsVTypes">
  <Template>The Scoop - HTI</Template>
  <Pages>7</Pages>
  <Words>5391</Words>
  <Characters>15553</Characters>
  <Lines>488</Lines>
  <Paragraphs>269</Paragraphs>
  <TotalTime>5</TotalTime>
  <ScaleCrop>false</ScaleCrop>
  <LinksUpToDate>false</LinksUpToDate>
  <CharactersWithSpaces>17590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2026-03-24T14:55:00Z</dcterms:created>
  <dc:creator>微信用户</dc:creator>
  <cp:lastModifiedBy>微信用户</cp:lastModifiedBy>
  <cp:lastPrinted>2020-02-08T07:07:00Z</cp:lastPrinted>
  <dcterms:modified xsi:type="dcterms:W3CDTF">2026-03-25T06:10:32Z</dcterms:modified>
  <dc:title>Corp note</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 2025</vt:lpwstr>
  </property>
  <property fmtid="{D5CDD505-2E9C-101B-9397-08002B2CF9AE}" pid="3" name="rank">
    <vt:lpwstr>下调至弱大于市</vt:lpwstr>
  </property>
  <property fmtid="{D5CDD505-2E9C-101B-9397-08002B2CF9AE}" pid="4" name="stockinfo">
    <vt:lpwstr>三生制药 (1530 HK)</vt:lpwstr>
  </property>
  <property fmtid="{D5CDD505-2E9C-101B-9397-08002B2CF9AE}" pid="5" name="reporttype">
    <vt:lpwstr>1</vt:lpwstr>
  </property>
  <property fmtid="{D5CDD505-2E9C-101B-9397-08002B2CF9AE}" pid="6" name="mktcode">
    <vt:lpwstr>HK</vt:lpwstr>
  </property>
  <property fmtid="{D5CDD505-2E9C-101B-9397-08002B2CF9AE}" pid="7" name="scode">
    <vt:lpwstr>1530</vt:lpwstr>
  </property>
  <property fmtid="{D5CDD505-2E9C-101B-9397-08002B2CF9AE}" pid="8" name="updateDate">
    <vt:lpwstr>2025-10-21</vt:lpwstr>
  </property>
  <property fmtid="{D5CDD505-2E9C-101B-9397-08002B2CF9AE}" pid="9" name="sname">
    <vt:lpwstr>1530 HK</vt:lpwstr>
  </property>
  <property fmtid="{D5CDD505-2E9C-101B-9397-08002B2CF9AE}" pid="10" name="analystids">
    <vt:lpwstr>3</vt:lpwstr>
  </property>
  <property fmtid="{D5CDD505-2E9C-101B-9397-08002B2CF9AE}" pid="11" name="stype">
    <vt:lpwstr>2</vt:lpwstr>
  </property>
  <property fmtid="{D5CDD505-2E9C-101B-9397-08002B2CF9AE}" pid="12" name="investrank">
    <vt:lpwstr>BUY</vt:lpwstr>
  </property>
  <property fmtid="{D5CDD505-2E9C-101B-9397-08002B2CF9AE}" pid="13" name="targetprice">
    <vt:lpwstr>12.00</vt:lpwstr>
  </property>
  <property fmtid="{D5CDD505-2E9C-101B-9397-08002B2CF9AE}" pid="14" name="versiontype">
    <vt:lpwstr>Company_CN</vt:lpwstr>
  </property>
  <property fmtid="{D5CDD505-2E9C-101B-9397-08002B2CF9AE}" pid="15" name="version">
    <vt:lpwstr>1.0</vt:lpwstr>
  </property>
  <property fmtid="{D5CDD505-2E9C-101B-9397-08002B2CF9AE}" pid="16" name="rankname">
    <vt:lpwstr>OUTPERFORM</vt:lpwstr>
  </property>
  <property fmtid="{D5CDD505-2E9C-101B-9397-08002B2CF9AE}" pid="17" name="ratingId">
    <vt:lpwstr>1</vt:lpwstr>
  </property>
  <property fmtid="{D5CDD505-2E9C-101B-9397-08002B2CF9AE}" pid="18" name="rank_Chinese">
    <vt:lpwstr>优于大市</vt:lpwstr>
  </property>
  <property fmtid="{D5CDD505-2E9C-101B-9397-08002B2CF9AE}" pid="19" name="rank_tc">
    <vt:lpwstr>優於大市</vt:lpwstr>
  </property>
  <property fmtid="{D5CDD505-2E9C-101B-9397-08002B2CF9AE}" pid="20" name="KSOProductBuildVer">
    <vt:lpwstr>2052-12.1.0.24034</vt:lpwstr>
  </property>
  <property fmtid="{D5CDD505-2E9C-101B-9397-08002B2CF9AE}" pid="21" name="analystSuffixs">
    <vt:lpwstr/>
  </property>
  <property fmtid="{D5CDD505-2E9C-101B-9397-08002B2CF9AE}" pid="22" name="custom_name">
    <vt:lpwstr>1530 HK-Nicolas Wang</vt:lpwstr>
  </property>
  <property fmtid="{D5CDD505-2E9C-101B-9397-08002B2CF9AE}" pid="23" name="analystEmails">
    <vt:lpwstr>amber.lh.zhou@htisec.com</vt:lpwstr>
  </property>
  <property fmtid="{D5CDD505-2E9C-101B-9397-08002B2CF9AE}" pid="24" name="analystFullNames">
    <vt:lpwstr>Amber Zhou</vt:lpwstr>
  </property>
  <property fmtid="{D5CDD505-2E9C-101B-9397-08002B2CF9AE}" pid="25" name="id">
    <vt:lpwstr>2</vt:lpwstr>
  </property>
  <property fmtid="{D5CDD505-2E9C-101B-9397-08002B2CF9AE}" pid="26" name="analystChineseNames">
    <vt:lpwstr/>
  </property>
  <property fmtid="{D5CDD505-2E9C-101B-9397-08002B2CF9AE}" pid="27" name="language">
    <vt:lpwstr>1</vt:lpwstr>
  </property>
  <property fmtid="{D5CDD505-2E9C-101B-9397-08002B2CF9AE}" pid="28" name="KSOTemplateDocerSaveRecord">
    <vt:lpwstr>eyJoZGlkIjoiN2YzNjBkOTgyNWQ1YTMxYzM3MzMwNWFiODNmOWIzYWMiLCJ1c2VySWQiOiIxMjgyNzI4NjcyIn0=</vt:lpwstr>
  </property>
  <property fmtid="{D5CDD505-2E9C-101B-9397-08002B2CF9AE}" pid="29" name="ICV">
    <vt:lpwstr>A149C6F414A0481DAC86A050ECADB56F_12</vt:lpwstr>
  </property>
</Properties>
</file>