
<file path=[Content_Types].xml><?xml version="1.0" encoding="utf-8"?>
<Types xmlns="http://schemas.openxmlformats.org/package/2006/content-types">
  <Default Extension="xml" ContentType="application/xml"/>
  <Default Extension="xlsx" ContentType="application/vnd.openxmlformats-officedocument.spreadsheetml.sheet"/>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olors1.xml" ContentType="application/vnd.ms-office.chartcolorstyle+xml"/>
  <Override PartName="/word/charts/colors10.xml" ContentType="application/vnd.ms-office.chartcolorstyle+xml"/>
  <Override PartName="/word/charts/colors11.xml" ContentType="application/vnd.ms-office.chartcolorstyle+xml"/>
  <Override PartName="/word/charts/colors12.xml" ContentType="application/vnd.ms-office.chartcolorstyle+xml"/>
  <Override PartName="/word/charts/colors13.xml" ContentType="application/vnd.ms-office.chartcolorstyle+xml"/>
  <Override PartName="/word/charts/colors14.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colors9.xml" ContentType="application/vnd.ms-office.chartcolorstyle+xml"/>
  <Override PartName="/word/charts/style1.xml" ContentType="application/vnd.ms-office.chartstyle+xml"/>
  <Override PartName="/word/charts/style10.xml" ContentType="application/vnd.ms-office.chartstyle+xml"/>
  <Override PartName="/word/charts/style11.xml" ContentType="application/vnd.ms-office.chartstyle+xml"/>
  <Override PartName="/word/charts/style12.xml" ContentType="application/vnd.ms-office.chartstyle+xml"/>
  <Override PartName="/word/charts/style13.xml" ContentType="application/vnd.ms-office.chartstyle+xml"/>
  <Override PartName="/word/charts/style14.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harts/style9.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2.xml" ContentType="application/vnd.openxmlformats-officedocument.themeOverride+xml"/>
  <Override PartName="/word/theme/themeOverride3.xml" ContentType="application/vnd.openxmlformats-officedocument.themeOverride+xml"/>
  <Override PartName="/word/theme/themeOverride4.xml" ContentType="application/vnd.openxmlformats-officedocument.themeOverride+xml"/>
  <Override PartName="/word/theme/themeOverride5.xml" ContentType="application/vnd.openxmlformats-officedocument.themeOverride+xml"/>
  <Override PartName="/word/theme/themeOverride6.xml" ContentType="application/vnd.openxmlformats-officedocument.themeOverride+xml"/>
  <Override PartName="/word/theme/themeOverride7.xml" ContentType="application/vnd.openxmlformats-officedocument.themeOverride+xml"/>
  <Override PartName="/word/theme/themeOverride8.xml" ContentType="application/vnd.openxmlformats-officedocument.themeOverride+xml"/>
  <Override PartName="/word/theme/themeOverride9.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7"/>
        <w:tblpPr w:bottomFromText="360" w:tblpXSpec="right" w:tblpY="-239"/>
        <w:tblOverlap w:val="never"/>
        <w:tblW w:w="10376" w:type="dxa"/>
        <w:tblCaption w:val="[Table_Title]"/>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40" w:type="dxa"/>
          <w:bottom w:w="0" w:type="dxa"/>
          <w:right w:w="40" w:type="dxa"/>
        </w:tblCellMar>
      </w:tblPr>
      <w:tblGrid>
        <w:gridCol w:w="7643"/>
        <w:gridCol w:w="2733"/>
      </w:tblGrid>
      <w:tr w14:paraId="4F7C46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23" w:hRule="exact"/>
        </w:trPr>
        <w:tc>
          <w:tcPr>
            <w:tcW w:w="10376" w:type="dxa"/>
            <w:gridSpan w:val="2"/>
          </w:tcPr>
          <w:p w14:paraId="1EA588C2">
            <w:pPr>
              <w:pStyle w:val="37"/>
              <w:framePr w:hRule="auto" w:wrap="auto" w:vAnchor="margin" w:hAnchor="text" w:xAlign="left" w:yAlign="inline"/>
              <w:rPr>
                <w:rFonts w:hint="default" w:ascii="Calibri" w:hAnsi="Calibri" w:eastAsia="楷体_GB2312" w:cs="Calibri"/>
              </w:rPr>
            </w:pPr>
            <w:r>
              <w:rPr>
                <w:rFonts w:hint="default" w:ascii="Calibri" w:hAnsi="Calibri" w:eastAsia="楷体_GB2312" w:cs="Calibri"/>
                <w:b w:val="0"/>
                <w:color w:val="FFFFFF" w:themeColor="background1"/>
                <w:sz w:val="16"/>
                <w:lang w:eastAsia="zh-CN"/>
                <w14:textFill>
                  <w14:solidFill>
                    <w14:schemeClr w14:val="bg1"/>
                  </w14:solidFill>
                </w14:textFill>
              </w:rPr>
              <w:t>[</w:t>
            </w:r>
            <w:r>
              <w:rPr>
                <w:rFonts w:hint="default" w:ascii="Calibri" w:hAnsi="Calibri" w:eastAsia="楷体_GB2312" w:cs="Calibri"/>
                <w:b w:val="0"/>
                <w:color w:val="FFFFFF" w:themeColor="background1"/>
                <w:sz w:val="16"/>
                <w:lang w:eastAsia="zh-CN"/>
                <w14:textFill>
                  <w14:solidFill>
                    <w14:schemeClr w14:val="bg1"/>
                  </w14:solidFill>
                </w14:textFill>
              </w:rPr>
              <w:t>Table_Title]</w:t>
            </w:r>
          </w:p>
        </w:tc>
      </w:tr>
      <w:tr w14:paraId="6ACAE3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318" w:hRule="exact"/>
        </w:trPr>
        <w:tc>
          <w:tcPr>
            <w:tcW w:w="7643" w:type="dxa"/>
            <w:vAlign w:val="center"/>
          </w:tcPr>
          <w:p w14:paraId="6DA4D126">
            <w:pPr>
              <w:pStyle w:val="37"/>
              <w:framePr w:hRule="auto" w:wrap="auto" w:vAnchor="margin" w:hAnchor="text" w:xAlign="left" w:yAlign="inline"/>
              <w:rPr>
                <w:rFonts w:hint="default" w:ascii="Calibri" w:hAnsi="Calibri" w:eastAsia="楷体_GB2312" w:cs="Calibri"/>
                <w:b w:val="0"/>
                <w:sz w:val="16"/>
                <w:lang w:eastAsia="zh-CN"/>
              </w:rPr>
            </w:pPr>
            <w:r>
              <w:rPr>
                <w:rFonts w:hint="default" w:ascii="Calibri" w:hAnsi="Calibri" w:eastAsia="楷体_GB2312" w:cs="Calibri"/>
                <w:b w:val="0"/>
                <w:sz w:val="16"/>
                <w:lang w:eastAsia="zh-CN"/>
              </w:rPr>
              <w:t>研究报告Research Report</w:t>
            </w:r>
          </w:p>
        </w:tc>
        <w:tc>
          <w:tcPr>
            <w:tcW w:w="2733" w:type="dxa"/>
            <w:vAlign w:val="center"/>
          </w:tcPr>
          <w:p w14:paraId="66F89DCE">
            <w:pPr>
              <w:pStyle w:val="37"/>
              <w:framePr w:hRule="auto" w:wrap="auto" w:vAnchor="margin" w:hAnchor="text" w:xAlign="left" w:yAlign="inline"/>
              <w:rPr>
                <w:rFonts w:hint="default" w:ascii="Calibri" w:hAnsi="Calibri" w:eastAsia="楷体_GB2312" w:cs="Calibri"/>
              </w:rPr>
            </w:pPr>
          </w:p>
        </w:tc>
      </w:tr>
      <w:tr w14:paraId="63CC8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320" w:hRule="atLeast"/>
        </w:trPr>
        <w:tc>
          <w:tcPr>
            <w:tcW w:w="7643" w:type="dxa"/>
            <w:vAlign w:val="center"/>
          </w:tcPr>
          <w:p w14:paraId="04882111">
            <w:pPr>
              <w:pStyle w:val="37"/>
              <w:framePr w:hRule="auto" w:wrap="auto" w:vAnchor="margin" w:hAnchor="text" w:xAlign="left" w:yAlign="inline"/>
              <w:rPr>
                <w:rFonts w:hint="default" w:ascii="Calibri" w:hAnsi="Calibri" w:eastAsia="楷体_GB2312" w:cs="Calibri"/>
                <w:b w:val="0"/>
                <w:sz w:val="20"/>
                <w:szCs w:val="20"/>
              </w:rPr>
            </w:pPr>
            <w:r>
              <w:rPr>
                <w:rFonts w:hint="default" w:ascii="Calibri" w:hAnsi="Calibri" w:eastAsia="楷体_GB2312" w:cs="Calibri"/>
                <w:b w:val="0"/>
                <w:color w:val="215E99"/>
                <w:sz w:val="16"/>
                <w:lang w:eastAsia="zh-CN"/>
              </w:rPr>
              <w:t>27</w:t>
            </w:r>
            <w:r>
              <w:rPr>
                <w:rFonts w:hint="default" w:ascii="Calibri" w:hAnsi="Calibri" w:eastAsia="楷体_GB2312" w:cs="Calibri"/>
                <w:b w:val="0"/>
                <w:color w:val="215E99"/>
                <w:sz w:val="16"/>
              </w:rPr>
              <w:t xml:space="preserve"> Feb 2026</w:t>
            </w:r>
          </w:p>
        </w:tc>
        <w:tc>
          <w:tcPr>
            <w:tcW w:w="2733" w:type="dxa"/>
            <w:vAlign w:val="center"/>
          </w:tcPr>
          <w:p w14:paraId="75694D6F">
            <w:pPr>
              <w:pStyle w:val="37"/>
              <w:framePr w:hRule="auto" w:wrap="auto" w:vAnchor="margin" w:hAnchor="text" w:xAlign="left" w:yAlign="inline"/>
              <w:wordWrap w:val="0"/>
              <w:jc w:val="right"/>
              <w:rPr>
                <w:rFonts w:hint="default" w:ascii="Calibri" w:hAnsi="Calibri" w:eastAsia="楷体_GB2312" w:cs="Calibri"/>
                <w:lang w:eastAsia="zh-CN"/>
              </w:rPr>
            </w:pPr>
          </w:p>
        </w:tc>
      </w:tr>
      <w:tr w14:paraId="0C4F4A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147" w:hRule="exact"/>
        </w:trPr>
        <w:tc>
          <w:tcPr>
            <w:tcW w:w="7643" w:type="dxa"/>
          </w:tcPr>
          <w:p w14:paraId="38721EA7">
            <w:pPr>
              <w:pStyle w:val="104"/>
              <w:framePr w:w="0" w:hRule="auto" w:wrap="auto" w:vAnchor="margin" w:hAnchor="text" w:xAlign="left" w:yAlign="inline"/>
              <w:rPr>
                <w:rFonts w:hint="default" w:ascii="Calibri" w:hAnsi="Calibri" w:eastAsia="楷体_GB2312" w:cs="Calibri"/>
                <w:sz w:val="16"/>
                <w:szCs w:val="16"/>
                <w:lang w:val="en-GB" w:eastAsia="zh-CN"/>
              </w:rPr>
            </w:pPr>
          </w:p>
        </w:tc>
        <w:tc>
          <w:tcPr>
            <w:tcW w:w="2733" w:type="dxa"/>
            <w:vAlign w:val="center"/>
          </w:tcPr>
          <w:p w14:paraId="0D0ED007">
            <w:pPr>
              <w:pStyle w:val="37"/>
              <w:framePr w:hRule="auto" w:wrap="auto" w:vAnchor="margin" w:hAnchor="text" w:xAlign="left" w:yAlign="inline"/>
              <w:jc w:val="right"/>
              <w:rPr>
                <w:rFonts w:hint="default" w:ascii="Calibri" w:hAnsi="Calibri" w:eastAsia="楷体_GB2312" w:cs="Calibri"/>
              </w:rPr>
            </w:pPr>
          </w:p>
        </w:tc>
      </w:tr>
      <w:tr w14:paraId="464D8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601" w:hRule="exact"/>
        </w:trPr>
        <w:tc>
          <w:tcPr>
            <w:tcW w:w="10376" w:type="dxa"/>
            <w:gridSpan w:val="2"/>
          </w:tcPr>
          <w:p w14:paraId="58E8EB0F">
            <w:pPr>
              <w:pStyle w:val="37"/>
              <w:framePr w:hRule="auto" w:wrap="auto" w:vAnchor="margin" w:hAnchor="text" w:xAlign="left" w:yAlign="inline"/>
              <w:rPr>
                <w:rFonts w:hint="default" w:ascii="Calibri" w:hAnsi="Calibri" w:eastAsia="楷体_GB2312" w:cs="Calibri"/>
                <w:sz w:val="30"/>
                <w:szCs w:val="30"/>
                <w:lang w:eastAsia="zh-CN"/>
              </w:rPr>
            </w:pPr>
            <w:r>
              <w:rPr>
                <w:rFonts w:hint="default" w:ascii="Calibri" w:hAnsi="Calibri" w:eastAsia="楷体_GB2312" w:cs="Calibri"/>
                <w:sz w:val="30"/>
                <w:szCs w:val="30"/>
                <w:lang w:eastAsia="zh-CN"/>
              </w:rPr>
              <w:t>全球先进制造与能源Global Advanced Manufacturing and Energy</w:t>
            </w:r>
          </w:p>
          <w:p w14:paraId="7A8E75E3">
            <w:pPr>
              <w:pStyle w:val="37"/>
              <w:framePr w:hRule="auto" w:wrap="auto" w:vAnchor="margin" w:hAnchor="text" w:xAlign="left" w:yAlign="inline"/>
              <w:rPr>
                <w:rFonts w:hint="default" w:ascii="Calibri" w:hAnsi="Calibri" w:eastAsia="楷体_GB2312" w:cs="Calibri"/>
                <w:sz w:val="30"/>
                <w:szCs w:val="30"/>
                <w:lang w:eastAsia="zh-CN"/>
              </w:rPr>
            </w:pPr>
          </w:p>
        </w:tc>
      </w:tr>
      <w:tr w14:paraId="27BC31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1427" w:hRule="exact"/>
        </w:trPr>
        <w:tc>
          <w:tcPr>
            <w:tcW w:w="10376" w:type="dxa"/>
            <w:gridSpan w:val="2"/>
            <w:vAlign w:val="center"/>
          </w:tcPr>
          <w:p w14:paraId="26E864A0">
            <w:pPr>
              <w:pStyle w:val="153"/>
              <w:spacing w:line="216" w:lineRule="auto"/>
              <w:rPr>
                <w:rFonts w:hint="default" w:ascii="Calibri" w:hAnsi="Calibri" w:eastAsia="楷体_GB2312" w:cs="Calibri"/>
                <w:b w:val="0"/>
                <w:color w:val="23558C"/>
                <w:sz w:val="26"/>
                <w:szCs w:val="26"/>
                <w:lang w:eastAsia="zh-CN"/>
              </w:rPr>
            </w:pPr>
            <w:r>
              <w:rPr>
                <w:rFonts w:hint="default" w:ascii="Calibri" w:hAnsi="Calibri" w:eastAsia="楷体_GB2312" w:cs="Calibri"/>
                <w:b w:val="0"/>
                <w:color w:val="23558C"/>
                <w:sz w:val="26"/>
                <w:szCs w:val="26"/>
                <w:lang w:eastAsia="zh-CN"/>
              </w:rPr>
              <w:t>全球先进制造与能源周报(02/14-02/27): 白宫提出“费率支付者保护承诺”，2025年喷气机价值量创新高，</w:t>
            </w:r>
            <w:r>
              <w:rPr>
                <w:rFonts w:hint="default" w:ascii="Calibri" w:hAnsi="Calibri" w:eastAsia="楷体_GB2312" w:cs="Calibri"/>
                <w:b w:val="0"/>
                <w:color w:val="23558C"/>
                <w:sz w:val="26"/>
                <w:szCs w:val="26"/>
              </w:rPr>
              <w:t>商业航天快速迭代叠加防务支出持续上行</w:t>
            </w:r>
          </w:p>
          <w:p w14:paraId="3C691E4C">
            <w:pPr>
              <w:pStyle w:val="102"/>
              <w:framePr w:wrap="auto" w:vAnchor="margin" w:hAnchor="text" w:xAlign="left" w:yAlign="inline"/>
              <w:spacing w:line="216" w:lineRule="auto"/>
              <w:ind w:left="0" w:right="0"/>
              <w:rPr>
                <w:rFonts w:hint="default" w:ascii="Calibri" w:hAnsi="Calibri" w:eastAsia="楷体_GB2312" w:cs="Calibri"/>
                <w:lang w:eastAsia="zh-CN"/>
              </w:rPr>
            </w:pPr>
            <w:r>
              <w:rPr>
                <w:rFonts w:hint="default" w:ascii="Calibri" w:hAnsi="Calibri" w:eastAsia="楷体_GB2312" w:cs="Calibri"/>
                <w:b w:val="0"/>
                <w:color w:val="23558C"/>
                <w:sz w:val="24"/>
                <w:szCs w:val="24"/>
              </w:rPr>
              <w:t>White House proposes "Ratepayer Protection Pledge"; 2025 jet value hits record high; commercial aerospace iterates rapidly with rising defense spending</w:t>
            </w:r>
          </w:p>
        </w:tc>
      </w:tr>
      <w:tr w14:paraId="22D113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620" w:hRule="atLeast"/>
        </w:trPr>
        <w:tc>
          <w:tcPr>
            <w:tcW w:w="10376" w:type="dxa"/>
            <w:gridSpan w:val="2"/>
          </w:tcPr>
          <w:tbl>
            <w:tblPr>
              <w:tblStyle w:val="27"/>
              <w:tblW w:w="10632" w:type="dxa"/>
              <w:tblCaption w:val="[Table_Author]"/>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694"/>
              <w:gridCol w:w="2551"/>
              <w:gridCol w:w="2693"/>
              <w:gridCol w:w="2694"/>
            </w:tblGrid>
            <w:tr w14:paraId="02B535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90" w:hRule="exact"/>
              </w:trPr>
              <w:tc>
                <w:tcPr>
                  <w:tcW w:w="2694" w:type="dxa"/>
                  <w:tcMar>
                    <w:right w:w="60" w:type="dxa"/>
                  </w:tcMar>
                </w:tcPr>
                <w:p w14:paraId="79B3ECE9">
                  <w:pPr>
                    <w:pStyle w:val="115"/>
                    <w:framePr w:wrap="auto" w:vAnchor="margin" w:hAnchor="text" w:yAlign="inline"/>
                    <w:rPr>
                      <w:rFonts w:hint="default" w:ascii="Calibri" w:hAnsi="Calibri" w:eastAsia="楷体_GB2312" w:cs="Calibri"/>
                      <w:color w:val="FFFFFF" w:themeColor="background1"/>
                      <w14:textFill>
                        <w14:solidFill>
                          <w14:schemeClr w14:val="bg1"/>
                        </w14:solidFill>
                      </w14:textFill>
                    </w:rPr>
                  </w:pPr>
                  <w:r>
                    <w:rPr>
                      <w:rFonts w:hint="default" w:ascii="Calibri" w:hAnsi="Calibri" w:eastAsia="楷体_GB2312" w:cs="Calibri"/>
                      <w:color w:val="FFFFFF" w:themeColor="background1"/>
                      <w14:textFill>
                        <w14:solidFill>
                          <w14:schemeClr w14:val="bg1"/>
                        </w14:solidFill>
                      </w14:textFill>
                    </w:rPr>
                    <w:t>[</w:t>
                  </w:r>
                  <w:r>
                    <w:rPr>
                      <w:rFonts w:hint="default" w:ascii="Calibri" w:hAnsi="Calibri" w:eastAsia="楷体_GB2312" w:cs="Calibri"/>
                      <w:color w:val="FFFFFF" w:themeColor="background1"/>
                      <w14:textFill>
                        <w14:solidFill>
                          <w14:schemeClr w14:val="bg1"/>
                        </w14:solidFill>
                      </w14:textFill>
                    </w:rPr>
                    <w:t>Table_Author]</w:t>
                  </w:r>
                </w:p>
              </w:tc>
              <w:tc>
                <w:tcPr>
                  <w:tcW w:w="2551" w:type="dxa"/>
                </w:tcPr>
                <w:p w14:paraId="06949145">
                  <w:pPr>
                    <w:pStyle w:val="115"/>
                    <w:framePr w:wrap="auto" w:vAnchor="margin" w:hAnchor="text" w:yAlign="inline"/>
                    <w:rPr>
                      <w:rFonts w:hint="default" w:ascii="Calibri" w:hAnsi="Calibri" w:eastAsia="楷体_GB2312" w:cs="Calibri"/>
                      <w:color w:val="FFFFFF" w:themeColor="background1"/>
                      <w14:textFill>
                        <w14:solidFill>
                          <w14:schemeClr w14:val="bg1"/>
                        </w14:solidFill>
                      </w14:textFill>
                    </w:rPr>
                  </w:pPr>
                </w:p>
              </w:tc>
              <w:tc>
                <w:tcPr>
                  <w:tcW w:w="2693" w:type="dxa"/>
                </w:tcPr>
                <w:p w14:paraId="0C95C9D4">
                  <w:pPr>
                    <w:pStyle w:val="115"/>
                    <w:framePr w:wrap="auto" w:vAnchor="margin" w:hAnchor="text" w:yAlign="inline"/>
                    <w:rPr>
                      <w:rFonts w:hint="default" w:ascii="Calibri" w:hAnsi="Calibri" w:eastAsia="楷体_GB2312" w:cs="Calibri"/>
                      <w:color w:val="FFFFFF" w:themeColor="background1"/>
                      <w14:textFill>
                        <w14:solidFill>
                          <w14:schemeClr w14:val="bg1"/>
                        </w14:solidFill>
                      </w14:textFill>
                    </w:rPr>
                  </w:pPr>
                </w:p>
              </w:tc>
              <w:tc>
                <w:tcPr>
                  <w:tcW w:w="2694" w:type="dxa"/>
                </w:tcPr>
                <w:p w14:paraId="696C819C">
                  <w:pPr>
                    <w:pStyle w:val="115"/>
                    <w:framePr w:wrap="auto" w:vAnchor="margin" w:hAnchor="text" w:yAlign="inline"/>
                    <w:rPr>
                      <w:rFonts w:hint="default" w:ascii="Calibri" w:hAnsi="Calibri" w:eastAsia="楷体_GB2312" w:cs="Calibri"/>
                      <w:color w:val="FFFFFF" w:themeColor="background1"/>
                      <w14:textFill>
                        <w14:solidFill>
                          <w14:schemeClr w14:val="bg1"/>
                        </w14:solidFill>
                      </w14:textFill>
                    </w:rPr>
                  </w:pPr>
                </w:p>
              </w:tc>
            </w:tr>
            <w:tr w14:paraId="67BDEE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7CCBDAC9">
                  <w:pPr>
                    <w:pStyle w:val="114"/>
                    <w:framePr w:wrap="auto" w:vAnchor="margin" w:hAnchor="text" w:yAlign="inline"/>
                    <w:rPr>
                      <w:rFonts w:hint="default" w:ascii="Calibri" w:hAnsi="Calibri" w:eastAsia="楷体_GB2312" w:cs="Calibri"/>
                    </w:rPr>
                  </w:pPr>
                  <w:r>
                    <w:rPr>
                      <w:rFonts w:hint="default" w:ascii="Calibri" w:hAnsi="Calibri" w:eastAsia="楷体_GB2312" w:cs="Calibri"/>
                      <w:color w:val="000000"/>
                    </w:rPr>
                    <w:t>杨斌Bin Yang, SFC:BSQ313</w:t>
                  </w:r>
                </w:p>
              </w:tc>
              <w:tc>
                <w:tcPr>
                  <w:tcW w:w="2551" w:type="dxa"/>
                </w:tcPr>
                <w:p w14:paraId="33955A37">
                  <w:pPr>
                    <w:pStyle w:val="114"/>
                    <w:framePr w:wrap="auto" w:vAnchor="margin" w:hAnchor="text" w:yAlign="inline"/>
                    <w:rPr>
                      <w:rFonts w:hint="default" w:ascii="Calibri" w:hAnsi="Calibri" w:eastAsia="楷体_GB2312" w:cs="Calibri"/>
                    </w:rPr>
                  </w:pPr>
                </w:p>
              </w:tc>
              <w:tc>
                <w:tcPr>
                  <w:tcW w:w="2693" w:type="dxa"/>
                </w:tcPr>
                <w:p w14:paraId="03B2D0DE">
                  <w:pPr>
                    <w:pStyle w:val="114"/>
                    <w:framePr w:wrap="auto" w:vAnchor="margin" w:hAnchor="text" w:yAlign="inline"/>
                    <w:rPr>
                      <w:rFonts w:hint="default" w:ascii="Calibri" w:hAnsi="Calibri" w:eastAsia="楷体_GB2312" w:cs="Calibri"/>
                    </w:rPr>
                  </w:pPr>
                </w:p>
              </w:tc>
              <w:tc>
                <w:tcPr>
                  <w:tcW w:w="2694" w:type="dxa"/>
                </w:tcPr>
                <w:p w14:paraId="7E0382CD">
                  <w:pPr>
                    <w:pStyle w:val="114"/>
                    <w:framePr w:wrap="auto" w:vAnchor="margin" w:hAnchor="text" w:yAlign="inline"/>
                    <w:rPr>
                      <w:rFonts w:hint="default" w:ascii="Calibri" w:hAnsi="Calibri" w:eastAsia="楷体_GB2312" w:cs="Calibri"/>
                    </w:rPr>
                  </w:pPr>
                </w:p>
              </w:tc>
            </w:tr>
            <w:tr w14:paraId="51D1B3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7C72AFD5">
                  <w:pPr>
                    <w:pStyle w:val="114"/>
                    <w:framePr w:wrap="auto" w:vAnchor="margin" w:hAnchor="text" w:yAlign="inline"/>
                    <w:rPr>
                      <w:rFonts w:hint="default" w:ascii="Calibri" w:hAnsi="Calibri" w:eastAsia="楷体_GB2312" w:cs="Calibri"/>
                      <w:b w:val="0"/>
                    </w:rPr>
                  </w:pPr>
                  <w:r>
                    <w:rPr>
                      <w:rFonts w:hint="default" w:ascii="Calibri" w:hAnsi="Calibri" w:eastAsia="楷体_GB2312" w:cs="Calibri"/>
                      <w:b w:val="0"/>
                      <w:color w:val="000000"/>
                    </w:rPr>
                    <w:t>harryyang@hfisec.com.hk</w:t>
                  </w:r>
                </w:p>
              </w:tc>
              <w:tc>
                <w:tcPr>
                  <w:tcW w:w="2551" w:type="dxa"/>
                </w:tcPr>
                <w:p w14:paraId="56D085B3">
                  <w:pPr>
                    <w:pStyle w:val="114"/>
                    <w:framePr w:wrap="auto" w:vAnchor="margin" w:hAnchor="text" w:yAlign="inline"/>
                    <w:rPr>
                      <w:rFonts w:hint="default" w:ascii="Calibri" w:hAnsi="Calibri" w:eastAsia="楷体_GB2312" w:cs="Calibri"/>
                      <w:b w:val="0"/>
                    </w:rPr>
                  </w:pPr>
                </w:p>
              </w:tc>
              <w:tc>
                <w:tcPr>
                  <w:tcW w:w="2693" w:type="dxa"/>
                </w:tcPr>
                <w:p w14:paraId="18A5FFAB">
                  <w:pPr>
                    <w:pStyle w:val="114"/>
                    <w:framePr w:wrap="auto" w:vAnchor="margin" w:hAnchor="text" w:yAlign="inline"/>
                    <w:rPr>
                      <w:rFonts w:hint="default" w:ascii="Calibri" w:hAnsi="Calibri" w:eastAsia="楷体_GB2312" w:cs="Calibri"/>
                      <w:b w:val="0"/>
                    </w:rPr>
                  </w:pPr>
                </w:p>
              </w:tc>
              <w:tc>
                <w:tcPr>
                  <w:tcW w:w="2694" w:type="dxa"/>
                </w:tcPr>
                <w:p w14:paraId="334DFC38">
                  <w:pPr>
                    <w:pStyle w:val="114"/>
                    <w:framePr w:wrap="auto" w:vAnchor="margin" w:hAnchor="text" w:yAlign="inline"/>
                    <w:rPr>
                      <w:rFonts w:hint="default" w:ascii="Calibri" w:hAnsi="Calibri" w:eastAsia="楷体_GB2312" w:cs="Calibri"/>
                      <w:b w:val="0"/>
                    </w:rPr>
                  </w:pPr>
                </w:p>
              </w:tc>
            </w:tr>
          </w:tbl>
          <w:p w14:paraId="74E225CD">
            <w:pPr>
              <w:pStyle w:val="114"/>
              <w:framePr w:wrap="auto" w:vAnchor="margin" w:hAnchor="text" w:yAlign="inline"/>
              <w:rPr>
                <w:rFonts w:hint="default" w:ascii="Calibri" w:hAnsi="Calibri" w:eastAsia="楷体_GB2312" w:cs="Calibri"/>
                <w:sz w:val="18"/>
                <w:szCs w:val="18"/>
                <w:lang w:val="en-GB"/>
              </w:rPr>
            </w:pPr>
          </w:p>
        </w:tc>
      </w:tr>
      <w:tr w14:paraId="489816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170" w:hRule="exact"/>
        </w:trPr>
        <w:tc>
          <w:tcPr>
            <w:tcW w:w="10376" w:type="dxa"/>
            <w:gridSpan w:val="2"/>
          </w:tcPr>
          <w:p w14:paraId="49F1495B">
            <w:pPr>
              <w:pStyle w:val="114"/>
              <w:framePr w:wrap="auto" w:vAnchor="margin" w:hAnchor="text" w:yAlign="inline"/>
              <w:rPr>
                <w:rFonts w:hint="default" w:ascii="Calibri" w:hAnsi="Calibri" w:eastAsia="楷体_GB2312" w:cs="Calibri"/>
                <w:b w:val="0"/>
              </w:rPr>
            </w:pPr>
          </w:p>
        </w:tc>
      </w:tr>
    </w:tbl>
    <w:p w14:paraId="0DA422AA">
      <w:pPr>
        <w:overflowPunct w:val="0"/>
        <w:spacing w:after="120" w:afterLines="50"/>
        <w:jc w:val="both"/>
        <w:rPr>
          <w:rFonts w:hint="default" w:ascii="Calibri" w:hAnsi="Calibri" w:eastAsia="楷体_GB2312" w:cs="Calibri"/>
          <w:color w:val="1F497D" w:themeColor="text2"/>
          <w:sz w:val="28"/>
          <w:szCs w:val="28"/>
          <w:lang w:val="en-US" w:eastAsia="zh-CN"/>
          <w14:textFill>
            <w14:solidFill>
              <w14:schemeClr w14:val="tx2"/>
            </w14:solidFill>
          </w14:textFill>
        </w:rPr>
      </w:pPr>
      <w:r>
        <w:rPr>
          <w:rFonts w:hint="default" w:ascii="Calibri" w:hAnsi="Calibri" w:eastAsia="楷体_GB2312" w:cs="Calibri"/>
          <w:sz w:val="20"/>
          <w:szCs w:val="20"/>
          <w:lang w:val="en-US" w:eastAsia="zh-CN"/>
        </w:rPr>
        <w:t>(Please see APPENDIX 1 for English summary)</w:t>
      </w:r>
    </w:p>
    <w:p w14:paraId="6CD29864">
      <w:pPr>
        <w:overflowPunct w:val="0"/>
        <w:spacing w:line="228" w:lineRule="auto"/>
        <w:jc w:val="both"/>
        <w:rPr>
          <w:rFonts w:hint="default" w:ascii="Calibri" w:hAnsi="Calibri" w:eastAsia="楷体_GB2312" w:cs="Calibri"/>
          <w:b/>
          <w:bCs/>
          <w:color w:val="1F497D" w:themeColor="text2"/>
          <w:sz w:val="22"/>
          <w:szCs w:val="22"/>
          <w:lang w:val="en-US" w:eastAsia="zh-CN"/>
          <w14:textFill>
            <w14:solidFill>
              <w14:schemeClr w14:val="tx2"/>
            </w14:solidFill>
          </w14:textFill>
        </w:rPr>
      </w:pPr>
      <w:r>
        <w:rPr>
          <w:rFonts w:hint="default" w:ascii="Calibri" w:hAnsi="Calibri" w:eastAsia="楷体_GB2312" w:cs="Calibri"/>
          <w:b/>
          <w:bCs/>
          <w:color w:val="1F497D" w:themeColor="text2"/>
          <w:sz w:val="22"/>
          <w:szCs w:val="22"/>
          <w:lang w:val="en-US" w:eastAsia="zh-CN"/>
          <w14:textFill>
            <w14:solidFill>
              <w14:schemeClr w14:val="tx2"/>
            </w14:solidFill>
          </w14:textFill>
        </w:rPr>
        <w:t>核心观点：</w:t>
      </w:r>
      <w:bookmarkStart w:id="0" w:name="OLE_LINK16"/>
    </w:p>
    <w:p w14:paraId="662D1CDA">
      <w:pPr>
        <w:overflowPunct w:val="0"/>
        <w:spacing w:line="228" w:lineRule="auto"/>
        <w:jc w:val="both"/>
        <w:rPr>
          <w:rFonts w:hint="default" w:ascii="Calibri" w:hAnsi="Calibri" w:eastAsia="楷体_GB2312" w:cs="Calibri"/>
          <w:b/>
          <w:bCs/>
          <w:sz w:val="20"/>
          <w:szCs w:val="20"/>
          <w:lang w:val="en-US" w:eastAsia="zh-CN"/>
        </w:rPr>
      </w:pPr>
      <w:r>
        <w:rPr>
          <w:rFonts w:hint="default" w:ascii="Calibri" w:hAnsi="Calibri" w:eastAsia="楷体_GB2312" w:cs="Calibri"/>
          <w:b/>
          <w:bCs/>
          <w:sz w:val="20"/>
          <w:szCs w:val="20"/>
          <w:lang w:val="en-US" w:eastAsia="zh-CN"/>
        </w:rPr>
        <w:t xml:space="preserve">1)全球基建与建筑：数据中心: </w:t>
      </w:r>
      <w:r>
        <w:rPr>
          <w:rFonts w:hint="default" w:ascii="Calibri" w:hAnsi="Calibri" w:eastAsia="楷体_GB2312" w:cs="Calibri"/>
          <w:sz w:val="20"/>
          <w:szCs w:val="20"/>
          <w:lang w:val="en-US" w:eastAsia="zh-CN"/>
        </w:rPr>
        <w:t>美国白宫发布“费率支付者保护承诺”要求科技巨头全额承担</w:t>
      </w:r>
      <w:r>
        <w:rPr>
          <w:rFonts w:hint="default" w:ascii="Calibri" w:hAnsi="Calibri" w:eastAsia="楷体_GB2312" w:cs="Calibri"/>
          <w:sz w:val="20"/>
          <w:szCs w:val="20"/>
          <w:lang w:val="en-US" w:eastAsia="zh-CN"/>
        </w:rPr>
        <w:t>AI</w:t>
      </w:r>
      <w:r>
        <w:rPr>
          <w:rFonts w:hint="default" w:ascii="Calibri" w:hAnsi="Calibri" w:eastAsia="楷体_GB2312" w:cs="Calibri"/>
          <w:sz w:val="20"/>
          <w:szCs w:val="20"/>
          <w:lang w:val="en-US" w:eastAsia="zh-CN"/>
        </w:rPr>
        <w:t>数据中心扩容带来的电力基础设施费用。亚马逊宣布在路易斯安那州投资</w:t>
      </w:r>
      <w:r>
        <w:rPr>
          <w:rFonts w:hint="default" w:ascii="Calibri" w:hAnsi="Calibri" w:eastAsia="楷体_GB2312" w:cs="Calibri"/>
          <w:sz w:val="20"/>
          <w:szCs w:val="20"/>
          <w:lang w:val="en-US" w:eastAsia="zh-CN"/>
        </w:rPr>
        <w:t>120</w:t>
      </w:r>
      <w:r>
        <w:rPr>
          <w:rFonts w:hint="default" w:ascii="Calibri" w:hAnsi="Calibri" w:eastAsia="楷体_GB2312" w:cs="Calibri"/>
          <w:sz w:val="20"/>
          <w:szCs w:val="20"/>
          <w:lang w:val="en-US" w:eastAsia="zh-CN"/>
        </w:rPr>
        <w:t>亿美元建设新一代</w:t>
      </w:r>
      <w:r>
        <w:rPr>
          <w:rFonts w:hint="default" w:ascii="Calibri" w:hAnsi="Calibri" w:eastAsia="楷体_GB2312" w:cs="Calibri"/>
          <w:sz w:val="20"/>
          <w:szCs w:val="20"/>
          <w:lang w:val="en-US" w:eastAsia="zh-CN"/>
        </w:rPr>
        <w:t>AI</w:t>
      </w:r>
      <w:r>
        <w:rPr>
          <w:rFonts w:hint="default" w:ascii="Calibri" w:hAnsi="Calibri" w:eastAsia="楷体_GB2312" w:cs="Calibri"/>
          <w:sz w:val="20"/>
          <w:szCs w:val="20"/>
          <w:lang w:val="en-US" w:eastAsia="zh-CN"/>
        </w:rPr>
        <w:t>数据中心并承诺自付基建成本。</w:t>
      </w:r>
      <w:r>
        <w:rPr>
          <w:rFonts w:hint="default" w:ascii="Calibri" w:hAnsi="Calibri" w:eastAsia="楷体_GB2312" w:cs="Calibri"/>
          <w:b/>
          <w:bCs/>
          <w:sz w:val="20"/>
          <w:szCs w:val="20"/>
          <w:lang w:val="en-US" w:eastAsia="zh-CN"/>
        </w:rPr>
        <w:t>能源建设：</w:t>
      </w:r>
      <w:r>
        <w:rPr>
          <w:rFonts w:hint="default" w:ascii="Calibri" w:hAnsi="Calibri" w:eastAsia="楷体_GB2312" w:cs="Calibri"/>
          <w:sz w:val="20"/>
          <w:szCs w:val="20"/>
          <w:lang w:val="en-US" w:eastAsia="zh-CN"/>
        </w:rPr>
        <w:t>美国能源信息署预测</w:t>
      </w:r>
      <w:r>
        <w:rPr>
          <w:rFonts w:hint="default" w:ascii="Calibri" w:hAnsi="Calibri" w:eastAsia="楷体_GB2312" w:cs="Calibri"/>
          <w:sz w:val="20"/>
          <w:szCs w:val="20"/>
          <w:lang w:val="en-US" w:eastAsia="zh-CN"/>
        </w:rPr>
        <w:t>2026</w:t>
      </w:r>
      <w:r>
        <w:rPr>
          <w:rFonts w:hint="default" w:ascii="Calibri" w:hAnsi="Calibri" w:eastAsia="楷体_GB2312" w:cs="Calibri"/>
          <w:sz w:val="20"/>
          <w:szCs w:val="20"/>
          <w:lang w:val="en-US" w:eastAsia="zh-CN"/>
        </w:rPr>
        <w:t>年美国将新增至创纪录的</w:t>
      </w:r>
      <w:r>
        <w:rPr>
          <w:rFonts w:hint="default" w:ascii="Calibri" w:hAnsi="Calibri" w:eastAsia="楷体_GB2312" w:cs="Calibri"/>
          <w:sz w:val="20"/>
          <w:szCs w:val="20"/>
          <w:lang w:val="en-US" w:eastAsia="zh-CN"/>
        </w:rPr>
        <w:t>86 GW</w:t>
      </w:r>
      <w:r>
        <w:rPr>
          <w:rFonts w:hint="default" w:ascii="Calibri" w:hAnsi="Calibri" w:eastAsia="楷体_GB2312" w:cs="Calibri"/>
          <w:sz w:val="20"/>
          <w:szCs w:val="20"/>
          <w:lang w:val="en-US" w:eastAsia="zh-CN"/>
        </w:rPr>
        <w:t>电力装机量。谷歌与</w:t>
      </w:r>
      <w:r>
        <w:rPr>
          <w:rFonts w:hint="default" w:ascii="Calibri" w:hAnsi="Calibri" w:eastAsia="楷体_GB2312" w:cs="Calibri"/>
          <w:sz w:val="20"/>
          <w:szCs w:val="20"/>
          <w:lang w:val="en-US" w:eastAsia="zh-CN"/>
        </w:rPr>
        <w:t>Xcel Energy</w:t>
      </w:r>
      <w:r>
        <w:rPr>
          <w:rFonts w:hint="default" w:ascii="Calibri" w:hAnsi="Calibri" w:eastAsia="楷体_GB2312" w:cs="Calibri"/>
          <w:sz w:val="20"/>
          <w:szCs w:val="20"/>
          <w:lang w:val="en-US" w:eastAsia="zh-CN"/>
        </w:rPr>
        <w:t>达成</w:t>
      </w:r>
      <w:r>
        <w:rPr>
          <w:rFonts w:hint="default" w:ascii="Calibri" w:hAnsi="Calibri" w:eastAsia="楷体_GB2312" w:cs="Calibri"/>
          <w:sz w:val="20"/>
          <w:szCs w:val="20"/>
          <w:lang w:val="en-US" w:eastAsia="zh-CN"/>
        </w:rPr>
        <w:t>1.9GW</w:t>
      </w:r>
      <w:r>
        <w:rPr>
          <w:rFonts w:hint="default" w:ascii="Calibri" w:hAnsi="Calibri" w:eastAsia="楷体_GB2312" w:cs="Calibri"/>
          <w:sz w:val="20"/>
          <w:szCs w:val="20"/>
          <w:lang w:val="en-US" w:eastAsia="zh-CN"/>
        </w:rPr>
        <w:t>清洁能源协议，通过部署全球最大铁流电池项目加速实现</w:t>
      </w:r>
      <w:r>
        <w:rPr>
          <w:rFonts w:hint="default" w:ascii="Calibri" w:hAnsi="Calibri" w:eastAsia="楷体_GB2312" w:cs="Calibri"/>
          <w:sz w:val="20"/>
          <w:szCs w:val="20"/>
          <w:lang w:val="en-US" w:eastAsia="zh-CN"/>
        </w:rPr>
        <w:t>24/7</w:t>
      </w:r>
      <w:r>
        <w:rPr>
          <w:rFonts w:hint="default" w:ascii="Calibri" w:hAnsi="Calibri" w:eastAsia="楷体_GB2312" w:cs="Calibri"/>
          <w:sz w:val="20"/>
          <w:szCs w:val="20"/>
          <w:lang w:val="en-US" w:eastAsia="zh-CN"/>
        </w:rPr>
        <w:t>无碳能源目标。</w:t>
      </w:r>
      <w:r>
        <w:rPr>
          <w:rFonts w:hint="default" w:ascii="Calibri" w:hAnsi="Calibri" w:eastAsia="楷体_GB2312" w:cs="Calibri"/>
          <w:sz w:val="20"/>
          <w:szCs w:val="20"/>
          <w:lang w:val="en-US" w:eastAsia="zh-CN"/>
        </w:rPr>
        <w:t>Meta</w:t>
      </w:r>
      <w:r>
        <w:rPr>
          <w:rFonts w:hint="default" w:ascii="Calibri" w:hAnsi="Calibri" w:eastAsia="楷体_GB2312" w:cs="Calibri"/>
          <w:sz w:val="20"/>
          <w:szCs w:val="20"/>
          <w:lang w:val="en-US" w:eastAsia="zh-CN"/>
        </w:rPr>
        <w:t>与三家核能供应商达成</w:t>
      </w:r>
      <w:r>
        <w:rPr>
          <w:rFonts w:hint="default" w:ascii="Calibri" w:hAnsi="Calibri" w:eastAsia="楷体_GB2312" w:cs="Calibri"/>
          <w:sz w:val="20"/>
          <w:szCs w:val="20"/>
          <w:lang w:val="en-US" w:eastAsia="zh-CN"/>
        </w:rPr>
        <w:t>6.6 GW</w:t>
      </w:r>
      <w:r>
        <w:rPr>
          <w:rFonts w:hint="default" w:ascii="Calibri" w:hAnsi="Calibri" w:eastAsia="楷体_GB2312" w:cs="Calibri"/>
          <w:sz w:val="20"/>
          <w:szCs w:val="20"/>
          <w:lang w:val="en-US" w:eastAsia="zh-CN"/>
        </w:rPr>
        <w:t>长期采购协议，推动小型模块化反应堆大规模建设。</w:t>
      </w:r>
    </w:p>
    <w:p w14:paraId="6BB8C005">
      <w:pPr>
        <w:overflowPunct w:val="0"/>
        <w:spacing w:line="228" w:lineRule="auto"/>
        <w:jc w:val="both"/>
        <w:rPr>
          <w:rFonts w:hint="default" w:ascii="Calibri" w:hAnsi="Calibri" w:eastAsia="楷体_GB2312" w:cs="Calibri"/>
          <w:b/>
          <w:bCs/>
          <w:color w:val="1F497D" w:themeColor="text2"/>
          <w:sz w:val="22"/>
          <w:szCs w:val="22"/>
          <w:lang w:val="en-US" w:eastAsia="zh-CN"/>
          <w14:textFill>
            <w14:solidFill>
              <w14:schemeClr w14:val="tx2"/>
            </w14:solidFill>
          </w14:textFill>
        </w:rPr>
      </w:pPr>
      <w:r>
        <w:rPr>
          <w:rFonts w:hint="default" w:ascii="Calibri" w:hAnsi="Calibri" w:eastAsia="楷体_GB2312" w:cs="Calibri"/>
          <w:b/>
          <w:bCs/>
          <w:sz w:val="20"/>
          <w:szCs w:val="20"/>
          <w:lang w:val="en-US" w:eastAsia="zh-CN"/>
        </w:rPr>
        <w:t>2）全球电气与智能装备：</w:t>
      </w:r>
      <w:r>
        <w:rPr>
          <w:rFonts w:hint="default" w:ascii="Calibri" w:hAnsi="Calibri" w:eastAsia="楷体_GB2312" w:cs="Calibri"/>
        </w:rPr>
        <w:fldChar w:fldCharType="begin"/>
      </w:r>
      <w:r>
        <w:rPr>
          <w:rFonts w:hint="default" w:ascii="Calibri" w:hAnsi="Calibri" w:eastAsia="楷体_GB2312" w:cs="Calibri"/>
        </w:rPr>
        <w:instrText xml:space="preserve">HYPERLINK \l "_Toc192787052"</w:instrText>
      </w:r>
      <w:r>
        <w:rPr>
          <w:rFonts w:hint="default" w:ascii="Calibri" w:hAnsi="Calibri" w:eastAsia="楷体_GB2312" w:cs="Calibri"/>
        </w:rPr>
        <w:fldChar w:fldCharType="separate"/>
      </w:r>
      <w:r>
        <w:rPr>
          <w:rFonts w:hint="default" w:ascii="Calibri" w:hAnsi="Calibri" w:eastAsia="楷体_GB2312" w:cs="Calibri"/>
          <w:b/>
          <w:bCs/>
          <w:sz w:val="20"/>
          <w:szCs w:val="20"/>
          <w:lang w:val="en-US" w:eastAsia="zh-CN"/>
        </w:rPr>
        <w:t>工业设备价格指数</w:t>
      </w:r>
      <w:r>
        <w:rPr>
          <w:rFonts w:hint="default" w:ascii="Calibri" w:hAnsi="Calibri" w:eastAsia="楷体_GB2312" w:cs="Calibri"/>
        </w:rPr>
        <w:fldChar w:fldCharType="end"/>
      </w:r>
      <w:r>
        <w:rPr>
          <w:rFonts w:hint="default" w:ascii="Calibri" w:hAnsi="Calibri" w:eastAsia="楷体_GB2312" w:cs="Calibri"/>
          <w:b/>
          <w:bCs/>
          <w:sz w:val="20"/>
          <w:szCs w:val="20"/>
          <w:lang w:val="en-US" w:eastAsia="zh-CN"/>
        </w:rPr>
        <w:t>：</w:t>
      </w:r>
      <w:r>
        <w:rPr>
          <w:rFonts w:hint="default" w:ascii="Calibri" w:hAnsi="Calibri" w:eastAsia="楷体_GB2312" w:cs="Calibri"/>
          <w:sz w:val="20"/>
          <w:szCs w:val="20"/>
          <w:lang w:val="en-US" w:eastAsia="zh-CN"/>
        </w:rPr>
        <w:t>供需关系持续偏紧、行业竞争格局稳定，共同推动燃气轮机价格指数延续上行趋势。</w:t>
      </w:r>
      <w:r>
        <w:rPr>
          <w:rFonts w:hint="default" w:ascii="Calibri" w:hAnsi="Calibri" w:eastAsia="楷体_GB2312" w:cs="Calibri"/>
        </w:rPr>
        <w:fldChar w:fldCharType="begin"/>
      </w:r>
      <w:r>
        <w:rPr>
          <w:rFonts w:hint="default" w:ascii="Calibri" w:hAnsi="Calibri" w:eastAsia="楷体_GB2312" w:cs="Calibri"/>
        </w:rPr>
        <w:instrText xml:space="preserve"> HYPERLINK \l "_Toc192787053" </w:instrText>
      </w:r>
      <w:r>
        <w:rPr>
          <w:rFonts w:hint="default" w:ascii="Calibri" w:hAnsi="Calibri" w:eastAsia="楷体_GB2312" w:cs="Calibri"/>
        </w:rPr>
        <w:fldChar w:fldCharType="separate"/>
      </w:r>
      <w:r>
        <w:rPr>
          <w:rFonts w:hint="default" w:ascii="Calibri" w:hAnsi="Calibri" w:eastAsia="楷体_GB2312" w:cs="Calibri"/>
          <w:b/>
          <w:bCs/>
          <w:sz w:val="20"/>
          <w:szCs w:val="20"/>
          <w:lang w:val="en-US" w:eastAsia="zh-CN"/>
        </w:rPr>
        <w:t>工业设备出口指数</w:t>
      </w:r>
      <w:r>
        <w:rPr>
          <w:rFonts w:hint="default" w:ascii="Calibri" w:hAnsi="Calibri" w:eastAsia="楷体_GB2312" w:cs="Calibri"/>
          <w:b/>
          <w:bCs/>
          <w:sz w:val="20"/>
          <w:szCs w:val="20"/>
          <w:lang w:val="en-US" w:eastAsia="zh-CN"/>
        </w:rPr>
        <w:fldChar w:fldCharType="end"/>
      </w:r>
      <w:r>
        <w:rPr>
          <w:rFonts w:hint="default" w:ascii="Calibri" w:hAnsi="Calibri" w:eastAsia="楷体_GB2312" w:cs="Calibri"/>
          <w:b/>
          <w:bCs/>
          <w:sz w:val="20"/>
          <w:szCs w:val="20"/>
          <w:lang w:val="en-US" w:eastAsia="zh-CN"/>
        </w:rPr>
        <w:t>：</w:t>
      </w:r>
      <w:r>
        <w:rPr>
          <w:rFonts w:hint="default" w:ascii="Calibri" w:hAnsi="Calibri" w:eastAsia="楷体_GB2312" w:cs="Calibri"/>
          <w:sz w:val="20"/>
          <w:szCs w:val="20"/>
          <w:lang w:val="en-US" w:eastAsia="zh-CN"/>
        </w:rPr>
        <w:t>中国2025年变压器出口保持高增。2025年出口额狂飙至646亿元，同比激增36%，稳居全球第一大变压器出口国。</w:t>
      </w:r>
    </w:p>
    <w:p w14:paraId="29AB5E14">
      <w:pPr>
        <w:numPr>
          <w:ilvl w:val="0"/>
          <w:numId w:val="13"/>
        </w:numPr>
        <w:overflowPunct w:val="0"/>
        <w:spacing w:line="228" w:lineRule="auto"/>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全球能源工业：美国电力</w:t>
      </w:r>
      <w:r>
        <w:rPr>
          <w:rFonts w:hint="default" w:ascii="Calibri" w:hAnsi="Calibri" w:eastAsia="楷体_GB2312" w:cs="Calibri"/>
          <w:sz w:val="20"/>
          <w:szCs w:val="20"/>
          <w:lang w:val="en-US" w:eastAsia="zh-CN"/>
        </w:rPr>
        <w:t>：2月</w:t>
      </w:r>
      <w:r>
        <w:rPr>
          <w:rFonts w:hint="default" w:ascii="Calibri" w:hAnsi="Calibri" w:eastAsia="楷体_GB2312" w:cs="Calibri"/>
          <w:sz w:val="20"/>
          <w:szCs w:val="20"/>
          <w:lang w:val="en-US" w:eastAsia="zh-CN"/>
        </w:rPr>
        <w:t>25</w:t>
      </w:r>
      <w:r>
        <w:rPr>
          <w:rFonts w:hint="default" w:ascii="Calibri" w:hAnsi="Calibri" w:eastAsia="楷体_GB2312" w:cs="Calibri"/>
          <w:sz w:val="20"/>
          <w:szCs w:val="20"/>
          <w:lang w:val="en-US" w:eastAsia="zh-CN"/>
        </w:rPr>
        <w:t>日，美国主要地区电力平均现货价格为$</w:t>
      </w:r>
      <w:r>
        <w:rPr>
          <w:rFonts w:hint="default" w:ascii="Calibri" w:hAnsi="Calibri" w:eastAsia="楷体_GB2312" w:cs="Calibri"/>
          <w:sz w:val="20"/>
          <w:szCs w:val="20"/>
          <w:lang w:val="en-US" w:eastAsia="zh-CN"/>
        </w:rPr>
        <w:t>34.16</w:t>
      </w:r>
      <w:r>
        <w:rPr>
          <w:rFonts w:hint="default" w:ascii="Calibri" w:hAnsi="Calibri" w:eastAsia="楷体_GB2312" w:cs="Calibri"/>
          <w:sz w:val="20"/>
          <w:szCs w:val="20"/>
          <w:lang w:val="en-US" w:eastAsia="zh-CN"/>
        </w:rPr>
        <w:t>/MWh；</w:t>
      </w:r>
      <w:r>
        <w:rPr>
          <w:rFonts w:hint="default" w:ascii="Calibri" w:hAnsi="Calibri" w:eastAsia="楷体_GB2312" w:cs="Calibri"/>
          <w:b/>
          <w:bCs/>
          <w:sz w:val="20"/>
          <w:szCs w:val="20"/>
          <w:lang w:val="en-US" w:eastAsia="zh-CN"/>
        </w:rPr>
        <w:t>欧洲电力：</w:t>
      </w:r>
      <w:r>
        <w:rPr>
          <w:rFonts w:hint="default" w:ascii="Calibri" w:hAnsi="Calibri" w:eastAsia="楷体_GB2312" w:cs="Calibri"/>
          <w:sz w:val="20"/>
          <w:szCs w:val="20"/>
          <w:lang w:val="en-US" w:eastAsia="zh-CN"/>
        </w:rPr>
        <w:t>本周电力市场日前交易价格整体走势上升。美国天然气期现价格周环比上行，持仓数下降。截至2026年2月2</w:t>
      </w:r>
      <w:r>
        <w:rPr>
          <w:rFonts w:hint="default" w:ascii="Calibri" w:hAnsi="Calibri" w:eastAsia="楷体_GB2312" w:cs="Calibri"/>
          <w:sz w:val="20"/>
          <w:szCs w:val="20"/>
          <w:lang w:val="en-US" w:eastAsia="zh-CN"/>
        </w:rPr>
        <w:t>6</w:t>
      </w:r>
      <w:r>
        <w:rPr>
          <w:rFonts w:hint="default" w:ascii="Calibri" w:hAnsi="Calibri" w:eastAsia="楷体_GB2312" w:cs="Calibri"/>
          <w:sz w:val="20"/>
          <w:szCs w:val="20"/>
          <w:lang w:val="en-US" w:eastAsia="zh-CN"/>
        </w:rPr>
        <w:t>日，亨利枢纽现货价格报</w:t>
      </w:r>
      <w:r>
        <w:rPr>
          <w:rFonts w:hint="default" w:ascii="Calibri" w:hAnsi="Calibri" w:eastAsia="楷体_GB2312" w:cs="Calibri"/>
          <w:sz w:val="20"/>
          <w:szCs w:val="20"/>
          <w:lang w:val="en-US" w:eastAsia="zh-CN"/>
        </w:rPr>
        <w:t>2.95</w:t>
      </w:r>
      <w:r>
        <w:rPr>
          <w:rFonts w:hint="default" w:ascii="Calibri" w:hAnsi="Calibri" w:eastAsia="楷体_GB2312" w:cs="Calibri"/>
          <w:sz w:val="20"/>
          <w:szCs w:val="20"/>
          <w:lang w:val="en-US" w:eastAsia="zh-CN"/>
        </w:rPr>
        <w:t>美元/百万英热，周环比下降</w:t>
      </w:r>
      <w:r>
        <w:rPr>
          <w:rFonts w:hint="default" w:ascii="Calibri" w:hAnsi="Calibri" w:eastAsia="楷体_GB2312" w:cs="Calibri"/>
          <w:sz w:val="20"/>
          <w:szCs w:val="20"/>
          <w:lang w:val="en-US" w:eastAsia="zh-CN"/>
        </w:rPr>
        <w:t>4.5</w:t>
      </w:r>
      <w:r>
        <w:rPr>
          <w:rFonts w:hint="default" w:ascii="Calibri" w:hAnsi="Calibri" w:eastAsia="楷体_GB2312" w:cs="Calibri"/>
          <w:sz w:val="20"/>
          <w:szCs w:val="20"/>
          <w:lang w:val="en-US" w:eastAsia="zh-CN"/>
        </w:rPr>
        <w:t>%；截至2026年2月</w:t>
      </w:r>
      <w:r>
        <w:rPr>
          <w:rFonts w:hint="default" w:ascii="Calibri" w:hAnsi="Calibri" w:eastAsia="楷体_GB2312" w:cs="Calibri"/>
          <w:sz w:val="20"/>
          <w:szCs w:val="20"/>
          <w:lang w:val="en-US" w:eastAsia="zh-CN"/>
        </w:rPr>
        <w:t>26</w:t>
      </w:r>
      <w:r>
        <w:rPr>
          <w:rFonts w:hint="default" w:ascii="Calibri" w:hAnsi="Calibri" w:eastAsia="楷体_GB2312" w:cs="Calibri"/>
          <w:sz w:val="20"/>
          <w:szCs w:val="20"/>
          <w:lang w:val="en-US" w:eastAsia="zh-CN"/>
        </w:rPr>
        <w:t>日，NYMEX HH期货价格报</w:t>
      </w:r>
      <w:r>
        <w:rPr>
          <w:rFonts w:hint="default" w:ascii="Calibri" w:hAnsi="Calibri" w:eastAsia="楷体_GB2312" w:cs="Calibri"/>
          <w:sz w:val="20"/>
          <w:szCs w:val="20"/>
          <w:lang w:val="en-US" w:eastAsia="zh-CN"/>
        </w:rPr>
        <w:t>2.87</w:t>
      </w:r>
      <w:r>
        <w:rPr>
          <w:rFonts w:hint="default" w:ascii="Calibri" w:hAnsi="Calibri" w:eastAsia="楷体_GB2312" w:cs="Calibri"/>
          <w:sz w:val="20"/>
          <w:szCs w:val="20"/>
          <w:lang w:val="en-US" w:eastAsia="zh-CN"/>
        </w:rPr>
        <w:t>美元/百万英热，周环比下降</w:t>
      </w:r>
      <w:r>
        <w:rPr>
          <w:rFonts w:hint="default" w:ascii="Calibri" w:hAnsi="Calibri" w:eastAsia="楷体_GB2312" w:cs="Calibri"/>
          <w:sz w:val="20"/>
          <w:szCs w:val="20"/>
          <w:lang w:val="en-US" w:eastAsia="zh-CN"/>
        </w:rPr>
        <w:t>5.2</w:t>
      </w:r>
      <w:r>
        <w:rPr>
          <w:rFonts w:hint="default" w:ascii="Calibri" w:hAnsi="Calibri" w:eastAsia="楷体_GB2312" w:cs="Calibri"/>
          <w:sz w:val="20"/>
          <w:szCs w:val="20"/>
          <w:lang w:val="en-US" w:eastAsia="zh-CN"/>
        </w:rPr>
        <w:t>%。</w:t>
      </w:r>
    </w:p>
    <w:p w14:paraId="2E44EC39">
      <w:pPr>
        <w:numPr>
          <w:ilvl w:val="0"/>
          <w:numId w:val="13"/>
        </w:numPr>
        <w:overflowPunct w:val="0"/>
        <w:spacing w:line="228" w:lineRule="auto"/>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全球新材料：天然铀：</w:t>
      </w:r>
      <w:r>
        <w:rPr>
          <w:rFonts w:hint="default" w:ascii="Calibri" w:hAnsi="Calibri" w:eastAsia="楷体_GB2312" w:cs="Calibri"/>
          <w:sz w:val="20"/>
          <w:szCs w:val="20"/>
          <w:lang w:val="en-US" w:eastAsia="zh-CN"/>
        </w:rPr>
        <w:t>2025年12月全球铀实际市场价格为63.51美元/磅，环比+2.0%，同比+5.5%。</w:t>
      </w:r>
      <w:r>
        <w:rPr>
          <w:rFonts w:hint="default" w:ascii="Calibri" w:hAnsi="Calibri" w:eastAsia="楷体_GB2312" w:cs="Calibri"/>
          <w:b/>
          <w:bCs/>
          <w:sz w:val="20"/>
          <w:szCs w:val="20"/>
          <w:lang w:val="en-US" w:eastAsia="zh-CN"/>
        </w:rPr>
        <w:t>稀土：</w:t>
      </w:r>
      <w:r>
        <w:rPr>
          <w:rFonts w:hint="default" w:ascii="Calibri" w:hAnsi="Calibri" w:eastAsia="楷体_GB2312" w:cs="Calibri"/>
          <w:sz w:val="20"/>
          <w:szCs w:val="20"/>
          <w:lang w:val="en-US" w:eastAsia="zh-CN"/>
        </w:rPr>
        <w:t>本周氧化镨钕（850,000元/吨）涨幅领先，周度环比+13.8%，月度环比+33.4%，其余品种周度环比涨幅在2-5%区间。</w:t>
      </w:r>
    </w:p>
    <w:p w14:paraId="25272113">
      <w:pPr>
        <w:overflowPunct w:val="0"/>
        <w:spacing w:line="228" w:lineRule="auto"/>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5）全球国防与航空航天：美国：</w:t>
      </w:r>
      <w:r>
        <w:rPr>
          <w:rFonts w:hint="default" w:ascii="Calibri" w:hAnsi="Calibri" w:eastAsia="楷体_GB2312" w:cs="Calibri"/>
          <w:sz w:val="20"/>
          <w:szCs w:val="20"/>
          <w:lang w:val="en-US" w:eastAsia="zh-CN"/>
        </w:rPr>
        <w:t>飞机发动机和发动机部件制造价格指数2025年12月为275.942，环比+0.35%，同比增长1.44%。飞机发动机和发动机零部件制造： 飞机发动机零部件价格指数2025年12月为292.545，环比+0.7%，同比增长3.7%。美国政府支出国防价格指数2025年Q</w:t>
      </w:r>
      <w:r>
        <w:rPr>
          <w:rFonts w:hint="default" w:ascii="Calibri" w:hAnsi="Calibri" w:eastAsia="楷体_GB2312" w:cs="Calibri"/>
          <w:sz w:val="20"/>
          <w:szCs w:val="20"/>
          <w:lang w:val="en-US" w:eastAsia="zh-CN"/>
        </w:rPr>
        <w:t>4</w:t>
      </w:r>
      <w:r>
        <w:rPr>
          <w:rFonts w:hint="default" w:ascii="Calibri" w:hAnsi="Calibri" w:eastAsia="楷体_GB2312" w:cs="Calibri"/>
          <w:sz w:val="20"/>
          <w:szCs w:val="20"/>
          <w:lang w:val="en-US" w:eastAsia="zh-CN"/>
        </w:rPr>
        <w:t>为</w:t>
      </w:r>
      <w:r>
        <w:rPr>
          <w:rFonts w:hint="default" w:ascii="Calibri" w:hAnsi="Calibri" w:eastAsia="楷体_GB2312" w:cs="Calibri"/>
          <w:sz w:val="20"/>
          <w:szCs w:val="20"/>
          <w:lang w:val="en-US" w:eastAsia="zh-CN"/>
        </w:rPr>
        <w:t>120.187</w:t>
      </w:r>
      <w:r>
        <w:rPr>
          <w:rFonts w:hint="default" w:ascii="Calibri" w:hAnsi="Calibri" w:eastAsia="楷体_GB2312" w:cs="Calibri"/>
          <w:sz w:val="20"/>
          <w:szCs w:val="20"/>
          <w:lang w:val="en-US" w:eastAsia="zh-CN"/>
        </w:rPr>
        <w:t>，环比+0.</w:t>
      </w:r>
      <w:r>
        <w:rPr>
          <w:rFonts w:hint="default" w:ascii="Calibri" w:hAnsi="Calibri" w:eastAsia="楷体_GB2312" w:cs="Calibri"/>
          <w:sz w:val="20"/>
          <w:szCs w:val="20"/>
          <w:lang w:val="en-US" w:eastAsia="zh-CN"/>
        </w:rPr>
        <w:t>9</w:t>
      </w:r>
      <w:r>
        <w:rPr>
          <w:rFonts w:hint="default" w:ascii="Calibri" w:hAnsi="Calibri" w:eastAsia="楷体_GB2312" w:cs="Calibri"/>
          <w:sz w:val="20"/>
          <w:szCs w:val="20"/>
          <w:lang w:val="en-US" w:eastAsia="zh-CN"/>
        </w:rPr>
        <w:t>%，同比增长2.</w:t>
      </w:r>
      <w:r>
        <w:rPr>
          <w:rFonts w:hint="default" w:ascii="Calibri" w:hAnsi="Calibri" w:eastAsia="楷体_GB2312" w:cs="Calibri"/>
          <w:sz w:val="20"/>
          <w:szCs w:val="20"/>
          <w:lang w:val="en-US" w:eastAsia="zh-CN"/>
        </w:rPr>
        <w:t>95</w:t>
      </w:r>
      <w:r>
        <w:rPr>
          <w:rFonts w:hint="default" w:ascii="Calibri" w:hAnsi="Calibri" w:eastAsia="楷体_GB2312" w:cs="Calibri"/>
          <w:sz w:val="20"/>
          <w:szCs w:val="20"/>
          <w:lang w:val="en-US" w:eastAsia="zh-CN"/>
        </w:rPr>
        <w:t>%。</w:t>
      </w:r>
    </w:p>
    <w:bookmarkEnd w:id="0"/>
    <w:p w14:paraId="692C8BA0">
      <w:pPr>
        <w:overflowPunct w:val="0"/>
        <w:spacing w:line="228" w:lineRule="auto"/>
        <w:jc w:val="both"/>
        <w:rPr>
          <w:rFonts w:hint="default" w:ascii="Calibri" w:hAnsi="Calibri" w:eastAsia="楷体_GB2312" w:cs="Calibri"/>
          <w:sz w:val="22"/>
          <w:szCs w:val="22"/>
          <w:lang w:val="en-US" w:eastAsia="zh-CN"/>
        </w:rPr>
      </w:pPr>
      <w:r>
        <w:rPr>
          <w:rFonts w:hint="default" w:ascii="Calibri" w:hAnsi="Calibri" w:eastAsia="楷体_GB2312" w:cs="Calibri"/>
          <w:b/>
          <w:bCs/>
          <w:color w:val="1F497D" w:themeColor="text2"/>
          <w:sz w:val="22"/>
          <w:szCs w:val="22"/>
          <w:lang w:val="en-US" w:eastAsia="zh-CN"/>
          <w14:textFill>
            <w14:solidFill>
              <w14:schemeClr w14:val="tx2"/>
            </w14:solidFill>
          </w14:textFill>
        </w:rPr>
        <w:t>投资建议：</w:t>
      </w:r>
    </w:p>
    <w:p w14:paraId="6CF55C07">
      <w:pPr>
        <w:jc w:val="both"/>
        <w:rPr>
          <w:rFonts w:hint="default" w:ascii="Calibri" w:hAnsi="Calibri" w:eastAsia="楷体_GB2312" w:cs="Calibri"/>
          <w:sz w:val="20"/>
          <w:szCs w:val="20"/>
          <w:lang w:val="en-US" w:eastAsia="zh-CN" w:bidi="ar"/>
        </w:rPr>
      </w:pPr>
      <w:r>
        <w:rPr>
          <w:rFonts w:hint="default" w:ascii="Calibri" w:hAnsi="Calibri" w:eastAsia="楷体_GB2312" w:cs="Calibri"/>
          <w:sz w:val="20"/>
          <w:szCs w:val="20"/>
          <w:lang w:val="en-US" w:eastAsia="zh-CN" w:bidi="ar"/>
        </w:rPr>
        <w:t>输电网建设受益标的</w:t>
      </w:r>
      <w:r>
        <w:rPr>
          <w:rFonts w:hint="default" w:ascii="Calibri" w:hAnsi="Calibri" w:eastAsia="楷体_GB2312" w:cs="Calibri"/>
          <w:sz w:val="20"/>
          <w:szCs w:val="20"/>
          <w:lang w:val="en-US" w:eastAsia="zh-CN" w:bidi="ar"/>
        </w:rPr>
        <w:t xml:space="preserve">: </w:t>
      </w:r>
      <w:r>
        <w:rPr>
          <w:rFonts w:hint="default" w:ascii="Calibri" w:hAnsi="Calibri" w:eastAsia="楷体_GB2312" w:cs="Calibri"/>
          <w:sz w:val="20"/>
          <w:szCs w:val="20"/>
          <w:lang w:val="en-US" w:eastAsia="zh-CN" w:bidi="ar"/>
        </w:rPr>
        <w:t>Bloom Energy，</w:t>
      </w:r>
      <w:r>
        <w:rPr>
          <w:rFonts w:hint="default" w:ascii="Calibri" w:hAnsi="Calibri" w:eastAsia="楷体_GB2312" w:cs="Calibri"/>
          <w:sz w:val="20"/>
          <w:szCs w:val="20"/>
          <w:lang w:val="en-US" w:eastAsia="zh-CN" w:bidi="ar"/>
        </w:rPr>
        <w:t>GE Vernova</w:t>
      </w:r>
      <w:r>
        <w:rPr>
          <w:rFonts w:hint="default" w:ascii="Calibri" w:hAnsi="Calibri" w:eastAsia="楷体_GB2312" w:cs="Calibri"/>
          <w:sz w:val="20"/>
          <w:szCs w:val="20"/>
          <w:lang w:val="en-US" w:eastAsia="zh-CN" w:bidi="ar"/>
        </w:rPr>
        <w:t>，西门子能源，日立集团，现代电气，广达服务，哈尔滨电器，潍柴动力，东岳集团；智能化电网提供商：施耐德电气、重庆机电；电力方案解决商：伊顿。</w:t>
      </w:r>
      <w:r>
        <w:rPr>
          <w:rFonts w:hint="default" w:ascii="Calibri" w:hAnsi="Calibri" w:eastAsia="楷体_GB2312" w:cs="Calibri"/>
          <w:sz w:val="20"/>
          <w:szCs w:val="20"/>
          <w:lang w:val="en-US" w:eastAsia="zh-CN" w:bidi="ar"/>
        </w:rPr>
        <w:t>AI</w:t>
      </w:r>
      <w:r>
        <w:rPr>
          <w:rFonts w:hint="default" w:ascii="Calibri" w:hAnsi="Calibri" w:eastAsia="楷体_GB2312" w:cs="Calibri"/>
          <w:sz w:val="20"/>
          <w:szCs w:val="20"/>
          <w:lang w:val="en-US" w:eastAsia="zh-CN" w:bidi="ar"/>
        </w:rPr>
        <w:t>数据中心电力需求爆发，叠加美国核电政策松绑与产业链重建，我们建议关注</w:t>
      </w:r>
      <w:r>
        <w:rPr>
          <w:rFonts w:hint="default" w:ascii="Calibri" w:hAnsi="Calibri" w:eastAsia="楷体_GB2312" w:cs="Calibri"/>
          <w:sz w:val="20"/>
          <w:szCs w:val="20"/>
          <w:lang w:val="en-US" w:eastAsia="zh-CN" w:bidi="ar"/>
        </w:rPr>
        <w:t xml:space="preserve"> </w:t>
      </w:r>
      <w:r>
        <w:rPr>
          <w:rFonts w:hint="default" w:ascii="Calibri" w:hAnsi="Calibri" w:eastAsia="楷体_GB2312" w:cs="Calibri"/>
          <w:sz w:val="20"/>
          <w:szCs w:val="20"/>
          <w:lang w:val="en-US" w:eastAsia="zh-CN" w:bidi="ar"/>
        </w:rPr>
        <w:t>：</w:t>
      </w:r>
      <w:r>
        <w:rPr>
          <w:rFonts w:hint="default" w:ascii="Calibri" w:hAnsi="Calibri" w:eastAsia="楷体_GB2312" w:cs="Calibri"/>
          <w:sz w:val="20"/>
          <w:szCs w:val="20"/>
          <w:lang w:val="en-US" w:eastAsia="zh-CN" w:bidi="ar"/>
        </w:rPr>
        <w:t>NuScale Power</w:t>
      </w:r>
      <w:r>
        <w:rPr>
          <w:rFonts w:hint="default" w:ascii="Calibri" w:hAnsi="Calibri" w:eastAsia="楷体_GB2312" w:cs="Calibri"/>
          <w:sz w:val="20"/>
          <w:szCs w:val="20"/>
          <w:lang w:val="en-US" w:eastAsia="zh-CN" w:bidi="ar"/>
        </w:rPr>
        <w:t>，</w:t>
      </w:r>
      <w:r>
        <w:rPr>
          <w:rFonts w:hint="default" w:ascii="Calibri" w:hAnsi="Calibri" w:eastAsia="楷体_GB2312" w:cs="Calibri"/>
          <w:sz w:val="20"/>
          <w:szCs w:val="20"/>
          <w:lang w:val="en-US" w:eastAsia="zh-CN" w:bidi="ar"/>
        </w:rPr>
        <w:t>Oklo</w:t>
      </w:r>
      <w:r>
        <w:rPr>
          <w:rFonts w:hint="default" w:ascii="Calibri" w:hAnsi="Calibri" w:eastAsia="楷体_GB2312" w:cs="Calibri"/>
          <w:sz w:val="20"/>
          <w:szCs w:val="20"/>
          <w:lang w:val="en-US" w:eastAsia="zh-CN" w:bidi="ar"/>
        </w:rPr>
        <w:t>，</w:t>
      </w:r>
      <w:r>
        <w:rPr>
          <w:rFonts w:hint="default" w:ascii="Calibri" w:hAnsi="Calibri" w:eastAsia="楷体_GB2312" w:cs="Calibri"/>
          <w:sz w:val="20"/>
          <w:szCs w:val="20"/>
          <w:lang w:val="en-US" w:eastAsia="zh-CN" w:bidi="ar"/>
        </w:rPr>
        <w:t>Centrus Energy</w:t>
      </w:r>
      <w:r>
        <w:rPr>
          <w:rFonts w:hint="default" w:ascii="Calibri" w:hAnsi="Calibri" w:eastAsia="楷体_GB2312" w:cs="Calibri"/>
          <w:sz w:val="20"/>
          <w:szCs w:val="20"/>
          <w:lang w:val="en-US" w:eastAsia="zh-CN" w:bidi="ar"/>
        </w:rPr>
        <w:t>，中广核矿业，Cameco。建议关注高股息稳定回报的天然气管网公司：Targa Resources，Kinder Morgan，Williams。</w:t>
      </w:r>
    </w:p>
    <w:p w14:paraId="1BD86FC2">
      <w:pPr>
        <w:jc w:val="both"/>
        <w:rPr>
          <w:rFonts w:hint="default" w:ascii="Calibri" w:hAnsi="Calibri" w:eastAsia="楷体_GB2312" w:cs="Calibri"/>
          <w:sz w:val="20"/>
          <w:szCs w:val="20"/>
        </w:rPr>
      </w:pPr>
      <w:r>
        <w:rPr>
          <w:rFonts w:hint="default" w:ascii="Calibri" w:hAnsi="Calibri" w:eastAsia="楷体_GB2312" w:cs="Calibri"/>
          <w:sz w:val="20"/>
          <w:szCs w:val="20"/>
          <w:lang w:val="en-US" w:eastAsia="zh-CN" w:bidi="ar"/>
        </w:rPr>
        <w:t>随着航空航天业的稳健复苏、国防支出增加及军事现代化需求，我们建议关注高性能结构部件制造商</w:t>
      </w:r>
      <w:r>
        <w:rPr>
          <w:rFonts w:hint="default" w:ascii="Calibri" w:hAnsi="Calibri" w:eastAsia="楷体_GB2312" w:cs="Calibri"/>
          <w:sz w:val="20"/>
          <w:szCs w:val="20"/>
          <w:lang w:val="en-US" w:eastAsia="zh-CN" w:bidi="ar"/>
        </w:rPr>
        <w:t>Howmet Aerospace</w:t>
      </w:r>
      <w:r>
        <w:rPr>
          <w:rFonts w:hint="default" w:ascii="Calibri" w:hAnsi="Calibri" w:eastAsia="楷体_GB2312" w:cs="Calibri"/>
          <w:sz w:val="20"/>
          <w:szCs w:val="20"/>
          <w:lang w:val="en-US" w:eastAsia="zh-CN" w:bidi="ar"/>
        </w:rPr>
        <w:t>、航空航天零部件专业制造商</w:t>
      </w:r>
      <w:r>
        <w:rPr>
          <w:rFonts w:hint="default" w:ascii="Calibri" w:hAnsi="Calibri" w:eastAsia="楷体_GB2312" w:cs="Calibri"/>
          <w:sz w:val="20"/>
          <w:szCs w:val="20"/>
          <w:lang w:val="en-US" w:eastAsia="zh-CN" w:bidi="ar"/>
        </w:rPr>
        <w:t>Loar Holdings</w:t>
      </w:r>
      <w:r>
        <w:rPr>
          <w:rFonts w:hint="default" w:ascii="Calibri" w:hAnsi="Calibri" w:eastAsia="楷体_GB2312" w:cs="Calibri"/>
          <w:sz w:val="20"/>
          <w:szCs w:val="20"/>
          <w:lang w:val="en-US" w:eastAsia="zh-CN" w:bidi="ar"/>
        </w:rPr>
        <w:t>、法国航空发动机巨头赛峰</w:t>
      </w:r>
      <w:r>
        <w:rPr>
          <w:rFonts w:hint="default" w:ascii="Calibri" w:hAnsi="Calibri" w:eastAsia="楷体_GB2312" w:cs="Calibri"/>
          <w:sz w:val="20"/>
          <w:szCs w:val="20"/>
          <w:lang w:val="en-US" w:eastAsia="zh-CN" w:bidi="ar"/>
        </w:rPr>
        <w:t>(SAFRY)</w:t>
      </w:r>
      <w:r>
        <w:rPr>
          <w:rFonts w:hint="default" w:ascii="Calibri" w:hAnsi="Calibri" w:eastAsia="楷体_GB2312" w:cs="Calibri"/>
          <w:sz w:val="20"/>
          <w:szCs w:val="20"/>
          <w:lang w:val="en-US" w:eastAsia="zh-CN" w:bidi="ar"/>
        </w:rPr>
        <w:t>以及领先国防承包商雷神技术</w:t>
      </w:r>
      <w:r>
        <w:rPr>
          <w:rFonts w:hint="default" w:ascii="Calibri" w:hAnsi="Calibri" w:eastAsia="楷体_GB2312" w:cs="Calibri"/>
          <w:sz w:val="20"/>
          <w:szCs w:val="20"/>
          <w:lang w:val="en-US" w:eastAsia="zh-CN" w:bidi="ar"/>
        </w:rPr>
        <w:t>(RTX)</w:t>
      </w:r>
      <w:r>
        <w:rPr>
          <w:rFonts w:hint="default" w:ascii="Calibri" w:hAnsi="Calibri" w:eastAsia="楷体_GB2312" w:cs="Calibri"/>
          <w:sz w:val="20"/>
          <w:szCs w:val="20"/>
          <w:lang w:val="en-US" w:eastAsia="zh-CN" w:bidi="ar"/>
        </w:rPr>
        <w:t>以及鹰普精密。随着民用航空器维护需求增加，我们建议关注</w:t>
      </w:r>
      <w:r>
        <w:rPr>
          <w:rFonts w:hint="default" w:ascii="Calibri" w:hAnsi="Calibri" w:eastAsia="楷体_GB2312" w:cs="Calibri"/>
          <w:sz w:val="20"/>
          <w:szCs w:val="20"/>
          <w:lang w:val="en-US" w:eastAsia="zh-CN" w:bidi="ar"/>
        </w:rPr>
        <w:t>VSE</w:t>
      </w:r>
      <w:r>
        <w:rPr>
          <w:rFonts w:hint="default" w:ascii="Calibri" w:hAnsi="Calibri" w:eastAsia="楷体_GB2312" w:cs="Calibri"/>
          <w:sz w:val="20"/>
          <w:szCs w:val="20"/>
          <w:lang w:val="en-US" w:eastAsia="zh-CN" w:bidi="ar"/>
        </w:rPr>
        <w:t>技术服务公司。</w:t>
      </w:r>
    </w:p>
    <w:p w14:paraId="594418A7">
      <w:pPr>
        <w:overflowPunct w:val="0"/>
        <w:spacing w:line="228" w:lineRule="auto"/>
        <w:jc w:val="both"/>
        <w:rPr>
          <w:rFonts w:hint="default" w:ascii="Calibri" w:hAnsi="Calibri" w:eastAsia="楷体_GB2312" w:cs="Calibri"/>
          <w:lang w:eastAsia="zh-CN"/>
        </w:rPr>
        <w:sectPr>
          <w:headerReference r:id="rId3" w:type="default"/>
          <w:footerReference r:id="rId4" w:type="default"/>
          <w:pgSz w:w="11909" w:h="16834"/>
          <w:pgMar w:top="1134" w:right="851" w:bottom="1321" w:left="851" w:header="284" w:footer="1157" w:gutter="0"/>
          <w:cols w:space="720" w:num="1"/>
          <w:docGrid w:linePitch="360" w:charSpace="0"/>
        </w:sectPr>
      </w:pPr>
      <w:r>
        <w:rPr>
          <w:rFonts w:hint="default" w:ascii="Calibri" w:hAnsi="Calibri" w:eastAsia="楷体_GB2312" w:cs="Calibri"/>
          <w:b/>
          <w:bCs/>
          <w:color w:val="1F497D" w:themeColor="text2"/>
          <w:sz w:val="22"/>
          <w:szCs w:val="22"/>
          <w:lang w:val="en-US" w:eastAsia="zh-CN"/>
          <w14:textFill>
            <w14:solidFill>
              <w14:schemeClr w14:val="tx2"/>
            </w14:solidFill>
          </w14:textFill>
        </w:rPr>
        <w:t>风险提示：</w:t>
      </w:r>
      <w:r>
        <w:rPr>
          <w:rFonts w:hint="default" w:ascii="Calibri" w:hAnsi="Calibri" w:eastAsia="楷体_GB2312" w:cs="Calibri"/>
          <w:sz w:val="24"/>
          <w:szCs w:val="24"/>
          <w:lang w:val="en-US" w:eastAsia="zh-CN" w:bidi="ar"/>
        </w:rPr>
        <w:br w:type="textWrapping"/>
      </w:r>
      <w:r>
        <w:rPr>
          <w:rFonts w:hint="default" w:ascii="Calibri" w:hAnsi="Calibri" w:eastAsia="楷体_GB2312" w:cs="Calibri"/>
          <w:sz w:val="20"/>
          <w:szCs w:val="20"/>
          <w:lang w:val="en-US" w:eastAsia="zh-CN"/>
        </w:rPr>
        <w:t>欧美新能源政策推进不及预期；欧洲电力市场改革不及预期；地缘政治风险，导致传统能源品价格波动；核能政策推进不及预期，开发成本高于预期，商业化进展弱于预期；AIDC建设不及预期；AI用电量不及预期</w:t>
      </w:r>
      <w:r>
        <w:rPr>
          <w:rFonts w:hint="default" w:ascii="Calibri" w:hAnsi="Calibri" w:eastAsia="楷体_GB2312" w:cs="Calibri"/>
          <w:sz w:val="20"/>
          <w:szCs w:val="20"/>
          <w:lang w:val="en-US" w:eastAsia="zh-CN"/>
        </w:rPr>
        <w:t>。</w:t>
      </w:r>
    </w:p>
    <w:p w14:paraId="24729AD5">
      <w:pPr>
        <w:overflowPunct w:val="0"/>
        <w:jc w:val="both"/>
        <w:rPr>
          <w:rFonts w:hint="default" w:ascii="Calibri" w:hAnsi="Calibri" w:eastAsia="楷体_GB2312" w:cs="Calibri"/>
          <w:sz w:val="20"/>
          <w:szCs w:val="20"/>
          <w:lang w:val="en-US" w:eastAsia="zh-CN"/>
        </w:rPr>
      </w:pPr>
      <w:bookmarkStart w:id="1" w:name="_Toc145691341"/>
      <w:bookmarkStart w:id="2" w:name="_Toc145713253"/>
      <w:bookmarkStart w:id="3" w:name="_Toc185497681"/>
      <w:bookmarkStart w:id="4" w:name="_Toc2091320906"/>
    </w:p>
    <w:sdt>
      <w:sdtPr>
        <w:rPr>
          <w:rFonts w:hint="default" w:ascii="Calibri" w:hAnsi="Calibri" w:eastAsia="楷体_GB2312" w:cs="Calibri"/>
          <w:sz w:val="21"/>
        </w:rPr>
        <w:id w:val="147451266"/>
        <w15:color w:val="DBDBDB"/>
        <w:docPartObj>
          <w:docPartGallery w:val="Table of Contents"/>
          <w:docPartUnique/>
        </w:docPartObj>
      </w:sdtPr>
      <w:sdtEndPr>
        <w:rPr>
          <w:rFonts w:hint="default" w:ascii="Calibri" w:hAnsi="Calibri" w:eastAsia="楷体_GB2312" w:cs="Calibri"/>
          <w:sz w:val="16"/>
          <w:lang w:eastAsia="zh-CN"/>
        </w:rPr>
      </w:sdtEndPr>
      <w:sdtContent>
        <w:p w14:paraId="5BAAA0E3">
          <w:pPr>
            <w:jc w:val="center"/>
            <w:rPr>
              <w:rFonts w:hint="default" w:ascii="Calibri" w:hAnsi="Calibri" w:eastAsia="楷体_GB2312" w:cs="Calibri"/>
              <w:b/>
              <w:bCs/>
              <w:color w:val="1F497D" w:themeColor="text2"/>
              <w:sz w:val="22"/>
              <w:szCs w:val="22"/>
              <w:lang w:val="en-US" w:eastAsia="zh-CN"/>
              <w14:textFill>
                <w14:solidFill>
                  <w14:schemeClr w14:val="tx2"/>
                </w14:solidFill>
              </w14:textFill>
            </w:rPr>
          </w:pPr>
          <w:r>
            <w:rPr>
              <w:rFonts w:hint="default" w:ascii="Calibri" w:hAnsi="Calibri" w:eastAsia="楷体_GB2312" w:cs="Calibri"/>
              <w:b/>
              <w:bCs/>
              <w:color w:val="1F497D" w:themeColor="text2"/>
              <w:sz w:val="22"/>
              <w:szCs w:val="22"/>
              <w:lang w:val="en-US" w:eastAsia="zh-CN"/>
              <w14:textFill>
                <w14:solidFill>
                  <w14:schemeClr w14:val="tx2"/>
                </w14:solidFill>
              </w14:textFill>
            </w:rPr>
            <w:t>目录</w:t>
          </w:r>
        </w:p>
        <w:p w14:paraId="3BEB178E">
          <w:pPr>
            <w:pStyle w:val="19"/>
            <w:spacing w:line="240" w:lineRule="auto"/>
            <w:ind w:left="2080"/>
            <w:rPr>
              <w:rFonts w:hint="default" w:ascii="Calibri" w:hAnsi="Calibri" w:eastAsia="楷体_GB2312" w:cs="Calibri"/>
              <w:sz w:val="22"/>
              <w14:ligatures w14:val="standardContextual"/>
            </w:rPr>
          </w:pPr>
          <w:r>
            <w:rPr>
              <w:rFonts w:hint="default" w:ascii="Calibri" w:hAnsi="Calibri" w:eastAsia="楷体_GB2312" w:cs="Calibri"/>
              <w:snapToGrid w:val="0"/>
              <w:sz w:val="16"/>
              <w:szCs w:val="16"/>
              <w:lang w:val="en-GB"/>
            </w:rPr>
            <w:fldChar w:fldCharType="begin"/>
          </w:r>
          <w:r>
            <w:rPr>
              <w:rFonts w:hint="default" w:ascii="Calibri" w:hAnsi="Calibri" w:eastAsia="楷体_GB2312" w:cs="Calibri"/>
              <w:snapToGrid w:val="0"/>
              <w:sz w:val="16"/>
              <w:szCs w:val="16"/>
              <w:lang w:val="en-GB"/>
            </w:rPr>
            <w:instrText xml:space="preserve">TOC \o "1-3" \h \u </w:instrText>
          </w:r>
          <w:r>
            <w:rPr>
              <w:rFonts w:hint="default" w:ascii="Calibri" w:hAnsi="Calibri" w:eastAsia="楷体_GB2312" w:cs="Calibri"/>
              <w:snapToGrid w:val="0"/>
              <w:sz w:val="16"/>
              <w:szCs w:val="16"/>
              <w:lang w:val="en-GB"/>
            </w:rPr>
            <w:fldChar w:fldCharType="separate"/>
          </w:r>
          <w:r>
            <w:rPr>
              <w:rFonts w:hint="default" w:ascii="Calibri" w:hAnsi="Calibri" w:eastAsia="楷体_GB2312" w:cs="Calibri"/>
            </w:rPr>
            <w:fldChar w:fldCharType="begin"/>
          </w:r>
          <w:r>
            <w:rPr>
              <w:rFonts w:hint="default" w:ascii="Calibri" w:hAnsi="Calibri" w:eastAsia="楷体_GB2312" w:cs="Calibri"/>
            </w:rPr>
            <w:instrText xml:space="preserve"> HYPERLINK \l "_Toc223082593" </w:instrText>
          </w:r>
          <w:r>
            <w:rPr>
              <w:rFonts w:hint="default" w:ascii="Calibri" w:hAnsi="Calibri" w:eastAsia="楷体_GB2312" w:cs="Calibri"/>
            </w:rPr>
            <w:fldChar w:fldCharType="separate"/>
          </w:r>
          <w:r>
            <w:rPr>
              <w:rStyle w:val="32"/>
              <w:rFonts w:hint="default" w:ascii="Calibri" w:hAnsi="Calibri" w:eastAsia="楷体_GB2312" w:cs="Calibri"/>
            </w:rPr>
            <w:t>一、全球市场回顾</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w:instrText>
          </w:r>
          <w:r>
            <w:rPr>
              <w:rFonts w:hint="default" w:ascii="Calibri" w:hAnsi="Calibri" w:eastAsia="楷体_GB2312" w:cs="Calibri"/>
            </w:rPr>
            <w:instrText xml:space="preserve">PAGEREF _Toc223082593 \h</w:instrText>
          </w:r>
          <w:r>
            <w:rPr>
              <w:rFonts w:hint="default" w:ascii="Calibri" w:hAnsi="Calibri" w:eastAsia="楷体_GB2312" w:cs="Calibri"/>
            </w:rPr>
            <w:instrText xml:space="preserve"> </w:instrText>
          </w:r>
          <w:r>
            <w:rPr>
              <w:rFonts w:hint="default" w:ascii="Calibri" w:hAnsi="Calibri" w:eastAsia="楷体_GB2312" w:cs="Calibri"/>
            </w:rPr>
            <w:fldChar w:fldCharType="separate"/>
          </w:r>
          <w:r>
            <w:rPr>
              <w:rFonts w:hint="default" w:ascii="Calibri" w:hAnsi="Calibri" w:eastAsia="楷体_GB2312" w:cs="Calibri"/>
            </w:rPr>
            <w:t>3</w:t>
          </w:r>
          <w:r>
            <w:rPr>
              <w:rFonts w:hint="default" w:ascii="Calibri" w:hAnsi="Calibri" w:eastAsia="楷体_GB2312" w:cs="Calibri"/>
            </w:rPr>
            <w:fldChar w:fldCharType="end"/>
          </w:r>
          <w:r>
            <w:rPr>
              <w:rFonts w:hint="default" w:ascii="Calibri" w:hAnsi="Calibri" w:eastAsia="楷体_GB2312" w:cs="Calibri"/>
            </w:rPr>
            <w:fldChar w:fldCharType="end"/>
          </w:r>
        </w:p>
        <w:p w14:paraId="44F37C6D">
          <w:pPr>
            <w:pStyle w:val="19"/>
            <w:spacing w:line="240" w:lineRule="auto"/>
            <w:ind w:left="2080"/>
            <w:rPr>
              <w:rFonts w:hint="default" w:ascii="Calibri" w:hAnsi="Calibri" w:eastAsia="楷体_GB2312" w:cs="Calibri"/>
              <w:sz w:val="22"/>
              <w14:ligatures w14:val="standardContextual"/>
            </w:rPr>
          </w:pPr>
          <w:r>
            <w:rPr>
              <w:rFonts w:hint="default" w:ascii="Calibri" w:hAnsi="Calibri" w:eastAsia="楷体_GB2312" w:cs="Calibri"/>
            </w:rPr>
            <w:fldChar w:fldCharType="begin"/>
          </w:r>
          <w:r>
            <w:rPr>
              <w:rFonts w:hint="default" w:ascii="Calibri" w:hAnsi="Calibri" w:eastAsia="楷体_GB2312" w:cs="Calibri"/>
            </w:rPr>
            <w:instrText xml:space="preserve"> HYPERLINK \l "_Toc223082594" </w:instrText>
          </w:r>
          <w:r>
            <w:rPr>
              <w:rFonts w:hint="default" w:ascii="Calibri" w:hAnsi="Calibri" w:eastAsia="楷体_GB2312" w:cs="Calibri"/>
            </w:rPr>
            <w:fldChar w:fldCharType="separate"/>
          </w:r>
          <w:r>
            <w:rPr>
              <w:rStyle w:val="32"/>
              <w:rFonts w:hint="default" w:ascii="Calibri" w:hAnsi="Calibri" w:eastAsia="楷体_GB2312" w:cs="Calibri"/>
            </w:rPr>
            <w:t>二、全球基建与建筑装备</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w:instrText>
          </w:r>
          <w:r>
            <w:rPr>
              <w:rFonts w:hint="default" w:ascii="Calibri" w:hAnsi="Calibri" w:eastAsia="楷体_GB2312" w:cs="Calibri"/>
            </w:rPr>
            <w:instrText xml:space="preserve">PAGEREF _Toc223082594 \h</w:instrText>
          </w:r>
          <w:r>
            <w:rPr>
              <w:rFonts w:hint="default" w:ascii="Calibri" w:hAnsi="Calibri" w:eastAsia="楷体_GB2312" w:cs="Calibri"/>
            </w:rPr>
            <w:instrText xml:space="preserve"> </w:instrText>
          </w:r>
          <w:r>
            <w:rPr>
              <w:rFonts w:hint="default" w:ascii="Calibri" w:hAnsi="Calibri" w:eastAsia="楷体_GB2312" w:cs="Calibri"/>
            </w:rPr>
            <w:fldChar w:fldCharType="separate"/>
          </w:r>
          <w:r>
            <w:rPr>
              <w:rFonts w:hint="default" w:ascii="Calibri" w:hAnsi="Calibri" w:eastAsia="楷体_GB2312" w:cs="Calibri"/>
            </w:rPr>
            <w:t>6</w:t>
          </w:r>
          <w:r>
            <w:rPr>
              <w:rFonts w:hint="default" w:ascii="Calibri" w:hAnsi="Calibri" w:eastAsia="楷体_GB2312" w:cs="Calibri"/>
            </w:rPr>
            <w:fldChar w:fldCharType="end"/>
          </w:r>
          <w:r>
            <w:rPr>
              <w:rFonts w:hint="default" w:ascii="Calibri" w:hAnsi="Calibri" w:eastAsia="楷体_GB2312" w:cs="Calibri"/>
            </w:rPr>
            <w:fldChar w:fldCharType="end"/>
          </w:r>
        </w:p>
        <w:p w14:paraId="4BF93345">
          <w:pPr>
            <w:pStyle w:val="22"/>
            <w:spacing w:line="240" w:lineRule="auto"/>
            <w:ind w:left="2400"/>
            <w:rPr>
              <w:rFonts w:hint="default" w:ascii="Calibri" w:hAnsi="Calibri" w:eastAsia="楷体_GB2312" w:cs="Calibri"/>
              <w:sz w:val="22"/>
              <w14:ligatures w14:val="standardContextual"/>
            </w:rPr>
          </w:pPr>
          <w:r>
            <w:rPr>
              <w:rFonts w:hint="default" w:ascii="Calibri" w:hAnsi="Calibri" w:eastAsia="楷体_GB2312" w:cs="Calibri"/>
            </w:rPr>
            <w:fldChar w:fldCharType="begin"/>
          </w:r>
          <w:r>
            <w:rPr>
              <w:rFonts w:hint="default" w:ascii="Calibri" w:hAnsi="Calibri" w:eastAsia="楷体_GB2312" w:cs="Calibri"/>
            </w:rPr>
            <w:instrText xml:space="preserve"> HYPERLINK \l "_Toc223082595" </w:instrText>
          </w:r>
          <w:r>
            <w:rPr>
              <w:rFonts w:hint="default" w:ascii="Calibri" w:hAnsi="Calibri" w:eastAsia="楷体_GB2312" w:cs="Calibri"/>
            </w:rPr>
            <w:fldChar w:fldCharType="separate"/>
          </w:r>
          <w:r>
            <w:rPr>
              <w:rStyle w:val="32"/>
              <w:rFonts w:hint="default" w:ascii="Calibri" w:hAnsi="Calibri" w:eastAsia="楷体_GB2312" w:cs="Calibri"/>
            </w:rPr>
            <w:t>（一）数据中心</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w:instrText>
          </w:r>
          <w:r>
            <w:rPr>
              <w:rFonts w:hint="default" w:ascii="Calibri" w:hAnsi="Calibri" w:eastAsia="楷体_GB2312" w:cs="Calibri"/>
            </w:rPr>
            <w:instrText xml:space="preserve">PAGEREF _Toc223082595 \h</w:instrText>
          </w:r>
          <w:r>
            <w:rPr>
              <w:rFonts w:hint="default" w:ascii="Calibri" w:hAnsi="Calibri" w:eastAsia="楷体_GB2312" w:cs="Calibri"/>
            </w:rPr>
            <w:instrText xml:space="preserve"> </w:instrText>
          </w:r>
          <w:r>
            <w:rPr>
              <w:rFonts w:hint="default" w:ascii="Calibri" w:hAnsi="Calibri" w:eastAsia="楷体_GB2312" w:cs="Calibri"/>
            </w:rPr>
            <w:fldChar w:fldCharType="separate"/>
          </w:r>
          <w:r>
            <w:rPr>
              <w:rFonts w:hint="default" w:ascii="Calibri" w:hAnsi="Calibri" w:eastAsia="楷体_GB2312" w:cs="Calibri"/>
            </w:rPr>
            <w:t>6</w:t>
          </w:r>
          <w:r>
            <w:rPr>
              <w:rFonts w:hint="default" w:ascii="Calibri" w:hAnsi="Calibri" w:eastAsia="楷体_GB2312" w:cs="Calibri"/>
            </w:rPr>
            <w:fldChar w:fldCharType="end"/>
          </w:r>
          <w:r>
            <w:rPr>
              <w:rFonts w:hint="default" w:ascii="Calibri" w:hAnsi="Calibri" w:eastAsia="楷体_GB2312" w:cs="Calibri"/>
            </w:rPr>
            <w:fldChar w:fldCharType="end"/>
          </w:r>
        </w:p>
        <w:p w14:paraId="3230B775">
          <w:pPr>
            <w:pStyle w:val="22"/>
            <w:spacing w:line="240" w:lineRule="auto"/>
            <w:ind w:left="2400"/>
            <w:rPr>
              <w:rFonts w:hint="default" w:ascii="Calibri" w:hAnsi="Calibri" w:eastAsia="楷体_GB2312" w:cs="Calibri"/>
              <w:sz w:val="22"/>
              <w14:ligatures w14:val="standardContextual"/>
            </w:rPr>
          </w:pPr>
          <w:r>
            <w:rPr>
              <w:rFonts w:hint="default" w:ascii="Calibri" w:hAnsi="Calibri" w:eastAsia="楷体_GB2312" w:cs="Calibri"/>
            </w:rPr>
            <w:fldChar w:fldCharType="begin"/>
          </w:r>
          <w:r>
            <w:rPr>
              <w:rFonts w:hint="default" w:ascii="Calibri" w:hAnsi="Calibri" w:eastAsia="楷体_GB2312" w:cs="Calibri"/>
            </w:rPr>
            <w:instrText xml:space="preserve"> HYPERLINK \l "_Toc223082596" </w:instrText>
          </w:r>
          <w:r>
            <w:rPr>
              <w:rFonts w:hint="default" w:ascii="Calibri" w:hAnsi="Calibri" w:eastAsia="楷体_GB2312" w:cs="Calibri"/>
            </w:rPr>
            <w:fldChar w:fldCharType="separate"/>
          </w:r>
          <w:r>
            <w:rPr>
              <w:rStyle w:val="32"/>
              <w:rFonts w:hint="default" w:ascii="Calibri" w:hAnsi="Calibri" w:eastAsia="楷体_GB2312" w:cs="Calibri"/>
            </w:rPr>
            <w:t>（二）能源建设</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w:instrText>
          </w:r>
          <w:r>
            <w:rPr>
              <w:rFonts w:hint="default" w:ascii="Calibri" w:hAnsi="Calibri" w:eastAsia="楷体_GB2312" w:cs="Calibri"/>
            </w:rPr>
            <w:instrText xml:space="preserve">PAGEREF _Toc223082596 \h</w:instrText>
          </w:r>
          <w:r>
            <w:rPr>
              <w:rFonts w:hint="default" w:ascii="Calibri" w:hAnsi="Calibri" w:eastAsia="楷体_GB2312" w:cs="Calibri"/>
            </w:rPr>
            <w:instrText xml:space="preserve"> </w:instrText>
          </w:r>
          <w:r>
            <w:rPr>
              <w:rFonts w:hint="default" w:ascii="Calibri" w:hAnsi="Calibri" w:eastAsia="楷体_GB2312" w:cs="Calibri"/>
            </w:rPr>
            <w:fldChar w:fldCharType="separate"/>
          </w:r>
          <w:r>
            <w:rPr>
              <w:rFonts w:hint="default" w:ascii="Calibri" w:hAnsi="Calibri" w:eastAsia="楷体_GB2312" w:cs="Calibri"/>
            </w:rPr>
            <w:t>6</w:t>
          </w:r>
          <w:r>
            <w:rPr>
              <w:rFonts w:hint="default" w:ascii="Calibri" w:hAnsi="Calibri" w:eastAsia="楷体_GB2312" w:cs="Calibri"/>
            </w:rPr>
            <w:fldChar w:fldCharType="end"/>
          </w:r>
          <w:r>
            <w:rPr>
              <w:rFonts w:hint="default" w:ascii="Calibri" w:hAnsi="Calibri" w:eastAsia="楷体_GB2312" w:cs="Calibri"/>
            </w:rPr>
            <w:fldChar w:fldCharType="end"/>
          </w:r>
        </w:p>
        <w:p w14:paraId="11FAD1BB">
          <w:pPr>
            <w:pStyle w:val="22"/>
            <w:spacing w:line="240" w:lineRule="auto"/>
            <w:ind w:left="2400"/>
            <w:rPr>
              <w:rFonts w:hint="default" w:ascii="Calibri" w:hAnsi="Calibri" w:eastAsia="楷体_GB2312" w:cs="Calibri"/>
              <w:sz w:val="22"/>
              <w14:ligatures w14:val="standardContextual"/>
            </w:rPr>
          </w:pPr>
          <w:r>
            <w:rPr>
              <w:rFonts w:hint="default" w:ascii="Calibri" w:hAnsi="Calibri" w:eastAsia="楷体_GB2312" w:cs="Calibri"/>
            </w:rPr>
            <w:fldChar w:fldCharType="begin"/>
          </w:r>
          <w:r>
            <w:rPr>
              <w:rFonts w:hint="default" w:ascii="Calibri" w:hAnsi="Calibri" w:eastAsia="楷体_GB2312" w:cs="Calibri"/>
            </w:rPr>
            <w:instrText xml:space="preserve"> HYPERLINK \l "_Toc223082597" </w:instrText>
          </w:r>
          <w:r>
            <w:rPr>
              <w:rFonts w:hint="default" w:ascii="Calibri" w:hAnsi="Calibri" w:eastAsia="楷体_GB2312" w:cs="Calibri"/>
            </w:rPr>
            <w:fldChar w:fldCharType="separate"/>
          </w:r>
          <w:r>
            <w:rPr>
              <w:rStyle w:val="32"/>
              <w:rFonts w:hint="default" w:ascii="Calibri" w:hAnsi="Calibri" w:eastAsia="楷体_GB2312" w:cs="Calibri"/>
            </w:rPr>
            <w:t>（三）SMR装备</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w:instrText>
          </w:r>
          <w:r>
            <w:rPr>
              <w:rFonts w:hint="default" w:ascii="Calibri" w:hAnsi="Calibri" w:eastAsia="楷体_GB2312" w:cs="Calibri"/>
            </w:rPr>
            <w:instrText xml:space="preserve">PAGEREF _Toc223082597 \h</w:instrText>
          </w:r>
          <w:r>
            <w:rPr>
              <w:rFonts w:hint="default" w:ascii="Calibri" w:hAnsi="Calibri" w:eastAsia="楷体_GB2312" w:cs="Calibri"/>
            </w:rPr>
            <w:instrText xml:space="preserve"> </w:instrText>
          </w:r>
          <w:r>
            <w:rPr>
              <w:rFonts w:hint="default" w:ascii="Calibri" w:hAnsi="Calibri" w:eastAsia="楷体_GB2312" w:cs="Calibri"/>
            </w:rPr>
            <w:fldChar w:fldCharType="separate"/>
          </w:r>
          <w:r>
            <w:rPr>
              <w:rFonts w:hint="default" w:ascii="Calibri" w:hAnsi="Calibri" w:eastAsia="楷体_GB2312" w:cs="Calibri"/>
            </w:rPr>
            <w:t>7</w:t>
          </w:r>
          <w:r>
            <w:rPr>
              <w:rFonts w:hint="default" w:ascii="Calibri" w:hAnsi="Calibri" w:eastAsia="楷体_GB2312" w:cs="Calibri"/>
            </w:rPr>
            <w:fldChar w:fldCharType="end"/>
          </w:r>
          <w:r>
            <w:rPr>
              <w:rFonts w:hint="default" w:ascii="Calibri" w:hAnsi="Calibri" w:eastAsia="楷体_GB2312" w:cs="Calibri"/>
            </w:rPr>
            <w:fldChar w:fldCharType="end"/>
          </w:r>
        </w:p>
        <w:p w14:paraId="5E4CBEAF">
          <w:pPr>
            <w:pStyle w:val="19"/>
            <w:spacing w:line="240" w:lineRule="auto"/>
            <w:ind w:left="2080"/>
            <w:rPr>
              <w:rFonts w:hint="default" w:ascii="Calibri" w:hAnsi="Calibri" w:eastAsia="楷体_GB2312" w:cs="Calibri"/>
              <w:sz w:val="22"/>
              <w14:ligatures w14:val="standardContextual"/>
            </w:rPr>
          </w:pPr>
          <w:r>
            <w:rPr>
              <w:rFonts w:hint="default" w:ascii="Calibri" w:hAnsi="Calibri" w:eastAsia="楷体_GB2312" w:cs="Calibri"/>
            </w:rPr>
            <w:fldChar w:fldCharType="begin"/>
          </w:r>
          <w:r>
            <w:rPr>
              <w:rFonts w:hint="default" w:ascii="Calibri" w:hAnsi="Calibri" w:eastAsia="楷体_GB2312" w:cs="Calibri"/>
            </w:rPr>
            <w:instrText xml:space="preserve"> HYPERLINK \l "_Toc223082598" </w:instrText>
          </w:r>
          <w:r>
            <w:rPr>
              <w:rFonts w:hint="default" w:ascii="Calibri" w:hAnsi="Calibri" w:eastAsia="楷体_GB2312" w:cs="Calibri"/>
            </w:rPr>
            <w:fldChar w:fldCharType="separate"/>
          </w:r>
          <w:r>
            <w:rPr>
              <w:rStyle w:val="32"/>
              <w:rFonts w:hint="default" w:ascii="Calibri" w:hAnsi="Calibri" w:eastAsia="楷体_GB2312" w:cs="Calibri"/>
            </w:rPr>
            <w:t>三、全球电气与智能装备</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w:instrText>
          </w:r>
          <w:r>
            <w:rPr>
              <w:rFonts w:hint="default" w:ascii="Calibri" w:hAnsi="Calibri" w:eastAsia="楷体_GB2312" w:cs="Calibri"/>
            </w:rPr>
            <w:instrText xml:space="preserve">PAGEREF _Toc223082598 \h</w:instrText>
          </w:r>
          <w:r>
            <w:rPr>
              <w:rFonts w:hint="default" w:ascii="Calibri" w:hAnsi="Calibri" w:eastAsia="楷体_GB2312" w:cs="Calibri"/>
            </w:rPr>
            <w:instrText xml:space="preserve"> </w:instrText>
          </w:r>
          <w:r>
            <w:rPr>
              <w:rFonts w:hint="default" w:ascii="Calibri" w:hAnsi="Calibri" w:eastAsia="楷体_GB2312" w:cs="Calibri"/>
            </w:rPr>
            <w:fldChar w:fldCharType="separate"/>
          </w:r>
          <w:r>
            <w:rPr>
              <w:rFonts w:hint="default" w:ascii="Calibri" w:hAnsi="Calibri" w:eastAsia="楷体_GB2312" w:cs="Calibri"/>
            </w:rPr>
            <w:t>9</w:t>
          </w:r>
          <w:r>
            <w:rPr>
              <w:rFonts w:hint="default" w:ascii="Calibri" w:hAnsi="Calibri" w:eastAsia="楷体_GB2312" w:cs="Calibri"/>
            </w:rPr>
            <w:fldChar w:fldCharType="end"/>
          </w:r>
          <w:r>
            <w:rPr>
              <w:rFonts w:hint="default" w:ascii="Calibri" w:hAnsi="Calibri" w:eastAsia="楷体_GB2312" w:cs="Calibri"/>
            </w:rPr>
            <w:fldChar w:fldCharType="end"/>
          </w:r>
        </w:p>
        <w:p w14:paraId="413C31EA">
          <w:pPr>
            <w:pStyle w:val="22"/>
            <w:spacing w:line="240" w:lineRule="auto"/>
            <w:ind w:left="2400"/>
            <w:rPr>
              <w:rFonts w:hint="default" w:ascii="Calibri" w:hAnsi="Calibri" w:eastAsia="楷体_GB2312" w:cs="Calibri"/>
              <w:sz w:val="22"/>
              <w14:ligatures w14:val="standardContextual"/>
            </w:rPr>
          </w:pPr>
          <w:r>
            <w:rPr>
              <w:rFonts w:hint="default" w:ascii="Calibri" w:hAnsi="Calibri" w:eastAsia="楷体_GB2312" w:cs="Calibri"/>
            </w:rPr>
            <w:fldChar w:fldCharType="begin"/>
          </w:r>
          <w:r>
            <w:rPr>
              <w:rFonts w:hint="default" w:ascii="Calibri" w:hAnsi="Calibri" w:eastAsia="楷体_GB2312" w:cs="Calibri"/>
            </w:rPr>
            <w:instrText xml:space="preserve"> HYPERLINK \l "_Toc223082599" </w:instrText>
          </w:r>
          <w:r>
            <w:rPr>
              <w:rFonts w:hint="default" w:ascii="Calibri" w:hAnsi="Calibri" w:eastAsia="楷体_GB2312" w:cs="Calibri"/>
            </w:rPr>
            <w:fldChar w:fldCharType="separate"/>
          </w:r>
          <w:r>
            <w:rPr>
              <w:rStyle w:val="32"/>
              <w:rFonts w:hint="default" w:ascii="Calibri" w:hAnsi="Calibri" w:eastAsia="楷体_GB2312" w:cs="Calibri"/>
            </w:rPr>
            <w:t>（一）工业设备价格指数</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w:instrText>
          </w:r>
          <w:r>
            <w:rPr>
              <w:rFonts w:hint="default" w:ascii="Calibri" w:hAnsi="Calibri" w:eastAsia="楷体_GB2312" w:cs="Calibri"/>
            </w:rPr>
            <w:instrText xml:space="preserve">PAGEREF _Toc223082599 \h</w:instrText>
          </w:r>
          <w:r>
            <w:rPr>
              <w:rFonts w:hint="default" w:ascii="Calibri" w:hAnsi="Calibri" w:eastAsia="楷体_GB2312" w:cs="Calibri"/>
            </w:rPr>
            <w:instrText xml:space="preserve"> </w:instrText>
          </w:r>
          <w:r>
            <w:rPr>
              <w:rFonts w:hint="default" w:ascii="Calibri" w:hAnsi="Calibri" w:eastAsia="楷体_GB2312" w:cs="Calibri"/>
            </w:rPr>
            <w:fldChar w:fldCharType="separate"/>
          </w:r>
          <w:r>
            <w:rPr>
              <w:rFonts w:hint="default" w:ascii="Calibri" w:hAnsi="Calibri" w:eastAsia="楷体_GB2312" w:cs="Calibri"/>
            </w:rPr>
            <w:t>9</w:t>
          </w:r>
          <w:r>
            <w:rPr>
              <w:rFonts w:hint="default" w:ascii="Calibri" w:hAnsi="Calibri" w:eastAsia="楷体_GB2312" w:cs="Calibri"/>
            </w:rPr>
            <w:fldChar w:fldCharType="end"/>
          </w:r>
          <w:r>
            <w:rPr>
              <w:rFonts w:hint="default" w:ascii="Calibri" w:hAnsi="Calibri" w:eastAsia="楷体_GB2312" w:cs="Calibri"/>
            </w:rPr>
            <w:fldChar w:fldCharType="end"/>
          </w:r>
        </w:p>
        <w:p w14:paraId="3D53BEE4">
          <w:pPr>
            <w:pStyle w:val="22"/>
            <w:spacing w:line="240" w:lineRule="auto"/>
            <w:ind w:left="2400"/>
            <w:rPr>
              <w:rFonts w:hint="default" w:ascii="Calibri" w:hAnsi="Calibri" w:eastAsia="楷体_GB2312" w:cs="Calibri"/>
              <w:sz w:val="22"/>
              <w14:ligatures w14:val="standardContextual"/>
            </w:rPr>
          </w:pPr>
          <w:r>
            <w:rPr>
              <w:rFonts w:hint="default" w:ascii="Calibri" w:hAnsi="Calibri" w:eastAsia="楷体_GB2312" w:cs="Calibri"/>
            </w:rPr>
            <w:fldChar w:fldCharType="begin"/>
          </w:r>
          <w:r>
            <w:rPr>
              <w:rFonts w:hint="default" w:ascii="Calibri" w:hAnsi="Calibri" w:eastAsia="楷体_GB2312" w:cs="Calibri"/>
            </w:rPr>
            <w:instrText xml:space="preserve"> HYPERLINK \l "_Toc223082600" </w:instrText>
          </w:r>
          <w:r>
            <w:rPr>
              <w:rFonts w:hint="default" w:ascii="Calibri" w:hAnsi="Calibri" w:eastAsia="楷体_GB2312" w:cs="Calibri"/>
            </w:rPr>
            <w:fldChar w:fldCharType="separate"/>
          </w:r>
          <w:r>
            <w:rPr>
              <w:rStyle w:val="32"/>
              <w:rFonts w:hint="default" w:ascii="Calibri" w:hAnsi="Calibri" w:eastAsia="楷体_GB2312" w:cs="Calibri"/>
            </w:rPr>
            <w:t>（二）工业设备出口指数</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w:instrText>
          </w:r>
          <w:r>
            <w:rPr>
              <w:rFonts w:hint="default" w:ascii="Calibri" w:hAnsi="Calibri" w:eastAsia="楷体_GB2312" w:cs="Calibri"/>
            </w:rPr>
            <w:instrText xml:space="preserve">PAGEREF _Toc223082600 \h</w:instrText>
          </w:r>
          <w:r>
            <w:rPr>
              <w:rFonts w:hint="default" w:ascii="Calibri" w:hAnsi="Calibri" w:eastAsia="楷体_GB2312" w:cs="Calibri"/>
            </w:rPr>
            <w:instrText xml:space="preserve"> </w:instrText>
          </w:r>
          <w:r>
            <w:rPr>
              <w:rFonts w:hint="default" w:ascii="Calibri" w:hAnsi="Calibri" w:eastAsia="楷体_GB2312" w:cs="Calibri"/>
            </w:rPr>
            <w:fldChar w:fldCharType="separate"/>
          </w:r>
          <w:r>
            <w:rPr>
              <w:rFonts w:hint="default" w:ascii="Calibri" w:hAnsi="Calibri" w:eastAsia="楷体_GB2312" w:cs="Calibri"/>
            </w:rPr>
            <w:t>13</w:t>
          </w:r>
          <w:r>
            <w:rPr>
              <w:rFonts w:hint="default" w:ascii="Calibri" w:hAnsi="Calibri" w:eastAsia="楷体_GB2312" w:cs="Calibri"/>
            </w:rPr>
            <w:fldChar w:fldCharType="end"/>
          </w:r>
          <w:r>
            <w:rPr>
              <w:rFonts w:hint="default" w:ascii="Calibri" w:hAnsi="Calibri" w:eastAsia="楷体_GB2312" w:cs="Calibri"/>
            </w:rPr>
            <w:fldChar w:fldCharType="end"/>
          </w:r>
        </w:p>
        <w:p w14:paraId="50CF0559">
          <w:pPr>
            <w:pStyle w:val="22"/>
            <w:spacing w:line="240" w:lineRule="auto"/>
            <w:ind w:left="2400"/>
            <w:rPr>
              <w:rFonts w:hint="default" w:ascii="Calibri" w:hAnsi="Calibri" w:eastAsia="楷体_GB2312" w:cs="Calibri"/>
              <w:sz w:val="22"/>
              <w14:ligatures w14:val="standardContextual"/>
            </w:rPr>
          </w:pPr>
          <w:r>
            <w:rPr>
              <w:rFonts w:hint="default" w:ascii="Calibri" w:hAnsi="Calibri" w:eastAsia="楷体_GB2312" w:cs="Calibri"/>
            </w:rPr>
            <w:fldChar w:fldCharType="begin"/>
          </w:r>
          <w:r>
            <w:rPr>
              <w:rFonts w:hint="default" w:ascii="Calibri" w:hAnsi="Calibri" w:eastAsia="楷体_GB2312" w:cs="Calibri"/>
            </w:rPr>
            <w:instrText xml:space="preserve"> HYPERLINK \l "_Toc223082601" </w:instrText>
          </w:r>
          <w:r>
            <w:rPr>
              <w:rFonts w:hint="default" w:ascii="Calibri" w:hAnsi="Calibri" w:eastAsia="楷体_GB2312" w:cs="Calibri"/>
            </w:rPr>
            <w:fldChar w:fldCharType="separate"/>
          </w:r>
          <w:r>
            <w:rPr>
              <w:rStyle w:val="32"/>
              <w:rFonts w:hint="default" w:ascii="Calibri" w:hAnsi="Calibri" w:eastAsia="楷体_GB2312" w:cs="Calibri"/>
            </w:rPr>
            <w:t>（三）机器人-工业机器人</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w:instrText>
          </w:r>
          <w:r>
            <w:rPr>
              <w:rFonts w:hint="default" w:ascii="Calibri" w:hAnsi="Calibri" w:eastAsia="楷体_GB2312" w:cs="Calibri"/>
            </w:rPr>
            <w:instrText xml:space="preserve">PAGEREF _Toc223082601 \h</w:instrText>
          </w:r>
          <w:r>
            <w:rPr>
              <w:rFonts w:hint="default" w:ascii="Calibri" w:hAnsi="Calibri" w:eastAsia="楷体_GB2312" w:cs="Calibri"/>
            </w:rPr>
            <w:instrText xml:space="preserve"> </w:instrText>
          </w:r>
          <w:r>
            <w:rPr>
              <w:rFonts w:hint="default" w:ascii="Calibri" w:hAnsi="Calibri" w:eastAsia="楷体_GB2312" w:cs="Calibri"/>
            </w:rPr>
            <w:fldChar w:fldCharType="separate"/>
          </w:r>
          <w:r>
            <w:rPr>
              <w:rFonts w:hint="default" w:ascii="Calibri" w:hAnsi="Calibri" w:eastAsia="楷体_GB2312" w:cs="Calibri"/>
            </w:rPr>
            <w:t>16</w:t>
          </w:r>
          <w:r>
            <w:rPr>
              <w:rFonts w:hint="default" w:ascii="Calibri" w:hAnsi="Calibri" w:eastAsia="楷体_GB2312" w:cs="Calibri"/>
            </w:rPr>
            <w:fldChar w:fldCharType="end"/>
          </w:r>
          <w:r>
            <w:rPr>
              <w:rFonts w:hint="default" w:ascii="Calibri" w:hAnsi="Calibri" w:eastAsia="楷体_GB2312" w:cs="Calibri"/>
            </w:rPr>
            <w:fldChar w:fldCharType="end"/>
          </w:r>
        </w:p>
        <w:p w14:paraId="310CFCFA">
          <w:pPr>
            <w:pStyle w:val="19"/>
            <w:spacing w:line="240" w:lineRule="auto"/>
            <w:ind w:left="2080"/>
            <w:rPr>
              <w:rFonts w:hint="default" w:ascii="Calibri" w:hAnsi="Calibri" w:eastAsia="楷体_GB2312" w:cs="Calibri"/>
              <w:sz w:val="22"/>
              <w14:ligatures w14:val="standardContextual"/>
            </w:rPr>
          </w:pPr>
          <w:r>
            <w:rPr>
              <w:rFonts w:hint="default" w:ascii="Calibri" w:hAnsi="Calibri" w:eastAsia="楷体_GB2312" w:cs="Calibri"/>
            </w:rPr>
            <w:fldChar w:fldCharType="begin"/>
          </w:r>
          <w:r>
            <w:rPr>
              <w:rFonts w:hint="default" w:ascii="Calibri" w:hAnsi="Calibri" w:eastAsia="楷体_GB2312" w:cs="Calibri"/>
            </w:rPr>
            <w:instrText xml:space="preserve"> HYPERLINK \l "_Toc223082602" </w:instrText>
          </w:r>
          <w:r>
            <w:rPr>
              <w:rFonts w:hint="default" w:ascii="Calibri" w:hAnsi="Calibri" w:eastAsia="楷体_GB2312" w:cs="Calibri"/>
            </w:rPr>
            <w:fldChar w:fldCharType="separate"/>
          </w:r>
          <w:r>
            <w:rPr>
              <w:rStyle w:val="32"/>
              <w:rFonts w:hint="default" w:ascii="Calibri" w:hAnsi="Calibri" w:eastAsia="楷体_GB2312" w:cs="Calibri"/>
            </w:rPr>
            <w:t>四、全球能源工业</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w:instrText>
          </w:r>
          <w:r>
            <w:rPr>
              <w:rFonts w:hint="default" w:ascii="Calibri" w:hAnsi="Calibri" w:eastAsia="楷体_GB2312" w:cs="Calibri"/>
            </w:rPr>
            <w:instrText xml:space="preserve">PAGEREF _Toc223082602 \h</w:instrText>
          </w:r>
          <w:r>
            <w:rPr>
              <w:rFonts w:hint="default" w:ascii="Calibri" w:hAnsi="Calibri" w:eastAsia="楷体_GB2312" w:cs="Calibri"/>
            </w:rPr>
            <w:instrText xml:space="preserve"> </w:instrText>
          </w:r>
          <w:r>
            <w:rPr>
              <w:rFonts w:hint="default" w:ascii="Calibri" w:hAnsi="Calibri" w:eastAsia="楷体_GB2312" w:cs="Calibri"/>
            </w:rPr>
            <w:fldChar w:fldCharType="separate"/>
          </w:r>
          <w:r>
            <w:rPr>
              <w:rFonts w:hint="default" w:ascii="Calibri" w:hAnsi="Calibri" w:eastAsia="楷体_GB2312" w:cs="Calibri"/>
            </w:rPr>
            <w:t>17</w:t>
          </w:r>
          <w:r>
            <w:rPr>
              <w:rFonts w:hint="default" w:ascii="Calibri" w:hAnsi="Calibri" w:eastAsia="楷体_GB2312" w:cs="Calibri"/>
            </w:rPr>
            <w:fldChar w:fldCharType="end"/>
          </w:r>
          <w:r>
            <w:rPr>
              <w:rFonts w:hint="default" w:ascii="Calibri" w:hAnsi="Calibri" w:eastAsia="楷体_GB2312" w:cs="Calibri"/>
            </w:rPr>
            <w:fldChar w:fldCharType="end"/>
          </w:r>
        </w:p>
        <w:p w14:paraId="5A51CDE6">
          <w:pPr>
            <w:pStyle w:val="22"/>
            <w:spacing w:line="240" w:lineRule="auto"/>
            <w:ind w:left="2400"/>
            <w:rPr>
              <w:rFonts w:hint="default" w:ascii="Calibri" w:hAnsi="Calibri" w:eastAsia="楷体_GB2312" w:cs="Calibri"/>
              <w:sz w:val="22"/>
              <w14:ligatures w14:val="standardContextual"/>
            </w:rPr>
          </w:pPr>
          <w:r>
            <w:rPr>
              <w:rFonts w:hint="default" w:ascii="Calibri" w:hAnsi="Calibri" w:eastAsia="楷体_GB2312" w:cs="Calibri"/>
            </w:rPr>
            <w:fldChar w:fldCharType="begin"/>
          </w:r>
          <w:r>
            <w:rPr>
              <w:rFonts w:hint="default" w:ascii="Calibri" w:hAnsi="Calibri" w:eastAsia="楷体_GB2312" w:cs="Calibri"/>
            </w:rPr>
            <w:instrText xml:space="preserve"> HYPERLINK \l "_Toc223082603" </w:instrText>
          </w:r>
          <w:r>
            <w:rPr>
              <w:rFonts w:hint="default" w:ascii="Calibri" w:hAnsi="Calibri" w:eastAsia="楷体_GB2312" w:cs="Calibri"/>
            </w:rPr>
            <w:fldChar w:fldCharType="separate"/>
          </w:r>
          <w:r>
            <w:rPr>
              <w:rStyle w:val="32"/>
              <w:rFonts w:hint="default" w:ascii="Calibri" w:hAnsi="Calibri" w:eastAsia="楷体_GB2312" w:cs="Calibri"/>
            </w:rPr>
            <w:t>（一）能源发展</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w:instrText>
          </w:r>
          <w:r>
            <w:rPr>
              <w:rFonts w:hint="default" w:ascii="Calibri" w:hAnsi="Calibri" w:eastAsia="楷体_GB2312" w:cs="Calibri"/>
            </w:rPr>
            <w:instrText xml:space="preserve">PAGEREF _Toc223082603 \h</w:instrText>
          </w:r>
          <w:r>
            <w:rPr>
              <w:rFonts w:hint="default" w:ascii="Calibri" w:hAnsi="Calibri" w:eastAsia="楷体_GB2312" w:cs="Calibri"/>
            </w:rPr>
            <w:instrText xml:space="preserve"> </w:instrText>
          </w:r>
          <w:r>
            <w:rPr>
              <w:rFonts w:hint="default" w:ascii="Calibri" w:hAnsi="Calibri" w:eastAsia="楷体_GB2312" w:cs="Calibri"/>
            </w:rPr>
            <w:fldChar w:fldCharType="separate"/>
          </w:r>
          <w:r>
            <w:rPr>
              <w:rFonts w:hint="default" w:ascii="Calibri" w:hAnsi="Calibri" w:eastAsia="楷体_GB2312" w:cs="Calibri"/>
            </w:rPr>
            <w:t>17</w:t>
          </w:r>
          <w:r>
            <w:rPr>
              <w:rFonts w:hint="default" w:ascii="Calibri" w:hAnsi="Calibri" w:eastAsia="楷体_GB2312" w:cs="Calibri"/>
            </w:rPr>
            <w:fldChar w:fldCharType="end"/>
          </w:r>
          <w:r>
            <w:rPr>
              <w:rFonts w:hint="default" w:ascii="Calibri" w:hAnsi="Calibri" w:eastAsia="楷体_GB2312" w:cs="Calibri"/>
            </w:rPr>
            <w:fldChar w:fldCharType="end"/>
          </w:r>
        </w:p>
        <w:p w14:paraId="0F54CA8C">
          <w:pPr>
            <w:pStyle w:val="13"/>
            <w:spacing w:line="240" w:lineRule="auto"/>
            <w:ind w:left="2720"/>
            <w:rPr>
              <w:rFonts w:hint="default" w:ascii="Calibri" w:hAnsi="Calibri" w:eastAsia="楷体_GB2312" w:cs="Calibri"/>
              <w:sz w:val="22"/>
              <w14:ligatures w14:val="standardContextual"/>
            </w:rPr>
          </w:pPr>
          <w:r>
            <w:rPr>
              <w:rFonts w:hint="default" w:ascii="Calibri" w:hAnsi="Calibri" w:eastAsia="楷体_GB2312" w:cs="Calibri"/>
            </w:rPr>
            <w:fldChar w:fldCharType="begin"/>
          </w:r>
          <w:r>
            <w:rPr>
              <w:rFonts w:hint="default" w:ascii="Calibri" w:hAnsi="Calibri" w:eastAsia="楷体_GB2312" w:cs="Calibri"/>
            </w:rPr>
            <w:instrText xml:space="preserve"> HYPERLINK \l "_Toc223082604" </w:instrText>
          </w:r>
          <w:r>
            <w:rPr>
              <w:rFonts w:hint="default" w:ascii="Calibri" w:hAnsi="Calibri" w:eastAsia="楷体_GB2312" w:cs="Calibri"/>
            </w:rPr>
            <w:fldChar w:fldCharType="separate"/>
          </w:r>
          <w:r>
            <w:rPr>
              <w:rStyle w:val="32"/>
              <w:rFonts w:hint="default" w:ascii="Calibri" w:hAnsi="Calibri" w:eastAsia="楷体_GB2312" w:cs="Calibri"/>
            </w:rPr>
            <w:t>（1）美国电力市场</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w:instrText>
          </w:r>
          <w:r>
            <w:rPr>
              <w:rFonts w:hint="default" w:ascii="Calibri" w:hAnsi="Calibri" w:eastAsia="楷体_GB2312" w:cs="Calibri"/>
            </w:rPr>
            <w:instrText xml:space="preserve">PAGEREF _Toc223082604 \h</w:instrText>
          </w:r>
          <w:r>
            <w:rPr>
              <w:rFonts w:hint="default" w:ascii="Calibri" w:hAnsi="Calibri" w:eastAsia="楷体_GB2312" w:cs="Calibri"/>
            </w:rPr>
            <w:instrText xml:space="preserve"> </w:instrText>
          </w:r>
          <w:r>
            <w:rPr>
              <w:rFonts w:hint="default" w:ascii="Calibri" w:hAnsi="Calibri" w:eastAsia="楷体_GB2312" w:cs="Calibri"/>
            </w:rPr>
            <w:fldChar w:fldCharType="separate"/>
          </w:r>
          <w:r>
            <w:rPr>
              <w:rFonts w:hint="default" w:ascii="Calibri" w:hAnsi="Calibri" w:eastAsia="楷体_GB2312" w:cs="Calibri"/>
            </w:rPr>
            <w:t>17</w:t>
          </w:r>
          <w:r>
            <w:rPr>
              <w:rFonts w:hint="default" w:ascii="Calibri" w:hAnsi="Calibri" w:eastAsia="楷体_GB2312" w:cs="Calibri"/>
            </w:rPr>
            <w:fldChar w:fldCharType="end"/>
          </w:r>
          <w:r>
            <w:rPr>
              <w:rFonts w:hint="default" w:ascii="Calibri" w:hAnsi="Calibri" w:eastAsia="楷体_GB2312" w:cs="Calibri"/>
            </w:rPr>
            <w:fldChar w:fldCharType="end"/>
          </w:r>
        </w:p>
        <w:p w14:paraId="42EB161B">
          <w:pPr>
            <w:pStyle w:val="13"/>
            <w:spacing w:line="240" w:lineRule="auto"/>
            <w:ind w:left="2720"/>
            <w:rPr>
              <w:rFonts w:hint="default" w:ascii="Calibri" w:hAnsi="Calibri" w:eastAsia="楷体_GB2312" w:cs="Calibri"/>
              <w:sz w:val="22"/>
              <w14:ligatures w14:val="standardContextual"/>
            </w:rPr>
          </w:pPr>
          <w:r>
            <w:rPr>
              <w:rFonts w:hint="default" w:ascii="Calibri" w:hAnsi="Calibri" w:eastAsia="楷体_GB2312" w:cs="Calibri"/>
            </w:rPr>
            <w:fldChar w:fldCharType="begin"/>
          </w:r>
          <w:r>
            <w:rPr>
              <w:rFonts w:hint="default" w:ascii="Calibri" w:hAnsi="Calibri" w:eastAsia="楷体_GB2312" w:cs="Calibri"/>
            </w:rPr>
            <w:instrText xml:space="preserve"> HYPERLINK \l "_Toc223082605" </w:instrText>
          </w:r>
          <w:r>
            <w:rPr>
              <w:rFonts w:hint="default" w:ascii="Calibri" w:hAnsi="Calibri" w:eastAsia="楷体_GB2312" w:cs="Calibri"/>
            </w:rPr>
            <w:fldChar w:fldCharType="separate"/>
          </w:r>
          <w:r>
            <w:rPr>
              <w:rStyle w:val="32"/>
              <w:rFonts w:hint="default" w:ascii="Calibri" w:hAnsi="Calibri" w:eastAsia="楷体_GB2312" w:cs="Calibri"/>
            </w:rPr>
            <w:t>（2）欧洲电力市场</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w:instrText>
          </w:r>
          <w:r>
            <w:rPr>
              <w:rFonts w:hint="default" w:ascii="Calibri" w:hAnsi="Calibri" w:eastAsia="楷体_GB2312" w:cs="Calibri"/>
            </w:rPr>
            <w:instrText xml:space="preserve">PAGEREF _Toc223082605 \h</w:instrText>
          </w:r>
          <w:r>
            <w:rPr>
              <w:rFonts w:hint="default" w:ascii="Calibri" w:hAnsi="Calibri" w:eastAsia="楷体_GB2312" w:cs="Calibri"/>
            </w:rPr>
            <w:instrText xml:space="preserve"> </w:instrText>
          </w:r>
          <w:r>
            <w:rPr>
              <w:rFonts w:hint="default" w:ascii="Calibri" w:hAnsi="Calibri" w:eastAsia="楷体_GB2312" w:cs="Calibri"/>
            </w:rPr>
            <w:fldChar w:fldCharType="separate"/>
          </w:r>
          <w:r>
            <w:rPr>
              <w:rFonts w:hint="default" w:ascii="Calibri" w:hAnsi="Calibri" w:eastAsia="楷体_GB2312" w:cs="Calibri"/>
            </w:rPr>
            <w:t>22</w:t>
          </w:r>
          <w:r>
            <w:rPr>
              <w:rFonts w:hint="default" w:ascii="Calibri" w:hAnsi="Calibri" w:eastAsia="楷体_GB2312" w:cs="Calibri"/>
            </w:rPr>
            <w:fldChar w:fldCharType="end"/>
          </w:r>
          <w:r>
            <w:rPr>
              <w:rFonts w:hint="default" w:ascii="Calibri" w:hAnsi="Calibri" w:eastAsia="楷体_GB2312" w:cs="Calibri"/>
            </w:rPr>
            <w:fldChar w:fldCharType="end"/>
          </w:r>
        </w:p>
        <w:p w14:paraId="4FBBDAF5">
          <w:pPr>
            <w:pStyle w:val="13"/>
            <w:spacing w:line="240" w:lineRule="auto"/>
            <w:ind w:left="2720"/>
            <w:rPr>
              <w:rFonts w:hint="default" w:ascii="Calibri" w:hAnsi="Calibri" w:eastAsia="楷体_GB2312" w:cs="Calibri"/>
              <w:sz w:val="22"/>
              <w14:ligatures w14:val="standardContextual"/>
            </w:rPr>
          </w:pPr>
          <w:r>
            <w:rPr>
              <w:rFonts w:hint="default" w:ascii="Calibri" w:hAnsi="Calibri" w:eastAsia="楷体_GB2312" w:cs="Calibri"/>
            </w:rPr>
            <w:fldChar w:fldCharType="begin"/>
          </w:r>
          <w:r>
            <w:rPr>
              <w:rFonts w:hint="default" w:ascii="Calibri" w:hAnsi="Calibri" w:eastAsia="楷体_GB2312" w:cs="Calibri"/>
            </w:rPr>
            <w:instrText xml:space="preserve"> HYPERLINK \l "_Toc223082606" </w:instrText>
          </w:r>
          <w:r>
            <w:rPr>
              <w:rFonts w:hint="default" w:ascii="Calibri" w:hAnsi="Calibri" w:eastAsia="楷体_GB2312" w:cs="Calibri"/>
            </w:rPr>
            <w:fldChar w:fldCharType="separate"/>
          </w:r>
          <w:r>
            <w:rPr>
              <w:rStyle w:val="32"/>
              <w:rFonts w:hint="default" w:ascii="Calibri" w:hAnsi="Calibri" w:eastAsia="楷体_GB2312" w:cs="Calibri"/>
            </w:rPr>
            <w:t>（3）石油天然气</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w:instrText>
          </w:r>
          <w:r>
            <w:rPr>
              <w:rFonts w:hint="default" w:ascii="Calibri" w:hAnsi="Calibri" w:eastAsia="楷体_GB2312" w:cs="Calibri"/>
            </w:rPr>
            <w:instrText xml:space="preserve">PAGEREF _Toc223082606 \h</w:instrText>
          </w:r>
          <w:r>
            <w:rPr>
              <w:rFonts w:hint="default" w:ascii="Calibri" w:hAnsi="Calibri" w:eastAsia="楷体_GB2312" w:cs="Calibri"/>
            </w:rPr>
            <w:instrText xml:space="preserve"> </w:instrText>
          </w:r>
          <w:r>
            <w:rPr>
              <w:rFonts w:hint="default" w:ascii="Calibri" w:hAnsi="Calibri" w:eastAsia="楷体_GB2312" w:cs="Calibri"/>
            </w:rPr>
            <w:fldChar w:fldCharType="separate"/>
          </w:r>
          <w:r>
            <w:rPr>
              <w:rFonts w:hint="default" w:ascii="Calibri" w:hAnsi="Calibri" w:eastAsia="楷体_GB2312" w:cs="Calibri"/>
            </w:rPr>
            <w:t>23</w:t>
          </w:r>
          <w:r>
            <w:rPr>
              <w:rFonts w:hint="default" w:ascii="Calibri" w:hAnsi="Calibri" w:eastAsia="楷体_GB2312" w:cs="Calibri"/>
            </w:rPr>
            <w:fldChar w:fldCharType="end"/>
          </w:r>
          <w:r>
            <w:rPr>
              <w:rFonts w:hint="default" w:ascii="Calibri" w:hAnsi="Calibri" w:eastAsia="楷体_GB2312" w:cs="Calibri"/>
            </w:rPr>
            <w:fldChar w:fldCharType="end"/>
          </w:r>
        </w:p>
        <w:p w14:paraId="74CBB7FA">
          <w:pPr>
            <w:pStyle w:val="19"/>
            <w:spacing w:line="240" w:lineRule="auto"/>
            <w:ind w:left="2080"/>
            <w:rPr>
              <w:rFonts w:hint="default" w:ascii="Calibri" w:hAnsi="Calibri" w:eastAsia="楷体_GB2312" w:cs="Calibri"/>
              <w:sz w:val="22"/>
              <w14:ligatures w14:val="standardContextual"/>
            </w:rPr>
          </w:pPr>
          <w:r>
            <w:rPr>
              <w:rFonts w:hint="default" w:ascii="Calibri" w:hAnsi="Calibri" w:eastAsia="楷体_GB2312" w:cs="Calibri"/>
            </w:rPr>
            <w:fldChar w:fldCharType="begin"/>
          </w:r>
          <w:r>
            <w:rPr>
              <w:rFonts w:hint="default" w:ascii="Calibri" w:hAnsi="Calibri" w:eastAsia="楷体_GB2312" w:cs="Calibri"/>
            </w:rPr>
            <w:instrText xml:space="preserve"> HYPERLINK \l "_Toc223082607" </w:instrText>
          </w:r>
          <w:r>
            <w:rPr>
              <w:rFonts w:hint="default" w:ascii="Calibri" w:hAnsi="Calibri" w:eastAsia="楷体_GB2312" w:cs="Calibri"/>
            </w:rPr>
            <w:fldChar w:fldCharType="separate"/>
          </w:r>
          <w:r>
            <w:rPr>
              <w:rStyle w:val="32"/>
              <w:rFonts w:hint="default" w:ascii="Calibri" w:hAnsi="Calibri" w:eastAsia="楷体_GB2312" w:cs="Calibri"/>
            </w:rPr>
            <w:t>五、 全球新材料</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w:instrText>
          </w:r>
          <w:r>
            <w:rPr>
              <w:rFonts w:hint="default" w:ascii="Calibri" w:hAnsi="Calibri" w:eastAsia="楷体_GB2312" w:cs="Calibri"/>
            </w:rPr>
            <w:instrText xml:space="preserve">PAGEREF _Toc223082607 \h</w:instrText>
          </w:r>
          <w:r>
            <w:rPr>
              <w:rFonts w:hint="default" w:ascii="Calibri" w:hAnsi="Calibri" w:eastAsia="楷体_GB2312" w:cs="Calibri"/>
            </w:rPr>
            <w:instrText xml:space="preserve"> </w:instrText>
          </w:r>
          <w:r>
            <w:rPr>
              <w:rFonts w:hint="default" w:ascii="Calibri" w:hAnsi="Calibri" w:eastAsia="楷体_GB2312" w:cs="Calibri"/>
            </w:rPr>
            <w:fldChar w:fldCharType="separate"/>
          </w:r>
          <w:r>
            <w:rPr>
              <w:rFonts w:hint="default" w:ascii="Calibri" w:hAnsi="Calibri" w:eastAsia="楷体_GB2312" w:cs="Calibri"/>
            </w:rPr>
            <w:t>24</w:t>
          </w:r>
          <w:r>
            <w:rPr>
              <w:rFonts w:hint="default" w:ascii="Calibri" w:hAnsi="Calibri" w:eastAsia="楷体_GB2312" w:cs="Calibri"/>
            </w:rPr>
            <w:fldChar w:fldCharType="end"/>
          </w:r>
          <w:r>
            <w:rPr>
              <w:rFonts w:hint="default" w:ascii="Calibri" w:hAnsi="Calibri" w:eastAsia="楷体_GB2312" w:cs="Calibri"/>
            </w:rPr>
            <w:fldChar w:fldCharType="end"/>
          </w:r>
        </w:p>
        <w:p w14:paraId="465DDCE5">
          <w:pPr>
            <w:pStyle w:val="22"/>
            <w:spacing w:line="240" w:lineRule="auto"/>
            <w:ind w:left="2400"/>
            <w:rPr>
              <w:rFonts w:hint="default" w:ascii="Calibri" w:hAnsi="Calibri" w:eastAsia="楷体_GB2312" w:cs="Calibri"/>
              <w:sz w:val="22"/>
              <w14:ligatures w14:val="standardContextual"/>
            </w:rPr>
          </w:pPr>
          <w:r>
            <w:rPr>
              <w:rFonts w:hint="default" w:ascii="Calibri" w:hAnsi="Calibri" w:eastAsia="楷体_GB2312" w:cs="Calibri"/>
            </w:rPr>
            <w:fldChar w:fldCharType="begin"/>
          </w:r>
          <w:r>
            <w:rPr>
              <w:rFonts w:hint="default" w:ascii="Calibri" w:hAnsi="Calibri" w:eastAsia="楷体_GB2312" w:cs="Calibri"/>
            </w:rPr>
            <w:instrText xml:space="preserve"> HYPERLINK \l "_Toc223082608" </w:instrText>
          </w:r>
          <w:r>
            <w:rPr>
              <w:rFonts w:hint="default" w:ascii="Calibri" w:hAnsi="Calibri" w:eastAsia="楷体_GB2312" w:cs="Calibri"/>
            </w:rPr>
            <w:fldChar w:fldCharType="separate"/>
          </w:r>
          <w:r>
            <w:rPr>
              <w:rStyle w:val="32"/>
              <w:rFonts w:hint="default" w:ascii="Calibri" w:hAnsi="Calibri" w:eastAsia="楷体_GB2312" w:cs="Calibri"/>
            </w:rPr>
            <w:t>（一）天然铀</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w:instrText>
          </w:r>
          <w:r>
            <w:rPr>
              <w:rFonts w:hint="default" w:ascii="Calibri" w:hAnsi="Calibri" w:eastAsia="楷体_GB2312" w:cs="Calibri"/>
            </w:rPr>
            <w:instrText xml:space="preserve">PAGEREF _Toc223082608 \h</w:instrText>
          </w:r>
          <w:r>
            <w:rPr>
              <w:rFonts w:hint="default" w:ascii="Calibri" w:hAnsi="Calibri" w:eastAsia="楷体_GB2312" w:cs="Calibri"/>
            </w:rPr>
            <w:instrText xml:space="preserve"> </w:instrText>
          </w:r>
          <w:r>
            <w:rPr>
              <w:rFonts w:hint="default" w:ascii="Calibri" w:hAnsi="Calibri" w:eastAsia="楷体_GB2312" w:cs="Calibri"/>
            </w:rPr>
            <w:fldChar w:fldCharType="separate"/>
          </w:r>
          <w:r>
            <w:rPr>
              <w:rFonts w:hint="default" w:ascii="Calibri" w:hAnsi="Calibri" w:eastAsia="楷体_GB2312" w:cs="Calibri"/>
            </w:rPr>
            <w:t>24</w:t>
          </w:r>
          <w:r>
            <w:rPr>
              <w:rFonts w:hint="default" w:ascii="Calibri" w:hAnsi="Calibri" w:eastAsia="楷体_GB2312" w:cs="Calibri"/>
            </w:rPr>
            <w:fldChar w:fldCharType="end"/>
          </w:r>
          <w:r>
            <w:rPr>
              <w:rFonts w:hint="default" w:ascii="Calibri" w:hAnsi="Calibri" w:eastAsia="楷体_GB2312" w:cs="Calibri"/>
            </w:rPr>
            <w:fldChar w:fldCharType="end"/>
          </w:r>
        </w:p>
        <w:p w14:paraId="19F00666">
          <w:pPr>
            <w:pStyle w:val="22"/>
            <w:spacing w:line="240" w:lineRule="auto"/>
            <w:ind w:left="2400"/>
            <w:rPr>
              <w:rFonts w:hint="default" w:ascii="Calibri" w:hAnsi="Calibri" w:eastAsia="楷体_GB2312" w:cs="Calibri"/>
              <w:sz w:val="22"/>
              <w14:ligatures w14:val="standardContextual"/>
            </w:rPr>
          </w:pPr>
          <w:r>
            <w:rPr>
              <w:rFonts w:hint="default" w:ascii="Calibri" w:hAnsi="Calibri" w:eastAsia="楷体_GB2312" w:cs="Calibri"/>
            </w:rPr>
            <w:fldChar w:fldCharType="begin"/>
          </w:r>
          <w:r>
            <w:rPr>
              <w:rFonts w:hint="default" w:ascii="Calibri" w:hAnsi="Calibri" w:eastAsia="楷体_GB2312" w:cs="Calibri"/>
            </w:rPr>
            <w:instrText xml:space="preserve"> HYPERLINK \l "_Toc223082609" </w:instrText>
          </w:r>
          <w:r>
            <w:rPr>
              <w:rFonts w:hint="default" w:ascii="Calibri" w:hAnsi="Calibri" w:eastAsia="楷体_GB2312" w:cs="Calibri"/>
            </w:rPr>
            <w:fldChar w:fldCharType="separate"/>
          </w:r>
          <w:r>
            <w:rPr>
              <w:rStyle w:val="32"/>
              <w:rFonts w:hint="default" w:ascii="Calibri" w:hAnsi="Calibri" w:eastAsia="楷体_GB2312" w:cs="Calibri"/>
            </w:rPr>
            <w:t>（二）全球稀土市场动态追踪</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w:instrText>
          </w:r>
          <w:r>
            <w:rPr>
              <w:rFonts w:hint="default" w:ascii="Calibri" w:hAnsi="Calibri" w:eastAsia="楷体_GB2312" w:cs="Calibri"/>
            </w:rPr>
            <w:instrText xml:space="preserve">PAGEREF _Toc223082609 \h</w:instrText>
          </w:r>
          <w:r>
            <w:rPr>
              <w:rFonts w:hint="default" w:ascii="Calibri" w:hAnsi="Calibri" w:eastAsia="楷体_GB2312" w:cs="Calibri"/>
            </w:rPr>
            <w:instrText xml:space="preserve"> </w:instrText>
          </w:r>
          <w:r>
            <w:rPr>
              <w:rFonts w:hint="default" w:ascii="Calibri" w:hAnsi="Calibri" w:eastAsia="楷体_GB2312" w:cs="Calibri"/>
            </w:rPr>
            <w:fldChar w:fldCharType="separate"/>
          </w:r>
          <w:r>
            <w:rPr>
              <w:rFonts w:hint="default" w:ascii="Calibri" w:hAnsi="Calibri" w:eastAsia="楷体_GB2312" w:cs="Calibri"/>
            </w:rPr>
            <w:t>25</w:t>
          </w:r>
          <w:r>
            <w:rPr>
              <w:rFonts w:hint="default" w:ascii="Calibri" w:hAnsi="Calibri" w:eastAsia="楷体_GB2312" w:cs="Calibri"/>
            </w:rPr>
            <w:fldChar w:fldCharType="end"/>
          </w:r>
          <w:r>
            <w:rPr>
              <w:rFonts w:hint="default" w:ascii="Calibri" w:hAnsi="Calibri" w:eastAsia="楷体_GB2312" w:cs="Calibri"/>
            </w:rPr>
            <w:fldChar w:fldCharType="end"/>
          </w:r>
        </w:p>
        <w:p w14:paraId="28323C4A">
          <w:pPr>
            <w:pStyle w:val="19"/>
            <w:spacing w:line="240" w:lineRule="auto"/>
            <w:ind w:left="2080"/>
            <w:rPr>
              <w:rFonts w:hint="default" w:ascii="Calibri" w:hAnsi="Calibri" w:eastAsia="楷体_GB2312" w:cs="Calibri"/>
              <w:sz w:val="22"/>
              <w14:ligatures w14:val="standardContextual"/>
            </w:rPr>
          </w:pPr>
          <w:r>
            <w:rPr>
              <w:rFonts w:hint="default" w:ascii="Calibri" w:hAnsi="Calibri" w:eastAsia="楷体_GB2312" w:cs="Calibri"/>
            </w:rPr>
            <w:fldChar w:fldCharType="begin"/>
          </w:r>
          <w:r>
            <w:rPr>
              <w:rFonts w:hint="default" w:ascii="Calibri" w:hAnsi="Calibri" w:eastAsia="楷体_GB2312" w:cs="Calibri"/>
            </w:rPr>
            <w:instrText xml:space="preserve"> HYPERLINK \l "_Toc223082610" </w:instrText>
          </w:r>
          <w:r>
            <w:rPr>
              <w:rFonts w:hint="default" w:ascii="Calibri" w:hAnsi="Calibri" w:eastAsia="楷体_GB2312" w:cs="Calibri"/>
            </w:rPr>
            <w:fldChar w:fldCharType="separate"/>
          </w:r>
          <w:r>
            <w:rPr>
              <w:rStyle w:val="32"/>
              <w:rFonts w:hint="default" w:ascii="Calibri" w:hAnsi="Calibri" w:eastAsia="楷体_GB2312" w:cs="Calibri"/>
            </w:rPr>
            <w:t>六、全球国防与航空航天</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w:instrText>
          </w:r>
          <w:r>
            <w:rPr>
              <w:rFonts w:hint="default" w:ascii="Calibri" w:hAnsi="Calibri" w:eastAsia="楷体_GB2312" w:cs="Calibri"/>
            </w:rPr>
            <w:instrText xml:space="preserve">PAGEREF _Toc223082610 \h</w:instrText>
          </w:r>
          <w:r>
            <w:rPr>
              <w:rFonts w:hint="default" w:ascii="Calibri" w:hAnsi="Calibri" w:eastAsia="楷体_GB2312" w:cs="Calibri"/>
            </w:rPr>
            <w:instrText xml:space="preserve"> </w:instrText>
          </w:r>
          <w:r>
            <w:rPr>
              <w:rFonts w:hint="default" w:ascii="Calibri" w:hAnsi="Calibri" w:eastAsia="楷体_GB2312" w:cs="Calibri"/>
            </w:rPr>
            <w:fldChar w:fldCharType="separate"/>
          </w:r>
          <w:r>
            <w:rPr>
              <w:rFonts w:hint="default" w:ascii="Calibri" w:hAnsi="Calibri" w:eastAsia="楷体_GB2312" w:cs="Calibri"/>
            </w:rPr>
            <w:t>26</w:t>
          </w:r>
          <w:r>
            <w:rPr>
              <w:rFonts w:hint="default" w:ascii="Calibri" w:hAnsi="Calibri" w:eastAsia="楷体_GB2312" w:cs="Calibri"/>
            </w:rPr>
            <w:fldChar w:fldCharType="end"/>
          </w:r>
          <w:r>
            <w:rPr>
              <w:rFonts w:hint="default" w:ascii="Calibri" w:hAnsi="Calibri" w:eastAsia="楷体_GB2312" w:cs="Calibri"/>
            </w:rPr>
            <w:fldChar w:fldCharType="end"/>
          </w:r>
        </w:p>
        <w:p w14:paraId="2A3FB66E">
          <w:pPr>
            <w:pStyle w:val="22"/>
            <w:spacing w:line="240" w:lineRule="auto"/>
            <w:ind w:left="2400"/>
            <w:rPr>
              <w:rFonts w:hint="default" w:ascii="Calibri" w:hAnsi="Calibri" w:eastAsia="楷体_GB2312" w:cs="Calibri"/>
              <w:sz w:val="22"/>
              <w14:ligatures w14:val="standardContextual"/>
            </w:rPr>
          </w:pPr>
          <w:r>
            <w:rPr>
              <w:rFonts w:hint="default" w:ascii="Calibri" w:hAnsi="Calibri" w:eastAsia="楷体_GB2312" w:cs="Calibri"/>
            </w:rPr>
            <w:fldChar w:fldCharType="begin"/>
          </w:r>
          <w:r>
            <w:rPr>
              <w:rFonts w:hint="default" w:ascii="Calibri" w:hAnsi="Calibri" w:eastAsia="楷体_GB2312" w:cs="Calibri"/>
            </w:rPr>
            <w:instrText xml:space="preserve"> HYPERLINK \l "_Toc223082611" </w:instrText>
          </w:r>
          <w:r>
            <w:rPr>
              <w:rFonts w:hint="default" w:ascii="Calibri" w:hAnsi="Calibri" w:eastAsia="楷体_GB2312" w:cs="Calibri"/>
            </w:rPr>
            <w:fldChar w:fldCharType="separate"/>
          </w:r>
          <w:r>
            <w:rPr>
              <w:rStyle w:val="32"/>
              <w:rFonts w:hint="default" w:ascii="Calibri" w:hAnsi="Calibri" w:eastAsia="楷体_GB2312" w:cs="Calibri"/>
            </w:rPr>
            <w:t>（一）航空航天</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w:instrText>
          </w:r>
          <w:r>
            <w:rPr>
              <w:rFonts w:hint="default" w:ascii="Calibri" w:hAnsi="Calibri" w:eastAsia="楷体_GB2312" w:cs="Calibri"/>
            </w:rPr>
            <w:instrText xml:space="preserve">PAGEREF _Toc223082611 \h</w:instrText>
          </w:r>
          <w:r>
            <w:rPr>
              <w:rFonts w:hint="default" w:ascii="Calibri" w:hAnsi="Calibri" w:eastAsia="楷体_GB2312" w:cs="Calibri"/>
            </w:rPr>
            <w:instrText xml:space="preserve"> </w:instrText>
          </w:r>
          <w:r>
            <w:rPr>
              <w:rFonts w:hint="default" w:ascii="Calibri" w:hAnsi="Calibri" w:eastAsia="楷体_GB2312" w:cs="Calibri"/>
            </w:rPr>
            <w:fldChar w:fldCharType="separate"/>
          </w:r>
          <w:r>
            <w:rPr>
              <w:rFonts w:hint="default" w:ascii="Calibri" w:hAnsi="Calibri" w:eastAsia="楷体_GB2312" w:cs="Calibri"/>
            </w:rPr>
            <w:t>26</w:t>
          </w:r>
          <w:r>
            <w:rPr>
              <w:rFonts w:hint="default" w:ascii="Calibri" w:hAnsi="Calibri" w:eastAsia="楷体_GB2312" w:cs="Calibri"/>
            </w:rPr>
            <w:fldChar w:fldCharType="end"/>
          </w:r>
          <w:r>
            <w:rPr>
              <w:rFonts w:hint="default" w:ascii="Calibri" w:hAnsi="Calibri" w:eastAsia="楷体_GB2312" w:cs="Calibri"/>
            </w:rPr>
            <w:fldChar w:fldCharType="end"/>
          </w:r>
        </w:p>
        <w:p w14:paraId="694661BD">
          <w:pPr>
            <w:pStyle w:val="13"/>
            <w:tabs>
              <w:tab w:val="left" w:pos="4471"/>
            </w:tabs>
            <w:spacing w:line="240" w:lineRule="auto"/>
            <w:ind w:left="2720"/>
            <w:rPr>
              <w:rFonts w:hint="default" w:ascii="Calibri" w:hAnsi="Calibri" w:eastAsia="楷体_GB2312" w:cs="Calibri"/>
              <w:sz w:val="22"/>
              <w14:ligatures w14:val="standardContextual"/>
            </w:rPr>
          </w:pPr>
          <w:r>
            <w:rPr>
              <w:rFonts w:hint="default" w:ascii="Calibri" w:hAnsi="Calibri" w:eastAsia="楷体_GB2312" w:cs="Calibri"/>
            </w:rPr>
            <w:fldChar w:fldCharType="begin"/>
          </w:r>
          <w:r>
            <w:rPr>
              <w:rFonts w:hint="default" w:ascii="Calibri" w:hAnsi="Calibri" w:eastAsia="楷体_GB2312" w:cs="Calibri"/>
            </w:rPr>
            <w:instrText xml:space="preserve"> HYPERLINK \l "_Toc223082612" </w:instrText>
          </w:r>
          <w:r>
            <w:rPr>
              <w:rFonts w:hint="default" w:ascii="Calibri" w:hAnsi="Calibri" w:eastAsia="楷体_GB2312" w:cs="Calibri"/>
            </w:rPr>
            <w:fldChar w:fldCharType="separate"/>
          </w:r>
          <w:r>
            <w:rPr>
              <w:rStyle w:val="32"/>
              <w:rFonts w:hint="default" w:ascii="Calibri" w:hAnsi="Calibri" w:eastAsia="楷体_GB2312" w:cs="Calibri"/>
            </w:rPr>
            <w:t>（1）航空航天行业动态</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w:instrText>
          </w:r>
          <w:r>
            <w:rPr>
              <w:rFonts w:hint="default" w:ascii="Calibri" w:hAnsi="Calibri" w:eastAsia="楷体_GB2312" w:cs="Calibri"/>
            </w:rPr>
            <w:instrText xml:space="preserve">PAGEREF _Toc223082612 \h</w:instrText>
          </w:r>
          <w:r>
            <w:rPr>
              <w:rFonts w:hint="default" w:ascii="Calibri" w:hAnsi="Calibri" w:eastAsia="楷体_GB2312" w:cs="Calibri"/>
            </w:rPr>
            <w:instrText xml:space="preserve"> </w:instrText>
          </w:r>
          <w:r>
            <w:rPr>
              <w:rFonts w:hint="default" w:ascii="Calibri" w:hAnsi="Calibri" w:eastAsia="楷体_GB2312" w:cs="Calibri"/>
            </w:rPr>
            <w:fldChar w:fldCharType="separate"/>
          </w:r>
          <w:r>
            <w:rPr>
              <w:rFonts w:hint="default" w:ascii="Calibri" w:hAnsi="Calibri" w:eastAsia="楷体_GB2312" w:cs="Calibri"/>
            </w:rPr>
            <w:t>26</w:t>
          </w:r>
          <w:r>
            <w:rPr>
              <w:rFonts w:hint="default" w:ascii="Calibri" w:hAnsi="Calibri" w:eastAsia="楷体_GB2312" w:cs="Calibri"/>
            </w:rPr>
            <w:fldChar w:fldCharType="end"/>
          </w:r>
          <w:r>
            <w:rPr>
              <w:rFonts w:hint="default" w:ascii="Calibri" w:hAnsi="Calibri" w:eastAsia="楷体_GB2312" w:cs="Calibri"/>
            </w:rPr>
            <w:fldChar w:fldCharType="end"/>
          </w:r>
        </w:p>
        <w:p w14:paraId="4C209050">
          <w:pPr>
            <w:pStyle w:val="13"/>
            <w:spacing w:line="240" w:lineRule="auto"/>
            <w:ind w:left="2720"/>
            <w:rPr>
              <w:rFonts w:hint="default" w:ascii="Calibri" w:hAnsi="Calibri" w:eastAsia="楷体_GB2312" w:cs="Calibri"/>
              <w:sz w:val="22"/>
              <w14:ligatures w14:val="standardContextual"/>
            </w:rPr>
          </w:pPr>
          <w:r>
            <w:rPr>
              <w:rFonts w:hint="default" w:ascii="Calibri" w:hAnsi="Calibri" w:eastAsia="楷体_GB2312" w:cs="Calibri"/>
            </w:rPr>
            <w:fldChar w:fldCharType="begin"/>
          </w:r>
          <w:r>
            <w:rPr>
              <w:rFonts w:hint="default" w:ascii="Calibri" w:hAnsi="Calibri" w:eastAsia="楷体_GB2312" w:cs="Calibri"/>
            </w:rPr>
            <w:instrText xml:space="preserve"> HYPERLINK \l "_Toc223082613" </w:instrText>
          </w:r>
          <w:r>
            <w:rPr>
              <w:rFonts w:hint="default" w:ascii="Calibri" w:hAnsi="Calibri" w:eastAsia="楷体_GB2312" w:cs="Calibri"/>
            </w:rPr>
            <w:fldChar w:fldCharType="separate"/>
          </w:r>
          <w:r>
            <w:rPr>
              <w:rStyle w:val="32"/>
              <w:rFonts w:hint="default" w:ascii="Calibri" w:hAnsi="Calibri" w:eastAsia="楷体_GB2312" w:cs="Calibri"/>
            </w:rPr>
            <w:t>（2）航空航天价格指数</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w:instrText>
          </w:r>
          <w:r>
            <w:rPr>
              <w:rFonts w:hint="default" w:ascii="Calibri" w:hAnsi="Calibri" w:eastAsia="楷体_GB2312" w:cs="Calibri"/>
            </w:rPr>
            <w:instrText xml:space="preserve">PAGEREF _Toc223082613 \h</w:instrText>
          </w:r>
          <w:r>
            <w:rPr>
              <w:rFonts w:hint="default" w:ascii="Calibri" w:hAnsi="Calibri" w:eastAsia="楷体_GB2312" w:cs="Calibri"/>
            </w:rPr>
            <w:instrText xml:space="preserve"> </w:instrText>
          </w:r>
          <w:r>
            <w:rPr>
              <w:rFonts w:hint="default" w:ascii="Calibri" w:hAnsi="Calibri" w:eastAsia="楷体_GB2312" w:cs="Calibri"/>
            </w:rPr>
            <w:fldChar w:fldCharType="separate"/>
          </w:r>
          <w:r>
            <w:rPr>
              <w:rFonts w:hint="default" w:ascii="Calibri" w:hAnsi="Calibri" w:eastAsia="楷体_GB2312" w:cs="Calibri"/>
            </w:rPr>
            <w:t>26</w:t>
          </w:r>
          <w:r>
            <w:rPr>
              <w:rFonts w:hint="default" w:ascii="Calibri" w:hAnsi="Calibri" w:eastAsia="楷体_GB2312" w:cs="Calibri"/>
            </w:rPr>
            <w:fldChar w:fldCharType="end"/>
          </w:r>
          <w:r>
            <w:rPr>
              <w:rFonts w:hint="default" w:ascii="Calibri" w:hAnsi="Calibri" w:eastAsia="楷体_GB2312" w:cs="Calibri"/>
            </w:rPr>
            <w:fldChar w:fldCharType="end"/>
          </w:r>
        </w:p>
        <w:p w14:paraId="184D222F">
          <w:pPr>
            <w:pStyle w:val="13"/>
            <w:spacing w:line="240" w:lineRule="auto"/>
            <w:ind w:left="2720"/>
            <w:rPr>
              <w:rFonts w:hint="default" w:ascii="Calibri" w:hAnsi="Calibri" w:eastAsia="楷体_GB2312" w:cs="Calibri"/>
              <w:sz w:val="22"/>
              <w14:ligatures w14:val="standardContextual"/>
            </w:rPr>
          </w:pPr>
          <w:r>
            <w:rPr>
              <w:rFonts w:hint="default" w:ascii="Calibri" w:hAnsi="Calibri" w:eastAsia="楷体_GB2312" w:cs="Calibri"/>
            </w:rPr>
            <w:fldChar w:fldCharType="begin"/>
          </w:r>
          <w:r>
            <w:rPr>
              <w:rFonts w:hint="default" w:ascii="Calibri" w:hAnsi="Calibri" w:eastAsia="楷体_GB2312" w:cs="Calibri"/>
            </w:rPr>
            <w:instrText xml:space="preserve"> HYPERLINK \l "_Toc223082614" </w:instrText>
          </w:r>
          <w:r>
            <w:rPr>
              <w:rFonts w:hint="default" w:ascii="Calibri" w:hAnsi="Calibri" w:eastAsia="楷体_GB2312" w:cs="Calibri"/>
            </w:rPr>
            <w:fldChar w:fldCharType="separate"/>
          </w:r>
          <w:r>
            <w:rPr>
              <w:rStyle w:val="32"/>
              <w:rFonts w:hint="default" w:ascii="Calibri" w:hAnsi="Calibri" w:eastAsia="楷体_GB2312" w:cs="Calibri"/>
            </w:rPr>
            <w:t>（3）航空航天空中流量</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w:instrText>
          </w:r>
          <w:r>
            <w:rPr>
              <w:rFonts w:hint="default" w:ascii="Calibri" w:hAnsi="Calibri" w:eastAsia="楷体_GB2312" w:cs="Calibri"/>
            </w:rPr>
            <w:instrText xml:space="preserve">PAGEREF _Toc223082614 \h</w:instrText>
          </w:r>
          <w:r>
            <w:rPr>
              <w:rFonts w:hint="default" w:ascii="Calibri" w:hAnsi="Calibri" w:eastAsia="楷体_GB2312" w:cs="Calibri"/>
            </w:rPr>
            <w:instrText xml:space="preserve"> </w:instrText>
          </w:r>
          <w:r>
            <w:rPr>
              <w:rFonts w:hint="default" w:ascii="Calibri" w:hAnsi="Calibri" w:eastAsia="楷体_GB2312" w:cs="Calibri"/>
            </w:rPr>
            <w:fldChar w:fldCharType="separate"/>
          </w:r>
          <w:r>
            <w:rPr>
              <w:rFonts w:hint="default" w:ascii="Calibri" w:hAnsi="Calibri" w:eastAsia="楷体_GB2312" w:cs="Calibri"/>
            </w:rPr>
            <w:t>27</w:t>
          </w:r>
          <w:r>
            <w:rPr>
              <w:rFonts w:hint="default" w:ascii="Calibri" w:hAnsi="Calibri" w:eastAsia="楷体_GB2312" w:cs="Calibri"/>
            </w:rPr>
            <w:fldChar w:fldCharType="end"/>
          </w:r>
          <w:r>
            <w:rPr>
              <w:rFonts w:hint="default" w:ascii="Calibri" w:hAnsi="Calibri" w:eastAsia="楷体_GB2312" w:cs="Calibri"/>
            </w:rPr>
            <w:fldChar w:fldCharType="end"/>
          </w:r>
        </w:p>
        <w:p w14:paraId="622525BC">
          <w:pPr>
            <w:pStyle w:val="22"/>
            <w:spacing w:line="240" w:lineRule="auto"/>
            <w:ind w:left="2400"/>
            <w:rPr>
              <w:rFonts w:hint="default" w:ascii="Calibri" w:hAnsi="Calibri" w:eastAsia="楷体_GB2312" w:cs="Calibri"/>
              <w:sz w:val="22"/>
              <w14:ligatures w14:val="standardContextual"/>
            </w:rPr>
          </w:pPr>
          <w:r>
            <w:rPr>
              <w:rFonts w:hint="default" w:ascii="Calibri" w:hAnsi="Calibri" w:eastAsia="楷体_GB2312" w:cs="Calibri"/>
            </w:rPr>
            <w:fldChar w:fldCharType="begin"/>
          </w:r>
          <w:r>
            <w:rPr>
              <w:rFonts w:hint="default" w:ascii="Calibri" w:hAnsi="Calibri" w:eastAsia="楷体_GB2312" w:cs="Calibri"/>
            </w:rPr>
            <w:instrText xml:space="preserve"> HYPERLINK \l "_Toc223082615" </w:instrText>
          </w:r>
          <w:r>
            <w:rPr>
              <w:rFonts w:hint="default" w:ascii="Calibri" w:hAnsi="Calibri" w:eastAsia="楷体_GB2312" w:cs="Calibri"/>
            </w:rPr>
            <w:fldChar w:fldCharType="separate"/>
          </w:r>
          <w:r>
            <w:rPr>
              <w:rStyle w:val="32"/>
              <w:rFonts w:hint="default" w:ascii="Calibri" w:hAnsi="Calibri" w:eastAsia="楷体_GB2312" w:cs="Calibri"/>
            </w:rPr>
            <w:t>（二）国防</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w:instrText>
          </w:r>
          <w:r>
            <w:rPr>
              <w:rFonts w:hint="default" w:ascii="Calibri" w:hAnsi="Calibri" w:eastAsia="楷体_GB2312" w:cs="Calibri"/>
            </w:rPr>
            <w:instrText xml:space="preserve">PAGEREF _Toc223082615 \h</w:instrText>
          </w:r>
          <w:r>
            <w:rPr>
              <w:rFonts w:hint="default" w:ascii="Calibri" w:hAnsi="Calibri" w:eastAsia="楷体_GB2312" w:cs="Calibri"/>
            </w:rPr>
            <w:instrText xml:space="preserve"> </w:instrText>
          </w:r>
          <w:r>
            <w:rPr>
              <w:rFonts w:hint="default" w:ascii="Calibri" w:hAnsi="Calibri" w:eastAsia="楷体_GB2312" w:cs="Calibri"/>
            </w:rPr>
            <w:fldChar w:fldCharType="separate"/>
          </w:r>
          <w:r>
            <w:rPr>
              <w:rFonts w:hint="default" w:ascii="Calibri" w:hAnsi="Calibri" w:eastAsia="楷体_GB2312" w:cs="Calibri"/>
            </w:rPr>
            <w:t>28</w:t>
          </w:r>
          <w:r>
            <w:rPr>
              <w:rFonts w:hint="default" w:ascii="Calibri" w:hAnsi="Calibri" w:eastAsia="楷体_GB2312" w:cs="Calibri"/>
            </w:rPr>
            <w:fldChar w:fldCharType="end"/>
          </w:r>
          <w:r>
            <w:rPr>
              <w:rFonts w:hint="default" w:ascii="Calibri" w:hAnsi="Calibri" w:eastAsia="楷体_GB2312" w:cs="Calibri"/>
            </w:rPr>
            <w:fldChar w:fldCharType="end"/>
          </w:r>
        </w:p>
        <w:p w14:paraId="46259422">
          <w:pPr>
            <w:pStyle w:val="22"/>
            <w:spacing w:line="240" w:lineRule="auto"/>
            <w:ind w:left="2400"/>
            <w:rPr>
              <w:rFonts w:hint="default" w:ascii="Calibri" w:hAnsi="Calibri" w:eastAsia="楷体_GB2312" w:cs="Calibri"/>
              <w:sz w:val="22"/>
              <w14:ligatures w14:val="standardContextual"/>
            </w:rPr>
          </w:pPr>
          <w:r>
            <w:rPr>
              <w:rFonts w:hint="default" w:ascii="Calibri" w:hAnsi="Calibri" w:eastAsia="楷体_GB2312" w:cs="Calibri"/>
            </w:rPr>
            <w:fldChar w:fldCharType="begin"/>
          </w:r>
          <w:r>
            <w:rPr>
              <w:rFonts w:hint="default" w:ascii="Calibri" w:hAnsi="Calibri" w:eastAsia="楷体_GB2312" w:cs="Calibri"/>
            </w:rPr>
            <w:instrText xml:space="preserve"> HYPERLINK \l "_Toc223082616" </w:instrText>
          </w:r>
          <w:r>
            <w:rPr>
              <w:rFonts w:hint="default" w:ascii="Calibri" w:hAnsi="Calibri" w:eastAsia="楷体_GB2312" w:cs="Calibri"/>
            </w:rPr>
            <w:fldChar w:fldCharType="separate"/>
          </w:r>
          <w:r>
            <w:rPr>
              <w:rStyle w:val="32"/>
              <w:rFonts w:hint="default" w:ascii="Calibri" w:hAnsi="Calibri" w:eastAsia="楷体_GB2312" w:cs="Calibri"/>
            </w:rPr>
            <w:t>（三）通用航空</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w:instrText>
          </w:r>
          <w:r>
            <w:rPr>
              <w:rFonts w:hint="default" w:ascii="Calibri" w:hAnsi="Calibri" w:eastAsia="楷体_GB2312" w:cs="Calibri"/>
            </w:rPr>
            <w:instrText xml:space="preserve">PAGEREF _Toc223082616 \h</w:instrText>
          </w:r>
          <w:r>
            <w:rPr>
              <w:rFonts w:hint="default" w:ascii="Calibri" w:hAnsi="Calibri" w:eastAsia="楷体_GB2312" w:cs="Calibri"/>
            </w:rPr>
            <w:instrText xml:space="preserve"> </w:instrText>
          </w:r>
          <w:r>
            <w:rPr>
              <w:rFonts w:hint="default" w:ascii="Calibri" w:hAnsi="Calibri" w:eastAsia="楷体_GB2312" w:cs="Calibri"/>
            </w:rPr>
            <w:fldChar w:fldCharType="separate"/>
          </w:r>
          <w:r>
            <w:rPr>
              <w:rFonts w:hint="default" w:ascii="Calibri" w:hAnsi="Calibri" w:eastAsia="楷体_GB2312" w:cs="Calibri"/>
            </w:rPr>
            <w:t>29</w:t>
          </w:r>
          <w:r>
            <w:rPr>
              <w:rFonts w:hint="default" w:ascii="Calibri" w:hAnsi="Calibri" w:eastAsia="楷体_GB2312" w:cs="Calibri"/>
            </w:rPr>
            <w:fldChar w:fldCharType="end"/>
          </w:r>
          <w:r>
            <w:rPr>
              <w:rFonts w:hint="default" w:ascii="Calibri" w:hAnsi="Calibri" w:eastAsia="楷体_GB2312" w:cs="Calibri"/>
            </w:rPr>
            <w:fldChar w:fldCharType="end"/>
          </w:r>
        </w:p>
        <w:p w14:paraId="2AB0B957">
          <w:pPr>
            <w:pStyle w:val="19"/>
            <w:spacing w:line="240" w:lineRule="auto"/>
            <w:ind w:left="2080"/>
            <w:rPr>
              <w:rFonts w:hint="default" w:ascii="Calibri" w:hAnsi="Calibri" w:eastAsia="楷体_GB2312" w:cs="Calibri"/>
              <w:sz w:val="22"/>
              <w14:ligatures w14:val="standardContextual"/>
            </w:rPr>
          </w:pPr>
          <w:r>
            <w:rPr>
              <w:rFonts w:hint="default" w:ascii="Calibri" w:hAnsi="Calibri" w:eastAsia="楷体_GB2312" w:cs="Calibri"/>
            </w:rPr>
            <w:fldChar w:fldCharType="begin"/>
          </w:r>
          <w:r>
            <w:rPr>
              <w:rFonts w:hint="default" w:ascii="Calibri" w:hAnsi="Calibri" w:eastAsia="楷体_GB2312" w:cs="Calibri"/>
            </w:rPr>
            <w:instrText xml:space="preserve"> HYPERLINK \l "_Toc223082617" </w:instrText>
          </w:r>
          <w:r>
            <w:rPr>
              <w:rFonts w:hint="default" w:ascii="Calibri" w:hAnsi="Calibri" w:eastAsia="楷体_GB2312" w:cs="Calibri"/>
            </w:rPr>
            <w:fldChar w:fldCharType="separate"/>
          </w:r>
          <w:r>
            <w:rPr>
              <w:rStyle w:val="32"/>
              <w:rFonts w:hint="default" w:ascii="Calibri" w:hAnsi="Calibri" w:eastAsia="楷体_GB2312" w:cs="Calibri"/>
            </w:rPr>
            <w:t>七、重点公司资讯与点评</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w:instrText>
          </w:r>
          <w:r>
            <w:rPr>
              <w:rFonts w:hint="default" w:ascii="Calibri" w:hAnsi="Calibri" w:eastAsia="楷体_GB2312" w:cs="Calibri"/>
            </w:rPr>
            <w:instrText xml:space="preserve">PAGEREF _Toc223082617 \h</w:instrText>
          </w:r>
          <w:r>
            <w:rPr>
              <w:rFonts w:hint="default" w:ascii="Calibri" w:hAnsi="Calibri" w:eastAsia="楷体_GB2312" w:cs="Calibri"/>
            </w:rPr>
            <w:instrText xml:space="preserve"> </w:instrText>
          </w:r>
          <w:r>
            <w:rPr>
              <w:rFonts w:hint="default" w:ascii="Calibri" w:hAnsi="Calibri" w:eastAsia="楷体_GB2312" w:cs="Calibri"/>
            </w:rPr>
            <w:fldChar w:fldCharType="separate"/>
          </w:r>
          <w:r>
            <w:rPr>
              <w:rFonts w:hint="default" w:ascii="Calibri" w:hAnsi="Calibri" w:eastAsia="楷体_GB2312" w:cs="Calibri"/>
            </w:rPr>
            <w:t>32</w:t>
          </w:r>
          <w:r>
            <w:rPr>
              <w:rFonts w:hint="default" w:ascii="Calibri" w:hAnsi="Calibri" w:eastAsia="楷体_GB2312" w:cs="Calibri"/>
            </w:rPr>
            <w:fldChar w:fldCharType="end"/>
          </w:r>
          <w:r>
            <w:rPr>
              <w:rFonts w:hint="default" w:ascii="Calibri" w:hAnsi="Calibri" w:eastAsia="楷体_GB2312" w:cs="Calibri"/>
            </w:rPr>
            <w:fldChar w:fldCharType="end"/>
          </w:r>
        </w:p>
        <w:p w14:paraId="58C3020A">
          <w:pPr>
            <w:pStyle w:val="19"/>
            <w:spacing w:line="240" w:lineRule="auto"/>
            <w:ind w:left="2080"/>
            <w:rPr>
              <w:rFonts w:hint="default" w:ascii="Calibri" w:hAnsi="Calibri" w:eastAsia="楷体_GB2312" w:cs="Calibri"/>
              <w:sz w:val="22"/>
              <w14:ligatures w14:val="standardContextual"/>
            </w:rPr>
          </w:pPr>
          <w:r>
            <w:rPr>
              <w:rFonts w:hint="default" w:ascii="Calibri" w:hAnsi="Calibri" w:eastAsia="楷体_GB2312" w:cs="Calibri"/>
            </w:rPr>
            <w:fldChar w:fldCharType="begin"/>
          </w:r>
          <w:r>
            <w:rPr>
              <w:rFonts w:hint="default" w:ascii="Calibri" w:hAnsi="Calibri" w:eastAsia="楷体_GB2312" w:cs="Calibri"/>
            </w:rPr>
            <w:instrText xml:space="preserve"> HYPERLINK \l "_Toc223082618" </w:instrText>
          </w:r>
          <w:r>
            <w:rPr>
              <w:rFonts w:hint="default" w:ascii="Calibri" w:hAnsi="Calibri" w:eastAsia="楷体_GB2312" w:cs="Calibri"/>
            </w:rPr>
            <w:fldChar w:fldCharType="separate"/>
          </w:r>
          <w:r>
            <w:rPr>
              <w:rStyle w:val="32"/>
              <w:rFonts w:hint="default" w:ascii="Calibri" w:hAnsi="Calibri" w:eastAsia="楷体_GB2312" w:cs="Calibri"/>
            </w:rPr>
            <w:t>八、报告精选</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w:instrText>
          </w:r>
          <w:r>
            <w:rPr>
              <w:rFonts w:hint="default" w:ascii="Calibri" w:hAnsi="Calibri" w:eastAsia="楷体_GB2312" w:cs="Calibri"/>
            </w:rPr>
            <w:instrText xml:space="preserve">PAGEREF _Toc223082618 \h</w:instrText>
          </w:r>
          <w:r>
            <w:rPr>
              <w:rFonts w:hint="default" w:ascii="Calibri" w:hAnsi="Calibri" w:eastAsia="楷体_GB2312" w:cs="Calibri"/>
            </w:rPr>
            <w:instrText xml:space="preserve"> </w:instrText>
          </w:r>
          <w:r>
            <w:rPr>
              <w:rFonts w:hint="default" w:ascii="Calibri" w:hAnsi="Calibri" w:eastAsia="楷体_GB2312" w:cs="Calibri"/>
            </w:rPr>
            <w:fldChar w:fldCharType="separate"/>
          </w:r>
          <w:r>
            <w:rPr>
              <w:rFonts w:hint="default" w:ascii="Calibri" w:hAnsi="Calibri" w:eastAsia="楷体_GB2312" w:cs="Calibri"/>
            </w:rPr>
            <w:t>34</w:t>
          </w:r>
          <w:r>
            <w:rPr>
              <w:rFonts w:hint="default" w:ascii="Calibri" w:hAnsi="Calibri" w:eastAsia="楷体_GB2312" w:cs="Calibri"/>
            </w:rPr>
            <w:fldChar w:fldCharType="end"/>
          </w:r>
          <w:r>
            <w:rPr>
              <w:rFonts w:hint="default" w:ascii="Calibri" w:hAnsi="Calibri" w:eastAsia="楷体_GB2312" w:cs="Calibri"/>
            </w:rPr>
            <w:fldChar w:fldCharType="end"/>
          </w:r>
        </w:p>
        <w:p w14:paraId="4C3225C1">
          <w:pPr>
            <w:rPr>
              <w:rFonts w:hint="default" w:ascii="Calibri" w:hAnsi="Calibri" w:eastAsia="楷体_GB2312" w:cs="Calibri"/>
              <w:b/>
              <w:bCs/>
              <w:color w:val="1F497D" w:themeColor="text2"/>
              <w:sz w:val="28"/>
              <w:szCs w:val="28"/>
              <w:lang w:val="en-US" w:eastAsia="zh-CN"/>
              <w14:textFill>
                <w14:solidFill>
                  <w14:schemeClr w14:val="tx2"/>
                </w14:solidFill>
              </w14:textFill>
            </w:rPr>
          </w:pPr>
          <w:r>
            <w:rPr>
              <w:rFonts w:hint="default" w:ascii="Calibri" w:hAnsi="Calibri" w:eastAsia="楷体_GB2312" w:cs="Calibri"/>
              <w:lang w:eastAsia="zh-CN"/>
            </w:rPr>
            <w:fldChar w:fldCharType="end"/>
          </w:r>
        </w:p>
      </w:sdtContent>
    </w:sdt>
    <w:p w14:paraId="3ADF3B13">
      <w:pPr>
        <w:rPr>
          <w:rFonts w:hint="default" w:ascii="Calibri" w:hAnsi="Calibri" w:eastAsia="楷体_GB2312" w:cs="Calibri"/>
          <w:b/>
          <w:bCs/>
          <w:color w:val="1F497D" w:themeColor="text2"/>
          <w:sz w:val="28"/>
          <w:szCs w:val="28"/>
          <w:lang w:val="en-US" w:eastAsia="zh-CN"/>
          <w14:textFill>
            <w14:solidFill>
              <w14:schemeClr w14:val="tx2"/>
            </w14:solidFill>
          </w14:textFill>
        </w:rPr>
      </w:pPr>
      <w:r>
        <w:rPr>
          <w:rFonts w:hint="default" w:ascii="Calibri" w:hAnsi="Calibri" w:eastAsia="楷体_GB2312" w:cs="Calibri"/>
          <w:b/>
          <w:bCs/>
          <w:color w:val="1F497D" w:themeColor="text2"/>
          <w:sz w:val="28"/>
          <w:szCs w:val="28"/>
          <w:lang w:val="en-US" w:eastAsia="zh-CN"/>
          <w14:textFill>
            <w14:solidFill>
              <w14:schemeClr w14:val="tx2"/>
            </w14:solidFill>
          </w14:textFill>
        </w:rPr>
        <w:br w:type="page"/>
      </w:r>
    </w:p>
    <w:p w14:paraId="20EA1934">
      <w:pPr>
        <w:overflowPunct w:val="0"/>
        <w:ind w:left="3200" w:leftChars="2000"/>
        <w:jc w:val="both"/>
        <w:outlineLvl w:val="0"/>
        <w:rPr>
          <w:rFonts w:hint="default" w:ascii="Calibri" w:hAnsi="Calibri" w:eastAsia="楷体_GB2312" w:cs="Calibri"/>
          <w:b/>
          <w:bCs/>
          <w:color w:val="1F497D" w:themeColor="text2"/>
          <w:sz w:val="28"/>
          <w:szCs w:val="28"/>
          <w:lang w:val="en-US" w:eastAsia="zh-CN"/>
          <w14:textFill>
            <w14:solidFill>
              <w14:schemeClr w14:val="tx2"/>
            </w14:solidFill>
          </w14:textFill>
        </w:rPr>
      </w:pPr>
      <w:bookmarkStart w:id="5" w:name="_Toc223082593"/>
      <w:r>
        <w:rPr>
          <w:rFonts w:hint="default" w:ascii="Calibri" w:hAnsi="Calibri" w:eastAsia="楷体_GB2312" w:cs="Calibri"/>
          <w:b/>
          <w:bCs/>
          <w:color w:val="1F497D" w:themeColor="text2"/>
          <w:sz w:val="28"/>
          <w:szCs w:val="28"/>
          <w:lang w:val="en-US" w:eastAsia="zh-CN"/>
          <w14:textFill>
            <w14:solidFill>
              <w14:schemeClr w14:val="tx2"/>
            </w14:solidFill>
          </w14:textFill>
        </w:rPr>
        <w:t>一、</w:t>
      </w:r>
      <w:bookmarkEnd w:id="1"/>
      <w:bookmarkEnd w:id="2"/>
      <w:r>
        <w:rPr>
          <w:rFonts w:hint="default" w:ascii="Calibri" w:hAnsi="Calibri" w:eastAsia="楷体_GB2312" w:cs="Calibri"/>
          <w:b/>
          <w:bCs/>
          <w:color w:val="1F497D" w:themeColor="text2"/>
          <w:sz w:val="28"/>
          <w:szCs w:val="28"/>
          <w:lang w:val="en-US" w:eastAsia="zh-CN"/>
          <w14:textFill>
            <w14:solidFill>
              <w14:schemeClr w14:val="tx2"/>
            </w14:solidFill>
          </w14:textFill>
        </w:rPr>
        <w:t>全球市场回顾</w:t>
      </w:r>
      <w:bookmarkEnd w:id="3"/>
      <w:bookmarkEnd w:id="4"/>
      <w:bookmarkEnd w:id="5"/>
    </w:p>
    <w:p w14:paraId="4FD59670">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美股市场本周表现回顾</w:t>
      </w:r>
      <w:r>
        <w:rPr>
          <w:rFonts w:hint="default" w:ascii="Calibri" w:hAnsi="Calibri" w:eastAsia="楷体_GB2312" w:cs="Calibri"/>
          <w:sz w:val="20"/>
          <w:szCs w:val="20"/>
          <w:lang w:val="en-US" w:eastAsia="zh-CN"/>
        </w:rPr>
        <w:t>——</w:t>
      </w:r>
      <w:r>
        <w:rPr>
          <w:rFonts w:hint="default" w:ascii="Calibri" w:hAnsi="Calibri" w:eastAsia="楷体_GB2312" w:cs="Calibri"/>
          <w:sz w:val="20"/>
          <w:szCs w:val="20"/>
          <w:lang w:val="en-US" w:eastAsia="zh-CN"/>
        </w:rPr>
        <w:t>近几个交易日，美股主要股票指数在经历月初的波动后，本周呈现出先抑后扬、高位震荡与重心逐步上移并存的格局。周初受人工智能相关担忧及部分政策不确定性影响，标普</w:t>
      </w:r>
      <w:r>
        <w:rPr>
          <w:rFonts w:hint="default" w:ascii="Calibri" w:hAnsi="Calibri" w:eastAsia="楷体_GB2312" w:cs="Calibri"/>
          <w:sz w:val="20"/>
          <w:szCs w:val="20"/>
          <w:lang w:val="en-US" w:eastAsia="zh-CN"/>
        </w:rPr>
        <w:t>500</w:t>
      </w:r>
      <w:r>
        <w:rPr>
          <w:rFonts w:hint="default" w:ascii="Calibri" w:hAnsi="Calibri" w:eastAsia="楷体_GB2312" w:cs="Calibri"/>
          <w:sz w:val="20"/>
          <w:szCs w:val="20"/>
          <w:lang w:val="en-US" w:eastAsia="zh-CN"/>
        </w:rPr>
        <w:t>指数与道琼斯工业指数一度显著回调；随后在坚韧的经济数据支撑及科技股反弹带动下快速收复失地，并在</w:t>
      </w:r>
      <w:r>
        <w:rPr>
          <w:rFonts w:hint="default" w:ascii="Calibri" w:hAnsi="Calibri" w:eastAsia="楷体_GB2312" w:cs="Calibri"/>
          <w:sz w:val="20"/>
          <w:szCs w:val="20"/>
          <w:lang w:val="en-US" w:eastAsia="zh-CN"/>
        </w:rPr>
        <w:t>6900</w:t>
      </w:r>
      <w:r>
        <w:rPr>
          <w:rFonts w:hint="default" w:ascii="Calibri" w:hAnsi="Calibri" w:eastAsia="楷体_GB2312" w:cs="Calibri"/>
          <w:sz w:val="20"/>
          <w:szCs w:val="20"/>
          <w:lang w:val="en-US" w:eastAsia="zh-CN"/>
        </w:rPr>
        <w:t>附近关键心理关口展开拉锯。市场整体情绪维持中性偏积极，投资者正在密切观察重要财报发布及新一轮宏观政策指引，多空双方在当前位置维持力量平衡，等待进一步的方向性突破</w:t>
      </w:r>
      <w:r>
        <w:rPr>
          <w:rFonts w:hint="default" w:ascii="Calibri" w:hAnsi="Calibri" w:eastAsia="楷体_GB2312" w:cs="Calibri"/>
          <w:sz w:val="20"/>
          <w:szCs w:val="20"/>
          <w:lang w:val="en-US" w:eastAsia="zh-CN"/>
        </w:rPr>
        <w:t>。</w:t>
      </w:r>
    </w:p>
    <w:p w14:paraId="4FF92984">
      <w:pPr>
        <w:overflowPunct w:val="0"/>
        <w:ind w:left="3200" w:leftChars="2000"/>
        <w:jc w:val="both"/>
        <w:rPr>
          <w:rFonts w:hint="default" w:ascii="Calibri" w:hAnsi="Calibri" w:eastAsia="楷体_GB2312" w:cs="Calibri"/>
          <w:sz w:val="20"/>
          <w:szCs w:val="20"/>
          <w:lang w:val="en-US" w:eastAsia="zh-CN"/>
        </w:rPr>
      </w:pPr>
    </w:p>
    <w:tbl>
      <w:tblPr>
        <w:tblStyle w:val="26"/>
        <w:tblW w:w="10490" w:type="dxa"/>
        <w:jc w:val="right"/>
        <w:tblLayout w:type="fixed"/>
        <w:tblCellMar>
          <w:top w:w="0" w:type="dxa"/>
          <w:left w:w="108" w:type="dxa"/>
          <w:bottom w:w="0" w:type="dxa"/>
          <w:right w:w="108" w:type="dxa"/>
        </w:tblCellMar>
      </w:tblPr>
      <w:tblGrid>
        <w:gridCol w:w="5103"/>
        <w:gridCol w:w="238"/>
        <w:gridCol w:w="5149"/>
      </w:tblGrid>
      <w:tr w14:paraId="3E932231">
        <w:tblPrEx>
          <w:tblCellMar>
            <w:top w:w="0" w:type="dxa"/>
            <w:left w:w="108" w:type="dxa"/>
            <w:bottom w:w="0" w:type="dxa"/>
            <w:right w:w="108" w:type="dxa"/>
          </w:tblCellMar>
        </w:tblPrEx>
        <w:trPr>
          <w:trHeight w:val="202" w:hRule="atLeast"/>
          <w:jc w:val="right"/>
        </w:trPr>
        <w:tc>
          <w:tcPr>
            <w:tcW w:w="5103" w:type="dxa"/>
            <w:tcBorders>
              <w:top w:val="nil"/>
              <w:left w:val="nil"/>
              <w:bottom w:val="single" w:color="auto" w:sz="4" w:space="0"/>
              <w:right w:val="nil"/>
            </w:tcBorders>
            <w:tcMar>
              <w:top w:w="0" w:type="dxa"/>
              <w:left w:w="0" w:type="dxa"/>
              <w:bottom w:w="0" w:type="dxa"/>
              <w:right w:w="28" w:type="dxa"/>
            </w:tcMar>
          </w:tcPr>
          <w:p w14:paraId="24BA9D33">
            <w:pPr>
              <w:overflowPunct w:val="0"/>
              <w:rPr>
                <w:rFonts w:hint="default" w:ascii="Calibri" w:hAnsi="Calibri" w:eastAsia="楷体_GB2312" w:cs="Calibri"/>
                <w:b/>
                <w:color w:val="000000"/>
                <w:szCs w:val="20"/>
                <w:lang w:eastAsia="zh-CN"/>
              </w:rPr>
            </w:pPr>
            <w:r>
              <w:rPr>
                <w:rFonts w:hint="default" w:ascii="Calibri" w:hAnsi="Calibri" w:eastAsia="楷体_GB2312" w:cs="Calibri"/>
                <w:b/>
                <w:sz w:val="18"/>
                <w:szCs w:val="18"/>
                <w:lang w:eastAsia="zh-CN"/>
              </w:rPr>
              <w:t>图1：标普500指数今年以来表现（截止02/</w:t>
            </w:r>
            <w:r>
              <w:rPr>
                <w:rFonts w:hint="default" w:ascii="Calibri" w:hAnsi="Calibri" w:eastAsia="楷体_GB2312" w:cs="Calibri"/>
                <w:b/>
                <w:sz w:val="18"/>
                <w:szCs w:val="18"/>
                <w:lang w:val="en-US" w:eastAsia="zh-CN"/>
              </w:rPr>
              <w:t>25</w:t>
            </w:r>
            <w:r>
              <w:rPr>
                <w:rFonts w:hint="default" w:ascii="Calibri" w:hAnsi="Calibri" w:eastAsia="楷体_GB2312" w:cs="Calibri"/>
                <w:b/>
                <w:sz w:val="18"/>
                <w:szCs w:val="18"/>
                <w:lang w:eastAsia="zh-CN"/>
              </w:rPr>
              <w:t>/26）</w:t>
            </w:r>
          </w:p>
        </w:tc>
        <w:tc>
          <w:tcPr>
            <w:tcW w:w="238" w:type="dxa"/>
            <w:tcBorders>
              <w:top w:val="nil"/>
              <w:left w:val="nil"/>
              <w:bottom w:val="nil"/>
              <w:right w:val="nil"/>
            </w:tcBorders>
            <w:tcMar>
              <w:top w:w="0" w:type="dxa"/>
              <w:left w:w="0" w:type="dxa"/>
              <w:bottom w:w="0" w:type="dxa"/>
              <w:right w:w="28" w:type="dxa"/>
            </w:tcMar>
          </w:tcPr>
          <w:p w14:paraId="262D64C0">
            <w:pPr>
              <w:overflowPunct w:val="0"/>
              <w:spacing w:before="48" w:beforeLines="20" w:after="48" w:afterLines="20"/>
              <w:rPr>
                <w:rFonts w:hint="default" w:ascii="Calibri" w:hAnsi="Calibri" w:eastAsia="楷体_GB2312" w:cs="Calibri"/>
                <w:szCs w:val="20"/>
                <w:lang w:eastAsia="zh-CN"/>
              </w:rPr>
            </w:pPr>
            <w:r>
              <w:rPr>
                <w:rFonts w:hint="default" w:ascii="Calibri" w:hAnsi="Calibri" w:eastAsia="楷体_GB2312" w:cs="Calibri"/>
                <w:szCs w:val="20"/>
                <w:lang w:eastAsia="zh-CN"/>
              </w:rPr>
              <w:t xml:space="preserve">         </w:t>
            </w:r>
          </w:p>
        </w:tc>
        <w:tc>
          <w:tcPr>
            <w:tcW w:w="5149" w:type="dxa"/>
            <w:tcBorders>
              <w:top w:val="nil"/>
              <w:left w:val="nil"/>
              <w:bottom w:val="single" w:color="auto" w:sz="4" w:space="0"/>
              <w:right w:val="nil"/>
            </w:tcBorders>
            <w:tcMar>
              <w:top w:w="0" w:type="dxa"/>
              <w:left w:w="0" w:type="dxa"/>
              <w:bottom w:w="0" w:type="dxa"/>
              <w:right w:w="28" w:type="dxa"/>
            </w:tcMar>
          </w:tcPr>
          <w:p w14:paraId="367EEE92">
            <w:pPr>
              <w:overflowPunct w:val="0"/>
              <w:rPr>
                <w:rFonts w:hint="default" w:ascii="Calibri" w:hAnsi="Calibri" w:eastAsia="楷体_GB2312" w:cs="Calibri"/>
                <w:b/>
                <w:szCs w:val="20"/>
                <w:lang w:eastAsia="zh-CN"/>
              </w:rPr>
            </w:pPr>
            <w:r>
              <w:rPr>
                <w:rFonts w:hint="default" w:ascii="Calibri" w:hAnsi="Calibri" w:eastAsia="楷体_GB2312" w:cs="Calibri"/>
                <w:b/>
                <w:sz w:val="18"/>
                <w:szCs w:val="18"/>
                <w:lang w:eastAsia="zh-CN"/>
              </w:rPr>
              <w:t>图2：道琼斯指数今年以来表现（截止02/</w:t>
            </w:r>
            <w:r>
              <w:rPr>
                <w:rFonts w:hint="default" w:ascii="Calibri" w:hAnsi="Calibri" w:eastAsia="楷体_GB2312" w:cs="Calibri"/>
                <w:b/>
                <w:sz w:val="18"/>
                <w:szCs w:val="18"/>
                <w:lang w:val="en-US" w:eastAsia="zh-CN"/>
              </w:rPr>
              <w:t>25</w:t>
            </w:r>
            <w:r>
              <w:rPr>
                <w:rFonts w:hint="default" w:ascii="Calibri" w:hAnsi="Calibri" w:eastAsia="楷体_GB2312" w:cs="Calibri"/>
                <w:b/>
                <w:sz w:val="18"/>
                <w:szCs w:val="18"/>
                <w:lang w:eastAsia="zh-CN"/>
              </w:rPr>
              <w:t>/26）</w:t>
            </w:r>
          </w:p>
        </w:tc>
      </w:tr>
      <w:tr w14:paraId="00A4D912">
        <w:tblPrEx>
          <w:tblCellMar>
            <w:top w:w="0" w:type="dxa"/>
            <w:left w:w="108" w:type="dxa"/>
            <w:bottom w:w="0" w:type="dxa"/>
            <w:right w:w="108" w:type="dxa"/>
          </w:tblCellMar>
        </w:tblPrEx>
        <w:trPr>
          <w:trHeight w:val="3109" w:hRule="atLeast"/>
          <w:jc w:val="right"/>
        </w:trPr>
        <w:tc>
          <w:tcPr>
            <w:tcW w:w="5103" w:type="dxa"/>
            <w:tcBorders>
              <w:top w:val="single" w:color="auto" w:sz="4" w:space="0"/>
              <w:left w:val="nil"/>
              <w:bottom w:val="single" w:color="auto" w:sz="4" w:space="0"/>
              <w:right w:val="nil"/>
            </w:tcBorders>
            <w:vAlign w:val="center"/>
          </w:tcPr>
          <w:p w14:paraId="2D9392C2">
            <w:pPr>
              <w:overflowPunct w:val="0"/>
              <w:spacing w:before="48" w:beforeLines="20" w:after="48" w:afterLines="20"/>
              <w:jc w:val="center"/>
              <w:textAlignment w:val="center"/>
              <w:rPr>
                <w:rFonts w:hint="default" w:ascii="Calibri" w:hAnsi="Calibri" w:eastAsia="楷体_GB2312" w:cs="Calibri"/>
                <w:b/>
                <w:color w:val="000000"/>
                <w:sz w:val="15"/>
                <w:szCs w:val="15"/>
              </w:rPr>
            </w:pPr>
            <w:r>
              <w:rPr>
                <w:rFonts w:hint="default" w:ascii="Calibri" w:hAnsi="Calibri" w:eastAsia="楷体_GB2312" w:cs="Calibri"/>
              </w:rPr>
              <w:drawing>
                <wp:inline distT="0" distB="0" distL="114300" distR="114300">
                  <wp:extent cx="3107690" cy="2276475"/>
                  <wp:effectExtent l="0" t="0" r="0" b="0"/>
                  <wp:docPr id="9"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c>
        <w:tc>
          <w:tcPr>
            <w:tcW w:w="238" w:type="dxa"/>
            <w:tcBorders>
              <w:top w:val="nil"/>
              <w:left w:val="nil"/>
              <w:bottom w:val="nil"/>
              <w:right w:val="nil"/>
            </w:tcBorders>
          </w:tcPr>
          <w:p w14:paraId="1171F7F8">
            <w:pPr>
              <w:overflowPunct w:val="0"/>
              <w:spacing w:before="48" w:beforeLines="20" w:after="48" w:afterLines="20"/>
              <w:rPr>
                <w:rFonts w:hint="default" w:ascii="Calibri" w:hAnsi="Calibri" w:eastAsia="楷体_GB2312" w:cs="Calibri"/>
                <w:sz w:val="15"/>
                <w:szCs w:val="15"/>
              </w:rPr>
            </w:pPr>
          </w:p>
        </w:tc>
        <w:tc>
          <w:tcPr>
            <w:tcW w:w="5149" w:type="dxa"/>
            <w:tcBorders>
              <w:top w:val="single" w:color="auto" w:sz="4" w:space="0"/>
              <w:left w:val="nil"/>
              <w:bottom w:val="single" w:color="auto" w:sz="4" w:space="0"/>
              <w:right w:val="nil"/>
            </w:tcBorders>
          </w:tcPr>
          <w:p w14:paraId="5C429040">
            <w:pPr>
              <w:overflowPunct w:val="0"/>
              <w:spacing w:before="48" w:beforeLines="20" w:after="48" w:afterLines="20"/>
              <w:jc w:val="center"/>
              <w:rPr>
                <w:rFonts w:hint="default" w:ascii="Calibri" w:hAnsi="Calibri" w:eastAsia="楷体_GB2312" w:cs="Calibri"/>
                <w:b/>
                <w:sz w:val="15"/>
                <w:szCs w:val="15"/>
              </w:rPr>
            </w:pPr>
            <w:r>
              <w:rPr>
                <w:rFonts w:hint="default" w:ascii="Calibri" w:hAnsi="Calibri" w:eastAsia="楷体_GB2312" w:cs="Calibri"/>
              </w:rPr>
              <w:drawing>
                <wp:inline distT="0" distB="0" distL="114300" distR="114300">
                  <wp:extent cx="3130550" cy="2296160"/>
                  <wp:effectExtent l="0" t="0" r="0" b="8890"/>
                  <wp:docPr id="19"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tc>
      </w:tr>
      <w:tr w14:paraId="11AB35C5">
        <w:tblPrEx>
          <w:tblCellMar>
            <w:top w:w="0" w:type="dxa"/>
            <w:left w:w="108" w:type="dxa"/>
            <w:bottom w:w="0" w:type="dxa"/>
            <w:right w:w="108" w:type="dxa"/>
          </w:tblCellMar>
        </w:tblPrEx>
        <w:trPr>
          <w:jc w:val="right"/>
        </w:trPr>
        <w:tc>
          <w:tcPr>
            <w:tcW w:w="5103" w:type="dxa"/>
            <w:tcBorders>
              <w:top w:val="single" w:color="auto" w:sz="4" w:space="0"/>
              <w:left w:val="nil"/>
              <w:bottom w:val="nil"/>
              <w:right w:val="nil"/>
            </w:tcBorders>
            <w:tcMar>
              <w:top w:w="0" w:type="dxa"/>
              <w:left w:w="0" w:type="dxa"/>
              <w:bottom w:w="0" w:type="dxa"/>
              <w:right w:w="28" w:type="dxa"/>
            </w:tcMar>
            <w:vAlign w:val="center"/>
          </w:tcPr>
          <w:p w14:paraId="4F2837A4">
            <w:pPr>
              <w:overflowPunct w:val="0"/>
              <w:spacing w:before="48" w:beforeLines="20" w:after="48" w:afterLines="20"/>
              <w:textAlignment w:val="center"/>
              <w:rPr>
                <w:rFonts w:hint="default" w:ascii="Calibri" w:hAnsi="Calibri" w:eastAsia="楷体_GB2312" w:cs="Calibri"/>
                <w:i/>
                <w:iCs/>
                <w:sz w:val="10"/>
                <w:szCs w:val="10"/>
              </w:rPr>
            </w:pPr>
            <w:r>
              <w:rPr>
                <w:rFonts w:hint="default" w:ascii="Calibri" w:hAnsi="Calibri" w:eastAsia="楷体_GB2312" w:cs="Calibri"/>
                <w:i/>
                <w:iCs/>
                <w:lang w:val="zh-CN"/>
              </w:rPr>
              <w:t>资料来源：iFind，HFI</w:t>
            </w:r>
          </w:p>
        </w:tc>
        <w:tc>
          <w:tcPr>
            <w:tcW w:w="238" w:type="dxa"/>
            <w:tcBorders>
              <w:top w:val="nil"/>
              <w:left w:val="nil"/>
              <w:bottom w:val="nil"/>
              <w:right w:val="nil"/>
            </w:tcBorders>
            <w:tcMar>
              <w:top w:w="0" w:type="dxa"/>
              <w:left w:w="0" w:type="dxa"/>
              <w:bottom w:w="0" w:type="dxa"/>
              <w:right w:w="28" w:type="dxa"/>
            </w:tcMar>
          </w:tcPr>
          <w:p w14:paraId="54EB7FF2">
            <w:pPr>
              <w:overflowPunct w:val="0"/>
              <w:spacing w:before="48" w:beforeLines="20" w:after="48" w:afterLines="20"/>
              <w:rPr>
                <w:rFonts w:hint="default" w:ascii="Calibri" w:hAnsi="Calibri" w:eastAsia="楷体_GB2312" w:cs="Calibri"/>
                <w:sz w:val="15"/>
                <w:szCs w:val="15"/>
              </w:rPr>
            </w:pPr>
          </w:p>
        </w:tc>
        <w:tc>
          <w:tcPr>
            <w:tcW w:w="5149" w:type="dxa"/>
            <w:tcBorders>
              <w:top w:val="single" w:color="auto" w:sz="4" w:space="0"/>
              <w:left w:val="nil"/>
              <w:bottom w:val="nil"/>
              <w:right w:val="nil"/>
            </w:tcBorders>
            <w:tcMar>
              <w:top w:w="0" w:type="dxa"/>
              <w:left w:w="0" w:type="dxa"/>
              <w:bottom w:w="0" w:type="dxa"/>
              <w:right w:w="28" w:type="dxa"/>
            </w:tcMar>
          </w:tcPr>
          <w:p w14:paraId="69984565">
            <w:pPr>
              <w:overflowPunct w:val="0"/>
              <w:spacing w:before="48" w:beforeLines="20" w:after="48" w:afterLines="20"/>
              <w:textAlignment w:val="center"/>
              <w:rPr>
                <w:rFonts w:hint="default" w:ascii="Calibri" w:hAnsi="Calibri" w:eastAsia="楷体_GB2312" w:cs="Calibri"/>
                <w:sz w:val="10"/>
                <w:szCs w:val="10"/>
              </w:rPr>
            </w:pPr>
            <w:r>
              <w:rPr>
                <w:rFonts w:hint="default" w:ascii="Calibri" w:hAnsi="Calibri" w:eastAsia="楷体_GB2312" w:cs="Calibri"/>
                <w:i/>
                <w:iCs/>
                <w:lang w:val="zh-CN"/>
              </w:rPr>
              <w:t>资料来源：iFind，HFI</w:t>
            </w:r>
          </w:p>
        </w:tc>
      </w:tr>
    </w:tbl>
    <w:p w14:paraId="703A86A1">
      <w:pPr>
        <w:overflowPunct w:val="0"/>
        <w:ind w:left="3200" w:leftChars="2000"/>
        <w:jc w:val="both"/>
        <w:rPr>
          <w:rFonts w:hint="default" w:ascii="Calibri" w:hAnsi="Calibri" w:eastAsia="楷体_GB2312" w:cs="Calibri"/>
          <w:sz w:val="20"/>
          <w:szCs w:val="20"/>
          <w:lang w:val="en-US" w:eastAsia="zh-CN"/>
        </w:rPr>
      </w:pPr>
    </w:p>
    <w:p w14:paraId="104BB3F2">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分行业来看——</w:t>
      </w:r>
      <w:r>
        <w:rPr>
          <w:rFonts w:hint="default" w:ascii="Calibri" w:hAnsi="Calibri" w:eastAsia="楷体_GB2312" w:cs="Calibri"/>
          <w:sz w:val="20"/>
          <w:szCs w:val="20"/>
          <w:lang w:val="en-US" w:eastAsia="zh-CN"/>
        </w:rPr>
        <w:t>从行业板块角度看，本周市场呈现出一定的结构性分化特征。受技术创新预期及市场风险偏好回暖带动，信息技术、通信服务及金融板块表现出较强的韧性，周初调整后迅速反弹，成为支撑大盘的核心力量。与此同时，随着市场风险偏好的波动，部分资金流向了工业与可选消费等顺周期领域。相比之下，公用事业、医疗保健及日常消费品等传统防御性板块则在期内经历了小幅下调，显示出在风险偏好提升环境下，避险资金出现一定程度的轮动流出</w:t>
      </w:r>
      <w:r>
        <w:rPr>
          <w:rFonts w:hint="default" w:ascii="Calibri" w:hAnsi="Calibri" w:eastAsia="楷体_GB2312" w:cs="Calibri"/>
          <w:sz w:val="20"/>
          <w:szCs w:val="20"/>
          <w:lang w:val="en-US" w:eastAsia="zh-CN"/>
        </w:rPr>
        <w:t>。</w:t>
      </w:r>
    </w:p>
    <w:p w14:paraId="4342FC4B">
      <w:pPr>
        <w:overflowPunct w:val="0"/>
        <w:ind w:left="3200" w:leftChars="2000"/>
        <w:jc w:val="both"/>
        <w:rPr>
          <w:rFonts w:hint="default" w:ascii="Calibri" w:hAnsi="Calibri" w:eastAsia="楷体_GB2312" w:cs="Calibri"/>
          <w:sz w:val="20"/>
          <w:szCs w:val="20"/>
          <w:lang w:val="en-US" w:eastAsia="zh-CN"/>
        </w:rPr>
      </w:pPr>
    </w:p>
    <w:tbl>
      <w:tblPr>
        <w:tblStyle w:val="26"/>
        <w:tblpPr w:leftFromText="180" w:rightFromText="180" w:vertAnchor="text" w:horzAnchor="margin" w:tblpY="45"/>
        <w:tblW w:w="10738" w:type="dxa"/>
        <w:tblInd w:w="0" w:type="dxa"/>
        <w:tblLayout w:type="fixed"/>
        <w:tblCellMar>
          <w:top w:w="0" w:type="dxa"/>
          <w:left w:w="108" w:type="dxa"/>
          <w:bottom w:w="0" w:type="dxa"/>
          <w:right w:w="108" w:type="dxa"/>
        </w:tblCellMar>
      </w:tblPr>
      <w:tblGrid>
        <w:gridCol w:w="5457"/>
        <w:gridCol w:w="259"/>
        <w:gridCol w:w="5022"/>
      </w:tblGrid>
      <w:tr w14:paraId="234B8BE1">
        <w:trPr>
          <w:trHeight w:val="110" w:hRule="atLeast"/>
        </w:trPr>
        <w:tc>
          <w:tcPr>
            <w:tcW w:w="5457" w:type="dxa"/>
            <w:tcBorders>
              <w:top w:val="nil"/>
              <w:left w:val="nil"/>
              <w:bottom w:val="single" w:color="auto" w:sz="4" w:space="0"/>
              <w:right w:val="nil"/>
            </w:tcBorders>
            <w:tcMar>
              <w:top w:w="0" w:type="dxa"/>
              <w:left w:w="0" w:type="dxa"/>
              <w:bottom w:w="0" w:type="dxa"/>
              <w:right w:w="28" w:type="dxa"/>
            </w:tcMar>
          </w:tcPr>
          <w:p w14:paraId="7BD5979E">
            <w:pPr>
              <w:overflowPunct w:val="0"/>
              <w:rPr>
                <w:rFonts w:hint="default" w:ascii="Calibri" w:hAnsi="Calibri" w:eastAsia="楷体_GB2312" w:cs="Calibri"/>
                <w:b/>
                <w:sz w:val="18"/>
                <w:szCs w:val="18"/>
                <w:lang w:eastAsia="zh-CN"/>
              </w:rPr>
            </w:pPr>
            <w:r>
              <w:rPr>
                <w:rFonts w:hint="default" w:ascii="Calibri" w:hAnsi="Calibri" w:eastAsia="楷体_GB2312" w:cs="Calibri"/>
                <w:b/>
                <w:sz w:val="18"/>
                <w:szCs w:val="18"/>
                <w:lang w:eastAsia="zh-CN"/>
              </w:rPr>
              <w:t>图3：标普指数分行业今年以来表现（截止02/</w:t>
            </w:r>
            <w:r>
              <w:rPr>
                <w:rFonts w:hint="default" w:ascii="Calibri" w:hAnsi="Calibri" w:eastAsia="楷体_GB2312" w:cs="Calibri"/>
                <w:b/>
                <w:sz w:val="18"/>
                <w:szCs w:val="18"/>
                <w:lang w:eastAsia="zh-CN"/>
              </w:rPr>
              <w:t>25</w:t>
            </w:r>
            <w:r>
              <w:rPr>
                <w:rFonts w:hint="default" w:ascii="Calibri" w:hAnsi="Calibri" w:eastAsia="楷体_GB2312" w:cs="Calibri"/>
                <w:b/>
                <w:sz w:val="18"/>
                <w:szCs w:val="18"/>
                <w:lang w:eastAsia="zh-CN"/>
              </w:rPr>
              <w:t>/</w:t>
            </w:r>
            <w:r>
              <w:rPr>
                <w:rFonts w:hint="default" w:ascii="Calibri" w:hAnsi="Calibri" w:eastAsia="楷体_GB2312" w:cs="Calibri"/>
                <w:b/>
                <w:sz w:val="18"/>
                <w:szCs w:val="18"/>
                <w:lang w:eastAsia="zh-CN"/>
              </w:rPr>
              <w:t>20</w:t>
            </w:r>
            <w:r>
              <w:rPr>
                <w:rFonts w:hint="default" w:ascii="Calibri" w:hAnsi="Calibri" w:eastAsia="楷体_GB2312" w:cs="Calibri"/>
                <w:b/>
                <w:sz w:val="18"/>
                <w:szCs w:val="18"/>
                <w:lang w:eastAsia="zh-CN"/>
              </w:rPr>
              <w:t>26）</w:t>
            </w:r>
          </w:p>
        </w:tc>
        <w:tc>
          <w:tcPr>
            <w:tcW w:w="259" w:type="dxa"/>
            <w:tcBorders>
              <w:top w:val="nil"/>
              <w:left w:val="nil"/>
              <w:bottom w:val="nil"/>
              <w:right w:val="nil"/>
            </w:tcBorders>
            <w:tcMar>
              <w:top w:w="0" w:type="dxa"/>
              <w:left w:w="0" w:type="dxa"/>
              <w:bottom w:w="0" w:type="dxa"/>
              <w:right w:w="28" w:type="dxa"/>
            </w:tcMar>
          </w:tcPr>
          <w:p w14:paraId="4C268873">
            <w:pPr>
              <w:overflowPunct w:val="0"/>
              <w:rPr>
                <w:rFonts w:hint="default" w:ascii="Calibri" w:hAnsi="Calibri" w:eastAsia="楷体_GB2312" w:cs="Calibri"/>
                <w:b/>
                <w:sz w:val="18"/>
                <w:szCs w:val="18"/>
                <w:lang w:eastAsia="zh-CN"/>
              </w:rPr>
            </w:pPr>
            <w:r>
              <w:rPr>
                <w:rFonts w:hint="default" w:ascii="Calibri" w:hAnsi="Calibri" w:eastAsia="楷体_GB2312" w:cs="Calibri"/>
                <w:b/>
                <w:sz w:val="18"/>
                <w:szCs w:val="18"/>
                <w:lang w:eastAsia="zh-CN"/>
              </w:rPr>
              <w:t xml:space="preserve">         </w:t>
            </w:r>
          </w:p>
        </w:tc>
        <w:tc>
          <w:tcPr>
            <w:tcW w:w="5022" w:type="dxa"/>
            <w:tcBorders>
              <w:top w:val="nil"/>
              <w:left w:val="nil"/>
              <w:bottom w:val="single" w:color="auto" w:sz="4" w:space="0"/>
              <w:right w:val="nil"/>
            </w:tcBorders>
            <w:tcMar>
              <w:top w:w="0" w:type="dxa"/>
              <w:left w:w="0" w:type="dxa"/>
              <w:bottom w:w="0" w:type="dxa"/>
              <w:right w:w="28" w:type="dxa"/>
            </w:tcMar>
          </w:tcPr>
          <w:p w14:paraId="7D4D8DF3">
            <w:pPr>
              <w:overflowPunct w:val="0"/>
              <w:rPr>
                <w:rFonts w:hint="default" w:ascii="Calibri" w:hAnsi="Calibri" w:eastAsia="楷体_GB2312" w:cs="Calibri"/>
                <w:b/>
                <w:sz w:val="18"/>
                <w:szCs w:val="18"/>
                <w:lang w:eastAsia="zh-CN"/>
              </w:rPr>
            </w:pPr>
            <w:r>
              <w:rPr>
                <w:rFonts w:hint="default" w:ascii="Calibri" w:hAnsi="Calibri" w:eastAsia="楷体_GB2312" w:cs="Calibri"/>
                <w:b/>
                <w:sz w:val="18"/>
                <w:szCs w:val="18"/>
                <w:lang w:eastAsia="zh-CN"/>
              </w:rPr>
              <w:t>图4：全球市场表现（截止02/</w:t>
            </w:r>
            <w:r>
              <w:rPr>
                <w:rFonts w:hint="default" w:ascii="Calibri" w:hAnsi="Calibri" w:eastAsia="楷体_GB2312" w:cs="Calibri"/>
                <w:b/>
                <w:sz w:val="18"/>
                <w:szCs w:val="18"/>
                <w:lang w:eastAsia="zh-CN"/>
              </w:rPr>
              <w:t>25</w:t>
            </w:r>
            <w:r>
              <w:rPr>
                <w:rFonts w:hint="default" w:ascii="Calibri" w:hAnsi="Calibri" w:eastAsia="楷体_GB2312" w:cs="Calibri"/>
                <w:b/>
                <w:sz w:val="18"/>
                <w:szCs w:val="18"/>
                <w:lang w:eastAsia="zh-CN"/>
              </w:rPr>
              <w:t>/</w:t>
            </w:r>
            <w:r>
              <w:rPr>
                <w:rFonts w:hint="default" w:ascii="Calibri" w:hAnsi="Calibri" w:eastAsia="楷体_GB2312" w:cs="Calibri"/>
                <w:b/>
                <w:sz w:val="18"/>
                <w:szCs w:val="18"/>
                <w:lang w:eastAsia="zh-CN"/>
              </w:rPr>
              <w:t>20</w:t>
            </w:r>
            <w:r>
              <w:rPr>
                <w:rFonts w:hint="default" w:ascii="Calibri" w:hAnsi="Calibri" w:eastAsia="楷体_GB2312" w:cs="Calibri"/>
                <w:b/>
                <w:sz w:val="18"/>
                <w:szCs w:val="18"/>
                <w:lang w:eastAsia="zh-CN"/>
              </w:rPr>
              <w:t>26）</w:t>
            </w:r>
          </w:p>
        </w:tc>
      </w:tr>
      <w:tr w14:paraId="6CD241E1">
        <w:tblPrEx>
          <w:tblCellMar>
            <w:top w:w="0" w:type="dxa"/>
            <w:left w:w="108" w:type="dxa"/>
            <w:bottom w:w="0" w:type="dxa"/>
            <w:right w:w="108" w:type="dxa"/>
          </w:tblCellMar>
        </w:tblPrEx>
        <w:trPr>
          <w:trHeight w:val="1547" w:hRule="atLeast"/>
        </w:trPr>
        <w:tc>
          <w:tcPr>
            <w:tcW w:w="5457" w:type="dxa"/>
            <w:tcBorders>
              <w:top w:val="single" w:color="auto" w:sz="4" w:space="0"/>
              <w:left w:val="nil"/>
              <w:bottom w:val="single" w:color="auto" w:sz="4" w:space="0"/>
              <w:right w:val="nil"/>
            </w:tcBorders>
            <w:tcMar>
              <w:top w:w="0" w:type="dxa"/>
              <w:left w:w="0" w:type="dxa"/>
              <w:bottom w:w="0" w:type="dxa"/>
              <w:right w:w="28" w:type="dxa"/>
            </w:tcMar>
            <w:vAlign w:val="center"/>
          </w:tcPr>
          <w:p w14:paraId="24420018">
            <w:pPr>
              <w:overflowPunct w:val="0"/>
              <w:spacing w:before="48" w:beforeLines="20" w:after="48" w:afterLines="20"/>
              <w:textAlignment w:val="center"/>
              <w:rPr>
                <w:rFonts w:hint="default" w:ascii="Calibri" w:hAnsi="Calibri" w:eastAsia="楷体_GB2312" w:cs="Calibri"/>
                <w:b/>
                <w:color w:val="000000"/>
                <w:sz w:val="15"/>
                <w:szCs w:val="15"/>
                <w:lang w:eastAsia="zh-CN"/>
              </w:rPr>
            </w:pPr>
            <w:r>
              <w:rPr>
                <w:rFonts w:hint="default" w:ascii="Calibri" w:hAnsi="Calibri" w:eastAsia="楷体_GB2312" w:cs="Calibri"/>
                <w:b/>
                <w:color w:val="000000"/>
                <w:sz w:val="15"/>
                <w:szCs w:val="15"/>
                <w:lang w:eastAsia="zh-CN"/>
              </w:rPr>
              <w:drawing>
                <wp:inline distT="0" distB="0" distL="0" distR="0">
                  <wp:extent cx="3333115" cy="2030730"/>
                  <wp:effectExtent l="0" t="0" r="635" b="7620"/>
                  <wp:docPr id="821362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36273" name="图片 1"/>
                          <pic:cNvPicPr>
                            <a:picLocks noChangeAspect="1"/>
                          </pic:cNvPicPr>
                        </pic:nvPicPr>
                        <pic:blipFill>
                          <a:blip r:embed="rId14"/>
                          <a:stretch>
                            <a:fillRect/>
                          </a:stretch>
                        </pic:blipFill>
                        <pic:spPr>
                          <a:xfrm>
                            <a:off x="0" y="0"/>
                            <a:ext cx="3338032" cy="2033931"/>
                          </a:xfrm>
                          <a:prstGeom prst="rect">
                            <a:avLst/>
                          </a:prstGeom>
                        </pic:spPr>
                      </pic:pic>
                    </a:graphicData>
                  </a:graphic>
                </wp:inline>
              </w:drawing>
            </w:r>
          </w:p>
        </w:tc>
        <w:tc>
          <w:tcPr>
            <w:tcW w:w="259" w:type="dxa"/>
            <w:tcBorders>
              <w:top w:val="nil"/>
              <w:left w:val="nil"/>
              <w:bottom w:val="nil"/>
              <w:right w:val="nil"/>
            </w:tcBorders>
            <w:tcMar>
              <w:top w:w="0" w:type="dxa"/>
              <w:left w:w="0" w:type="dxa"/>
              <w:bottom w:w="0" w:type="dxa"/>
              <w:right w:w="28" w:type="dxa"/>
            </w:tcMar>
          </w:tcPr>
          <w:p w14:paraId="130A6BE4">
            <w:pPr>
              <w:overflowPunct w:val="0"/>
              <w:spacing w:before="48" w:beforeLines="20" w:after="48" w:afterLines="20"/>
              <w:rPr>
                <w:rFonts w:hint="default" w:ascii="Calibri" w:hAnsi="Calibri" w:eastAsia="楷体_GB2312" w:cs="Calibri"/>
                <w:sz w:val="15"/>
                <w:szCs w:val="15"/>
              </w:rPr>
            </w:pPr>
          </w:p>
        </w:tc>
        <w:tc>
          <w:tcPr>
            <w:tcW w:w="5022" w:type="dxa"/>
            <w:tcBorders>
              <w:top w:val="single" w:color="auto" w:sz="4" w:space="0"/>
              <w:left w:val="nil"/>
              <w:bottom w:val="single" w:color="auto" w:sz="4" w:space="0"/>
              <w:right w:val="nil"/>
            </w:tcBorders>
            <w:tcMar>
              <w:top w:w="0" w:type="dxa"/>
              <w:left w:w="0" w:type="dxa"/>
              <w:bottom w:w="0" w:type="dxa"/>
              <w:right w:w="28" w:type="dxa"/>
            </w:tcMar>
          </w:tcPr>
          <w:p w14:paraId="11D9D522">
            <w:pPr>
              <w:overflowPunct w:val="0"/>
              <w:spacing w:before="48" w:beforeLines="20" w:after="48" w:afterLines="20"/>
              <w:rPr>
                <w:rFonts w:hint="default" w:ascii="Calibri" w:hAnsi="Calibri" w:eastAsia="楷体_GB2312" w:cs="Calibri"/>
                <w:b/>
                <w:sz w:val="15"/>
                <w:szCs w:val="15"/>
                <w:lang w:eastAsia="zh-CN"/>
              </w:rPr>
            </w:pPr>
            <w:r>
              <w:rPr>
                <w:rFonts w:hint="default" w:ascii="Calibri" w:hAnsi="Calibri" w:eastAsia="楷体_GB2312" w:cs="Calibri"/>
                <w:b/>
                <w:sz w:val="15"/>
                <w:szCs w:val="15"/>
                <w:lang w:eastAsia="zh-CN"/>
              </w:rPr>
              <w:drawing>
                <wp:inline distT="0" distB="0" distL="0" distR="0">
                  <wp:extent cx="3166110" cy="2021840"/>
                  <wp:effectExtent l="0" t="0" r="0" b="0"/>
                  <wp:docPr id="31080730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807303" name="图片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3191092" cy="2037899"/>
                          </a:xfrm>
                          <a:prstGeom prst="rect">
                            <a:avLst/>
                          </a:prstGeom>
                          <a:noFill/>
                        </pic:spPr>
                      </pic:pic>
                    </a:graphicData>
                  </a:graphic>
                </wp:inline>
              </w:drawing>
            </w:r>
          </w:p>
        </w:tc>
      </w:tr>
      <w:tr w14:paraId="2147045B">
        <w:tblPrEx>
          <w:tblCellMar>
            <w:top w:w="0" w:type="dxa"/>
            <w:left w:w="108" w:type="dxa"/>
            <w:bottom w:w="0" w:type="dxa"/>
            <w:right w:w="108" w:type="dxa"/>
          </w:tblCellMar>
        </w:tblPrEx>
        <w:trPr>
          <w:trHeight w:val="184" w:hRule="atLeast"/>
        </w:trPr>
        <w:tc>
          <w:tcPr>
            <w:tcW w:w="5457" w:type="dxa"/>
            <w:tcBorders>
              <w:top w:val="single" w:color="auto" w:sz="4" w:space="0"/>
              <w:left w:val="nil"/>
              <w:bottom w:val="nil"/>
              <w:right w:val="nil"/>
            </w:tcBorders>
            <w:tcMar>
              <w:top w:w="0" w:type="dxa"/>
              <w:left w:w="0" w:type="dxa"/>
              <w:bottom w:w="0" w:type="dxa"/>
              <w:right w:w="28" w:type="dxa"/>
            </w:tcMar>
            <w:vAlign w:val="center"/>
          </w:tcPr>
          <w:p w14:paraId="59364E58">
            <w:pPr>
              <w:overflowPunct w:val="0"/>
              <w:spacing w:before="48" w:beforeLines="20" w:after="48" w:afterLines="20"/>
              <w:textAlignment w:val="center"/>
              <w:rPr>
                <w:rFonts w:hint="default" w:ascii="Calibri" w:hAnsi="Calibri" w:eastAsia="楷体_GB2312" w:cs="Calibri"/>
                <w:sz w:val="10"/>
                <w:szCs w:val="10"/>
              </w:rPr>
            </w:pPr>
            <w:r>
              <w:rPr>
                <w:rFonts w:hint="default" w:ascii="Calibri" w:hAnsi="Calibri" w:eastAsia="楷体_GB2312" w:cs="Calibri"/>
                <w:i/>
                <w:iCs/>
                <w:lang w:val="zh-CN"/>
              </w:rPr>
              <w:t>资料来源：iFind，HFI</w:t>
            </w:r>
          </w:p>
        </w:tc>
        <w:tc>
          <w:tcPr>
            <w:tcW w:w="259" w:type="dxa"/>
            <w:tcBorders>
              <w:top w:val="nil"/>
              <w:left w:val="nil"/>
              <w:bottom w:val="nil"/>
              <w:right w:val="nil"/>
            </w:tcBorders>
            <w:tcMar>
              <w:top w:w="0" w:type="dxa"/>
              <w:left w:w="0" w:type="dxa"/>
              <w:bottom w:w="0" w:type="dxa"/>
              <w:right w:w="28" w:type="dxa"/>
            </w:tcMar>
          </w:tcPr>
          <w:p w14:paraId="13687EAE">
            <w:pPr>
              <w:overflowPunct w:val="0"/>
              <w:spacing w:before="48" w:beforeLines="20" w:after="48" w:afterLines="20"/>
              <w:rPr>
                <w:rFonts w:hint="default" w:ascii="Calibri" w:hAnsi="Calibri" w:eastAsia="楷体_GB2312" w:cs="Calibri"/>
                <w:sz w:val="15"/>
                <w:szCs w:val="15"/>
              </w:rPr>
            </w:pPr>
          </w:p>
        </w:tc>
        <w:tc>
          <w:tcPr>
            <w:tcW w:w="5022" w:type="dxa"/>
            <w:tcBorders>
              <w:top w:val="single" w:color="auto" w:sz="4" w:space="0"/>
              <w:left w:val="nil"/>
              <w:bottom w:val="nil"/>
              <w:right w:val="nil"/>
            </w:tcBorders>
            <w:tcMar>
              <w:top w:w="0" w:type="dxa"/>
              <w:left w:w="0" w:type="dxa"/>
              <w:bottom w:w="0" w:type="dxa"/>
              <w:right w:w="28" w:type="dxa"/>
            </w:tcMar>
          </w:tcPr>
          <w:p w14:paraId="2AD0A497">
            <w:pPr>
              <w:overflowPunct w:val="0"/>
              <w:spacing w:before="48" w:beforeLines="20" w:after="48" w:afterLines="20"/>
              <w:rPr>
                <w:rFonts w:hint="default" w:ascii="Calibri" w:hAnsi="Calibri" w:eastAsia="楷体_GB2312" w:cs="Calibri"/>
                <w:sz w:val="10"/>
                <w:szCs w:val="10"/>
              </w:rPr>
            </w:pPr>
            <w:r>
              <w:rPr>
                <w:rFonts w:hint="default" w:ascii="Calibri" w:hAnsi="Calibri" w:eastAsia="楷体_GB2312" w:cs="Calibri"/>
                <w:i/>
                <w:iCs/>
                <w:lang w:val="zh-CN"/>
              </w:rPr>
              <w:t>资料来源：iFind, HFI</w:t>
            </w:r>
          </w:p>
        </w:tc>
      </w:tr>
    </w:tbl>
    <w:p w14:paraId="3C7EE62F">
      <w:pPr>
        <w:rPr>
          <w:rFonts w:hint="default" w:ascii="Calibri" w:hAnsi="Calibri" w:eastAsia="楷体_GB2312" w:cs="Calibri"/>
          <w:b/>
          <w:bCs/>
          <w:sz w:val="20"/>
          <w:szCs w:val="20"/>
          <w:lang w:val="en-US" w:eastAsia="zh-CN"/>
        </w:rPr>
      </w:pPr>
      <w:r>
        <w:rPr>
          <w:rFonts w:hint="default" w:ascii="Calibri" w:hAnsi="Calibri" w:eastAsia="楷体_GB2312" w:cs="Calibri"/>
          <w:b/>
          <w:bCs/>
          <w:sz w:val="20"/>
          <w:szCs w:val="20"/>
          <w:lang w:val="en-US" w:eastAsia="zh-CN"/>
        </w:rPr>
        <w:br w:type="page"/>
      </w:r>
    </w:p>
    <w:p w14:paraId="6B516BB8">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分市场来看</w:t>
      </w:r>
      <w:r>
        <w:rPr>
          <w:rFonts w:hint="default" w:ascii="Calibri" w:hAnsi="Calibri" w:eastAsia="楷体_GB2312" w:cs="Calibri"/>
          <w:sz w:val="20"/>
          <w:szCs w:val="20"/>
          <w:lang w:val="en-US" w:eastAsia="zh-CN"/>
        </w:rPr>
        <w:t>——</w:t>
      </w:r>
      <w:r>
        <w:rPr>
          <w:rFonts w:hint="default" w:ascii="Calibri" w:hAnsi="Calibri" w:eastAsia="楷体_GB2312" w:cs="Calibri"/>
          <w:sz w:val="20"/>
          <w:szCs w:val="20"/>
          <w:lang w:val="en-US" w:eastAsia="zh-CN"/>
        </w:rPr>
        <w:t>近几个交易日，全球主要资本市场区域分化显著，亚洲市场持续强势领跑。韩国</w:t>
      </w:r>
      <w:r>
        <w:rPr>
          <w:rFonts w:hint="default" w:ascii="Calibri" w:hAnsi="Calibri" w:eastAsia="楷体_GB2312" w:cs="Calibri"/>
          <w:sz w:val="20"/>
          <w:szCs w:val="20"/>
          <w:lang w:val="en-US" w:eastAsia="zh-CN"/>
        </w:rPr>
        <w:t>KOSPI</w:t>
      </w:r>
      <w:r>
        <w:rPr>
          <w:rFonts w:hint="default" w:ascii="Calibri" w:hAnsi="Calibri" w:eastAsia="楷体_GB2312" w:cs="Calibri"/>
          <w:sz w:val="20"/>
          <w:szCs w:val="20"/>
          <w:lang w:val="en-US" w:eastAsia="zh-CN"/>
        </w:rPr>
        <w:t>指数屡创新高并延续年初以来的强势涨幅；日本日经</w:t>
      </w:r>
      <w:r>
        <w:rPr>
          <w:rFonts w:hint="default" w:ascii="Calibri" w:hAnsi="Calibri" w:eastAsia="楷体_GB2312" w:cs="Calibri"/>
          <w:sz w:val="20"/>
          <w:szCs w:val="20"/>
          <w:lang w:val="en-US" w:eastAsia="zh-CN"/>
        </w:rPr>
        <w:t>225</w:t>
      </w:r>
      <w:r>
        <w:rPr>
          <w:rFonts w:hint="default" w:ascii="Calibri" w:hAnsi="Calibri" w:eastAsia="楷体_GB2312" w:cs="Calibri"/>
          <w:sz w:val="20"/>
          <w:szCs w:val="20"/>
          <w:lang w:val="en-US" w:eastAsia="zh-CN"/>
        </w:rPr>
        <w:t>指数紧随其后，高位震荡中稳步上行，成为全球最亮眼板块。大中华区股指（恒生指数与上证综指）在政策积极信号持续提振下，展现出较强的内生修复动力，震荡回暖态势明显。欧洲主要股指（英国富时</w:t>
      </w:r>
      <w:r>
        <w:rPr>
          <w:rFonts w:hint="default" w:ascii="Calibri" w:hAnsi="Calibri" w:eastAsia="楷体_GB2312" w:cs="Calibri"/>
          <w:sz w:val="20"/>
          <w:szCs w:val="20"/>
          <w:lang w:val="en-US" w:eastAsia="zh-CN"/>
        </w:rPr>
        <w:t>100</w:t>
      </w:r>
      <w:r>
        <w:rPr>
          <w:rFonts w:hint="default" w:ascii="Calibri" w:hAnsi="Calibri" w:eastAsia="楷体_GB2312" w:cs="Calibri"/>
          <w:sz w:val="20"/>
          <w:szCs w:val="20"/>
          <w:lang w:val="en-US" w:eastAsia="zh-CN"/>
        </w:rPr>
        <w:t>、法国</w:t>
      </w:r>
      <w:r>
        <w:rPr>
          <w:rFonts w:hint="default" w:ascii="Calibri" w:hAnsi="Calibri" w:eastAsia="楷体_GB2312" w:cs="Calibri"/>
          <w:sz w:val="20"/>
          <w:szCs w:val="20"/>
          <w:lang w:val="en-US" w:eastAsia="zh-CN"/>
        </w:rPr>
        <w:t>CAC40</w:t>
      </w:r>
      <w:r>
        <w:rPr>
          <w:rFonts w:hint="default" w:ascii="Calibri" w:hAnsi="Calibri" w:eastAsia="楷体_GB2312" w:cs="Calibri"/>
          <w:sz w:val="20"/>
          <w:szCs w:val="20"/>
          <w:lang w:val="en-US" w:eastAsia="zh-CN"/>
        </w:rPr>
        <w:t>、德国</w:t>
      </w:r>
      <w:r>
        <w:rPr>
          <w:rFonts w:hint="default" w:ascii="Calibri" w:hAnsi="Calibri" w:eastAsia="楷体_GB2312" w:cs="Calibri"/>
          <w:sz w:val="20"/>
          <w:szCs w:val="20"/>
          <w:lang w:val="en-US" w:eastAsia="zh-CN"/>
        </w:rPr>
        <w:t>DAX</w:t>
      </w:r>
      <w:r>
        <w:rPr>
          <w:rFonts w:hint="default" w:ascii="Calibri" w:hAnsi="Calibri" w:eastAsia="楷体_GB2312" w:cs="Calibri"/>
          <w:sz w:val="20"/>
          <w:szCs w:val="20"/>
          <w:lang w:val="en-US" w:eastAsia="zh-CN"/>
        </w:rPr>
        <w:t>）表现相对稳健，在高位窄幅整理后逐步企稳回升，与美股走势形成良好联动。东南亚市场科技相关指数短期回调后有所企稳，但整体仍处于低位震荡蓄势阶段，等待更多增量资金流入。总体而言，全球多数市场年初以来“亚洲领跑、欧美稳健、新兴分化”的格局持续演绎，目前普遍进入高位轮动与蓄势阶段，市场信心正在稳步巩固。</w:t>
      </w:r>
    </w:p>
    <w:p w14:paraId="2D9E5919">
      <w:pPr>
        <w:overflowPunct w:val="0"/>
        <w:ind w:left="3200" w:leftChars="2000"/>
        <w:jc w:val="both"/>
        <w:rPr>
          <w:rFonts w:hint="default" w:ascii="Calibri" w:hAnsi="Calibri" w:eastAsia="楷体_GB2312" w:cs="Calibri"/>
          <w:b/>
          <w:bCs/>
          <w:sz w:val="20"/>
          <w:szCs w:val="20"/>
          <w:lang w:val="en-US" w:eastAsia="zh-CN"/>
        </w:rPr>
      </w:pPr>
    </w:p>
    <w:tbl>
      <w:tblPr>
        <w:tblStyle w:val="27"/>
        <w:tblW w:w="7459" w:type="dxa"/>
        <w:tblInd w:w="3247"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fixed"/>
        <w:tblCellMar>
          <w:top w:w="0" w:type="dxa"/>
          <w:left w:w="0" w:type="dxa"/>
          <w:bottom w:w="0" w:type="dxa"/>
          <w:right w:w="0" w:type="dxa"/>
        </w:tblCellMar>
      </w:tblPr>
      <w:tblGrid>
        <w:gridCol w:w="7459"/>
      </w:tblGrid>
      <w:tr w14:paraId="02D0F673">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PrEx>
        <w:tc>
          <w:tcPr>
            <w:tcW w:w="7459" w:type="dxa"/>
            <w:tcBorders>
              <w:bottom w:val="single" w:color="auto" w:sz="4" w:space="0"/>
            </w:tcBorders>
          </w:tcPr>
          <w:p w14:paraId="2ECCD33F">
            <w:pPr>
              <w:overflowPunct w:val="0"/>
              <w:rPr>
                <w:rFonts w:hint="default" w:ascii="Calibri" w:hAnsi="Calibri" w:eastAsia="楷体_GB2312" w:cs="Calibri"/>
                <w:b/>
                <w:sz w:val="17"/>
                <w:lang w:eastAsia="zh-CN"/>
              </w:rPr>
            </w:pPr>
            <w:r>
              <w:rPr>
                <w:rFonts w:hint="default" w:ascii="Calibri" w:hAnsi="Calibri" w:eastAsia="楷体_GB2312" w:cs="Calibri"/>
                <w:b/>
                <w:sz w:val="18"/>
                <w:szCs w:val="18"/>
                <w:lang w:eastAsia="zh-CN"/>
              </w:rPr>
              <w:t>表1: 覆盖股票</w:t>
            </w:r>
            <w:r>
              <w:rPr>
                <w:rFonts w:hint="default" w:ascii="Calibri" w:hAnsi="Calibri" w:eastAsia="楷体_GB2312" w:cs="Calibri"/>
                <w:b/>
                <w:sz w:val="18"/>
                <w:szCs w:val="18"/>
                <w:lang w:eastAsia="zh-CN"/>
              </w:rPr>
              <w:t>近1周</w:t>
            </w:r>
            <w:r>
              <w:rPr>
                <w:rFonts w:hint="default" w:ascii="Calibri" w:hAnsi="Calibri" w:eastAsia="楷体_GB2312" w:cs="Calibri"/>
                <w:b/>
                <w:sz w:val="18"/>
                <w:szCs w:val="18"/>
                <w:lang w:eastAsia="zh-CN"/>
              </w:rPr>
              <w:t>涨跌幅（截至02/</w:t>
            </w:r>
            <w:r>
              <w:rPr>
                <w:rFonts w:hint="default" w:ascii="Calibri" w:hAnsi="Calibri" w:eastAsia="楷体_GB2312" w:cs="Calibri"/>
                <w:b/>
                <w:sz w:val="18"/>
                <w:szCs w:val="18"/>
                <w:lang w:eastAsia="zh-CN"/>
              </w:rPr>
              <w:t>25</w:t>
            </w:r>
            <w:r>
              <w:rPr>
                <w:rFonts w:hint="default" w:ascii="Calibri" w:hAnsi="Calibri" w:eastAsia="楷体_GB2312" w:cs="Calibri"/>
                <w:b/>
                <w:sz w:val="18"/>
                <w:szCs w:val="18"/>
                <w:lang w:eastAsia="zh-CN"/>
              </w:rPr>
              <w:t>/</w:t>
            </w:r>
            <w:r>
              <w:rPr>
                <w:rFonts w:hint="default" w:ascii="Calibri" w:hAnsi="Calibri" w:eastAsia="楷体_GB2312" w:cs="Calibri"/>
                <w:b/>
                <w:sz w:val="18"/>
                <w:szCs w:val="18"/>
                <w:lang w:eastAsia="zh-CN"/>
              </w:rPr>
              <w:t>20</w:t>
            </w:r>
            <w:r>
              <w:rPr>
                <w:rFonts w:hint="default" w:ascii="Calibri" w:hAnsi="Calibri" w:eastAsia="楷体_GB2312" w:cs="Calibri"/>
                <w:b/>
                <w:sz w:val="18"/>
                <w:szCs w:val="18"/>
                <w:lang w:eastAsia="zh-CN"/>
              </w:rPr>
              <w:t>26）</w:t>
            </w:r>
          </w:p>
        </w:tc>
      </w:tr>
      <w:tr w14:paraId="65311802">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4316" w:hRule="atLeast"/>
        </w:trPr>
        <w:tc>
          <w:tcPr>
            <w:tcW w:w="7459" w:type="dxa"/>
            <w:tcBorders>
              <w:top w:val="single" w:color="auto" w:sz="4" w:space="0"/>
              <w:bottom w:val="single" w:color="auto" w:sz="4" w:space="0"/>
            </w:tcBorders>
            <w:vAlign w:val="center"/>
          </w:tcPr>
          <w:p w14:paraId="258B5619">
            <w:pPr>
              <w:overflowPunct w:val="0"/>
              <w:jc w:val="center"/>
              <w:rPr>
                <w:rFonts w:hint="default" w:ascii="Calibri" w:hAnsi="Calibri" w:eastAsia="楷体_GB2312" w:cs="Calibri"/>
                <w:lang w:eastAsia="zh-CN"/>
              </w:rPr>
            </w:pPr>
            <w:r>
              <w:rPr>
                <w:rFonts w:hint="default" w:ascii="Calibri" w:hAnsi="Calibri" w:eastAsia="楷体_GB2312" w:cs="Calibri"/>
                <w:lang w:eastAsia="zh-CN"/>
              </w:rPr>
              <w:drawing>
                <wp:inline distT="0" distB="0" distL="0" distR="0">
                  <wp:extent cx="4592955" cy="4857750"/>
                  <wp:effectExtent l="0" t="0" r="0" b="0"/>
                  <wp:docPr id="62323678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236784" name="图片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592955" cy="4857750"/>
                          </a:xfrm>
                          <a:prstGeom prst="rect">
                            <a:avLst/>
                          </a:prstGeom>
                          <a:noFill/>
                          <a:ln>
                            <a:noFill/>
                          </a:ln>
                        </pic:spPr>
                      </pic:pic>
                    </a:graphicData>
                  </a:graphic>
                </wp:inline>
              </w:drawing>
            </w:r>
          </w:p>
          <w:p w14:paraId="6D72B906">
            <w:pPr>
              <w:overflowPunct w:val="0"/>
              <w:rPr>
                <w:rFonts w:hint="default" w:ascii="Calibri" w:hAnsi="Calibri" w:eastAsia="楷体_GB2312" w:cs="Calibri"/>
                <w:sz w:val="10"/>
                <w:lang w:eastAsia="zh-CN"/>
              </w:rPr>
            </w:pPr>
            <w:r>
              <w:rPr>
                <w:rFonts w:hint="default" w:ascii="Calibri" w:hAnsi="Calibri" w:eastAsia="楷体_GB2312" w:cs="Calibri"/>
              </w:rPr>
              <w:fldChar w:fldCharType="begin"/>
            </w:r>
            <w:r>
              <w:rPr>
                <w:rFonts w:hint="default" w:ascii="Calibri" w:hAnsi="Calibri" w:eastAsia="楷体_GB2312" w:cs="Calibri"/>
                <w:lang w:eastAsia="zh-CN"/>
              </w:rPr>
              <w:instrText xml:space="preserve"> INCLUDEPICTURE "https://ir.eia.gov/ngs/ngs.gif" \* MERGEFORMATINET </w:instrText>
            </w:r>
            <w:r>
              <w:rPr>
                <w:rFonts w:hint="default" w:ascii="Calibri" w:hAnsi="Calibri" w:eastAsia="楷体_GB2312" w:cs="Calibri"/>
              </w:rPr>
              <w:fldChar w:fldCharType="end"/>
            </w:r>
          </w:p>
        </w:tc>
      </w:tr>
      <w:tr w14:paraId="005D897C">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7459" w:type="dxa"/>
            <w:tcBorders>
              <w:top w:val="single" w:color="auto" w:sz="4" w:space="0"/>
            </w:tcBorders>
          </w:tcPr>
          <w:p w14:paraId="2772F63F">
            <w:pPr>
              <w:rPr>
                <w:rFonts w:hint="default" w:ascii="Calibri" w:hAnsi="Calibri" w:eastAsia="楷体_GB2312" w:cs="Calibri"/>
                <w:i/>
                <w:iCs/>
              </w:rPr>
            </w:pPr>
            <w:r>
              <w:rPr>
                <w:rFonts w:hint="default" w:ascii="Calibri" w:hAnsi="Calibri" w:eastAsia="楷体_GB2312" w:cs="Calibri"/>
                <w:i/>
                <w:iCs/>
              </w:rPr>
              <w:t>资料来源：</w:t>
            </w:r>
            <w:r>
              <w:rPr>
                <w:rFonts w:hint="default" w:ascii="Calibri" w:hAnsi="Calibri" w:eastAsia="楷体_GB2312" w:cs="Calibri"/>
                <w:i/>
                <w:iCs/>
                <w:lang w:val="zh-CN"/>
              </w:rPr>
              <w:t>IFind, HFI</w:t>
            </w:r>
          </w:p>
        </w:tc>
      </w:tr>
    </w:tbl>
    <w:p w14:paraId="1F700F2C">
      <w:pPr>
        <w:overflowPunct w:val="0"/>
        <w:ind w:left="3200" w:leftChars="2000"/>
        <w:jc w:val="both"/>
        <w:rPr>
          <w:rFonts w:hint="default" w:ascii="Calibri" w:hAnsi="Calibri" w:eastAsia="楷体_GB2312" w:cs="Calibri"/>
          <w:b/>
          <w:bCs/>
          <w:sz w:val="20"/>
          <w:szCs w:val="20"/>
          <w:lang w:val="en-US" w:eastAsia="zh-CN"/>
        </w:rPr>
      </w:pPr>
    </w:p>
    <w:p w14:paraId="2902DC82">
      <w:pPr>
        <w:overflowPunct w:val="0"/>
        <w:ind w:left="3200" w:leftChars="2000"/>
        <w:jc w:val="both"/>
        <w:rPr>
          <w:rFonts w:hint="default" w:ascii="Calibri" w:hAnsi="Calibri" w:eastAsia="楷体_GB2312" w:cs="Calibri"/>
          <w:b/>
          <w:bCs/>
          <w:sz w:val="20"/>
          <w:szCs w:val="20"/>
          <w:lang w:val="en-US" w:eastAsia="zh-CN"/>
        </w:rPr>
      </w:pPr>
    </w:p>
    <w:p w14:paraId="6DD24110">
      <w:pPr>
        <w:overflowPunct w:val="0"/>
        <w:ind w:left="3200" w:leftChars="2000"/>
        <w:jc w:val="both"/>
        <w:rPr>
          <w:rFonts w:hint="default" w:ascii="Calibri" w:hAnsi="Calibri" w:eastAsia="楷体_GB2312" w:cs="Calibri"/>
          <w:b/>
          <w:bCs/>
          <w:sz w:val="20"/>
          <w:szCs w:val="20"/>
          <w:lang w:val="en-US" w:eastAsia="zh-CN"/>
        </w:rPr>
      </w:pPr>
    </w:p>
    <w:p w14:paraId="3616FAD9">
      <w:pPr>
        <w:overflowPunct w:val="0"/>
        <w:ind w:left="3200" w:leftChars="2000"/>
        <w:jc w:val="both"/>
        <w:rPr>
          <w:rFonts w:hint="default" w:ascii="Calibri" w:hAnsi="Calibri" w:eastAsia="楷体_GB2312" w:cs="Calibri"/>
          <w:b/>
          <w:bCs/>
          <w:sz w:val="20"/>
          <w:szCs w:val="20"/>
          <w:lang w:val="en-US" w:eastAsia="zh-CN"/>
        </w:rPr>
      </w:pPr>
    </w:p>
    <w:p w14:paraId="2AA2305F">
      <w:pPr>
        <w:overflowPunct w:val="0"/>
        <w:ind w:left="3200" w:leftChars="2000"/>
        <w:jc w:val="both"/>
        <w:rPr>
          <w:rFonts w:hint="default" w:ascii="Calibri" w:hAnsi="Calibri" w:eastAsia="楷体_GB2312" w:cs="Calibri"/>
          <w:b/>
          <w:bCs/>
          <w:sz w:val="20"/>
          <w:szCs w:val="20"/>
          <w:lang w:val="en-US" w:eastAsia="zh-CN"/>
        </w:rPr>
      </w:pPr>
    </w:p>
    <w:p w14:paraId="2B2688AD">
      <w:pPr>
        <w:overflowPunct w:val="0"/>
        <w:ind w:left="3200" w:leftChars="2000"/>
        <w:jc w:val="both"/>
        <w:rPr>
          <w:rFonts w:hint="default" w:ascii="Calibri" w:hAnsi="Calibri" w:eastAsia="楷体_GB2312" w:cs="Calibri"/>
          <w:b/>
          <w:bCs/>
          <w:sz w:val="20"/>
          <w:szCs w:val="20"/>
          <w:lang w:val="en-US" w:eastAsia="zh-CN"/>
        </w:rPr>
      </w:pPr>
    </w:p>
    <w:p w14:paraId="0056185D">
      <w:pPr>
        <w:overflowPunct w:val="0"/>
        <w:ind w:left="3200" w:leftChars="2000"/>
        <w:jc w:val="both"/>
        <w:outlineLvl w:val="0"/>
        <w:rPr>
          <w:rFonts w:hint="default" w:ascii="Calibri" w:hAnsi="Calibri" w:eastAsia="楷体_GB2312" w:cs="Calibri"/>
          <w:b/>
          <w:bCs/>
          <w:color w:val="1F497D" w:themeColor="text2"/>
          <w:sz w:val="24"/>
          <w:szCs w:val="24"/>
          <w:lang w:val="en-US" w:eastAsia="zh-CN"/>
          <w14:textFill>
            <w14:solidFill>
              <w14:schemeClr w14:val="tx2"/>
            </w14:solidFill>
          </w14:textFill>
        </w:rPr>
      </w:pPr>
      <w:bookmarkStart w:id="6" w:name="_Toc223082594"/>
      <w:bookmarkStart w:id="7" w:name="_Toc965616693"/>
      <w:r>
        <w:rPr>
          <w:rFonts w:hint="default" w:ascii="Calibri" w:hAnsi="Calibri" w:eastAsia="楷体_GB2312" w:cs="Calibri"/>
          <w:b/>
          <w:bCs/>
          <w:color w:val="1F497D" w:themeColor="text2"/>
          <w:sz w:val="24"/>
          <w:szCs w:val="24"/>
          <w:lang w:val="en-US" w:eastAsia="zh-CN"/>
          <w14:textFill>
            <w14:solidFill>
              <w14:schemeClr w14:val="tx2"/>
            </w14:solidFill>
          </w14:textFill>
        </w:rPr>
        <w:t>二、全球基建与建筑装备</w:t>
      </w:r>
      <w:bookmarkEnd w:id="6"/>
      <w:bookmarkEnd w:id="7"/>
      <w:bookmarkStart w:id="8" w:name="_Toc585838872"/>
    </w:p>
    <w:p w14:paraId="01F14E27">
      <w:pPr>
        <w:overflowPunct w:val="0"/>
        <w:ind w:left="3200" w:leftChars="2000"/>
        <w:jc w:val="both"/>
        <w:outlineLvl w:val="1"/>
        <w:rPr>
          <w:rFonts w:hint="default" w:ascii="Calibri" w:hAnsi="Calibri" w:eastAsia="楷体_GB2312" w:cs="Calibri"/>
          <w:b/>
          <w:bCs/>
          <w:color w:val="1F497D" w:themeColor="text2"/>
          <w:sz w:val="24"/>
          <w:szCs w:val="24"/>
          <w:lang w:val="en-US" w:eastAsia="zh-CN"/>
          <w14:textFill>
            <w14:solidFill>
              <w14:schemeClr w14:val="tx2"/>
            </w14:solidFill>
          </w14:textFill>
        </w:rPr>
      </w:pPr>
      <w:r>
        <w:rPr>
          <w:rFonts w:hint="default" w:ascii="Calibri" w:hAnsi="Calibri" w:eastAsia="楷体_GB2312" w:cs="Calibri"/>
        </w:rPr>
        <w:fldChar w:fldCharType="begin"/>
      </w:r>
      <w:r>
        <w:rPr>
          <w:rFonts w:hint="default" w:ascii="Calibri" w:hAnsi="Calibri" w:eastAsia="楷体_GB2312" w:cs="Calibri"/>
        </w:rPr>
        <w:instrText xml:space="preserve"> HYPERLINK \l "_Toc192787046" </w:instrText>
      </w:r>
      <w:r>
        <w:rPr>
          <w:rFonts w:hint="default" w:ascii="Calibri" w:hAnsi="Calibri" w:eastAsia="楷体_GB2312" w:cs="Calibri"/>
        </w:rPr>
        <w:fldChar w:fldCharType="separate"/>
      </w:r>
      <w:bookmarkStart w:id="9" w:name="_Toc223082595"/>
      <w:r>
        <w:rPr>
          <w:rFonts w:hint="default" w:ascii="Calibri" w:hAnsi="Calibri" w:eastAsia="楷体_GB2312" w:cs="Calibri"/>
          <w:b/>
          <w:bCs/>
          <w:color w:val="1F497D" w:themeColor="text2"/>
          <w:sz w:val="24"/>
          <w:szCs w:val="24"/>
          <w:lang w:val="en-US" w:eastAsia="zh-CN"/>
          <w14:textFill>
            <w14:solidFill>
              <w14:schemeClr w14:val="tx2"/>
            </w14:solidFill>
          </w14:textFill>
        </w:rPr>
        <w:t>（一）数据中心</w:t>
      </w:r>
      <w:bookmarkEnd w:id="9"/>
      <w:r>
        <w:rPr>
          <w:rFonts w:hint="default" w:ascii="Calibri" w:hAnsi="Calibri" w:eastAsia="楷体_GB2312" w:cs="Calibri"/>
          <w:b/>
          <w:bCs/>
          <w:color w:val="1F497D" w:themeColor="text2"/>
          <w:sz w:val="24"/>
          <w:szCs w:val="24"/>
          <w:lang w:val="en-US" w:eastAsia="zh-CN"/>
          <w14:textFill>
            <w14:solidFill>
              <w14:schemeClr w14:val="tx2"/>
            </w14:solidFill>
          </w14:textFill>
        </w:rPr>
        <w:fldChar w:fldCharType="end"/>
      </w:r>
      <w:bookmarkEnd w:id="8"/>
    </w:p>
    <w:p w14:paraId="214FE1A6">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美国白宫发布“费率支付者保护承诺”要求科技巨头全额承担</w:t>
      </w:r>
      <w:r>
        <w:rPr>
          <w:rFonts w:hint="default" w:ascii="Calibri" w:hAnsi="Calibri" w:eastAsia="楷体_GB2312" w:cs="Calibri"/>
          <w:b/>
          <w:bCs/>
          <w:sz w:val="20"/>
          <w:szCs w:val="20"/>
          <w:lang w:val="en-US" w:eastAsia="zh-CN"/>
        </w:rPr>
        <w:t>AI</w:t>
      </w:r>
      <w:r>
        <w:rPr>
          <w:rFonts w:hint="default" w:ascii="Calibri" w:hAnsi="Calibri" w:eastAsia="楷体_GB2312" w:cs="Calibri"/>
          <w:b/>
          <w:bCs/>
          <w:sz w:val="20"/>
          <w:szCs w:val="20"/>
          <w:lang w:val="en-US" w:eastAsia="zh-CN"/>
        </w:rPr>
        <w:t>数据中心扩容带来的电力基础设施费用。</w:t>
      </w:r>
      <w:r>
        <w:rPr>
          <w:rFonts w:hint="default" w:ascii="Calibri" w:hAnsi="Calibri" w:eastAsia="楷体_GB2312" w:cs="Calibri"/>
          <w:sz w:val="20"/>
          <w:szCs w:val="20"/>
          <w:lang w:val="en-US" w:eastAsia="zh-CN"/>
        </w:rPr>
        <w:t xml:space="preserve"> </w:t>
      </w:r>
      <w:r>
        <w:rPr>
          <w:rFonts w:hint="default" w:ascii="Calibri" w:hAnsi="Calibri" w:eastAsia="楷体_GB2312" w:cs="Calibri"/>
          <w:sz w:val="20"/>
          <w:szCs w:val="20"/>
          <w:lang w:val="en-US" w:eastAsia="zh-CN"/>
        </w:rPr>
        <w:t>在</w:t>
      </w:r>
      <w:r>
        <w:rPr>
          <w:rFonts w:hint="default" w:ascii="Calibri" w:hAnsi="Calibri" w:eastAsia="楷体_GB2312" w:cs="Calibri"/>
          <w:sz w:val="20"/>
          <w:szCs w:val="20"/>
          <w:lang w:val="en-US" w:eastAsia="zh-CN"/>
        </w:rPr>
        <w:t>2026</w:t>
      </w:r>
      <w:r>
        <w:rPr>
          <w:rFonts w:hint="default" w:ascii="Calibri" w:hAnsi="Calibri" w:eastAsia="楷体_GB2312" w:cs="Calibri"/>
          <w:sz w:val="20"/>
          <w:szCs w:val="20"/>
          <w:lang w:val="en-US" w:eastAsia="zh-CN"/>
        </w:rPr>
        <w:t>年</w:t>
      </w:r>
      <w:r>
        <w:rPr>
          <w:rFonts w:hint="default" w:ascii="Calibri" w:hAnsi="Calibri" w:eastAsia="楷体_GB2312" w:cs="Calibri"/>
          <w:sz w:val="20"/>
          <w:szCs w:val="20"/>
          <w:lang w:val="en-US" w:eastAsia="zh-CN"/>
        </w:rPr>
        <w:t>2</w:t>
      </w:r>
      <w:r>
        <w:rPr>
          <w:rFonts w:hint="default" w:ascii="Calibri" w:hAnsi="Calibri" w:eastAsia="楷体_GB2312" w:cs="Calibri"/>
          <w:sz w:val="20"/>
          <w:szCs w:val="20"/>
          <w:lang w:val="en-US" w:eastAsia="zh-CN"/>
        </w:rPr>
        <w:t>月</w:t>
      </w:r>
      <w:r>
        <w:rPr>
          <w:rFonts w:hint="default" w:ascii="Calibri" w:hAnsi="Calibri" w:eastAsia="楷体_GB2312" w:cs="Calibri"/>
          <w:sz w:val="20"/>
          <w:szCs w:val="20"/>
          <w:lang w:val="en-US" w:eastAsia="zh-CN"/>
        </w:rPr>
        <w:t>24</w:t>
      </w:r>
      <w:r>
        <w:rPr>
          <w:rFonts w:hint="default" w:ascii="Calibri" w:hAnsi="Calibri" w:eastAsia="楷体_GB2312" w:cs="Calibri"/>
          <w:sz w:val="20"/>
          <w:szCs w:val="20"/>
          <w:lang w:val="en-US" w:eastAsia="zh-CN"/>
        </w:rPr>
        <w:t>日的国情咨文演讲中，特朗普总统宣布已与亚马逊、谷歌、</w:t>
      </w:r>
      <w:r>
        <w:rPr>
          <w:rFonts w:hint="default" w:ascii="Calibri" w:hAnsi="Calibri" w:eastAsia="楷体_GB2312" w:cs="Calibri"/>
          <w:sz w:val="20"/>
          <w:szCs w:val="20"/>
          <w:lang w:val="en-US" w:eastAsia="zh-CN"/>
        </w:rPr>
        <w:t>Meta</w:t>
      </w:r>
      <w:r>
        <w:rPr>
          <w:rFonts w:hint="default" w:ascii="Calibri" w:hAnsi="Calibri" w:eastAsia="楷体_GB2312" w:cs="Calibri"/>
          <w:sz w:val="20"/>
          <w:szCs w:val="20"/>
          <w:lang w:val="en-US" w:eastAsia="zh-CN"/>
        </w:rPr>
        <w:t>、微软、</w:t>
      </w:r>
      <w:r>
        <w:rPr>
          <w:rFonts w:hint="default" w:ascii="Calibri" w:hAnsi="Calibri" w:eastAsia="楷体_GB2312" w:cs="Calibri"/>
          <w:sz w:val="20"/>
          <w:szCs w:val="20"/>
          <w:lang w:val="en-US" w:eastAsia="zh-CN"/>
        </w:rPr>
        <w:t>xAI</w:t>
      </w:r>
      <w:r>
        <w:rPr>
          <w:rFonts w:hint="default" w:ascii="Calibri" w:hAnsi="Calibri" w:eastAsia="楷体_GB2312" w:cs="Calibri"/>
          <w:sz w:val="20"/>
          <w:szCs w:val="20"/>
          <w:lang w:val="en-US" w:eastAsia="zh-CN"/>
        </w:rPr>
        <w:t>、</w:t>
      </w:r>
      <w:r>
        <w:rPr>
          <w:rFonts w:hint="default" w:ascii="Calibri" w:hAnsi="Calibri" w:eastAsia="楷体_GB2312" w:cs="Calibri"/>
          <w:sz w:val="20"/>
          <w:szCs w:val="20"/>
          <w:lang w:val="en-US" w:eastAsia="zh-CN"/>
        </w:rPr>
        <w:t>Oracle</w:t>
      </w:r>
      <w:r>
        <w:rPr>
          <w:rFonts w:hint="default" w:ascii="Calibri" w:hAnsi="Calibri" w:eastAsia="楷体_GB2312" w:cs="Calibri"/>
          <w:sz w:val="20"/>
          <w:szCs w:val="20"/>
          <w:lang w:val="en-US" w:eastAsia="zh-CN"/>
        </w:rPr>
        <w:t>和</w:t>
      </w:r>
      <w:r>
        <w:rPr>
          <w:rFonts w:hint="default" w:ascii="Calibri" w:hAnsi="Calibri" w:eastAsia="楷体_GB2312" w:cs="Calibri"/>
          <w:sz w:val="20"/>
          <w:szCs w:val="20"/>
          <w:lang w:val="en-US" w:eastAsia="zh-CN"/>
        </w:rPr>
        <w:t>OpenAI</w:t>
      </w:r>
      <w:r>
        <w:rPr>
          <w:rFonts w:hint="default" w:ascii="Calibri" w:hAnsi="Calibri" w:eastAsia="楷体_GB2312" w:cs="Calibri"/>
          <w:sz w:val="20"/>
          <w:szCs w:val="20"/>
          <w:lang w:val="en-US" w:eastAsia="zh-CN"/>
        </w:rPr>
        <w:t>等巨头达成协议，强制要求这些企业为新数据中心接入电网所需的升级费用“全额买单”。此举旨在防止</w:t>
      </w:r>
      <w:r>
        <w:rPr>
          <w:rFonts w:hint="default" w:ascii="Calibri" w:hAnsi="Calibri" w:eastAsia="楷体_GB2312" w:cs="Calibri"/>
          <w:sz w:val="20"/>
          <w:szCs w:val="20"/>
          <w:lang w:val="en-US" w:eastAsia="zh-CN"/>
        </w:rPr>
        <w:t>AI</w:t>
      </w:r>
      <w:r>
        <w:rPr>
          <w:rFonts w:hint="default" w:ascii="Calibri" w:hAnsi="Calibri" w:eastAsia="楷体_GB2312" w:cs="Calibri"/>
          <w:sz w:val="20"/>
          <w:szCs w:val="20"/>
          <w:lang w:val="en-US" w:eastAsia="zh-CN"/>
        </w:rPr>
        <w:t>算力需求激增导致普通居民电费上涨。白宫计划于</w:t>
      </w:r>
      <w:r>
        <w:rPr>
          <w:rFonts w:hint="default" w:ascii="Calibri" w:hAnsi="Calibri" w:eastAsia="楷体_GB2312" w:cs="Calibri"/>
          <w:sz w:val="20"/>
          <w:szCs w:val="20"/>
          <w:lang w:val="en-US" w:eastAsia="zh-CN"/>
        </w:rPr>
        <w:t>3</w:t>
      </w:r>
      <w:r>
        <w:rPr>
          <w:rFonts w:hint="default" w:ascii="Calibri" w:hAnsi="Calibri" w:eastAsia="楷体_GB2312" w:cs="Calibri"/>
          <w:sz w:val="20"/>
          <w:szCs w:val="20"/>
          <w:lang w:val="en-US" w:eastAsia="zh-CN"/>
        </w:rPr>
        <w:t>月</w:t>
      </w:r>
      <w:r>
        <w:rPr>
          <w:rFonts w:hint="default" w:ascii="Calibri" w:hAnsi="Calibri" w:eastAsia="楷体_GB2312" w:cs="Calibri"/>
          <w:sz w:val="20"/>
          <w:szCs w:val="20"/>
          <w:lang w:val="en-US" w:eastAsia="zh-CN"/>
        </w:rPr>
        <w:t>4</w:t>
      </w:r>
      <w:r>
        <w:rPr>
          <w:rFonts w:hint="default" w:ascii="Calibri" w:hAnsi="Calibri" w:eastAsia="楷体_GB2312" w:cs="Calibri"/>
          <w:sz w:val="20"/>
          <w:szCs w:val="20"/>
          <w:lang w:val="en-US" w:eastAsia="zh-CN"/>
        </w:rPr>
        <w:t>日正式签署该承诺，鼓励大厂通过自建电厂或微电网实现能源自给。</w:t>
      </w:r>
    </w:p>
    <w:p w14:paraId="109056FE">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亚马逊宣布在路易斯安那州投资</w:t>
      </w:r>
      <w:r>
        <w:rPr>
          <w:rFonts w:hint="default" w:ascii="Calibri" w:hAnsi="Calibri" w:eastAsia="楷体_GB2312" w:cs="Calibri"/>
          <w:b/>
          <w:bCs/>
          <w:sz w:val="20"/>
          <w:szCs w:val="20"/>
          <w:lang w:val="en-US" w:eastAsia="zh-CN"/>
        </w:rPr>
        <w:t>120</w:t>
      </w:r>
      <w:r>
        <w:rPr>
          <w:rFonts w:hint="default" w:ascii="Calibri" w:hAnsi="Calibri" w:eastAsia="楷体_GB2312" w:cs="Calibri"/>
          <w:b/>
          <w:bCs/>
          <w:sz w:val="20"/>
          <w:szCs w:val="20"/>
          <w:lang w:val="en-US" w:eastAsia="zh-CN"/>
        </w:rPr>
        <w:t>亿美元建设新一代</w:t>
      </w:r>
      <w:r>
        <w:rPr>
          <w:rFonts w:hint="default" w:ascii="Calibri" w:hAnsi="Calibri" w:eastAsia="楷体_GB2312" w:cs="Calibri"/>
          <w:b/>
          <w:bCs/>
          <w:sz w:val="20"/>
          <w:szCs w:val="20"/>
          <w:lang w:val="en-US" w:eastAsia="zh-CN"/>
        </w:rPr>
        <w:t>AI</w:t>
      </w:r>
      <w:r>
        <w:rPr>
          <w:rFonts w:hint="default" w:ascii="Calibri" w:hAnsi="Calibri" w:eastAsia="楷体_GB2312" w:cs="Calibri"/>
          <w:b/>
          <w:bCs/>
          <w:sz w:val="20"/>
          <w:szCs w:val="20"/>
          <w:lang w:val="en-US" w:eastAsia="zh-CN"/>
        </w:rPr>
        <w:t>数据中心并承诺自付基建成本。</w:t>
      </w:r>
      <w:r>
        <w:rPr>
          <w:rFonts w:hint="default" w:ascii="Calibri" w:hAnsi="Calibri" w:eastAsia="楷体_GB2312" w:cs="Calibri"/>
          <w:sz w:val="20"/>
          <w:szCs w:val="20"/>
          <w:lang w:val="en-US" w:eastAsia="zh-CN"/>
        </w:rPr>
        <w:t xml:space="preserve"> 2026</w:t>
      </w:r>
      <w:r>
        <w:rPr>
          <w:rFonts w:hint="default" w:ascii="Calibri" w:hAnsi="Calibri" w:eastAsia="楷体_GB2312" w:cs="Calibri"/>
          <w:sz w:val="20"/>
          <w:szCs w:val="20"/>
          <w:lang w:val="en-US" w:eastAsia="zh-CN"/>
        </w:rPr>
        <w:t>年</w:t>
      </w:r>
      <w:r>
        <w:rPr>
          <w:rFonts w:hint="default" w:ascii="Calibri" w:hAnsi="Calibri" w:eastAsia="楷体_GB2312" w:cs="Calibri"/>
          <w:sz w:val="20"/>
          <w:szCs w:val="20"/>
          <w:lang w:val="en-US" w:eastAsia="zh-CN"/>
        </w:rPr>
        <w:t>2</w:t>
      </w:r>
      <w:r>
        <w:rPr>
          <w:rFonts w:hint="default" w:ascii="Calibri" w:hAnsi="Calibri" w:eastAsia="楷体_GB2312" w:cs="Calibri"/>
          <w:sz w:val="20"/>
          <w:szCs w:val="20"/>
          <w:lang w:val="en-US" w:eastAsia="zh-CN"/>
        </w:rPr>
        <w:t>月</w:t>
      </w:r>
      <w:r>
        <w:rPr>
          <w:rFonts w:hint="default" w:ascii="Calibri" w:hAnsi="Calibri" w:eastAsia="楷体_GB2312" w:cs="Calibri"/>
          <w:sz w:val="20"/>
          <w:szCs w:val="20"/>
          <w:lang w:val="en-US" w:eastAsia="zh-CN"/>
        </w:rPr>
        <w:t>23</w:t>
      </w:r>
      <w:r>
        <w:rPr>
          <w:rFonts w:hint="default" w:ascii="Calibri" w:hAnsi="Calibri" w:eastAsia="楷体_GB2312" w:cs="Calibri"/>
          <w:sz w:val="20"/>
          <w:szCs w:val="20"/>
          <w:lang w:val="en-US" w:eastAsia="zh-CN"/>
        </w:rPr>
        <w:t>日，亚马逊网络服务（</w:t>
      </w:r>
      <w:r>
        <w:rPr>
          <w:rFonts w:hint="default" w:ascii="Calibri" w:hAnsi="Calibri" w:eastAsia="楷体_GB2312" w:cs="Calibri"/>
          <w:sz w:val="20"/>
          <w:szCs w:val="20"/>
          <w:lang w:val="en-US" w:eastAsia="zh-CN"/>
        </w:rPr>
        <w:t>AWS</w:t>
      </w:r>
      <w:r>
        <w:rPr>
          <w:rFonts w:hint="default" w:ascii="Calibri" w:hAnsi="Calibri" w:eastAsia="楷体_GB2312" w:cs="Calibri"/>
          <w:sz w:val="20"/>
          <w:szCs w:val="20"/>
          <w:lang w:val="en-US" w:eastAsia="zh-CN"/>
        </w:rPr>
        <w:t>）确认在该州西北部建设大规模算力园区。作为“费率支付者保护承诺”的早期实践，亚马逊与当地电力公司</w:t>
      </w:r>
      <w:r>
        <w:rPr>
          <w:rFonts w:hint="default" w:ascii="Calibri" w:hAnsi="Calibri" w:eastAsia="楷体_GB2312" w:cs="Calibri"/>
          <w:sz w:val="20"/>
          <w:szCs w:val="20"/>
          <w:lang w:val="en-US" w:eastAsia="zh-CN"/>
        </w:rPr>
        <w:t>SWEPCO</w:t>
      </w:r>
      <w:r>
        <w:rPr>
          <w:rFonts w:hint="default" w:ascii="Calibri" w:hAnsi="Calibri" w:eastAsia="楷体_GB2312" w:cs="Calibri"/>
          <w:sz w:val="20"/>
          <w:szCs w:val="20"/>
          <w:lang w:val="en-US" w:eastAsia="zh-CN"/>
        </w:rPr>
        <w:t>达成协议，将承担所有相关的电网升级费用，并投入</w:t>
      </w:r>
      <w:r>
        <w:rPr>
          <w:rFonts w:hint="default" w:ascii="Calibri" w:hAnsi="Calibri" w:eastAsia="楷体_GB2312" w:cs="Calibri"/>
          <w:sz w:val="20"/>
          <w:szCs w:val="20"/>
          <w:lang w:val="en-US" w:eastAsia="zh-CN"/>
        </w:rPr>
        <w:t>4</w:t>
      </w:r>
      <w:r>
        <w:rPr>
          <w:rFonts w:hint="default" w:ascii="Calibri" w:hAnsi="Calibri" w:eastAsia="楷体_GB2312" w:cs="Calibri"/>
          <w:sz w:val="20"/>
          <w:szCs w:val="20"/>
          <w:lang w:val="en-US" w:eastAsia="zh-CN"/>
        </w:rPr>
        <w:t>亿美元改善当地水利基建。这一模式标志着超大规模数据中心开发从依赖公共补贴向“开发者自给自足”模式的重大转变。</w:t>
      </w:r>
    </w:p>
    <w:p w14:paraId="0C65FC9F">
      <w:pPr>
        <w:overflowPunct w:val="0"/>
        <w:ind w:left="3200" w:leftChars="2000"/>
        <w:jc w:val="both"/>
        <w:rPr>
          <w:rFonts w:hint="default" w:ascii="Calibri" w:hAnsi="Calibri" w:eastAsia="楷体_GB2312" w:cs="Calibri"/>
          <w:sz w:val="20"/>
          <w:szCs w:val="20"/>
          <w:lang w:val="en-US" w:eastAsia="zh-CN"/>
        </w:rPr>
      </w:pPr>
    </w:p>
    <w:tbl>
      <w:tblPr>
        <w:tblStyle w:val="27"/>
        <w:tblW w:w="7454" w:type="dxa"/>
        <w:tblInd w:w="3247"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fixed"/>
        <w:tblCellMar>
          <w:top w:w="0" w:type="dxa"/>
          <w:left w:w="0" w:type="dxa"/>
          <w:bottom w:w="0" w:type="dxa"/>
          <w:right w:w="0" w:type="dxa"/>
        </w:tblCellMar>
      </w:tblPr>
      <w:tblGrid>
        <w:gridCol w:w="7454"/>
      </w:tblGrid>
      <w:tr w14:paraId="6D9F571C">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PrEx>
        <w:trPr>
          <w:trHeight w:val="3887" w:hRule="atLeast"/>
        </w:trPr>
        <w:tc>
          <w:tcPr>
            <w:tcW w:w="7454" w:type="dxa"/>
            <w:tcBorders>
              <w:bottom w:val="single" w:color="auto" w:sz="4" w:space="0"/>
            </w:tcBorders>
          </w:tcPr>
          <w:p w14:paraId="3F990D48">
            <w:pPr>
              <w:overflowPunct w:val="0"/>
              <w:rPr>
                <w:rFonts w:hint="default" w:ascii="Calibri" w:hAnsi="Calibri" w:eastAsia="楷体_GB2312" w:cs="Calibri"/>
                <w:b/>
                <w:sz w:val="17"/>
                <w:lang w:eastAsia="zh-CN"/>
              </w:rPr>
            </w:pPr>
            <w:r>
              <w:rPr>
                <w:rFonts w:hint="default" w:ascii="Calibri" w:hAnsi="Calibri" w:eastAsia="楷体_GB2312" w:cs="Calibri"/>
                <w:b/>
                <w:sz w:val="18"/>
                <w:szCs w:val="18"/>
                <w:lang w:eastAsia="zh-CN"/>
              </w:rPr>
              <w:t>表2： 美国本周数据中心建设项目情况</w:t>
            </w:r>
            <w:r>
              <w:rPr>
                <w:rFonts w:hint="default" w:ascii="Calibri" w:hAnsi="Calibri" w:eastAsia="楷体_GB2312" w:cs="Calibri"/>
                <w:b/>
                <w:snapToGrid/>
                <w:sz w:val="17"/>
              </w:rPr>
              <w:drawing>
                <wp:inline distT="0" distB="0" distL="0" distR="0">
                  <wp:extent cx="4733290" cy="2424430"/>
                  <wp:effectExtent l="0" t="0" r="16510" b="13970"/>
                  <wp:docPr id="1548614265" name="图片 6"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14265" name="图片 6" descr="表格&#10;&#10;AI 生成的内容可能不正确。"/>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33290" cy="2424430"/>
                          </a:xfrm>
                          <a:prstGeom prst="rect">
                            <a:avLst/>
                          </a:prstGeom>
                        </pic:spPr>
                      </pic:pic>
                    </a:graphicData>
                  </a:graphic>
                </wp:inline>
              </w:drawing>
            </w:r>
          </w:p>
        </w:tc>
      </w:tr>
      <w:tr w14:paraId="1C47CBC2">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309" w:hRule="atLeast"/>
        </w:trPr>
        <w:tc>
          <w:tcPr>
            <w:tcW w:w="7454" w:type="dxa"/>
            <w:tcBorders>
              <w:top w:val="single" w:color="auto" w:sz="4" w:space="0"/>
              <w:bottom w:val="nil"/>
            </w:tcBorders>
          </w:tcPr>
          <w:p w14:paraId="14DDCE80">
            <w:pPr>
              <w:overflowPunct w:val="0"/>
              <w:rPr>
                <w:rFonts w:hint="default" w:ascii="Calibri" w:hAnsi="Calibri" w:eastAsia="楷体_GB2312" w:cs="Calibri"/>
                <w:sz w:val="10"/>
              </w:rPr>
            </w:pPr>
            <w:r>
              <w:rPr>
                <w:rFonts w:hint="default" w:ascii="Calibri" w:hAnsi="Calibri" w:eastAsia="楷体_GB2312" w:cs="Calibri"/>
              </w:rPr>
              <w:t>资料来源：HFI</w:t>
            </w:r>
            <w:r>
              <w:rPr>
                <w:rFonts w:hint="default" w:ascii="Calibri" w:hAnsi="Calibri" w:eastAsia="楷体_GB2312" w:cs="Calibri"/>
              </w:rPr>
              <w:fldChar w:fldCharType="begin"/>
            </w:r>
            <w:r>
              <w:rPr>
                <w:rFonts w:hint="default" w:ascii="Calibri" w:hAnsi="Calibri" w:eastAsia="楷体_GB2312" w:cs="Calibri"/>
              </w:rPr>
              <w:instrText xml:space="preserve"> INCLUDEPICTURE "https://ir.eia.gov/ngs/ngs.gif" \* MERGEFORMATINET </w:instrText>
            </w:r>
            <w:r>
              <w:rPr>
                <w:rFonts w:hint="default" w:ascii="Calibri" w:hAnsi="Calibri" w:eastAsia="楷体_GB2312" w:cs="Calibri"/>
              </w:rPr>
              <w:fldChar w:fldCharType="end"/>
            </w:r>
          </w:p>
        </w:tc>
      </w:tr>
    </w:tbl>
    <w:p w14:paraId="0960A15B">
      <w:pPr>
        <w:overflowPunct w:val="0"/>
        <w:ind w:left="3200" w:leftChars="2000"/>
        <w:jc w:val="both"/>
        <w:outlineLvl w:val="1"/>
        <w:rPr>
          <w:rFonts w:hint="default" w:ascii="Calibri" w:hAnsi="Calibri" w:eastAsia="楷体_GB2312" w:cs="Calibri"/>
          <w:b/>
          <w:bCs/>
          <w:color w:val="1F497D" w:themeColor="text2"/>
          <w:sz w:val="24"/>
          <w:szCs w:val="24"/>
          <w:lang w:val="en-US" w:eastAsia="zh-CN"/>
          <w14:textFill>
            <w14:solidFill>
              <w14:schemeClr w14:val="tx2"/>
            </w14:solidFill>
          </w14:textFill>
        </w:rPr>
      </w:pPr>
      <w:bookmarkStart w:id="10" w:name="_Toc2128883856"/>
    </w:p>
    <w:p w14:paraId="5B1AC54C">
      <w:pPr>
        <w:overflowPunct w:val="0"/>
        <w:ind w:left="3200" w:leftChars="2000"/>
        <w:jc w:val="both"/>
        <w:outlineLvl w:val="1"/>
        <w:rPr>
          <w:rFonts w:hint="default" w:ascii="Calibri" w:hAnsi="Calibri" w:eastAsia="楷体_GB2312" w:cs="Calibri"/>
          <w:b/>
          <w:bCs/>
          <w:color w:val="1F497D" w:themeColor="text2"/>
          <w:sz w:val="24"/>
          <w:szCs w:val="24"/>
          <w:lang w:val="en-US" w:eastAsia="zh-CN"/>
          <w14:textFill>
            <w14:solidFill>
              <w14:schemeClr w14:val="tx2"/>
            </w14:solidFill>
          </w14:textFill>
        </w:rPr>
      </w:pPr>
      <w:r>
        <w:rPr>
          <w:rFonts w:hint="default" w:ascii="Calibri" w:hAnsi="Calibri" w:eastAsia="楷体_GB2312" w:cs="Calibri"/>
        </w:rPr>
        <w:fldChar w:fldCharType="begin"/>
      </w:r>
      <w:r>
        <w:rPr>
          <w:rFonts w:hint="default" w:ascii="Calibri" w:hAnsi="Calibri" w:eastAsia="楷体_GB2312" w:cs="Calibri"/>
        </w:rPr>
        <w:instrText xml:space="preserve"> HYPERLINK \l "_Toc192787047" </w:instrText>
      </w:r>
      <w:r>
        <w:rPr>
          <w:rFonts w:hint="default" w:ascii="Calibri" w:hAnsi="Calibri" w:eastAsia="楷体_GB2312" w:cs="Calibri"/>
        </w:rPr>
        <w:fldChar w:fldCharType="separate"/>
      </w:r>
      <w:bookmarkStart w:id="11" w:name="_Toc223082596"/>
      <w:r>
        <w:rPr>
          <w:rFonts w:hint="default" w:ascii="Calibri" w:hAnsi="Calibri" w:eastAsia="楷体_GB2312" w:cs="Calibri"/>
          <w:b/>
          <w:bCs/>
          <w:color w:val="1F497D" w:themeColor="text2"/>
          <w:sz w:val="24"/>
          <w:szCs w:val="24"/>
          <w:lang w:val="en-US" w:eastAsia="zh-CN"/>
          <w14:textFill>
            <w14:solidFill>
              <w14:schemeClr w14:val="tx2"/>
            </w14:solidFill>
          </w14:textFill>
        </w:rPr>
        <w:t>（二）能源建设</w:t>
      </w:r>
      <w:bookmarkEnd w:id="11"/>
      <w:r>
        <w:rPr>
          <w:rFonts w:hint="default" w:ascii="Calibri" w:hAnsi="Calibri" w:eastAsia="楷体_GB2312" w:cs="Calibri"/>
          <w:b/>
          <w:bCs/>
          <w:color w:val="1F497D" w:themeColor="text2"/>
          <w:sz w:val="24"/>
          <w:szCs w:val="24"/>
          <w:lang w:val="en-US" w:eastAsia="zh-CN"/>
          <w14:textFill>
            <w14:solidFill>
              <w14:schemeClr w14:val="tx2"/>
            </w14:solidFill>
          </w14:textFill>
        </w:rPr>
        <w:fldChar w:fldCharType="end"/>
      </w:r>
      <w:bookmarkEnd w:id="10"/>
    </w:p>
    <w:p w14:paraId="2D0FD904">
      <w:pPr>
        <w:overflowPunct w:val="0"/>
        <w:ind w:left="3200" w:firstLine="201" w:firstLineChars="1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美国能源信息署（</w:t>
      </w:r>
      <w:r>
        <w:rPr>
          <w:rFonts w:hint="default" w:ascii="Calibri" w:hAnsi="Calibri" w:eastAsia="楷体_GB2312" w:cs="Calibri"/>
          <w:b/>
          <w:bCs/>
          <w:sz w:val="20"/>
          <w:szCs w:val="20"/>
          <w:lang w:val="en-US" w:eastAsia="zh-CN"/>
        </w:rPr>
        <w:t>EIA</w:t>
      </w:r>
      <w:r>
        <w:rPr>
          <w:rFonts w:hint="default" w:ascii="Calibri" w:hAnsi="Calibri" w:eastAsia="楷体_GB2312" w:cs="Calibri"/>
          <w:b/>
          <w:bCs/>
          <w:sz w:val="20"/>
          <w:szCs w:val="20"/>
          <w:lang w:val="en-US" w:eastAsia="zh-CN"/>
        </w:rPr>
        <w:t>）预测</w:t>
      </w:r>
      <w:r>
        <w:rPr>
          <w:rFonts w:hint="default" w:ascii="Calibri" w:hAnsi="Calibri" w:eastAsia="楷体_GB2312" w:cs="Calibri"/>
          <w:b/>
          <w:bCs/>
          <w:sz w:val="20"/>
          <w:szCs w:val="20"/>
          <w:lang w:val="en-US" w:eastAsia="zh-CN"/>
        </w:rPr>
        <w:t>2026</w:t>
      </w:r>
      <w:r>
        <w:rPr>
          <w:rFonts w:hint="default" w:ascii="Calibri" w:hAnsi="Calibri" w:eastAsia="楷体_GB2312" w:cs="Calibri"/>
          <w:b/>
          <w:bCs/>
          <w:sz w:val="20"/>
          <w:szCs w:val="20"/>
          <w:lang w:val="en-US" w:eastAsia="zh-CN"/>
        </w:rPr>
        <w:t>年美国将新增</w:t>
      </w:r>
      <w:r>
        <w:rPr>
          <w:rFonts w:hint="default" w:ascii="Calibri" w:hAnsi="Calibri" w:eastAsia="楷体_GB2312" w:cs="Calibri"/>
          <w:b/>
          <w:bCs/>
          <w:sz w:val="20"/>
          <w:szCs w:val="20"/>
          <w:lang w:val="en-US" w:eastAsia="zh-CN"/>
        </w:rPr>
        <w:t>86 GW</w:t>
      </w:r>
      <w:r>
        <w:rPr>
          <w:rFonts w:hint="default" w:ascii="Calibri" w:hAnsi="Calibri" w:eastAsia="楷体_GB2312" w:cs="Calibri"/>
          <w:b/>
          <w:bCs/>
          <w:sz w:val="20"/>
          <w:szCs w:val="20"/>
          <w:lang w:val="en-US" w:eastAsia="zh-CN"/>
        </w:rPr>
        <w:t>电力装机量，创下公用事业级电力建设的历史纪录。</w:t>
      </w:r>
      <w:r>
        <w:rPr>
          <w:rFonts w:hint="default" w:ascii="Calibri" w:hAnsi="Calibri" w:eastAsia="楷体_GB2312" w:cs="Calibri"/>
          <w:sz w:val="20"/>
          <w:szCs w:val="20"/>
          <w:lang w:val="en-US" w:eastAsia="zh-CN"/>
        </w:rPr>
        <w:t xml:space="preserve"> </w:t>
      </w:r>
      <w:r>
        <w:rPr>
          <w:rFonts w:hint="default" w:ascii="Calibri" w:hAnsi="Calibri" w:eastAsia="楷体_GB2312" w:cs="Calibri"/>
          <w:sz w:val="20"/>
          <w:szCs w:val="20"/>
          <w:lang w:val="en-US" w:eastAsia="zh-CN"/>
        </w:rPr>
        <w:t>根据</w:t>
      </w:r>
      <w:r>
        <w:rPr>
          <w:rFonts w:hint="default" w:ascii="Calibri" w:hAnsi="Calibri" w:eastAsia="楷体_GB2312" w:cs="Calibri"/>
          <w:sz w:val="20"/>
          <w:szCs w:val="20"/>
          <w:lang w:val="en-US" w:eastAsia="zh-CN"/>
        </w:rPr>
        <w:t>2</w:t>
      </w:r>
      <w:r>
        <w:rPr>
          <w:rFonts w:hint="default" w:ascii="Calibri" w:hAnsi="Calibri" w:eastAsia="楷体_GB2312" w:cs="Calibri"/>
          <w:sz w:val="20"/>
          <w:szCs w:val="20"/>
          <w:lang w:val="en-US" w:eastAsia="zh-CN"/>
        </w:rPr>
        <w:t>月</w:t>
      </w:r>
      <w:r>
        <w:rPr>
          <w:rFonts w:hint="default" w:ascii="Calibri" w:hAnsi="Calibri" w:eastAsia="楷体_GB2312" w:cs="Calibri"/>
          <w:sz w:val="20"/>
          <w:szCs w:val="20"/>
          <w:lang w:val="en-US" w:eastAsia="zh-CN"/>
        </w:rPr>
        <w:t>25</w:t>
      </w:r>
      <w:r>
        <w:rPr>
          <w:rFonts w:hint="default" w:ascii="Calibri" w:hAnsi="Calibri" w:eastAsia="楷体_GB2312" w:cs="Calibri"/>
          <w:sz w:val="20"/>
          <w:szCs w:val="20"/>
          <w:lang w:val="en-US" w:eastAsia="zh-CN"/>
        </w:rPr>
        <w:t>日发布的《短期能源展望》，</w:t>
      </w:r>
      <w:r>
        <w:rPr>
          <w:rFonts w:hint="default" w:ascii="Calibri" w:hAnsi="Calibri" w:eastAsia="楷体_GB2312" w:cs="Calibri"/>
          <w:sz w:val="20"/>
          <w:szCs w:val="20"/>
          <w:lang w:val="en-US" w:eastAsia="zh-CN"/>
        </w:rPr>
        <w:t>2026</w:t>
      </w:r>
      <w:r>
        <w:rPr>
          <w:rFonts w:hint="default" w:ascii="Calibri" w:hAnsi="Calibri" w:eastAsia="楷体_GB2312" w:cs="Calibri"/>
          <w:sz w:val="20"/>
          <w:szCs w:val="20"/>
          <w:lang w:val="en-US" w:eastAsia="zh-CN"/>
        </w:rPr>
        <w:t>年的新增容量几乎是</w:t>
      </w:r>
      <w:r>
        <w:rPr>
          <w:rFonts w:hint="default" w:ascii="Calibri" w:hAnsi="Calibri" w:eastAsia="楷体_GB2312" w:cs="Calibri"/>
          <w:sz w:val="20"/>
          <w:szCs w:val="20"/>
          <w:lang w:val="en-US" w:eastAsia="zh-CN"/>
        </w:rPr>
        <w:t>2025</w:t>
      </w:r>
      <w:r>
        <w:rPr>
          <w:rFonts w:hint="default" w:ascii="Calibri" w:hAnsi="Calibri" w:eastAsia="楷体_GB2312" w:cs="Calibri"/>
          <w:sz w:val="20"/>
          <w:szCs w:val="20"/>
          <w:lang w:val="en-US" w:eastAsia="zh-CN"/>
        </w:rPr>
        <w:t>年的两倍。其中，太阳能占比最高（</w:t>
      </w:r>
      <w:r>
        <w:rPr>
          <w:rFonts w:hint="default" w:ascii="Calibri" w:hAnsi="Calibri" w:eastAsia="楷体_GB2312" w:cs="Calibri"/>
          <w:sz w:val="20"/>
          <w:szCs w:val="20"/>
          <w:lang w:val="en-US" w:eastAsia="zh-CN"/>
        </w:rPr>
        <w:t>43.4 GW</w:t>
      </w:r>
      <w:r>
        <w:rPr>
          <w:rFonts w:hint="default" w:ascii="Calibri" w:hAnsi="Calibri" w:eastAsia="楷体_GB2312" w:cs="Calibri"/>
          <w:sz w:val="20"/>
          <w:szCs w:val="20"/>
          <w:lang w:val="en-US" w:eastAsia="zh-CN"/>
        </w:rPr>
        <w:t>），其次是电池储能（</w:t>
      </w:r>
      <w:r>
        <w:rPr>
          <w:rFonts w:hint="default" w:ascii="Calibri" w:hAnsi="Calibri" w:eastAsia="楷体_GB2312" w:cs="Calibri"/>
          <w:sz w:val="20"/>
          <w:szCs w:val="20"/>
          <w:lang w:val="en-US" w:eastAsia="zh-CN"/>
        </w:rPr>
        <w:t>24.3 GW</w:t>
      </w:r>
      <w:r>
        <w:rPr>
          <w:rFonts w:hint="default" w:ascii="Calibri" w:hAnsi="Calibri" w:eastAsia="楷体_GB2312" w:cs="Calibri"/>
          <w:sz w:val="20"/>
          <w:szCs w:val="20"/>
          <w:lang w:val="en-US" w:eastAsia="zh-CN"/>
        </w:rPr>
        <w:t>）。</w:t>
      </w:r>
      <w:r>
        <w:rPr>
          <w:rFonts w:hint="default" w:ascii="Calibri" w:hAnsi="Calibri" w:eastAsia="楷体_GB2312" w:cs="Calibri"/>
          <w:sz w:val="20"/>
          <w:szCs w:val="20"/>
          <w:lang w:val="en-US" w:eastAsia="zh-CN"/>
        </w:rPr>
        <w:t>EIA</w:t>
      </w:r>
      <w:r>
        <w:rPr>
          <w:rFonts w:hint="default" w:ascii="Calibri" w:hAnsi="Calibri" w:eastAsia="楷体_GB2312" w:cs="Calibri"/>
          <w:sz w:val="20"/>
          <w:szCs w:val="20"/>
          <w:lang w:val="en-US" w:eastAsia="zh-CN"/>
        </w:rPr>
        <w:t>指出，这一前所未有的建设速度主要是为了满足</w:t>
      </w:r>
      <w:r>
        <w:rPr>
          <w:rFonts w:hint="default" w:ascii="Calibri" w:hAnsi="Calibri" w:eastAsia="楷体_GB2312" w:cs="Calibri"/>
          <w:sz w:val="20"/>
          <w:szCs w:val="20"/>
          <w:lang w:val="en-US" w:eastAsia="zh-CN"/>
        </w:rPr>
        <w:t>AI</w:t>
      </w:r>
      <w:r>
        <w:rPr>
          <w:rFonts w:hint="default" w:ascii="Calibri" w:hAnsi="Calibri" w:eastAsia="楷体_GB2312" w:cs="Calibri"/>
          <w:sz w:val="20"/>
          <w:szCs w:val="20"/>
          <w:lang w:val="en-US" w:eastAsia="zh-CN"/>
        </w:rPr>
        <w:t>数据中心和本土半导体制造业对全天候清洁电力的强劲需求，标志着美国电网从燃气基荷向“光伏</w:t>
      </w:r>
      <w:r>
        <w:rPr>
          <w:rFonts w:hint="default" w:ascii="Calibri" w:hAnsi="Calibri" w:eastAsia="楷体_GB2312" w:cs="Calibri"/>
          <w:sz w:val="20"/>
          <w:szCs w:val="20"/>
          <w:lang w:val="en-US" w:eastAsia="zh-CN"/>
        </w:rPr>
        <w:t>+</w:t>
      </w:r>
      <w:r>
        <w:rPr>
          <w:rFonts w:hint="default" w:ascii="Calibri" w:hAnsi="Calibri" w:eastAsia="楷体_GB2312" w:cs="Calibri"/>
          <w:sz w:val="20"/>
          <w:szCs w:val="20"/>
          <w:lang w:val="en-US" w:eastAsia="zh-CN"/>
        </w:rPr>
        <w:t>储能”支柱模式的转型。</w:t>
      </w:r>
    </w:p>
    <w:p w14:paraId="54053137">
      <w:pPr>
        <w:overflowPunct w:val="0"/>
        <w:ind w:left="3200" w:firstLine="201" w:firstLineChars="1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谷歌与</w:t>
      </w:r>
      <w:r>
        <w:rPr>
          <w:rFonts w:hint="default" w:ascii="Calibri" w:hAnsi="Calibri" w:eastAsia="楷体_GB2312" w:cs="Calibri"/>
          <w:b/>
          <w:bCs/>
          <w:sz w:val="20"/>
          <w:szCs w:val="20"/>
          <w:lang w:val="en-US" w:eastAsia="zh-CN"/>
        </w:rPr>
        <w:t>Xcel Energy</w:t>
      </w:r>
      <w:r>
        <w:rPr>
          <w:rFonts w:hint="default" w:ascii="Calibri" w:hAnsi="Calibri" w:eastAsia="楷体_GB2312" w:cs="Calibri"/>
          <w:b/>
          <w:bCs/>
          <w:sz w:val="20"/>
          <w:szCs w:val="20"/>
          <w:lang w:val="en-US" w:eastAsia="zh-CN"/>
        </w:rPr>
        <w:t>达成</w:t>
      </w:r>
      <w:r>
        <w:rPr>
          <w:rFonts w:hint="default" w:ascii="Calibri" w:hAnsi="Calibri" w:eastAsia="楷体_GB2312" w:cs="Calibri"/>
          <w:b/>
          <w:bCs/>
          <w:sz w:val="20"/>
          <w:szCs w:val="20"/>
          <w:lang w:val="en-US" w:eastAsia="zh-CN"/>
        </w:rPr>
        <w:t>1.9GW</w:t>
      </w:r>
      <w:r>
        <w:rPr>
          <w:rFonts w:hint="default" w:ascii="Calibri" w:hAnsi="Calibri" w:eastAsia="楷体_GB2312" w:cs="Calibri"/>
          <w:b/>
          <w:bCs/>
          <w:sz w:val="20"/>
          <w:szCs w:val="20"/>
          <w:lang w:val="en-US" w:eastAsia="zh-CN"/>
        </w:rPr>
        <w:t>清洁能源协议，通过部署全球最大铁流电池项目加速实现</w:t>
      </w:r>
      <w:r>
        <w:rPr>
          <w:rFonts w:hint="default" w:ascii="Calibri" w:hAnsi="Calibri" w:eastAsia="楷体_GB2312" w:cs="Calibri"/>
          <w:b/>
          <w:bCs/>
          <w:sz w:val="20"/>
          <w:szCs w:val="20"/>
          <w:lang w:val="en-US" w:eastAsia="zh-CN"/>
        </w:rPr>
        <w:t>24/7</w:t>
      </w:r>
      <w:r>
        <w:rPr>
          <w:rFonts w:hint="default" w:ascii="Calibri" w:hAnsi="Calibri" w:eastAsia="楷体_GB2312" w:cs="Calibri"/>
          <w:b/>
          <w:bCs/>
          <w:sz w:val="20"/>
          <w:szCs w:val="20"/>
          <w:lang w:val="en-US" w:eastAsia="zh-CN"/>
        </w:rPr>
        <w:t>无碳能源目标。</w:t>
      </w:r>
      <w:r>
        <w:rPr>
          <w:rFonts w:hint="default" w:ascii="Calibri" w:hAnsi="Calibri" w:eastAsia="楷体_GB2312" w:cs="Calibri"/>
          <w:sz w:val="20"/>
          <w:szCs w:val="20"/>
          <w:lang w:val="en-US" w:eastAsia="zh-CN"/>
        </w:rPr>
        <w:t xml:space="preserve"> 2026</w:t>
      </w:r>
      <w:r>
        <w:rPr>
          <w:rFonts w:hint="default" w:ascii="Calibri" w:hAnsi="Calibri" w:eastAsia="楷体_GB2312" w:cs="Calibri"/>
          <w:sz w:val="20"/>
          <w:szCs w:val="20"/>
          <w:lang w:val="en-US" w:eastAsia="zh-CN"/>
        </w:rPr>
        <w:t>年</w:t>
      </w:r>
      <w:r>
        <w:rPr>
          <w:rFonts w:hint="default" w:ascii="Calibri" w:hAnsi="Calibri" w:eastAsia="楷体_GB2312" w:cs="Calibri"/>
          <w:sz w:val="20"/>
          <w:szCs w:val="20"/>
          <w:lang w:val="en-US" w:eastAsia="zh-CN"/>
        </w:rPr>
        <w:t>2</w:t>
      </w:r>
      <w:r>
        <w:rPr>
          <w:rFonts w:hint="default" w:ascii="Calibri" w:hAnsi="Calibri" w:eastAsia="楷体_GB2312" w:cs="Calibri"/>
          <w:sz w:val="20"/>
          <w:szCs w:val="20"/>
          <w:lang w:val="en-US" w:eastAsia="zh-CN"/>
        </w:rPr>
        <w:t>月</w:t>
      </w:r>
      <w:r>
        <w:rPr>
          <w:rFonts w:hint="default" w:ascii="Calibri" w:hAnsi="Calibri" w:eastAsia="楷体_GB2312" w:cs="Calibri"/>
          <w:sz w:val="20"/>
          <w:szCs w:val="20"/>
          <w:lang w:val="en-US" w:eastAsia="zh-CN"/>
        </w:rPr>
        <w:t>24</w:t>
      </w:r>
      <w:r>
        <w:rPr>
          <w:rFonts w:hint="default" w:ascii="Calibri" w:hAnsi="Calibri" w:eastAsia="楷体_GB2312" w:cs="Calibri"/>
          <w:sz w:val="20"/>
          <w:szCs w:val="20"/>
          <w:lang w:val="en-US" w:eastAsia="zh-CN"/>
        </w:rPr>
        <w:t>日，谷歌宣布在明尼苏达州派恩岛（</w:t>
      </w:r>
      <w:r>
        <w:rPr>
          <w:rFonts w:hint="default" w:ascii="Calibri" w:hAnsi="Calibri" w:eastAsia="楷体_GB2312" w:cs="Calibri"/>
          <w:sz w:val="20"/>
          <w:szCs w:val="20"/>
          <w:lang w:val="en-US" w:eastAsia="zh-CN"/>
        </w:rPr>
        <w:t>Pine Island</w:t>
      </w:r>
      <w:r>
        <w:rPr>
          <w:rFonts w:hint="default" w:ascii="Calibri" w:hAnsi="Calibri" w:eastAsia="楷体_GB2312" w:cs="Calibri"/>
          <w:sz w:val="20"/>
          <w:szCs w:val="20"/>
          <w:lang w:val="en-US" w:eastAsia="zh-CN"/>
        </w:rPr>
        <w:t>）启动新数据中心建设，并签署了基于“清洁能源加速器</w:t>
      </w:r>
      <w:r>
        <w:rPr>
          <w:rFonts w:hint="default" w:ascii="Calibri" w:hAnsi="Calibri" w:eastAsia="楷体_GB2312" w:cs="Calibri"/>
          <w:sz w:val="20"/>
          <w:szCs w:val="20"/>
          <w:lang w:val="en-US" w:eastAsia="zh-CN"/>
        </w:rPr>
        <w:t>”(CEAC</w:t>
      </w:r>
      <w:r>
        <w:rPr>
          <w:rFonts w:hint="default" w:ascii="Calibri" w:hAnsi="Calibri" w:eastAsia="楷体_GB2312" w:cs="Calibri"/>
          <w:sz w:val="20"/>
          <w:szCs w:val="20"/>
          <w:lang w:val="en-US" w:eastAsia="zh-CN"/>
        </w:rPr>
        <w:t>）框架的供电合同。该协议包含</w:t>
      </w:r>
      <w:r>
        <w:rPr>
          <w:rFonts w:hint="default" w:ascii="Calibri" w:hAnsi="Calibri" w:eastAsia="楷体_GB2312" w:cs="Calibri"/>
          <w:sz w:val="20"/>
          <w:szCs w:val="20"/>
          <w:lang w:val="en-US" w:eastAsia="zh-CN"/>
        </w:rPr>
        <w:t>1400MW</w:t>
      </w:r>
      <w:r>
        <w:rPr>
          <w:rFonts w:hint="default" w:ascii="Calibri" w:hAnsi="Calibri" w:eastAsia="楷体_GB2312" w:cs="Calibri"/>
          <w:sz w:val="20"/>
          <w:szCs w:val="20"/>
          <w:lang w:val="en-US" w:eastAsia="zh-CN"/>
        </w:rPr>
        <w:t>风电、</w:t>
      </w:r>
      <w:r>
        <w:rPr>
          <w:rFonts w:hint="default" w:ascii="Calibri" w:hAnsi="Calibri" w:eastAsia="楷体_GB2312" w:cs="Calibri"/>
          <w:sz w:val="20"/>
          <w:szCs w:val="20"/>
          <w:lang w:val="en-US" w:eastAsia="zh-CN"/>
        </w:rPr>
        <w:t>200MW</w:t>
      </w:r>
      <w:r>
        <w:rPr>
          <w:rFonts w:hint="default" w:ascii="Calibri" w:hAnsi="Calibri" w:eastAsia="楷体_GB2312" w:cs="Calibri"/>
          <w:sz w:val="20"/>
          <w:szCs w:val="20"/>
          <w:lang w:val="en-US" w:eastAsia="zh-CN"/>
        </w:rPr>
        <w:t>太阳能，以及由</w:t>
      </w:r>
      <w:r>
        <w:rPr>
          <w:rFonts w:hint="default" w:ascii="Calibri" w:hAnsi="Calibri" w:eastAsia="楷体_GB2312" w:cs="Calibri"/>
          <w:sz w:val="20"/>
          <w:szCs w:val="20"/>
          <w:lang w:val="en-US" w:eastAsia="zh-CN"/>
        </w:rPr>
        <w:t>Form Energy</w:t>
      </w:r>
      <w:r>
        <w:rPr>
          <w:rFonts w:hint="default" w:ascii="Calibri" w:hAnsi="Calibri" w:eastAsia="楷体_GB2312" w:cs="Calibri"/>
          <w:sz w:val="20"/>
          <w:szCs w:val="20"/>
          <w:lang w:val="en-US" w:eastAsia="zh-CN"/>
        </w:rPr>
        <w:t>提供的</w:t>
      </w:r>
      <w:r>
        <w:rPr>
          <w:rFonts w:hint="default" w:ascii="Calibri" w:hAnsi="Calibri" w:eastAsia="楷体_GB2312" w:cs="Calibri"/>
          <w:sz w:val="20"/>
          <w:szCs w:val="20"/>
          <w:lang w:val="en-US" w:eastAsia="zh-CN"/>
        </w:rPr>
        <w:t>300MW/30GWh</w:t>
      </w:r>
      <w:r>
        <w:rPr>
          <w:rFonts w:hint="default" w:ascii="Calibri" w:hAnsi="Calibri" w:eastAsia="楷体_GB2312" w:cs="Calibri"/>
          <w:sz w:val="20"/>
          <w:szCs w:val="20"/>
          <w:lang w:val="en-US" w:eastAsia="zh-CN"/>
        </w:rPr>
        <w:t>铁流电池系统。此外，谷歌还将投入</w:t>
      </w:r>
      <w:r>
        <w:rPr>
          <w:rFonts w:hint="default" w:ascii="Calibri" w:hAnsi="Calibri" w:eastAsia="楷体_GB2312" w:cs="Calibri"/>
          <w:sz w:val="20"/>
          <w:szCs w:val="20"/>
          <w:lang w:val="en-US" w:eastAsia="zh-CN"/>
        </w:rPr>
        <w:t>5000</w:t>
      </w:r>
      <w:r>
        <w:rPr>
          <w:rFonts w:hint="default" w:ascii="Calibri" w:hAnsi="Calibri" w:eastAsia="楷体_GB2312" w:cs="Calibri"/>
          <w:sz w:val="20"/>
          <w:szCs w:val="20"/>
          <w:lang w:val="en-US" w:eastAsia="zh-CN"/>
        </w:rPr>
        <w:t>万美元支持电网可靠性计划，确保在支撑</w:t>
      </w:r>
      <w:r>
        <w:rPr>
          <w:rFonts w:hint="default" w:ascii="Calibri" w:hAnsi="Calibri" w:eastAsia="楷体_GB2312" w:cs="Calibri"/>
          <w:sz w:val="20"/>
          <w:szCs w:val="20"/>
          <w:lang w:val="en-US" w:eastAsia="zh-CN"/>
        </w:rPr>
        <w:t>AI</w:t>
      </w:r>
      <w:r>
        <w:rPr>
          <w:rFonts w:hint="default" w:ascii="Calibri" w:hAnsi="Calibri" w:eastAsia="楷体_GB2312" w:cs="Calibri"/>
          <w:sz w:val="20"/>
          <w:szCs w:val="20"/>
          <w:lang w:val="en-US" w:eastAsia="zh-CN"/>
        </w:rPr>
        <w:t>扩张的同时不增加当地居民的用电成本。</w:t>
      </w:r>
    </w:p>
    <w:p w14:paraId="663DDEC0">
      <w:pPr>
        <w:overflowPunct w:val="0"/>
        <w:ind w:left="3200" w:firstLine="201" w:firstLineChars="1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Meta</w:t>
      </w:r>
      <w:r>
        <w:rPr>
          <w:rFonts w:hint="default" w:ascii="Calibri" w:hAnsi="Calibri" w:eastAsia="楷体_GB2312" w:cs="Calibri"/>
          <w:b/>
          <w:bCs/>
          <w:sz w:val="20"/>
          <w:szCs w:val="20"/>
          <w:lang w:val="en-US" w:eastAsia="zh-CN"/>
        </w:rPr>
        <w:t>与三家核能供应商达成</w:t>
      </w:r>
      <w:r>
        <w:rPr>
          <w:rFonts w:hint="default" w:ascii="Calibri" w:hAnsi="Calibri" w:eastAsia="楷体_GB2312" w:cs="Calibri"/>
          <w:b/>
          <w:bCs/>
          <w:sz w:val="20"/>
          <w:szCs w:val="20"/>
          <w:lang w:val="en-US" w:eastAsia="zh-CN"/>
        </w:rPr>
        <w:t>6.6 GW</w:t>
      </w:r>
      <w:r>
        <w:rPr>
          <w:rFonts w:hint="default" w:ascii="Calibri" w:hAnsi="Calibri" w:eastAsia="楷体_GB2312" w:cs="Calibri"/>
          <w:b/>
          <w:bCs/>
          <w:sz w:val="20"/>
          <w:szCs w:val="20"/>
          <w:lang w:val="en-US" w:eastAsia="zh-CN"/>
        </w:rPr>
        <w:t>长期采购协议，推动小型模块化反应（</w:t>
      </w:r>
      <w:r>
        <w:rPr>
          <w:rFonts w:hint="default" w:ascii="Calibri" w:hAnsi="Calibri" w:eastAsia="楷体_GB2312" w:cs="Calibri"/>
          <w:b/>
          <w:bCs/>
          <w:sz w:val="20"/>
          <w:szCs w:val="20"/>
          <w:lang w:val="en-US" w:eastAsia="zh-CN"/>
        </w:rPr>
        <w:t>SMR</w:t>
      </w:r>
      <w:r>
        <w:rPr>
          <w:rFonts w:hint="default" w:ascii="Calibri" w:hAnsi="Calibri" w:eastAsia="楷体_GB2312" w:cs="Calibri"/>
          <w:b/>
          <w:bCs/>
          <w:sz w:val="20"/>
          <w:szCs w:val="20"/>
          <w:lang w:val="en-US" w:eastAsia="zh-CN"/>
        </w:rPr>
        <w:t>）大规模建设。</w:t>
      </w:r>
      <w:r>
        <w:rPr>
          <w:rFonts w:hint="default" w:ascii="Calibri" w:hAnsi="Calibri" w:eastAsia="楷体_GB2312" w:cs="Calibri"/>
          <w:b/>
          <w:bCs/>
          <w:sz w:val="20"/>
          <w:szCs w:val="20"/>
          <w:lang w:val="en-US" w:eastAsia="zh-CN"/>
        </w:rPr>
        <w:t xml:space="preserve"> </w:t>
      </w:r>
      <w:r>
        <w:rPr>
          <w:rFonts w:hint="default" w:ascii="Calibri" w:hAnsi="Calibri" w:eastAsia="楷体_GB2312" w:cs="Calibri"/>
          <w:sz w:val="20"/>
          <w:szCs w:val="20"/>
          <w:lang w:val="en-US" w:eastAsia="zh-CN"/>
        </w:rPr>
        <w:t>2026</w:t>
      </w:r>
      <w:r>
        <w:rPr>
          <w:rFonts w:hint="default" w:ascii="Calibri" w:hAnsi="Calibri" w:eastAsia="楷体_GB2312" w:cs="Calibri"/>
          <w:sz w:val="20"/>
          <w:szCs w:val="20"/>
          <w:lang w:val="en-US" w:eastAsia="zh-CN"/>
        </w:rPr>
        <w:t>年</w:t>
      </w:r>
      <w:r>
        <w:rPr>
          <w:rFonts w:hint="default" w:ascii="Calibri" w:hAnsi="Calibri" w:eastAsia="楷体_GB2312" w:cs="Calibri"/>
          <w:sz w:val="20"/>
          <w:szCs w:val="20"/>
          <w:lang w:val="en-US" w:eastAsia="zh-CN"/>
        </w:rPr>
        <w:t>2</w:t>
      </w:r>
      <w:r>
        <w:rPr>
          <w:rFonts w:hint="default" w:ascii="Calibri" w:hAnsi="Calibri" w:eastAsia="楷体_GB2312" w:cs="Calibri"/>
          <w:sz w:val="20"/>
          <w:szCs w:val="20"/>
          <w:lang w:val="en-US" w:eastAsia="zh-CN"/>
        </w:rPr>
        <w:t>月</w:t>
      </w:r>
      <w:r>
        <w:rPr>
          <w:rFonts w:hint="default" w:ascii="Calibri" w:hAnsi="Calibri" w:eastAsia="楷体_GB2312" w:cs="Calibri"/>
          <w:sz w:val="20"/>
          <w:szCs w:val="20"/>
          <w:lang w:val="en-US" w:eastAsia="zh-CN"/>
        </w:rPr>
        <w:t>20</w:t>
      </w:r>
      <w:r>
        <w:rPr>
          <w:rFonts w:hint="default" w:ascii="Calibri" w:hAnsi="Calibri" w:eastAsia="楷体_GB2312" w:cs="Calibri"/>
          <w:sz w:val="20"/>
          <w:szCs w:val="20"/>
          <w:lang w:val="en-US" w:eastAsia="zh-CN"/>
        </w:rPr>
        <w:t>日，</w:t>
      </w:r>
      <w:r>
        <w:rPr>
          <w:rFonts w:hint="default" w:ascii="Calibri" w:hAnsi="Calibri" w:eastAsia="楷体_GB2312" w:cs="Calibri"/>
          <w:sz w:val="20"/>
          <w:szCs w:val="20"/>
          <w:lang w:val="en-US" w:eastAsia="zh-CN"/>
        </w:rPr>
        <w:t>Meta</w:t>
      </w:r>
      <w:r>
        <w:rPr>
          <w:rFonts w:hint="default" w:ascii="Calibri" w:hAnsi="Calibri" w:eastAsia="楷体_GB2312" w:cs="Calibri"/>
          <w:sz w:val="20"/>
          <w:szCs w:val="20"/>
          <w:lang w:val="en-US" w:eastAsia="zh-CN"/>
        </w:rPr>
        <w:t>宣布与</w:t>
      </w:r>
      <w:r>
        <w:rPr>
          <w:rFonts w:hint="default" w:ascii="Calibri" w:hAnsi="Calibri" w:eastAsia="楷体_GB2312" w:cs="Calibri"/>
          <w:sz w:val="20"/>
          <w:szCs w:val="20"/>
          <w:lang w:val="en-US" w:eastAsia="zh-CN"/>
        </w:rPr>
        <w:t>TerraPower</w:t>
      </w:r>
      <w:r>
        <w:rPr>
          <w:rFonts w:hint="default" w:ascii="Calibri" w:hAnsi="Calibri" w:eastAsia="楷体_GB2312" w:cs="Calibri"/>
          <w:sz w:val="20"/>
          <w:szCs w:val="20"/>
          <w:lang w:val="en-US" w:eastAsia="zh-CN"/>
        </w:rPr>
        <w:t>、</w:t>
      </w:r>
      <w:r>
        <w:rPr>
          <w:rFonts w:hint="default" w:ascii="Calibri" w:hAnsi="Calibri" w:eastAsia="楷体_GB2312" w:cs="Calibri"/>
          <w:sz w:val="20"/>
          <w:szCs w:val="20"/>
          <w:lang w:val="en-US" w:eastAsia="zh-CN"/>
        </w:rPr>
        <w:t>Oklo</w:t>
      </w:r>
      <w:r>
        <w:rPr>
          <w:rFonts w:hint="default" w:ascii="Calibri" w:hAnsi="Calibri" w:eastAsia="楷体_GB2312" w:cs="Calibri"/>
          <w:sz w:val="20"/>
          <w:szCs w:val="20"/>
          <w:lang w:val="en-US" w:eastAsia="zh-CN"/>
        </w:rPr>
        <w:t>及</w:t>
      </w:r>
      <w:r>
        <w:rPr>
          <w:rFonts w:hint="default" w:ascii="Calibri" w:hAnsi="Calibri" w:eastAsia="楷体_GB2312" w:cs="Calibri"/>
          <w:sz w:val="20"/>
          <w:szCs w:val="20"/>
          <w:lang w:val="en-US" w:eastAsia="zh-CN"/>
        </w:rPr>
        <w:t>Vistra</w:t>
      </w:r>
      <w:r>
        <w:rPr>
          <w:rFonts w:hint="default" w:ascii="Calibri" w:hAnsi="Calibri" w:eastAsia="楷体_GB2312" w:cs="Calibri"/>
          <w:sz w:val="20"/>
          <w:szCs w:val="20"/>
          <w:lang w:val="en-US" w:eastAsia="zh-CN"/>
        </w:rPr>
        <w:t>签署框架协议。该交易不仅涵盖了现有核电站的电力输出，更重点支持了下一代</w:t>
      </w:r>
      <w:r>
        <w:rPr>
          <w:rFonts w:hint="default" w:ascii="Calibri" w:hAnsi="Calibri" w:eastAsia="楷体_GB2312" w:cs="Calibri"/>
          <w:sz w:val="20"/>
          <w:szCs w:val="20"/>
          <w:lang w:val="en-US" w:eastAsia="zh-CN"/>
        </w:rPr>
        <w:t>SMR</w:t>
      </w:r>
      <w:r>
        <w:rPr>
          <w:rFonts w:hint="default" w:ascii="Calibri" w:hAnsi="Calibri" w:eastAsia="楷体_GB2312" w:cs="Calibri"/>
          <w:sz w:val="20"/>
          <w:szCs w:val="20"/>
          <w:lang w:val="en-US" w:eastAsia="zh-CN"/>
        </w:rPr>
        <w:t>技术的商业化落地，以解决数据中心对稳定基荷电力的焦虑。这反映了科技巨头正从单纯的“绿电采购者”演变为能源基础设施的“联合开发者”，核能建设已成为解决</w:t>
      </w:r>
      <w:r>
        <w:rPr>
          <w:rFonts w:hint="default" w:ascii="Calibri" w:hAnsi="Calibri" w:eastAsia="楷体_GB2312" w:cs="Calibri"/>
          <w:sz w:val="20"/>
          <w:szCs w:val="20"/>
          <w:lang w:val="en-US" w:eastAsia="zh-CN"/>
        </w:rPr>
        <w:t>AI</w:t>
      </w:r>
      <w:r>
        <w:rPr>
          <w:rFonts w:hint="default" w:ascii="Calibri" w:hAnsi="Calibri" w:eastAsia="楷体_GB2312" w:cs="Calibri"/>
          <w:sz w:val="20"/>
          <w:szCs w:val="20"/>
          <w:lang w:val="en-US" w:eastAsia="zh-CN"/>
        </w:rPr>
        <w:t>功耗瓶颈的战略高地。</w:t>
      </w:r>
    </w:p>
    <w:p w14:paraId="6E97486F">
      <w:pPr>
        <w:overflowPunct w:val="0"/>
        <w:ind w:left="3200"/>
        <w:jc w:val="both"/>
        <w:rPr>
          <w:rFonts w:hint="default" w:ascii="Calibri" w:hAnsi="Calibri" w:eastAsia="楷体_GB2312" w:cs="Calibri"/>
          <w:lang w:eastAsia="zh-CN"/>
        </w:rPr>
      </w:pPr>
    </w:p>
    <w:p w14:paraId="3CC2BE9D">
      <w:pPr>
        <w:overflowPunct w:val="0"/>
        <w:ind w:left="3200" w:leftChars="2000"/>
        <w:jc w:val="both"/>
        <w:outlineLvl w:val="1"/>
        <w:rPr>
          <w:rFonts w:hint="default" w:ascii="Calibri" w:hAnsi="Calibri" w:eastAsia="楷体_GB2312" w:cs="Calibri"/>
          <w:b/>
          <w:bCs/>
          <w:color w:val="1F497D" w:themeColor="text2"/>
          <w:sz w:val="24"/>
          <w:szCs w:val="24"/>
          <w:lang w:val="en-US" w:eastAsia="zh-CN"/>
          <w14:textFill>
            <w14:solidFill>
              <w14:schemeClr w14:val="tx2"/>
            </w14:solidFill>
          </w14:textFill>
        </w:rPr>
      </w:pPr>
      <w:bookmarkStart w:id="12" w:name="_Toc223082597"/>
      <w:r>
        <w:rPr>
          <w:rFonts w:hint="default" w:ascii="Calibri" w:hAnsi="Calibri" w:eastAsia="楷体_GB2312" w:cs="Calibri"/>
          <w:b/>
          <w:bCs/>
          <w:color w:val="1F497D" w:themeColor="text2"/>
          <w:sz w:val="24"/>
          <w:szCs w:val="24"/>
          <w:lang w:val="en-US" w:eastAsia="zh-CN"/>
          <w14:textFill>
            <w14:solidFill>
              <w14:schemeClr w14:val="tx2"/>
            </w14:solidFill>
          </w14:textFill>
        </w:rPr>
        <w:t>（三）</w:t>
      </w:r>
      <w:r>
        <w:rPr>
          <w:rFonts w:hint="default" w:ascii="Calibri" w:hAnsi="Calibri" w:eastAsia="楷体_GB2312" w:cs="Calibri"/>
        </w:rPr>
        <w:fldChar w:fldCharType="begin"/>
      </w:r>
      <w:r>
        <w:rPr>
          <w:rFonts w:hint="default" w:ascii="Calibri" w:hAnsi="Calibri" w:eastAsia="楷体_GB2312" w:cs="Calibri"/>
        </w:rPr>
        <w:instrText xml:space="preserve"> HYPERLINK \l "_Toc192787046" </w:instrText>
      </w:r>
      <w:r>
        <w:rPr>
          <w:rFonts w:hint="default" w:ascii="Calibri" w:hAnsi="Calibri" w:eastAsia="楷体_GB2312" w:cs="Calibri"/>
        </w:rPr>
        <w:fldChar w:fldCharType="separate"/>
      </w:r>
      <w:r>
        <w:rPr>
          <w:rFonts w:hint="default" w:ascii="Calibri" w:hAnsi="Calibri" w:eastAsia="楷体_GB2312" w:cs="Calibri"/>
          <w:b/>
          <w:bCs/>
          <w:color w:val="1F497D" w:themeColor="text2"/>
          <w:sz w:val="24"/>
          <w:szCs w:val="24"/>
          <w:lang w:val="en-US" w:eastAsia="zh-CN"/>
          <w14:textFill>
            <w14:solidFill>
              <w14:schemeClr w14:val="tx2"/>
            </w14:solidFill>
          </w14:textFill>
        </w:rPr>
        <w:t>SMR</w:t>
      </w:r>
      <w:r>
        <w:rPr>
          <w:rFonts w:hint="default" w:ascii="Calibri" w:hAnsi="Calibri" w:eastAsia="楷体_GB2312" w:cs="Calibri"/>
          <w:b/>
          <w:bCs/>
          <w:color w:val="1F497D" w:themeColor="text2"/>
          <w:sz w:val="24"/>
          <w:szCs w:val="24"/>
          <w:lang w:val="en-US" w:eastAsia="zh-CN"/>
          <w14:textFill>
            <w14:solidFill>
              <w14:schemeClr w14:val="tx2"/>
            </w14:solidFill>
          </w14:textFill>
        </w:rPr>
        <w:fldChar w:fldCharType="end"/>
      </w:r>
      <w:r>
        <w:rPr>
          <w:rFonts w:hint="default" w:ascii="Calibri" w:hAnsi="Calibri" w:eastAsia="楷体_GB2312" w:cs="Calibri"/>
          <w:b/>
          <w:bCs/>
          <w:color w:val="1F497D" w:themeColor="text2"/>
          <w:sz w:val="24"/>
          <w:szCs w:val="24"/>
          <w:lang w:val="en-US" w:eastAsia="zh-CN"/>
          <w14:textFill>
            <w14:solidFill>
              <w14:schemeClr w14:val="tx2"/>
            </w14:solidFill>
          </w14:textFill>
        </w:rPr>
        <w:t>装备</w:t>
      </w:r>
      <w:bookmarkEnd w:id="12"/>
    </w:p>
    <w:p w14:paraId="16176348">
      <w:pPr>
        <w:overflowPunct w:val="0"/>
        <w:ind w:left="32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AI 数据中心能源需求爆发，SMR成为2030年后最佳供电选择。</w:t>
      </w:r>
      <w:r>
        <w:rPr>
          <w:rFonts w:hint="default" w:ascii="Calibri" w:hAnsi="Calibri" w:eastAsia="楷体_GB2312" w:cs="Calibri"/>
          <w:sz w:val="20"/>
          <w:szCs w:val="20"/>
          <w:lang w:val="en-US" w:eastAsia="zh-CN"/>
        </w:rPr>
        <w:t>核电因其环保、高稳定性的特点是目前AI数据中心最为追捧的电力选择，而SMR因其更加灵活、更高的安全性、更容易共址的特点将成为2030年大规模商用后AI数据中心的最佳供电选择。根据ResearchAndMarkerts的预测，全球SMR市场规模将从2024年的1.594亿美元跃升至2035年的51.7亿美元，年均复合增长率高达42.31%。这一爆发式增长的核心驱动力来自AI数据中心的能源需求激增。全球科技巨头正积极布局，谷歌、甲骨文、AWS、Switch等公司在过去12个月内与SMR签署了长期供电协议。2026年1月，OKLO与Meta签署协议，支持在俄亥俄州建设1.2 GW核电园区，主要为AI数据中心提供清洁电力。</w:t>
      </w:r>
    </w:p>
    <w:p w14:paraId="1A487742">
      <w:pPr>
        <w:overflowPunct w:val="0"/>
        <w:ind w:left="3200"/>
        <w:jc w:val="both"/>
        <w:rPr>
          <w:rFonts w:hint="default" w:ascii="Calibri" w:hAnsi="Calibri" w:eastAsia="楷体_GB2312" w:cs="Calibri"/>
          <w:b/>
          <w:bCs/>
          <w:sz w:val="28"/>
          <w:szCs w:val="28"/>
          <w:lang w:val="en-US" w:eastAsia="zh-CN"/>
        </w:rPr>
      </w:pPr>
    </w:p>
    <w:p w14:paraId="6913D7FF">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美国政府政策加速推动，核能监管体系优化决策体系，共同加速先进反应堆和小型模块化反应堆（SMR）等核能创新产业商业化的发展。</w:t>
      </w:r>
      <w:r>
        <w:rPr>
          <w:rFonts w:hint="default" w:ascii="Calibri" w:hAnsi="Calibri" w:eastAsia="楷体_GB2312" w:cs="Calibri"/>
          <w:sz w:val="20"/>
          <w:szCs w:val="20"/>
          <w:lang w:val="en-US" w:eastAsia="zh-CN"/>
        </w:rPr>
        <w:t>2026年1月，美国能源部拨款27亿美元支持国内铀浓缩，进一步完善核燃料供应链，为SMR项目落地提供关键支撑。2026年2月，美国核管理委员会（NRC）宣布了一项重大重组计划，旨在通过优化决策流程、整合职能部门，加快新型核技术的许可和部署速度，以更好地配合国家能源战略目标。NRC预计将在未来60天内公布新的组织架构图和变革管理方案，包括为反应堆安全项目任命关键负责人，并计划在2026年9月底前全面实施重组计划。此次重组是美国核能监管体系适应新技术发展、提升行政效能的重要一步，特别是在先进反应堆和小型模块化反应堆(SMR)加速发展的背景下，更高效的许可流程将有助于推动核能产业的创新与安全发展。</w:t>
      </w:r>
    </w:p>
    <w:p w14:paraId="3952343E">
      <w:pPr>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br w:type="page"/>
      </w:r>
    </w:p>
    <w:tbl>
      <w:tblPr>
        <w:tblStyle w:val="27"/>
        <w:tblW w:w="9914" w:type="dxa"/>
        <w:tblInd w:w="647"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fixed"/>
        <w:tblCellMar>
          <w:top w:w="0" w:type="dxa"/>
          <w:left w:w="0" w:type="dxa"/>
          <w:bottom w:w="0" w:type="dxa"/>
          <w:right w:w="0" w:type="dxa"/>
        </w:tblCellMar>
      </w:tblPr>
      <w:tblGrid>
        <w:gridCol w:w="9914"/>
      </w:tblGrid>
      <w:tr w14:paraId="39A626DF">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9914" w:type="dxa"/>
            <w:tcBorders>
              <w:bottom w:val="single" w:color="auto" w:sz="4" w:space="0"/>
            </w:tcBorders>
          </w:tcPr>
          <w:p w14:paraId="21AB09DD">
            <w:pPr>
              <w:overflowPunct w:val="0"/>
              <w:rPr>
                <w:rFonts w:hint="default" w:ascii="Calibri" w:hAnsi="Calibri" w:eastAsia="楷体_GB2312" w:cs="Calibri"/>
                <w:b/>
                <w:sz w:val="18"/>
                <w:szCs w:val="20"/>
                <w:lang w:eastAsia="zh-CN"/>
              </w:rPr>
            </w:pPr>
            <w:r>
              <w:rPr>
                <w:rFonts w:hint="default" w:ascii="Calibri" w:hAnsi="Calibri" w:eastAsia="楷体_GB2312" w:cs="Calibri"/>
                <w:b/>
                <w:sz w:val="18"/>
                <w:szCs w:val="18"/>
                <w:lang w:eastAsia="zh-CN"/>
              </w:rPr>
              <w:t>表</w:t>
            </w:r>
            <w:r>
              <w:rPr>
                <w:rFonts w:hint="default" w:ascii="Calibri" w:hAnsi="Calibri" w:eastAsia="楷体_GB2312" w:cs="Calibri"/>
                <w:b/>
                <w:sz w:val="18"/>
                <w:szCs w:val="18"/>
                <w:lang w:val="en-US" w:eastAsia="zh-CN"/>
              </w:rPr>
              <w:t>3</w:t>
            </w:r>
            <w:r>
              <w:rPr>
                <w:rFonts w:hint="default" w:ascii="Calibri" w:hAnsi="Calibri" w:eastAsia="楷体_GB2312" w:cs="Calibri"/>
                <w:b/>
                <w:sz w:val="18"/>
                <w:szCs w:val="18"/>
                <w:lang w:eastAsia="zh-CN"/>
              </w:rPr>
              <w:t>： SMR</w:t>
            </w:r>
            <w:r>
              <w:rPr>
                <w:rFonts w:hint="default" w:ascii="Calibri" w:hAnsi="Calibri" w:eastAsia="楷体_GB2312" w:cs="Calibri"/>
                <w:b/>
                <w:sz w:val="18"/>
                <w:szCs w:val="18"/>
                <w:lang w:val="en-US" w:eastAsia="zh-CN"/>
              </w:rPr>
              <w:t>投资情况及行业动态</w:t>
            </w:r>
          </w:p>
        </w:tc>
      </w:tr>
      <w:tr w14:paraId="6A19C02C">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1142" w:hRule="atLeast"/>
        </w:trPr>
        <w:tc>
          <w:tcPr>
            <w:tcW w:w="9914" w:type="dxa"/>
            <w:tcBorders>
              <w:top w:val="single" w:color="auto" w:sz="4" w:space="0"/>
              <w:bottom w:val="single" w:color="auto" w:sz="4" w:space="0"/>
            </w:tcBorders>
            <w:vAlign w:val="center"/>
          </w:tcPr>
          <w:tbl>
            <w:tblPr>
              <w:tblStyle w:val="26"/>
              <w:tblW w:w="9706" w:type="dxa"/>
              <w:tblInd w:w="0" w:type="dxa"/>
              <w:tblLayout w:type="fixed"/>
              <w:tblCellMar>
                <w:top w:w="0" w:type="dxa"/>
                <w:left w:w="108" w:type="dxa"/>
                <w:bottom w:w="0" w:type="dxa"/>
                <w:right w:w="108" w:type="dxa"/>
              </w:tblCellMar>
            </w:tblPr>
            <w:tblGrid>
              <w:gridCol w:w="1149"/>
              <w:gridCol w:w="8557"/>
            </w:tblGrid>
            <w:tr w14:paraId="64046100">
              <w:tblPrEx>
                <w:tblCellMar>
                  <w:top w:w="0" w:type="dxa"/>
                  <w:left w:w="108" w:type="dxa"/>
                  <w:bottom w:w="0" w:type="dxa"/>
                  <w:right w:w="108" w:type="dxa"/>
                </w:tblCellMar>
              </w:tblPrEx>
              <w:trPr>
                <w:trHeight w:val="248" w:hRule="atLeast"/>
              </w:trPr>
              <w:tc>
                <w:tcPr>
                  <w:tcW w:w="1149" w:type="dxa"/>
                  <w:tcBorders>
                    <w:top w:val="nil"/>
                    <w:left w:val="nil"/>
                    <w:bottom w:val="single" w:color="auto" w:sz="4" w:space="0"/>
                    <w:right w:val="nil"/>
                  </w:tcBorders>
                  <w:shd w:val="clear" w:color="000000" w:fill="002060"/>
                  <w:noWrap/>
                  <w:vAlign w:val="center"/>
                </w:tcPr>
                <w:p w14:paraId="362E0CB5">
                  <w:pPr>
                    <w:jc w:val="center"/>
                    <w:rPr>
                      <w:rFonts w:hint="default" w:ascii="Calibri" w:hAnsi="Calibri" w:eastAsia="楷体_GB2312" w:cs="Calibri"/>
                      <w:b/>
                      <w:bCs/>
                      <w:color w:val="FFFFFF"/>
                      <w:sz w:val="18"/>
                      <w:szCs w:val="18"/>
                    </w:rPr>
                  </w:pPr>
                  <w:r>
                    <w:rPr>
                      <w:rFonts w:hint="default" w:ascii="Calibri" w:hAnsi="Calibri" w:eastAsia="楷体_GB2312" w:cs="Calibri"/>
                      <w:b/>
                      <w:bCs/>
                      <w:color w:val="FFFFFF"/>
                      <w:sz w:val="18"/>
                      <w:szCs w:val="18"/>
                    </w:rPr>
                    <w:t>日期</w:t>
                  </w:r>
                </w:p>
              </w:tc>
              <w:tc>
                <w:tcPr>
                  <w:tcW w:w="8557" w:type="dxa"/>
                  <w:tcBorders>
                    <w:top w:val="nil"/>
                    <w:left w:val="nil"/>
                    <w:bottom w:val="single" w:color="auto" w:sz="4" w:space="0"/>
                    <w:right w:val="nil"/>
                  </w:tcBorders>
                  <w:shd w:val="clear" w:color="000000" w:fill="002060"/>
                  <w:noWrap/>
                  <w:vAlign w:val="center"/>
                </w:tcPr>
                <w:p w14:paraId="1FAA5179">
                  <w:pPr>
                    <w:jc w:val="center"/>
                    <w:rPr>
                      <w:rFonts w:hint="default" w:ascii="Calibri" w:hAnsi="Calibri" w:eastAsia="楷体_GB2312" w:cs="Calibri"/>
                      <w:b/>
                      <w:bCs/>
                      <w:color w:val="FFFFFF"/>
                      <w:sz w:val="18"/>
                      <w:szCs w:val="18"/>
                    </w:rPr>
                  </w:pPr>
                  <w:r>
                    <w:rPr>
                      <w:rFonts w:hint="default" w:ascii="Calibri" w:hAnsi="Calibri" w:eastAsia="楷体_GB2312" w:cs="Calibri"/>
                      <w:b/>
                      <w:bCs/>
                      <w:color w:val="FFFFFF"/>
                      <w:sz w:val="18"/>
                      <w:szCs w:val="18"/>
                    </w:rPr>
                    <w:t>简介</w:t>
                  </w:r>
                </w:p>
              </w:tc>
            </w:tr>
            <w:tr w14:paraId="5546127F">
              <w:tblPrEx>
                <w:tblCellMar>
                  <w:top w:w="0" w:type="dxa"/>
                  <w:left w:w="108" w:type="dxa"/>
                  <w:bottom w:w="0" w:type="dxa"/>
                  <w:right w:w="108" w:type="dxa"/>
                </w:tblCellMar>
              </w:tblPrEx>
              <w:trPr>
                <w:trHeight w:val="248" w:hRule="atLeast"/>
              </w:trPr>
              <w:tc>
                <w:tcPr>
                  <w:tcW w:w="1149" w:type="dxa"/>
                  <w:tcBorders>
                    <w:top w:val="single" w:color="auto" w:sz="4" w:space="0"/>
                    <w:left w:val="single" w:color="auto" w:sz="4" w:space="0"/>
                    <w:bottom w:val="single" w:color="auto" w:sz="4" w:space="0"/>
                    <w:right w:val="single" w:color="auto" w:sz="4" w:space="0"/>
                  </w:tcBorders>
                  <w:shd w:val="clear" w:color="000000" w:fill="auto"/>
                  <w:noWrap/>
                  <w:vAlign w:val="center"/>
                </w:tcPr>
                <w:p w14:paraId="170A393C">
                  <w:pPr>
                    <w:jc w:val="center"/>
                    <w:rPr>
                      <w:rFonts w:hint="default" w:ascii="Calibri" w:hAnsi="Calibri" w:eastAsia="楷体_GB2312" w:cs="Calibri"/>
                      <w:color w:val="000000"/>
                    </w:rPr>
                  </w:pPr>
                  <w:r>
                    <w:rPr>
                      <w:rFonts w:hint="default" w:ascii="Calibri" w:hAnsi="Calibri" w:eastAsia="楷体_GB2312" w:cs="Calibri"/>
                      <w:color w:val="000000"/>
                      <w:lang w:val="en-US" w:eastAsia="zh-CN"/>
                    </w:rPr>
                    <w:t>2026-02-02</w:t>
                  </w:r>
                </w:p>
              </w:tc>
              <w:tc>
                <w:tcPr>
                  <w:tcW w:w="8557" w:type="dxa"/>
                  <w:tcBorders>
                    <w:top w:val="single" w:color="auto" w:sz="4" w:space="0"/>
                    <w:left w:val="single" w:color="auto" w:sz="4" w:space="0"/>
                    <w:bottom w:val="single" w:color="auto" w:sz="4" w:space="0"/>
                    <w:right w:val="single" w:color="auto" w:sz="4" w:space="0"/>
                  </w:tcBorders>
                  <w:shd w:val="clear" w:color="000000" w:fill="auto"/>
                  <w:noWrap/>
                  <w:vAlign w:val="center"/>
                </w:tcPr>
                <w:p w14:paraId="7E426C6A">
                  <w:pPr>
                    <w:rPr>
                      <w:rFonts w:hint="default" w:ascii="Calibri" w:hAnsi="Calibri" w:eastAsia="楷体_GB2312" w:cs="Calibri"/>
                      <w:color w:val="000000"/>
                      <w:lang w:eastAsia="zh-CN"/>
                    </w:rPr>
                  </w:pPr>
                  <w:r>
                    <w:rPr>
                      <w:rFonts w:hint="default" w:ascii="Calibri" w:hAnsi="Calibri" w:eastAsia="楷体_GB2312" w:cs="Calibri"/>
                      <w:color w:val="000000"/>
                    </w:rPr>
                    <w:t>由罗马尼亚国家核电公司Nuclearelectrica与美国NuScale Power合资成立的项目公司RoPower Nuclear将在2月就小型模块化反应堆SMR项目做出投资决定，推进东欧地区核能发展。项目计划建设六座NuScale反应堆，总装机容量达462MW，将为罗马尼亚能源结构转型提供重要支撑。</w:t>
                  </w:r>
                  <w:r>
                    <w:rPr>
                      <w:rFonts w:hint="default" w:ascii="Calibri" w:hAnsi="Calibri" w:eastAsia="楷体_GB2312" w:cs="Calibri"/>
                      <w:color w:val="000000"/>
                      <w:lang w:eastAsia="zh-CN"/>
                    </w:rPr>
                    <w:t>根据项目规划，罗马尼亚有望成为欧洲首个实施小型模块化反应堆技术的国家，首个反应堆预计将于2027-2028年间投入商业运营。</w:t>
                  </w:r>
                </w:p>
              </w:tc>
            </w:tr>
            <w:tr w14:paraId="06F4F442">
              <w:tblPrEx>
                <w:tblCellMar>
                  <w:top w:w="0" w:type="dxa"/>
                  <w:left w:w="108" w:type="dxa"/>
                  <w:bottom w:w="0" w:type="dxa"/>
                  <w:right w:w="108" w:type="dxa"/>
                </w:tblCellMar>
              </w:tblPrEx>
              <w:trPr>
                <w:trHeight w:val="248" w:hRule="atLeast"/>
              </w:trPr>
              <w:tc>
                <w:tcPr>
                  <w:tcW w:w="1149" w:type="dxa"/>
                  <w:tcBorders>
                    <w:top w:val="single" w:color="auto" w:sz="4" w:space="0"/>
                    <w:left w:val="single" w:color="auto" w:sz="4" w:space="0"/>
                    <w:bottom w:val="single" w:color="auto" w:sz="4" w:space="0"/>
                    <w:right w:val="single" w:color="auto" w:sz="4" w:space="0"/>
                  </w:tcBorders>
                  <w:shd w:val="clear" w:color="000000" w:fill="auto"/>
                  <w:noWrap/>
                  <w:vAlign w:val="center"/>
                </w:tcPr>
                <w:p w14:paraId="7C4072DE">
                  <w:pPr>
                    <w:jc w:val="center"/>
                    <w:rPr>
                      <w:rFonts w:hint="default" w:ascii="Calibri" w:hAnsi="Calibri" w:eastAsia="楷体_GB2312" w:cs="Calibri"/>
                      <w:color w:val="000000"/>
                    </w:rPr>
                  </w:pPr>
                  <w:r>
                    <w:rPr>
                      <w:rFonts w:hint="default" w:ascii="Calibri" w:hAnsi="Calibri" w:eastAsia="楷体_GB2312" w:cs="Calibri"/>
                      <w:color w:val="000000"/>
                      <w:lang w:val="en-US" w:eastAsia="zh-CN"/>
                    </w:rPr>
                    <w:t>2026-01-09</w:t>
                  </w:r>
                </w:p>
              </w:tc>
              <w:tc>
                <w:tcPr>
                  <w:tcW w:w="8557" w:type="dxa"/>
                  <w:tcBorders>
                    <w:top w:val="single" w:color="auto" w:sz="4" w:space="0"/>
                    <w:left w:val="single" w:color="auto" w:sz="4" w:space="0"/>
                    <w:bottom w:val="single" w:color="auto" w:sz="4" w:space="0"/>
                    <w:right w:val="single" w:color="auto" w:sz="4" w:space="0"/>
                  </w:tcBorders>
                  <w:shd w:val="clear" w:color="000000" w:fill="auto"/>
                  <w:noWrap/>
                  <w:vAlign w:val="center"/>
                </w:tcPr>
                <w:p w14:paraId="4F839B98">
                  <w:pPr>
                    <w:rPr>
                      <w:rFonts w:hint="default" w:ascii="Calibri" w:hAnsi="Calibri" w:eastAsia="楷体_GB2312" w:cs="Calibri"/>
                      <w:color w:val="000000"/>
                      <w:lang w:eastAsia="zh-CN"/>
                    </w:rPr>
                  </w:pPr>
                  <w:r>
                    <w:rPr>
                      <w:rFonts w:hint="default" w:ascii="Calibri" w:hAnsi="Calibri" w:eastAsia="楷体_GB2312" w:cs="Calibri"/>
                      <w:color w:val="000000"/>
                    </w:rPr>
                    <w:t>Meta宣布与三家核电供应商达成协议，分别是Oklo、Vistra和TerraPower。Meta将从Vistra位于俄亥俄州的Perry核电站和Davis-Besse核电站，以及宾夕法尼亚州的Beaver Valley核电站购电。</w:t>
                  </w:r>
                  <w:r>
                    <w:rPr>
                      <w:rFonts w:hint="default" w:ascii="Calibri" w:hAnsi="Calibri" w:eastAsia="楷体_GB2312" w:cs="Calibri"/>
                      <w:color w:val="000000"/>
                      <w:lang w:eastAsia="zh-CN"/>
                    </w:rPr>
                    <w:t>此外，Meta还将协助开发Oklo和TerraPower计划建设的小型模块化反应堆（SMR）项目</w:t>
                  </w:r>
                </w:p>
              </w:tc>
            </w:tr>
            <w:tr w14:paraId="1D902F53">
              <w:tblPrEx>
                <w:tblCellMar>
                  <w:top w:w="0" w:type="dxa"/>
                  <w:left w:w="108" w:type="dxa"/>
                  <w:bottom w:w="0" w:type="dxa"/>
                  <w:right w:w="108" w:type="dxa"/>
                </w:tblCellMar>
              </w:tblPrEx>
              <w:trPr>
                <w:trHeight w:val="248" w:hRule="atLeast"/>
              </w:trPr>
              <w:tc>
                <w:tcPr>
                  <w:tcW w:w="1149" w:type="dxa"/>
                  <w:tcBorders>
                    <w:top w:val="single" w:color="auto" w:sz="4" w:space="0"/>
                    <w:left w:val="single" w:color="auto" w:sz="4" w:space="0"/>
                    <w:bottom w:val="single" w:color="auto" w:sz="4" w:space="0"/>
                    <w:right w:val="single" w:color="auto" w:sz="4" w:space="0"/>
                  </w:tcBorders>
                  <w:shd w:val="clear" w:color="000000" w:fill="auto"/>
                  <w:noWrap/>
                  <w:vAlign w:val="center"/>
                </w:tcPr>
                <w:p w14:paraId="7E4B39E0">
                  <w:pPr>
                    <w:jc w:val="center"/>
                    <w:rPr>
                      <w:rFonts w:hint="default" w:ascii="Calibri" w:hAnsi="Calibri" w:eastAsia="楷体_GB2312" w:cs="Calibri"/>
                      <w:color w:val="000000"/>
                    </w:rPr>
                  </w:pPr>
                  <w:r>
                    <w:rPr>
                      <w:rFonts w:hint="default" w:ascii="Calibri" w:hAnsi="Calibri" w:eastAsia="楷体_GB2312" w:cs="Calibri"/>
                      <w:color w:val="000000"/>
                      <w:lang w:val="en-US" w:eastAsia="zh-CN"/>
                    </w:rPr>
                    <w:t>2025-12-02</w:t>
                  </w:r>
                </w:p>
              </w:tc>
              <w:tc>
                <w:tcPr>
                  <w:tcW w:w="8557" w:type="dxa"/>
                  <w:tcBorders>
                    <w:top w:val="single" w:color="auto" w:sz="4" w:space="0"/>
                    <w:left w:val="single" w:color="auto" w:sz="4" w:space="0"/>
                    <w:bottom w:val="single" w:color="auto" w:sz="4" w:space="0"/>
                    <w:right w:val="single" w:color="auto" w:sz="4" w:space="0"/>
                  </w:tcBorders>
                  <w:shd w:val="clear" w:color="000000" w:fill="auto"/>
                  <w:noWrap/>
                  <w:vAlign w:val="center"/>
                </w:tcPr>
                <w:p w14:paraId="26F84588">
                  <w:pPr>
                    <w:rPr>
                      <w:rFonts w:hint="default" w:ascii="Calibri" w:hAnsi="Calibri" w:eastAsia="楷体_GB2312" w:cs="Calibri"/>
                      <w:color w:val="000000"/>
                      <w:lang w:eastAsia="zh-CN"/>
                    </w:rPr>
                  </w:pPr>
                  <w:r>
                    <w:rPr>
                      <w:rFonts w:hint="default" w:ascii="Calibri" w:hAnsi="Calibri" w:eastAsia="楷体_GB2312" w:cs="Calibri"/>
                      <w:color w:val="000000"/>
                      <w:lang w:eastAsia="zh-CN"/>
                    </w:rPr>
                    <w:t>美国能源部（DOE）宣布向田纳西河流域管理局（TVA）提供4亿美元拨款，以继续加速部署通用电气（GE）弗诺瓦和日立核能的BWRX-300小型模块化反应堆（SMR）。该公司的第一个BWRX-300商业运营计划在2030年代初的田纳西河流域公用事业 Clinch River 站，这将使其成为美国第一个商业SMR。</w:t>
                  </w:r>
                </w:p>
              </w:tc>
            </w:tr>
            <w:tr w14:paraId="786C028F">
              <w:tblPrEx>
                <w:tblCellMar>
                  <w:top w:w="0" w:type="dxa"/>
                  <w:left w:w="108" w:type="dxa"/>
                  <w:bottom w:w="0" w:type="dxa"/>
                  <w:right w:w="108" w:type="dxa"/>
                </w:tblCellMar>
              </w:tblPrEx>
              <w:trPr>
                <w:trHeight w:val="248" w:hRule="atLeast"/>
              </w:trPr>
              <w:tc>
                <w:tcPr>
                  <w:tcW w:w="1149" w:type="dxa"/>
                  <w:tcBorders>
                    <w:top w:val="single" w:color="auto" w:sz="4" w:space="0"/>
                    <w:left w:val="single" w:color="auto" w:sz="4" w:space="0"/>
                    <w:bottom w:val="single" w:color="auto" w:sz="4" w:space="0"/>
                    <w:right w:val="single" w:color="auto" w:sz="4" w:space="0"/>
                  </w:tcBorders>
                  <w:shd w:val="clear" w:color="000000" w:fill="auto"/>
                  <w:noWrap/>
                  <w:vAlign w:val="center"/>
                </w:tcPr>
                <w:p w14:paraId="3F74507B">
                  <w:pPr>
                    <w:jc w:val="center"/>
                    <w:rPr>
                      <w:rFonts w:hint="default" w:ascii="Calibri" w:hAnsi="Calibri" w:eastAsia="楷体_GB2312" w:cs="Calibri"/>
                      <w:color w:val="000000"/>
                    </w:rPr>
                  </w:pPr>
                  <w:r>
                    <w:rPr>
                      <w:rFonts w:hint="default" w:ascii="Calibri" w:hAnsi="Calibri" w:eastAsia="楷体_GB2312" w:cs="Calibri"/>
                      <w:color w:val="000000"/>
                      <w:lang w:val="en-US" w:eastAsia="zh-CN"/>
                    </w:rPr>
                    <w:t>2025-10-15</w:t>
                  </w:r>
                </w:p>
              </w:tc>
              <w:tc>
                <w:tcPr>
                  <w:tcW w:w="8557" w:type="dxa"/>
                  <w:tcBorders>
                    <w:top w:val="single" w:color="auto" w:sz="4" w:space="0"/>
                    <w:left w:val="single" w:color="auto" w:sz="4" w:space="0"/>
                    <w:bottom w:val="single" w:color="auto" w:sz="4" w:space="0"/>
                    <w:right w:val="single" w:color="auto" w:sz="4" w:space="0"/>
                  </w:tcBorders>
                  <w:shd w:val="clear" w:color="000000" w:fill="auto"/>
                  <w:noWrap/>
                  <w:vAlign w:val="center"/>
                </w:tcPr>
                <w:p w14:paraId="6C40438A">
                  <w:pPr>
                    <w:rPr>
                      <w:rFonts w:hint="default" w:ascii="Calibri" w:hAnsi="Calibri" w:eastAsia="楷体_GB2312" w:cs="Calibri"/>
                      <w:color w:val="000000"/>
                      <w:lang w:eastAsia="zh-CN"/>
                    </w:rPr>
                  </w:pPr>
                  <w:r>
                    <w:rPr>
                      <w:rFonts w:hint="default" w:ascii="Calibri" w:hAnsi="Calibri" w:eastAsia="楷体_GB2312" w:cs="Calibri"/>
                      <w:color w:val="000000"/>
                    </w:rPr>
                    <w:t>亚马逊宣布将在美国华盛顿州参与建设全美首批小型模块化核反应堆(SMR)—Cascade先进能源厂，由Energy Northwest与X-Energy共同开发，预计2030年代初启用。</w:t>
                  </w:r>
                  <w:r>
                    <w:rPr>
                      <w:rFonts w:hint="default" w:ascii="Calibri" w:hAnsi="Calibri" w:eastAsia="楷体_GB2312" w:cs="Calibri"/>
                      <w:color w:val="000000"/>
                      <w:lang w:eastAsia="zh-CN"/>
                    </w:rPr>
                    <w:t>该厂初期建设四座Xe-100高温气冷反应堆，总发电量320MW，最终可达960MW，为AI、云及数据中心提供24小时不间断的零碳电力。</w:t>
                  </w:r>
                </w:p>
              </w:tc>
            </w:tr>
            <w:tr w14:paraId="64DEA26D">
              <w:tblPrEx>
                <w:tblCellMar>
                  <w:top w:w="0" w:type="dxa"/>
                  <w:left w:w="108" w:type="dxa"/>
                  <w:bottom w:w="0" w:type="dxa"/>
                  <w:right w:w="108" w:type="dxa"/>
                </w:tblCellMar>
              </w:tblPrEx>
              <w:trPr>
                <w:trHeight w:val="248" w:hRule="atLeast"/>
              </w:trPr>
              <w:tc>
                <w:tcPr>
                  <w:tcW w:w="1149" w:type="dxa"/>
                  <w:tcBorders>
                    <w:top w:val="single" w:color="auto" w:sz="4" w:space="0"/>
                    <w:left w:val="single" w:color="auto" w:sz="4" w:space="0"/>
                    <w:bottom w:val="single" w:color="auto" w:sz="4" w:space="0"/>
                    <w:right w:val="single" w:color="auto" w:sz="4" w:space="0"/>
                  </w:tcBorders>
                  <w:shd w:val="clear" w:color="000000" w:fill="auto"/>
                  <w:noWrap/>
                  <w:vAlign w:val="center"/>
                </w:tcPr>
                <w:p w14:paraId="62AB2AD9">
                  <w:pPr>
                    <w:jc w:val="center"/>
                    <w:rPr>
                      <w:rFonts w:hint="default" w:ascii="Calibri" w:hAnsi="Calibri" w:eastAsia="楷体_GB2312" w:cs="Calibri"/>
                      <w:color w:val="000000"/>
                    </w:rPr>
                  </w:pPr>
                  <w:r>
                    <w:rPr>
                      <w:rFonts w:hint="default" w:ascii="Calibri" w:hAnsi="Calibri" w:eastAsia="楷体_GB2312" w:cs="Calibri"/>
                      <w:color w:val="000000"/>
                      <w:lang w:val="en-US" w:eastAsia="zh-CN"/>
                    </w:rPr>
                    <w:t>2025-09-30</w:t>
                  </w:r>
                </w:p>
              </w:tc>
              <w:tc>
                <w:tcPr>
                  <w:tcW w:w="8557" w:type="dxa"/>
                  <w:tcBorders>
                    <w:top w:val="single" w:color="auto" w:sz="4" w:space="0"/>
                    <w:left w:val="single" w:color="auto" w:sz="4" w:space="0"/>
                    <w:bottom w:val="single" w:color="auto" w:sz="4" w:space="0"/>
                    <w:right w:val="single" w:color="auto" w:sz="4" w:space="0"/>
                  </w:tcBorders>
                  <w:shd w:val="clear" w:color="000000" w:fill="auto"/>
                  <w:noWrap/>
                  <w:vAlign w:val="center"/>
                </w:tcPr>
                <w:p w14:paraId="5B97AD42">
                  <w:pPr>
                    <w:rPr>
                      <w:rFonts w:hint="default" w:ascii="Calibri" w:hAnsi="Calibri" w:eastAsia="楷体_GB2312" w:cs="Calibri"/>
                      <w:color w:val="000000"/>
                      <w:lang w:eastAsia="zh-CN"/>
                    </w:rPr>
                  </w:pPr>
                  <w:r>
                    <w:rPr>
                      <w:rFonts w:hint="default" w:ascii="Calibri" w:hAnsi="Calibri" w:eastAsia="楷体_GB2312" w:cs="Calibri"/>
                      <w:color w:val="000000"/>
                      <w:lang w:eastAsia="zh-CN"/>
                    </w:rPr>
                    <w:t>美国先进核技术公司Oklo与瑞典铅冷小型模块化反应堆技术开发商Blykalla宣布建立战略合作关系，专注于技术合作、供应链协调和监管知识共享。</w:t>
                  </w:r>
                </w:p>
              </w:tc>
            </w:tr>
            <w:tr w14:paraId="4DD1051C">
              <w:tblPrEx>
                <w:tblCellMar>
                  <w:top w:w="0" w:type="dxa"/>
                  <w:left w:w="108" w:type="dxa"/>
                  <w:bottom w:w="0" w:type="dxa"/>
                  <w:right w:w="108" w:type="dxa"/>
                </w:tblCellMar>
              </w:tblPrEx>
              <w:trPr>
                <w:trHeight w:val="248" w:hRule="atLeast"/>
              </w:trPr>
              <w:tc>
                <w:tcPr>
                  <w:tcW w:w="1149" w:type="dxa"/>
                  <w:tcBorders>
                    <w:top w:val="single" w:color="auto" w:sz="4" w:space="0"/>
                    <w:left w:val="single" w:color="auto" w:sz="4" w:space="0"/>
                    <w:bottom w:val="single" w:color="auto" w:sz="4" w:space="0"/>
                    <w:right w:val="single" w:color="auto" w:sz="4" w:space="0"/>
                  </w:tcBorders>
                  <w:shd w:val="clear" w:color="000000" w:fill="auto"/>
                  <w:noWrap/>
                  <w:vAlign w:val="center"/>
                </w:tcPr>
                <w:p w14:paraId="4C0A2D8D">
                  <w:pPr>
                    <w:jc w:val="center"/>
                    <w:rPr>
                      <w:rFonts w:hint="default" w:ascii="Calibri" w:hAnsi="Calibri" w:eastAsia="楷体_GB2312" w:cs="Calibri"/>
                      <w:color w:val="000000"/>
                    </w:rPr>
                  </w:pPr>
                  <w:r>
                    <w:rPr>
                      <w:rFonts w:hint="default" w:ascii="Calibri" w:hAnsi="Calibri" w:eastAsia="楷体_GB2312" w:cs="Calibri"/>
                      <w:color w:val="000000"/>
                      <w:lang w:val="en-US" w:eastAsia="zh-CN"/>
                    </w:rPr>
                    <w:t>2025-09-16</w:t>
                  </w:r>
                </w:p>
              </w:tc>
              <w:tc>
                <w:tcPr>
                  <w:tcW w:w="8557" w:type="dxa"/>
                  <w:tcBorders>
                    <w:top w:val="single" w:color="auto" w:sz="4" w:space="0"/>
                    <w:left w:val="single" w:color="auto" w:sz="4" w:space="0"/>
                    <w:bottom w:val="single" w:color="auto" w:sz="4" w:space="0"/>
                    <w:right w:val="single" w:color="auto" w:sz="4" w:space="0"/>
                  </w:tcBorders>
                  <w:shd w:val="clear" w:color="000000" w:fill="auto"/>
                  <w:noWrap/>
                  <w:vAlign w:val="center"/>
                </w:tcPr>
                <w:p w14:paraId="3D826106">
                  <w:pPr>
                    <w:rPr>
                      <w:rFonts w:hint="default" w:ascii="Calibri" w:hAnsi="Calibri" w:eastAsia="楷体_GB2312" w:cs="Calibri"/>
                      <w:color w:val="000000"/>
                      <w:lang w:eastAsia="zh-CN"/>
                    </w:rPr>
                  </w:pPr>
                  <w:r>
                    <w:rPr>
                      <w:rFonts w:hint="default" w:ascii="Calibri" w:hAnsi="Calibri" w:eastAsia="楷体_GB2312" w:cs="Calibri"/>
                      <w:color w:val="000000"/>
                      <w:lang w:eastAsia="zh-CN"/>
                    </w:rPr>
                    <w:t>能源公司Centrica与美国核能企业X-Energy签署联合开发协议（JDA），计划在英格兰东北部城市哈特尔浦部署12台Xe-100先进模块化反应堆。</w:t>
                  </w:r>
                </w:p>
              </w:tc>
            </w:tr>
            <w:tr w14:paraId="4C3EEA99">
              <w:tblPrEx>
                <w:tblCellMar>
                  <w:top w:w="0" w:type="dxa"/>
                  <w:left w:w="108" w:type="dxa"/>
                  <w:bottom w:w="0" w:type="dxa"/>
                  <w:right w:w="108" w:type="dxa"/>
                </w:tblCellMar>
              </w:tblPrEx>
              <w:trPr>
                <w:trHeight w:val="90" w:hRule="atLeast"/>
              </w:trPr>
              <w:tc>
                <w:tcPr>
                  <w:tcW w:w="1149" w:type="dxa"/>
                  <w:tcBorders>
                    <w:top w:val="single" w:color="auto" w:sz="4" w:space="0"/>
                    <w:left w:val="single" w:color="auto" w:sz="4" w:space="0"/>
                    <w:bottom w:val="single" w:color="auto" w:sz="4" w:space="0"/>
                    <w:right w:val="single" w:color="auto" w:sz="4" w:space="0"/>
                  </w:tcBorders>
                  <w:shd w:val="clear" w:color="000000" w:fill="auto"/>
                  <w:noWrap/>
                  <w:vAlign w:val="center"/>
                </w:tcPr>
                <w:p w14:paraId="66BDEC85">
                  <w:pPr>
                    <w:jc w:val="center"/>
                    <w:rPr>
                      <w:rFonts w:hint="default" w:ascii="Calibri" w:hAnsi="Calibri" w:eastAsia="楷体_GB2312" w:cs="Calibri"/>
                      <w:color w:val="000000"/>
                    </w:rPr>
                  </w:pPr>
                  <w:r>
                    <w:rPr>
                      <w:rFonts w:hint="default" w:ascii="Calibri" w:hAnsi="Calibri" w:eastAsia="楷体_GB2312" w:cs="Calibri"/>
                      <w:color w:val="000000"/>
                      <w:lang w:val="en-US" w:eastAsia="zh-CN"/>
                    </w:rPr>
                    <w:t>2025-08-18</w:t>
                  </w:r>
                </w:p>
              </w:tc>
              <w:tc>
                <w:tcPr>
                  <w:tcW w:w="8557" w:type="dxa"/>
                  <w:tcBorders>
                    <w:top w:val="single" w:color="auto" w:sz="4" w:space="0"/>
                    <w:left w:val="single" w:color="auto" w:sz="4" w:space="0"/>
                    <w:bottom w:val="single" w:color="auto" w:sz="4" w:space="0"/>
                    <w:right w:val="single" w:color="auto" w:sz="4" w:space="0"/>
                  </w:tcBorders>
                  <w:shd w:val="clear" w:color="000000" w:fill="auto"/>
                  <w:noWrap/>
                  <w:vAlign w:val="center"/>
                </w:tcPr>
                <w:p w14:paraId="1F2792FE">
                  <w:pPr>
                    <w:rPr>
                      <w:rFonts w:hint="default" w:ascii="Calibri" w:hAnsi="Calibri" w:eastAsia="楷体_GB2312" w:cs="Calibri"/>
                      <w:color w:val="000000"/>
                      <w:lang w:eastAsia="zh-CN"/>
                    </w:rPr>
                  </w:pPr>
                  <w:r>
                    <w:rPr>
                      <w:rFonts w:hint="default" w:ascii="Calibri" w:hAnsi="Calibri" w:eastAsia="楷体_GB2312" w:cs="Calibri"/>
                      <w:color w:val="000000"/>
                      <w:lang w:eastAsia="zh-CN"/>
                    </w:rPr>
                    <w:t>谷歌支持的小型模块化反应堆（SMR）开发商Kairos Power已与美国公用事业公司田纳西河谷管理局（TVA）签署了一份50兆瓦的电力购买协议（PPA），将电力输送到位于田纳西州和阿拉巴马州的谷歌数据中心。</w:t>
                  </w:r>
                </w:p>
              </w:tc>
            </w:tr>
            <w:tr w14:paraId="6F29DE6A">
              <w:tblPrEx>
                <w:tblCellMar>
                  <w:top w:w="0" w:type="dxa"/>
                  <w:left w:w="108" w:type="dxa"/>
                  <w:bottom w:w="0" w:type="dxa"/>
                  <w:right w:w="108" w:type="dxa"/>
                </w:tblCellMar>
              </w:tblPrEx>
              <w:trPr>
                <w:trHeight w:val="475" w:hRule="atLeast"/>
              </w:trPr>
              <w:tc>
                <w:tcPr>
                  <w:tcW w:w="1149" w:type="dxa"/>
                  <w:tcBorders>
                    <w:top w:val="single" w:color="auto" w:sz="4" w:space="0"/>
                    <w:left w:val="single" w:color="auto" w:sz="4" w:space="0"/>
                    <w:bottom w:val="single" w:color="auto" w:sz="4" w:space="0"/>
                    <w:right w:val="single" w:color="auto" w:sz="4" w:space="0"/>
                  </w:tcBorders>
                  <w:vAlign w:val="center"/>
                </w:tcPr>
                <w:p w14:paraId="24BABEA2">
                  <w:pPr>
                    <w:jc w:val="center"/>
                    <w:rPr>
                      <w:rFonts w:hint="default" w:ascii="Calibri" w:hAnsi="Calibri" w:eastAsia="楷体_GB2312" w:cs="Calibri"/>
                      <w:color w:val="000000"/>
                    </w:rPr>
                  </w:pPr>
                  <w:r>
                    <w:rPr>
                      <w:rFonts w:hint="default" w:ascii="Calibri" w:hAnsi="Calibri" w:eastAsia="楷体_GB2312" w:cs="Calibri"/>
                      <w:color w:val="000000"/>
                    </w:rPr>
                    <w:t>2025-06-12</w:t>
                  </w:r>
                </w:p>
              </w:tc>
              <w:tc>
                <w:tcPr>
                  <w:tcW w:w="8557" w:type="dxa"/>
                  <w:tcBorders>
                    <w:top w:val="single" w:color="auto" w:sz="4" w:space="0"/>
                    <w:left w:val="nil"/>
                    <w:bottom w:val="single" w:color="auto" w:sz="4" w:space="0"/>
                    <w:right w:val="single" w:color="auto" w:sz="4" w:space="0"/>
                  </w:tcBorders>
                  <w:vAlign w:val="center"/>
                </w:tcPr>
                <w:p w14:paraId="2B301888">
                  <w:pPr>
                    <w:rPr>
                      <w:rFonts w:hint="default" w:ascii="Calibri" w:hAnsi="Calibri" w:eastAsia="楷体_GB2312" w:cs="Calibri"/>
                      <w:color w:val="000000"/>
                    </w:rPr>
                  </w:pPr>
                  <w:r>
                    <w:rPr>
                      <w:rFonts w:hint="default" w:ascii="Calibri" w:hAnsi="Calibri" w:eastAsia="楷体_GB2312" w:cs="Calibri"/>
                      <w:color w:val="000000"/>
                    </w:rPr>
                    <w:t>Talen 与AWS 将探索在 Talen 位于宾夕法尼亚州的工厂内建造新的小型模块化反应堆 (SMR)，并通过升级来扩大 Susquehanna 工厂的产量。</w:t>
                  </w:r>
                </w:p>
              </w:tc>
            </w:tr>
            <w:tr w14:paraId="24161B77">
              <w:tblPrEx>
                <w:tblCellMar>
                  <w:top w:w="0" w:type="dxa"/>
                  <w:left w:w="108" w:type="dxa"/>
                  <w:bottom w:w="0" w:type="dxa"/>
                  <w:right w:w="108" w:type="dxa"/>
                </w:tblCellMar>
              </w:tblPrEx>
              <w:trPr>
                <w:trHeight w:val="314" w:hRule="atLeast"/>
              </w:trPr>
              <w:tc>
                <w:tcPr>
                  <w:tcW w:w="1149" w:type="dxa"/>
                  <w:tcBorders>
                    <w:top w:val="nil"/>
                    <w:left w:val="single" w:color="auto" w:sz="4" w:space="0"/>
                    <w:bottom w:val="single" w:color="auto" w:sz="4" w:space="0"/>
                    <w:right w:val="single" w:color="auto" w:sz="4" w:space="0"/>
                  </w:tcBorders>
                  <w:vAlign w:val="center"/>
                </w:tcPr>
                <w:p w14:paraId="34466D83">
                  <w:pPr>
                    <w:jc w:val="center"/>
                    <w:rPr>
                      <w:rFonts w:hint="default" w:ascii="Calibri" w:hAnsi="Calibri" w:eastAsia="楷体_GB2312" w:cs="Calibri"/>
                      <w:color w:val="000000"/>
                    </w:rPr>
                  </w:pPr>
                  <w:r>
                    <w:rPr>
                      <w:rFonts w:hint="default" w:ascii="Calibri" w:hAnsi="Calibri" w:eastAsia="楷体_GB2312" w:cs="Calibri"/>
                      <w:color w:val="000000"/>
                    </w:rPr>
                    <w:t>2025-06-12</w:t>
                  </w:r>
                </w:p>
              </w:tc>
              <w:tc>
                <w:tcPr>
                  <w:tcW w:w="8557" w:type="dxa"/>
                  <w:tcBorders>
                    <w:top w:val="nil"/>
                    <w:left w:val="nil"/>
                    <w:bottom w:val="single" w:color="auto" w:sz="4" w:space="0"/>
                    <w:right w:val="single" w:color="auto" w:sz="4" w:space="0"/>
                  </w:tcBorders>
                  <w:vAlign w:val="center"/>
                </w:tcPr>
                <w:p w14:paraId="0CE40EBD">
                  <w:pPr>
                    <w:rPr>
                      <w:rFonts w:hint="default" w:ascii="Calibri" w:hAnsi="Calibri" w:eastAsia="楷体_GB2312" w:cs="Calibri"/>
                      <w:color w:val="000000"/>
                      <w:lang w:eastAsia="zh-CN"/>
                    </w:rPr>
                  </w:pPr>
                  <w:r>
                    <w:rPr>
                      <w:rFonts w:hint="default" w:ascii="Calibri" w:hAnsi="Calibri" w:eastAsia="楷体_GB2312" w:cs="Calibri"/>
                      <w:color w:val="000000"/>
                      <w:lang w:eastAsia="zh-CN"/>
                    </w:rPr>
                    <w:t>Oklo公告，国防部已发布意向通知，计划就一个试点反应堆授予购电协议。</w:t>
                  </w:r>
                </w:p>
              </w:tc>
            </w:tr>
            <w:tr w14:paraId="07C14E76">
              <w:tblPrEx>
                <w:tblCellMar>
                  <w:top w:w="0" w:type="dxa"/>
                  <w:left w:w="108" w:type="dxa"/>
                  <w:bottom w:w="0" w:type="dxa"/>
                  <w:right w:w="108" w:type="dxa"/>
                </w:tblCellMar>
              </w:tblPrEx>
              <w:trPr>
                <w:trHeight w:val="371" w:hRule="atLeast"/>
              </w:trPr>
              <w:tc>
                <w:tcPr>
                  <w:tcW w:w="1149" w:type="dxa"/>
                  <w:tcBorders>
                    <w:top w:val="nil"/>
                    <w:left w:val="single" w:color="auto" w:sz="4" w:space="0"/>
                    <w:bottom w:val="single" w:color="auto" w:sz="4" w:space="0"/>
                    <w:right w:val="single" w:color="auto" w:sz="4" w:space="0"/>
                  </w:tcBorders>
                  <w:vAlign w:val="center"/>
                </w:tcPr>
                <w:p w14:paraId="7F285D8C">
                  <w:pPr>
                    <w:jc w:val="center"/>
                    <w:rPr>
                      <w:rFonts w:hint="default" w:ascii="Calibri" w:hAnsi="Calibri" w:eastAsia="楷体_GB2312" w:cs="Calibri"/>
                      <w:color w:val="000000"/>
                    </w:rPr>
                  </w:pPr>
                  <w:r>
                    <w:rPr>
                      <w:rFonts w:hint="default" w:ascii="Calibri" w:hAnsi="Calibri" w:eastAsia="楷体_GB2312" w:cs="Calibri"/>
                      <w:color w:val="000000"/>
                    </w:rPr>
                    <w:t>2025-05-08</w:t>
                  </w:r>
                </w:p>
              </w:tc>
              <w:tc>
                <w:tcPr>
                  <w:tcW w:w="8557" w:type="dxa"/>
                  <w:tcBorders>
                    <w:top w:val="nil"/>
                    <w:left w:val="nil"/>
                    <w:bottom w:val="single" w:color="auto" w:sz="4" w:space="0"/>
                    <w:right w:val="single" w:color="auto" w:sz="4" w:space="0"/>
                  </w:tcBorders>
                  <w:vAlign w:val="center"/>
                </w:tcPr>
                <w:p w14:paraId="4A99C257">
                  <w:pPr>
                    <w:rPr>
                      <w:rFonts w:hint="default" w:ascii="Calibri" w:hAnsi="Calibri" w:eastAsia="楷体_GB2312" w:cs="Calibri"/>
                      <w:color w:val="000000"/>
                      <w:lang w:eastAsia="zh-CN"/>
                    </w:rPr>
                  </w:pPr>
                  <w:r>
                    <w:rPr>
                      <w:rFonts w:hint="default" w:ascii="Calibri" w:hAnsi="Calibri" w:eastAsia="楷体_GB2312" w:cs="Calibri"/>
                      <w:color w:val="000000"/>
                      <w:lang w:eastAsia="zh-CN"/>
                    </w:rPr>
                    <w:t>谷歌与 Elementl 合作，支持美国三个“先进”核项目的开发每个项目的容量为 600MW</w:t>
                  </w:r>
                </w:p>
              </w:tc>
            </w:tr>
            <w:tr w14:paraId="574C7646">
              <w:tblPrEx>
                <w:tblCellMar>
                  <w:top w:w="0" w:type="dxa"/>
                  <w:left w:w="108" w:type="dxa"/>
                  <w:bottom w:w="0" w:type="dxa"/>
                  <w:right w:w="108" w:type="dxa"/>
                </w:tblCellMar>
              </w:tblPrEx>
              <w:trPr>
                <w:trHeight w:val="799" w:hRule="atLeast"/>
              </w:trPr>
              <w:tc>
                <w:tcPr>
                  <w:tcW w:w="1149" w:type="dxa"/>
                  <w:tcBorders>
                    <w:top w:val="nil"/>
                    <w:left w:val="single" w:color="auto" w:sz="4" w:space="0"/>
                    <w:bottom w:val="single" w:color="auto" w:sz="4" w:space="0"/>
                    <w:right w:val="single" w:color="auto" w:sz="4" w:space="0"/>
                  </w:tcBorders>
                  <w:vAlign w:val="center"/>
                </w:tcPr>
                <w:p w14:paraId="1DEBC9F4">
                  <w:pPr>
                    <w:jc w:val="center"/>
                    <w:rPr>
                      <w:rFonts w:hint="default" w:ascii="Calibri" w:hAnsi="Calibri" w:eastAsia="楷体_GB2312" w:cs="Calibri"/>
                      <w:color w:val="000000"/>
                    </w:rPr>
                  </w:pPr>
                  <w:r>
                    <w:rPr>
                      <w:rFonts w:hint="default" w:ascii="Calibri" w:hAnsi="Calibri" w:eastAsia="楷体_GB2312" w:cs="Calibri"/>
                      <w:color w:val="000000"/>
                    </w:rPr>
                    <w:t>2025-04-14</w:t>
                  </w:r>
                </w:p>
              </w:tc>
              <w:tc>
                <w:tcPr>
                  <w:tcW w:w="8557" w:type="dxa"/>
                  <w:tcBorders>
                    <w:top w:val="nil"/>
                    <w:left w:val="nil"/>
                    <w:bottom w:val="single" w:color="auto" w:sz="4" w:space="0"/>
                    <w:right w:val="single" w:color="auto" w:sz="4" w:space="0"/>
                  </w:tcBorders>
                  <w:vAlign w:val="center"/>
                </w:tcPr>
                <w:p w14:paraId="79AF5B3F">
                  <w:pPr>
                    <w:rPr>
                      <w:rFonts w:hint="default" w:ascii="Calibri" w:hAnsi="Calibri" w:eastAsia="楷体_GB2312" w:cs="Calibri"/>
                      <w:color w:val="000000"/>
                      <w:lang w:eastAsia="zh-CN"/>
                    </w:rPr>
                  </w:pPr>
                  <w:r>
                    <w:rPr>
                      <w:rFonts w:hint="default" w:ascii="Calibri" w:hAnsi="Calibri" w:eastAsia="楷体_GB2312" w:cs="Calibri"/>
                      <w:color w:val="000000"/>
                      <w:lang w:eastAsia="zh-CN"/>
                    </w:rPr>
                    <w:t>总部位于德克萨斯州的模块化核反应堆开发商 Aalo Atomics 公布了其首个模块化核电站的原型，该公司已经与市政电力公司爱达荷福尔斯电力公司签署了一份谅解备忘录（MoU），部署七座工厂建造的 Aalo-1 反应堆，总发电量为 75MW。</w:t>
                  </w:r>
                </w:p>
              </w:tc>
            </w:tr>
            <w:tr w14:paraId="45A5A97D">
              <w:tblPrEx>
                <w:tblCellMar>
                  <w:top w:w="0" w:type="dxa"/>
                  <w:left w:w="108" w:type="dxa"/>
                  <w:bottom w:w="0" w:type="dxa"/>
                  <w:right w:w="108" w:type="dxa"/>
                </w:tblCellMar>
              </w:tblPrEx>
              <w:trPr>
                <w:trHeight w:val="460" w:hRule="atLeast"/>
              </w:trPr>
              <w:tc>
                <w:tcPr>
                  <w:tcW w:w="1149" w:type="dxa"/>
                  <w:tcBorders>
                    <w:top w:val="nil"/>
                    <w:left w:val="single" w:color="auto" w:sz="4" w:space="0"/>
                    <w:bottom w:val="single" w:color="auto" w:sz="4" w:space="0"/>
                    <w:right w:val="single" w:color="auto" w:sz="4" w:space="0"/>
                  </w:tcBorders>
                  <w:vAlign w:val="center"/>
                </w:tcPr>
                <w:p w14:paraId="2B6234F8">
                  <w:pPr>
                    <w:jc w:val="center"/>
                    <w:rPr>
                      <w:rFonts w:hint="default" w:ascii="Calibri" w:hAnsi="Calibri" w:eastAsia="楷体_GB2312" w:cs="Calibri"/>
                      <w:color w:val="000000"/>
                    </w:rPr>
                  </w:pPr>
                  <w:r>
                    <w:rPr>
                      <w:rFonts w:hint="default" w:ascii="Calibri" w:hAnsi="Calibri" w:eastAsia="楷体_GB2312" w:cs="Calibri"/>
                      <w:color w:val="000000"/>
                    </w:rPr>
                    <w:t>2025-03-11</w:t>
                  </w:r>
                </w:p>
              </w:tc>
              <w:tc>
                <w:tcPr>
                  <w:tcW w:w="8557" w:type="dxa"/>
                  <w:tcBorders>
                    <w:top w:val="nil"/>
                    <w:left w:val="nil"/>
                    <w:bottom w:val="single" w:color="auto" w:sz="4" w:space="0"/>
                    <w:right w:val="single" w:color="auto" w:sz="4" w:space="0"/>
                  </w:tcBorders>
                  <w:vAlign w:val="center"/>
                </w:tcPr>
                <w:p w14:paraId="7196EA41">
                  <w:pPr>
                    <w:rPr>
                      <w:rFonts w:hint="default" w:ascii="Calibri" w:hAnsi="Calibri" w:eastAsia="楷体_GB2312" w:cs="Calibri"/>
                      <w:color w:val="000000"/>
                      <w:lang w:eastAsia="zh-CN"/>
                    </w:rPr>
                  </w:pPr>
                  <w:r>
                    <w:rPr>
                      <w:rFonts w:hint="default" w:ascii="Calibri" w:hAnsi="Calibri" w:eastAsia="楷体_GB2312" w:cs="Calibri"/>
                      <w:color w:val="000000"/>
                      <w:lang w:eastAsia="zh-CN"/>
                    </w:rPr>
                    <w:t>布鲁克菲尔德菲尔德旗下的 Data4 本周宣布已签署一份谅解备忘录 (MoU)，探讨使用西屋电气公司的 AP300 SMR 为欧洲未来的数据中心供电。</w:t>
                  </w:r>
                </w:p>
              </w:tc>
            </w:tr>
            <w:tr w14:paraId="2CF95026">
              <w:tblPrEx>
                <w:tblCellMar>
                  <w:top w:w="0" w:type="dxa"/>
                  <w:left w:w="108" w:type="dxa"/>
                  <w:bottom w:w="0" w:type="dxa"/>
                  <w:right w:w="108" w:type="dxa"/>
                </w:tblCellMar>
              </w:tblPrEx>
              <w:trPr>
                <w:trHeight w:val="374" w:hRule="atLeast"/>
              </w:trPr>
              <w:tc>
                <w:tcPr>
                  <w:tcW w:w="1149" w:type="dxa"/>
                  <w:tcBorders>
                    <w:top w:val="nil"/>
                    <w:left w:val="single" w:color="auto" w:sz="4" w:space="0"/>
                    <w:bottom w:val="single" w:color="auto" w:sz="4" w:space="0"/>
                    <w:right w:val="single" w:color="auto" w:sz="4" w:space="0"/>
                  </w:tcBorders>
                  <w:vAlign w:val="center"/>
                </w:tcPr>
                <w:p w14:paraId="7F63ED35">
                  <w:pPr>
                    <w:jc w:val="center"/>
                    <w:rPr>
                      <w:rFonts w:hint="default" w:ascii="Calibri" w:hAnsi="Calibri" w:eastAsia="楷体_GB2312" w:cs="Calibri"/>
                      <w:color w:val="000000"/>
                    </w:rPr>
                  </w:pPr>
                  <w:r>
                    <w:rPr>
                      <w:rFonts w:hint="default" w:ascii="Calibri" w:hAnsi="Calibri" w:eastAsia="楷体_GB2312" w:cs="Calibri"/>
                      <w:color w:val="000000"/>
                    </w:rPr>
                    <w:t>2025-02-28</w:t>
                  </w:r>
                </w:p>
              </w:tc>
              <w:tc>
                <w:tcPr>
                  <w:tcW w:w="8557" w:type="dxa"/>
                  <w:tcBorders>
                    <w:top w:val="nil"/>
                    <w:left w:val="nil"/>
                    <w:bottom w:val="single" w:color="auto" w:sz="4" w:space="0"/>
                    <w:right w:val="single" w:color="auto" w:sz="4" w:space="0"/>
                  </w:tcBorders>
                  <w:vAlign w:val="center"/>
                </w:tcPr>
                <w:p w14:paraId="3790116D">
                  <w:pPr>
                    <w:rPr>
                      <w:rFonts w:hint="default" w:ascii="Calibri" w:hAnsi="Calibri" w:eastAsia="楷体_GB2312" w:cs="Calibri"/>
                      <w:color w:val="000000"/>
                    </w:rPr>
                  </w:pPr>
                  <w:r>
                    <w:rPr>
                      <w:rFonts w:hint="default" w:ascii="Calibri" w:hAnsi="Calibri" w:eastAsia="楷体_GB2312" w:cs="Calibri"/>
                      <w:color w:val="000000"/>
                    </w:rPr>
                    <w:t>Last Energy 计划在德克萨斯州建造 30 座微反应堆，以服务美国数据中心市场。</w:t>
                  </w:r>
                </w:p>
              </w:tc>
            </w:tr>
            <w:tr w14:paraId="5AB0289C">
              <w:tblPrEx>
                <w:tblCellMar>
                  <w:top w:w="0" w:type="dxa"/>
                  <w:left w:w="108" w:type="dxa"/>
                  <w:bottom w:w="0" w:type="dxa"/>
                  <w:right w:w="108" w:type="dxa"/>
                </w:tblCellMar>
              </w:tblPrEx>
              <w:trPr>
                <w:trHeight w:val="360" w:hRule="atLeast"/>
              </w:trPr>
              <w:tc>
                <w:tcPr>
                  <w:tcW w:w="1149" w:type="dxa"/>
                  <w:tcBorders>
                    <w:top w:val="nil"/>
                    <w:left w:val="single" w:color="auto" w:sz="4" w:space="0"/>
                    <w:bottom w:val="single" w:color="auto" w:sz="4" w:space="0"/>
                    <w:right w:val="single" w:color="auto" w:sz="4" w:space="0"/>
                  </w:tcBorders>
                  <w:vAlign w:val="center"/>
                </w:tcPr>
                <w:p w14:paraId="73849B91">
                  <w:pPr>
                    <w:jc w:val="center"/>
                    <w:rPr>
                      <w:rFonts w:hint="default" w:ascii="Calibri" w:hAnsi="Calibri" w:eastAsia="楷体_GB2312" w:cs="Calibri"/>
                      <w:color w:val="000000"/>
                    </w:rPr>
                  </w:pPr>
                  <w:r>
                    <w:rPr>
                      <w:rFonts w:hint="default" w:ascii="Calibri" w:hAnsi="Calibri" w:eastAsia="楷体_GB2312" w:cs="Calibri"/>
                      <w:color w:val="000000"/>
                    </w:rPr>
                    <w:t>2025-02-07</w:t>
                  </w:r>
                </w:p>
              </w:tc>
              <w:tc>
                <w:tcPr>
                  <w:tcW w:w="8557" w:type="dxa"/>
                  <w:tcBorders>
                    <w:top w:val="nil"/>
                    <w:left w:val="nil"/>
                    <w:bottom w:val="single" w:color="auto" w:sz="4" w:space="0"/>
                    <w:right w:val="single" w:color="auto" w:sz="4" w:space="0"/>
                  </w:tcBorders>
                  <w:vAlign w:val="center"/>
                </w:tcPr>
                <w:p w14:paraId="4150FABE">
                  <w:pPr>
                    <w:rPr>
                      <w:rFonts w:hint="default" w:ascii="Calibri" w:hAnsi="Calibri" w:eastAsia="楷体_GB2312" w:cs="Calibri"/>
                      <w:color w:val="000000"/>
                      <w:lang w:eastAsia="zh-CN"/>
                    </w:rPr>
                  </w:pPr>
                  <w:r>
                    <w:rPr>
                      <w:rFonts w:hint="default" w:ascii="Calibri" w:hAnsi="Calibri" w:eastAsia="楷体_GB2312" w:cs="Calibri"/>
                      <w:color w:val="000000"/>
                      <w:lang w:eastAsia="zh-CN"/>
                    </w:rPr>
                    <w:t>SMR 公司 X-energy 完成由亚马逊领投的 7 亿美元融资。</w:t>
                  </w:r>
                </w:p>
              </w:tc>
            </w:tr>
            <w:tr w14:paraId="1B79460F">
              <w:tblPrEx>
                <w:tblCellMar>
                  <w:top w:w="0" w:type="dxa"/>
                  <w:left w:w="108" w:type="dxa"/>
                  <w:bottom w:w="0" w:type="dxa"/>
                  <w:right w:w="108" w:type="dxa"/>
                </w:tblCellMar>
              </w:tblPrEx>
              <w:trPr>
                <w:trHeight w:val="377" w:hRule="atLeast"/>
              </w:trPr>
              <w:tc>
                <w:tcPr>
                  <w:tcW w:w="1149" w:type="dxa"/>
                  <w:tcBorders>
                    <w:top w:val="nil"/>
                    <w:left w:val="single" w:color="auto" w:sz="4" w:space="0"/>
                    <w:bottom w:val="single" w:color="auto" w:sz="4" w:space="0"/>
                    <w:right w:val="single" w:color="auto" w:sz="4" w:space="0"/>
                  </w:tcBorders>
                  <w:vAlign w:val="center"/>
                </w:tcPr>
                <w:p w14:paraId="3312BD7E">
                  <w:pPr>
                    <w:jc w:val="center"/>
                    <w:rPr>
                      <w:rFonts w:hint="default" w:ascii="Calibri" w:hAnsi="Calibri" w:eastAsia="楷体_GB2312" w:cs="Calibri"/>
                      <w:color w:val="000000"/>
                    </w:rPr>
                  </w:pPr>
                  <w:r>
                    <w:rPr>
                      <w:rFonts w:hint="default" w:ascii="Calibri" w:hAnsi="Calibri" w:eastAsia="楷体_GB2312" w:cs="Calibri"/>
                      <w:color w:val="000000"/>
                    </w:rPr>
                    <w:t>2025-01-31</w:t>
                  </w:r>
                </w:p>
              </w:tc>
              <w:tc>
                <w:tcPr>
                  <w:tcW w:w="8557" w:type="dxa"/>
                  <w:tcBorders>
                    <w:top w:val="nil"/>
                    <w:left w:val="nil"/>
                    <w:bottom w:val="single" w:color="auto" w:sz="4" w:space="0"/>
                    <w:right w:val="single" w:color="auto" w:sz="4" w:space="0"/>
                  </w:tcBorders>
                  <w:vAlign w:val="center"/>
                </w:tcPr>
                <w:p w14:paraId="70FC55ED">
                  <w:pPr>
                    <w:rPr>
                      <w:rFonts w:hint="default" w:ascii="Calibri" w:hAnsi="Calibri" w:eastAsia="楷体_GB2312" w:cs="Calibri"/>
                      <w:color w:val="000000"/>
                    </w:rPr>
                  </w:pPr>
                  <w:r>
                    <w:rPr>
                      <w:rFonts w:hint="default" w:ascii="Calibri" w:hAnsi="Calibri" w:eastAsia="楷体_GB2312" w:cs="Calibri"/>
                      <w:color w:val="000000"/>
                    </w:rPr>
                    <w:t>Kairos Power 已完成其第二座非核工程测试装置 (ETU 2.0) 的反应堆容器的设计、建造和安装。</w:t>
                  </w:r>
                </w:p>
              </w:tc>
            </w:tr>
            <w:tr w14:paraId="4E658D55">
              <w:tblPrEx>
                <w:tblCellMar>
                  <w:top w:w="0" w:type="dxa"/>
                  <w:left w:w="108" w:type="dxa"/>
                  <w:bottom w:w="0" w:type="dxa"/>
                  <w:right w:w="108" w:type="dxa"/>
                </w:tblCellMar>
              </w:tblPrEx>
              <w:trPr>
                <w:trHeight w:val="663" w:hRule="atLeast"/>
              </w:trPr>
              <w:tc>
                <w:tcPr>
                  <w:tcW w:w="1149" w:type="dxa"/>
                  <w:tcBorders>
                    <w:top w:val="nil"/>
                    <w:left w:val="single" w:color="auto" w:sz="4" w:space="0"/>
                    <w:bottom w:val="single" w:color="auto" w:sz="4" w:space="0"/>
                    <w:right w:val="single" w:color="auto" w:sz="4" w:space="0"/>
                  </w:tcBorders>
                  <w:vAlign w:val="center"/>
                </w:tcPr>
                <w:p w14:paraId="168162BA">
                  <w:pPr>
                    <w:jc w:val="center"/>
                    <w:rPr>
                      <w:rFonts w:hint="default" w:ascii="Calibri" w:hAnsi="Calibri" w:eastAsia="楷体_GB2312" w:cs="Calibri"/>
                      <w:color w:val="000000"/>
                    </w:rPr>
                  </w:pPr>
                  <w:r>
                    <w:rPr>
                      <w:rFonts w:hint="default" w:ascii="Calibri" w:hAnsi="Calibri" w:eastAsia="楷体_GB2312" w:cs="Calibri"/>
                      <w:color w:val="000000"/>
                    </w:rPr>
                    <w:t>2025-01-22</w:t>
                  </w:r>
                </w:p>
              </w:tc>
              <w:tc>
                <w:tcPr>
                  <w:tcW w:w="8557" w:type="dxa"/>
                  <w:tcBorders>
                    <w:top w:val="nil"/>
                    <w:left w:val="nil"/>
                    <w:bottom w:val="single" w:color="auto" w:sz="4" w:space="0"/>
                    <w:right w:val="single" w:color="auto" w:sz="4" w:space="0"/>
                  </w:tcBorders>
                  <w:vAlign w:val="center"/>
                </w:tcPr>
                <w:p w14:paraId="7CB532AA">
                  <w:pPr>
                    <w:rPr>
                      <w:rFonts w:hint="default" w:ascii="Calibri" w:hAnsi="Calibri" w:eastAsia="楷体_GB2312" w:cs="Calibri"/>
                      <w:color w:val="000000"/>
                    </w:rPr>
                  </w:pPr>
                  <w:r>
                    <w:rPr>
                      <w:rFonts w:hint="default" w:ascii="Calibri" w:hAnsi="Calibri" w:eastAsia="楷体_GB2312" w:cs="Calibri"/>
                      <w:color w:val="000000"/>
                    </w:rPr>
                    <w:t>核电公司 TerraPower 和 Sabey 数据中心 (SDC) 签署了一份谅解备忘录 (MoU)，以探索将 TerraPower 的 Natrium 小型核反应堆开发并部署到 SDC 当前和未来的数据中心运营中。</w:t>
                  </w:r>
                </w:p>
              </w:tc>
            </w:tr>
            <w:tr w14:paraId="7C436C0F">
              <w:tblPrEx>
                <w:tblCellMar>
                  <w:top w:w="0" w:type="dxa"/>
                  <w:left w:w="108" w:type="dxa"/>
                  <w:bottom w:w="0" w:type="dxa"/>
                  <w:right w:w="108" w:type="dxa"/>
                </w:tblCellMar>
              </w:tblPrEx>
              <w:trPr>
                <w:trHeight w:val="452" w:hRule="atLeast"/>
              </w:trPr>
              <w:tc>
                <w:tcPr>
                  <w:tcW w:w="1149" w:type="dxa"/>
                  <w:tcBorders>
                    <w:top w:val="nil"/>
                    <w:left w:val="single" w:color="auto" w:sz="4" w:space="0"/>
                    <w:bottom w:val="single" w:color="auto" w:sz="4" w:space="0"/>
                    <w:right w:val="single" w:color="auto" w:sz="4" w:space="0"/>
                  </w:tcBorders>
                  <w:vAlign w:val="center"/>
                </w:tcPr>
                <w:p w14:paraId="28EBCD2C">
                  <w:pPr>
                    <w:jc w:val="center"/>
                    <w:rPr>
                      <w:rFonts w:hint="default" w:ascii="Calibri" w:hAnsi="Calibri" w:eastAsia="楷体_GB2312" w:cs="Calibri"/>
                      <w:color w:val="000000"/>
                    </w:rPr>
                  </w:pPr>
                  <w:r>
                    <w:rPr>
                      <w:rFonts w:hint="default" w:ascii="Calibri" w:hAnsi="Calibri" w:eastAsia="楷体_GB2312" w:cs="Calibri"/>
                      <w:color w:val="000000"/>
                    </w:rPr>
                    <w:t>2025-01-18</w:t>
                  </w:r>
                </w:p>
              </w:tc>
              <w:tc>
                <w:tcPr>
                  <w:tcW w:w="8557" w:type="dxa"/>
                  <w:tcBorders>
                    <w:top w:val="nil"/>
                    <w:left w:val="nil"/>
                    <w:bottom w:val="single" w:color="auto" w:sz="4" w:space="0"/>
                    <w:right w:val="single" w:color="auto" w:sz="4" w:space="0"/>
                  </w:tcBorders>
                  <w:vAlign w:val="center"/>
                </w:tcPr>
                <w:p w14:paraId="792ADBE9">
                  <w:pPr>
                    <w:rPr>
                      <w:rFonts w:hint="default" w:ascii="Calibri" w:hAnsi="Calibri" w:eastAsia="楷体_GB2312" w:cs="Calibri"/>
                      <w:color w:val="000000"/>
                      <w:lang w:eastAsia="zh-CN"/>
                    </w:rPr>
                  </w:pPr>
                  <w:r>
                    <w:rPr>
                      <w:rFonts w:hint="default" w:ascii="Calibri" w:hAnsi="Calibri" w:eastAsia="楷体_GB2312" w:cs="Calibri"/>
                      <w:color w:val="000000"/>
                      <w:lang w:eastAsia="zh-CN"/>
                    </w:rPr>
                    <w:t> Oklo与备用电源解决方案提供商 RPower 签署了一份谅解备忘录 (MoU)，为数据中心领域部署结合天然气和核电的分阶段电力模式。</w:t>
                  </w:r>
                </w:p>
              </w:tc>
            </w:tr>
            <w:tr w14:paraId="23FAC94B">
              <w:tblPrEx>
                <w:tblCellMar>
                  <w:top w:w="0" w:type="dxa"/>
                  <w:left w:w="108" w:type="dxa"/>
                  <w:bottom w:w="0" w:type="dxa"/>
                  <w:right w:w="108" w:type="dxa"/>
                </w:tblCellMar>
              </w:tblPrEx>
              <w:trPr>
                <w:trHeight w:val="395" w:hRule="atLeast"/>
              </w:trPr>
              <w:tc>
                <w:tcPr>
                  <w:tcW w:w="1149" w:type="dxa"/>
                  <w:tcBorders>
                    <w:top w:val="nil"/>
                    <w:left w:val="single" w:color="auto" w:sz="4" w:space="0"/>
                    <w:bottom w:val="single" w:color="auto" w:sz="4" w:space="0"/>
                    <w:right w:val="single" w:color="auto" w:sz="4" w:space="0"/>
                  </w:tcBorders>
                  <w:vAlign w:val="center"/>
                </w:tcPr>
                <w:p w14:paraId="41956360">
                  <w:pPr>
                    <w:jc w:val="center"/>
                    <w:rPr>
                      <w:rFonts w:hint="default" w:ascii="Calibri" w:hAnsi="Calibri" w:eastAsia="楷体_GB2312" w:cs="Calibri"/>
                      <w:color w:val="000000"/>
                    </w:rPr>
                  </w:pPr>
                  <w:r>
                    <w:rPr>
                      <w:rFonts w:hint="default" w:ascii="Calibri" w:hAnsi="Calibri" w:eastAsia="楷体_GB2312" w:cs="Calibri"/>
                      <w:color w:val="000000"/>
                    </w:rPr>
                    <w:t>2025-01-17</w:t>
                  </w:r>
                </w:p>
              </w:tc>
              <w:tc>
                <w:tcPr>
                  <w:tcW w:w="8557" w:type="dxa"/>
                  <w:tcBorders>
                    <w:top w:val="nil"/>
                    <w:left w:val="nil"/>
                    <w:bottom w:val="single" w:color="auto" w:sz="4" w:space="0"/>
                    <w:right w:val="single" w:color="auto" w:sz="4" w:space="0"/>
                  </w:tcBorders>
                  <w:vAlign w:val="center"/>
                </w:tcPr>
                <w:p w14:paraId="1B123152">
                  <w:pPr>
                    <w:rPr>
                      <w:rFonts w:hint="default" w:ascii="Calibri" w:hAnsi="Calibri" w:eastAsia="楷体_GB2312" w:cs="Calibri"/>
                      <w:color w:val="000000"/>
                    </w:rPr>
                  </w:pPr>
                  <w:r>
                    <w:rPr>
                      <w:rFonts w:hint="default" w:ascii="Calibri" w:hAnsi="Calibri" w:eastAsia="楷体_GB2312" w:cs="Calibri"/>
                      <w:color w:val="000000"/>
                    </w:rPr>
                    <w:t>Energy Vault与NuCube Energy 签署了战略合作伙伴关系，以支持 NuCube的NuSun小型核反应堆用于数据中心行业。</w:t>
                  </w:r>
                </w:p>
              </w:tc>
            </w:tr>
            <w:tr w14:paraId="33443C4B">
              <w:tblPrEx>
                <w:tblCellMar>
                  <w:top w:w="0" w:type="dxa"/>
                  <w:left w:w="108" w:type="dxa"/>
                  <w:bottom w:w="0" w:type="dxa"/>
                  <w:right w:w="108" w:type="dxa"/>
                </w:tblCellMar>
              </w:tblPrEx>
              <w:trPr>
                <w:trHeight w:val="678" w:hRule="atLeast"/>
              </w:trPr>
              <w:tc>
                <w:tcPr>
                  <w:tcW w:w="1149" w:type="dxa"/>
                  <w:tcBorders>
                    <w:top w:val="nil"/>
                    <w:left w:val="single" w:color="auto" w:sz="4" w:space="0"/>
                    <w:bottom w:val="single" w:color="auto" w:sz="4" w:space="0"/>
                    <w:right w:val="single" w:color="auto" w:sz="4" w:space="0"/>
                  </w:tcBorders>
                  <w:vAlign w:val="center"/>
                </w:tcPr>
                <w:p w14:paraId="6709060E">
                  <w:pPr>
                    <w:jc w:val="center"/>
                    <w:rPr>
                      <w:rFonts w:hint="default" w:ascii="Calibri" w:hAnsi="Calibri" w:eastAsia="楷体_GB2312" w:cs="Calibri"/>
                      <w:color w:val="000000"/>
                    </w:rPr>
                  </w:pPr>
                  <w:r>
                    <w:rPr>
                      <w:rFonts w:hint="default" w:ascii="Calibri" w:hAnsi="Calibri" w:eastAsia="楷体_GB2312" w:cs="Calibri"/>
                      <w:color w:val="000000"/>
                    </w:rPr>
                    <w:t>2025-01-07</w:t>
                  </w:r>
                </w:p>
              </w:tc>
              <w:tc>
                <w:tcPr>
                  <w:tcW w:w="8557" w:type="dxa"/>
                  <w:tcBorders>
                    <w:top w:val="nil"/>
                    <w:left w:val="nil"/>
                    <w:bottom w:val="single" w:color="auto" w:sz="4" w:space="0"/>
                    <w:right w:val="single" w:color="auto" w:sz="4" w:space="0"/>
                  </w:tcBorders>
                  <w:vAlign w:val="center"/>
                </w:tcPr>
                <w:p w14:paraId="603A2FAF">
                  <w:pPr>
                    <w:rPr>
                      <w:rFonts w:hint="default" w:ascii="Calibri" w:hAnsi="Calibri" w:eastAsia="楷体_GB2312" w:cs="Calibri"/>
                      <w:color w:val="000000"/>
                    </w:rPr>
                  </w:pPr>
                  <w:r>
                    <w:rPr>
                      <w:rFonts w:hint="default" w:ascii="Calibri" w:hAnsi="Calibri" w:eastAsia="楷体_GB2312" w:cs="Calibri"/>
                      <w:color w:val="000000"/>
                    </w:rPr>
                    <w:t>小型模块化核反应堆 (SMR) 开发商 Deep Fission 已与美国可持续基础设施开发商 Endeavour Energy 合作，承诺共同开发 2GW 核能，为 Endeavour 的全球 Edged 数据中心组合供电，首批反应堆预计将于 2029 年投入运营。</w:t>
                  </w:r>
                </w:p>
              </w:tc>
            </w:tr>
          </w:tbl>
          <w:p w14:paraId="5BC9DC6A">
            <w:pPr>
              <w:overflowPunct w:val="0"/>
              <w:spacing w:before="20" w:after="20"/>
              <w:rPr>
                <w:rFonts w:hint="default" w:ascii="Calibri" w:hAnsi="Calibri" w:eastAsia="楷体_GB2312" w:cs="Calibri"/>
              </w:rPr>
            </w:pPr>
          </w:p>
        </w:tc>
      </w:tr>
      <w:tr w14:paraId="6821F8FB">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9914" w:type="dxa"/>
            <w:tcBorders>
              <w:top w:val="single" w:color="auto" w:sz="4" w:space="0"/>
            </w:tcBorders>
          </w:tcPr>
          <w:p w14:paraId="78EE46E0">
            <w:pPr>
              <w:rPr>
                <w:rFonts w:hint="default" w:ascii="Calibri" w:hAnsi="Calibri" w:eastAsia="楷体_GB2312" w:cs="Calibri"/>
                <w:i/>
                <w:iCs/>
                <w:sz w:val="15"/>
                <w:szCs w:val="15"/>
                <w:lang w:eastAsia="zh-CN"/>
              </w:rPr>
            </w:pPr>
            <w:r>
              <w:rPr>
                <w:rFonts w:hint="default" w:ascii="Calibri" w:hAnsi="Calibri" w:eastAsia="楷体_GB2312" w:cs="Calibri"/>
                <w:i/>
                <w:iCs/>
                <w:lang w:eastAsia="zh-CN"/>
              </w:rPr>
              <w:t>资料来源：DCD，HFI</w:t>
            </w:r>
          </w:p>
        </w:tc>
      </w:tr>
    </w:tbl>
    <w:p w14:paraId="7A59ADE4">
      <w:pPr>
        <w:overflowPunct w:val="0"/>
        <w:ind w:left="3200" w:leftChars="2000"/>
        <w:jc w:val="both"/>
        <w:outlineLvl w:val="1"/>
        <w:rPr>
          <w:rFonts w:hint="default" w:ascii="Calibri" w:hAnsi="Calibri" w:eastAsia="楷体_GB2312" w:cs="Calibri"/>
          <w:b/>
          <w:bCs/>
          <w:sz w:val="20"/>
          <w:szCs w:val="20"/>
          <w:lang w:val="en-US" w:eastAsia="zh-CN"/>
        </w:rPr>
      </w:pPr>
    </w:p>
    <w:p w14:paraId="5D70F591">
      <w:pPr>
        <w:overflowPunct w:val="0"/>
        <w:ind w:left="3200" w:leftChars="2000"/>
        <w:jc w:val="both"/>
        <w:rPr>
          <w:rFonts w:hint="default" w:ascii="Calibri" w:hAnsi="Calibri" w:eastAsia="楷体_GB2312" w:cs="Calibri"/>
          <w:sz w:val="20"/>
          <w:szCs w:val="20"/>
          <w:lang w:val="en-US" w:eastAsia="zh-CN"/>
        </w:rPr>
      </w:pPr>
    </w:p>
    <w:p w14:paraId="5189B1B0">
      <w:pPr>
        <w:overflowPunct w:val="0"/>
        <w:jc w:val="both"/>
        <w:rPr>
          <w:rFonts w:hint="default" w:ascii="Calibri" w:hAnsi="Calibri" w:eastAsia="楷体_GB2312" w:cs="Calibri"/>
          <w:b/>
          <w:bCs/>
          <w:color w:val="1F497D" w:themeColor="text2"/>
          <w:sz w:val="24"/>
          <w:szCs w:val="24"/>
          <w:lang w:val="en-US" w:eastAsia="zh-CN"/>
          <w14:textFill>
            <w14:solidFill>
              <w14:schemeClr w14:val="tx2"/>
            </w14:solidFill>
          </w14:textFill>
        </w:rPr>
      </w:pPr>
    </w:p>
    <w:p w14:paraId="2A728A00">
      <w:pPr>
        <w:overflowPunct w:val="0"/>
        <w:ind w:left="3200" w:leftChars="2000"/>
        <w:jc w:val="both"/>
        <w:outlineLvl w:val="0"/>
        <w:rPr>
          <w:rFonts w:hint="default" w:ascii="Calibri" w:hAnsi="Calibri" w:eastAsia="楷体_GB2312" w:cs="Calibri"/>
          <w:b/>
          <w:bCs/>
          <w:color w:val="1F497D" w:themeColor="text2"/>
          <w:sz w:val="24"/>
          <w:szCs w:val="24"/>
          <w:lang w:val="en-US" w:eastAsia="zh-CN"/>
          <w14:textFill>
            <w14:solidFill>
              <w14:schemeClr w14:val="tx2"/>
            </w14:solidFill>
          </w14:textFill>
        </w:rPr>
      </w:pPr>
      <w:bookmarkStart w:id="13" w:name="_Toc223082598"/>
      <w:r>
        <w:rPr>
          <w:rFonts w:hint="default" w:ascii="Calibri" w:hAnsi="Calibri" w:eastAsia="楷体_GB2312" w:cs="Calibri"/>
          <w:b/>
          <w:bCs/>
          <w:color w:val="1F497D" w:themeColor="text2"/>
          <w:sz w:val="24"/>
          <w:szCs w:val="24"/>
          <w:lang w:val="en-US" w:eastAsia="zh-CN"/>
          <w14:textFill>
            <w14:solidFill>
              <w14:schemeClr w14:val="tx2"/>
            </w14:solidFill>
          </w14:textFill>
        </w:rPr>
        <w:t>三、全球电气与智能装备</w:t>
      </w:r>
      <w:bookmarkEnd w:id="13"/>
      <w:bookmarkStart w:id="14" w:name="_Toc1994335251"/>
    </w:p>
    <w:p w14:paraId="0724EC68">
      <w:pPr>
        <w:overflowPunct w:val="0"/>
        <w:ind w:left="3200" w:leftChars="2000"/>
        <w:jc w:val="both"/>
        <w:outlineLvl w:val="1"/>
        <w:rPr>
          <w:rFonts w:hint="default" w:ascii="Calibri" w:hAnsi="Calibri" w:eastAsia="楷体_GB2312" w:cs="Calibri"/>
          <w:b/>
          <w:bCs/>
          <w:color w:val="1F497D" w:themeColor="text2"/>
          <w:sz w:val="24"/>
          <w:szCs w:val="24"/>
          <w:lang w:val="en-US" w:eastAsia="zh-CN"/>
          <w14:textFill>
            <w14:solidFill>
              <w14:schemeClr w14:val="tx2"/>
            </w14:solidFill>
          </w14:textFill>
        </w:rPr>
      </w:pPr>
      <w:r>
        <w:rPr>
          <w:rFonts w:hint="default" w:ascii="Calibri" w:hAnsi="Calibri" w:eastAsia="楷体_GB2312" w:cs="Calibri"/>
        </w:rPr>
        <w:fldChar w:fldCharType="begin"/>
      </w:r>
      <w:r>
        <w:rPr>
          <w:rFonts w:hint="default" w:ascii="Calibri" w:hAnsi="Calibri" w:eastAsia="楷体_GB2312" w:cs="Calibri"/>
        </w:rPr>
        <w:instrText xml:space="preserve"> HYPERLINK \l "_Toc192787052" </w:instrText>
      </w:r>
      <w:r>
        <w:rPr>
          <w:rFonts w:hint="default" w:ascii="Calibri" w:hAnsi="Calibri" w:eastAsia="楷体_GB2312" w:cs="Calibri"/>
        </w:rPr>
        <w:fldChar w:fldCharType="separate"/>
      </w:r>
      <w:bookmarkStart w:id="15" w:name="_Toc223082599"/>
      <w:r>
        <w:rPr>
          <w:rFonts w:hint="default" w:ascii="Calibri" w:hAnsi="Calibri" w:eastAsia="楷体_GB2312" w:cs="Calibri"/>
          <w:b/>
          <w:bCs/>
          <w:color w:val="1F497D" w:themeColor="text2"/>
          <w:sz w:val="24"/>
          <w:szCs w:val="24"/>
          <w:lang w:val="en-US" w:eastAsia="zh-CN"/>
          <w14:textFill>
            <w14:solidFill>
              <w14:schemeClr w14:val="tx2"/>
            </w14:solidFill>
          </w14:textFill>
        </w:rPr>
        <w:t>（一）工业设备价格指数</w:t>
      </w:r>
      <w:bookmarkEnd w:id="15"/>
      <w:r>
        <w:rPr>
          <w:rFonts w:hint="default" w:ascii="Calibri" w:hAnsi="Calibri" w:eastAsia="楷体_GB2312" w:cs="Calibri"/>
          <w:b/>
          <w:bCs/>
          <w:color w:val="1F497D" w:themeColor="text2"/>
          <w:sz w:val="24"/>
          <w:szCs w:val="24"/>
          <w:lang w:val="en-US" w:eastAsia="zh-CN"/>
          <w14:textFill>
            <w14:solidFill>
              <w14:schemeClr w14:val="tx2"/>
            </w14:solidFill>
          </w14:textFill>
        </w:rPr>
        <w:fldChar w:fldCharType="end"/>
      </w:r>
      <w:bookmarkEnd w:id="14"/>
    </w:p>
    <w:p w14:paraId="2E8E136B">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供需关系持续偏紧、行业竞争格局稳定，共同推动燃气轮机价格指数延续上行趋势。</w:t>
      </w:r>
      <w:r>
        <w:rPr>
          <w:rFonts w:hint="default" w:ascii="Calibri" w:hAnsi="Calibri" w:eastAsia="楷体_GB2312" w:cs="Calibri"/>
          <w:sz w:val="20"/>
          <w:szCs w:val="20"/>
          <w:lang w:val="en-US" w:eastAsia="zh-CN"/>
        </w:rPr>
        <w:t>2024年以来指数增速明显加快，价格中枢持续抬升。2024年12月指数为155.934，2025年12月升至168.297，同比上涨约7.9%，创近二十年新高。相较历史区间，当前价格已处于高位水平，在供需紧张背景下，短期内仍存在进一步上行可能。</w:t>
      </w:r>
    </w:p>
    <w:p w14:paraId="1B8BCE35">
      <w:pPr>
        <w:overflowPunct w:val="0"/>
        <w:ind w:left="3200" w:leftChars="2000"/>
        <w:jc w:val="both"/>
        <w:rPr>
          <w:rFonts w:hint="default" w:ascii="Calibri" w:hAnsi="Calibri" w:eastAsia="楷体_GB2312" w:cs="Calibri"/>
          <w:sz w:val="20"/>
          <w:szCs w:val="20"/>
          <w:lang w:val="en-US" w:eastAsia="zh-CN"/>
        </w:rPr>
      </w:pPr>
    </w:p>
    <w:tbl>
      <w:tblPr>
        <w:tblStyle w:val="27"/>
        <w:tblW w:w="8150" w:type="dxa"/>
        <w:jc w:val="right"/>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fixed"/>
        <w:tblCellMar>
          <w:top w:w="0" w:type="dxa"/>
          <w:left w:w="0" w:type="dxa"/>
          <w:bottom w:w="0" w:type="dxa"/>
          <w:right w:w="0" w:type="dxa"/>
        </w:tblCellMar>
      </w:tblPr>
      <w:tblGrid>
        <w:gridCol w:w="8150"/>
      </w:tblGrid>
      <w:tr w14:paraId="0FCC1C37">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rPr>
          <w:jc w:val="right"/>
        </w:trPr>
        <w:tc>
          <w:tcPr>
            <w:tcW w:w="8150" w:type="dxa"/>
            <w:tcBorders>
              <w:bottom w:val="single" w:color="auto" w:sz="4" w:space="0"/>
            </w:tcBorders>
          </w:tcPr>
          <w:p w14:paraId="5D729507">
            <w:pPr>
              <w:overflowPunct w:val="0"/>
              <w:rPr>
                <w:rFonts w:hint="default" w:ascii="Calibri" w:hAnsi="Calibri" w:eastAsia="楷体_GB2312" w:cs="Calibri"/>
                <w:b/>
                <w:sz w:val="17"/>
              </w:rPr>
            </w:pPr>
            <w:r>
              <w:rPr>
                <w:rFonts w:hint="default" w:ascii="Calibri" w:hAnsi="Calibri" w:eastAsia="楷体_GB2312" w:cs="Calibri"/>
                <w:b/>
                <w:sz w:val="18"/>
                <w:szCs w:val="18"/>
              </w:rPr>
              <w:t>图</w:t>
            </w:r>
            <w:r>
              <w:rPr>
                <w:rFonts w:hint="default" w:ascii="Calibri" w:hAnsi="Calibri" w:eastAsia="楷体_GB2312" w:cs="Calibri"/>
                <w:b/>
                <w:sz w:val="18"/>
                <w:szCs w:val="18"/>
                <w:lang w:val="en-US" w:eastAsia="zh-CN"/>
              </w:rPr>
              <w:t>5</w:t>
            </w:r>
            <w:r>
              <w:rPr>
                <w:rFonts w:hint="default" w:ascii="Calibri" w:hAnsi="Calibri" w:eastAsia="楷体_GB2312" w:cs="Calibri"/>
                <w:b/>
                <w:sz w:val="18"/>
                <w:szCs w:val="18"/>
              </w:rPr>
              <w:t>: PPI：燃气轮机</w:t>
            </w:r>
          </w:p>
        </w:tc>
      </w:tr>
      <w:tr w14:paraId="0B0EB06D">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1746" w:hRule="atLeast"/>
          <w:jc w:val="right"/>
        </w:trPr>
        <w:tc>
          <w:tcPr>
            <w:tcW w:w="8150" w:type="dxa"/>
            <w:tcBorders>
              <w:top w:val="single" w:color="auto" w:sz="4" w:space="0"/>
              <w:bottom w:val="single" w:color="auto" w:sz="4" w:space="0"/>
            </w:tcBorders>
            <w:vAlign w:val="center"/>
          </w:tcPr>
          <w:p w14:paraId="24632853">
            <w:pPr>
              <w:overflowPunct w:val="0"/>
              <w:jc w:val="center"/>
              <w:rPr>
                <w:rFonts w:hint="default" w:ascii="Calibri" w:hAnsi="Calibri" w:eastAsia="楷体_GB2312" w:cs="Calibri"/>
                <w:sz w:val="10"/>
              </w:rPr>
            </w:pPr>
            <w:r>
              <w:rPr>
                <w:rFonts w:hint="default" w:ascii="Calibri" w:hAnsi="Calibri" w:eastAsia="楷体_GB2312" w:cs="Calibri"/>
              </w:rPr>
              <w:drawing>
                <wp:inline distT="0" distB="0" distL="0" distR="0">
                  <wp:extent cx="5010150" cy="1807845"/>
                  <wp:effectExtent l="0" t="0" r="3810" b="5715"/>
                  <wp:docPr id="533675888" name="图片 1" descr="C:/Users/Zipline/Downloads/fredgraph.pngfred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75888" name="图片 1" descr="C:/Users/Zipline/Downloads/fredgraph.pngfredgraph"/>
                          <pic:cNvPicPr>
                            <a:picLocks noChangeAspect="1"/>
                          </pic:cNvPicPr>
                        </pic:nvPicPr>
                        <pic:blipFill>
                          <a:blip r:embed="rId18"/>
                          <a:srcRect t="551" b="551"/>
                          <a:stretch>
                            <a:fillRect/>
                          </a:stretch>
                        </pic:blipFill>
                        <pic:spPr>
                          <a:xfrm>
                            <a:off x="0" y="0"/>
                            <a:ext cx="5010150" cy="1807845"/>
                          </a:xfrm>
                          <a:prstGeom prst="rect">
                            <a:avLst/>
                          </a:prstGeom>
                        </pic:spPr>
                      </pic:pic>
                    </a:graphicData>
                  </a:graphic>
                </wp:inline>
              </w:drawing>
            </w:r>
          </w:p>
        </w:tc>
      </w:tr>
      <w:tr w14:paraId="1CC8A44A">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rPr>
          <w:jc w:val="right"/>
        </w:trPr>
        <w:tc>
          <w:tcPr>
            <w:tcW w:w="8150" w:type="dxa"/>
            <w:tcBorders>
              <w:top w:val="single" w:color="auto" w:sz="4" w:space="0"/>
            </w:tcBorders>
          </w:tcPr>
          <w:p w14:paraId="4D9308E2">
            <w:pPr>
              <w:overflowPunct w:val="0"/>
              <w:rPr>
                <w:rFonts w:hint="default" w:ascii="Calibri" w:hAnsi="Calibri" w:eastAsia="楷体_GB2312" w:cs="Calibri"/>
                <w:i/>
                <w:iCs/>
                <w:sz w:val="15"/>
                <w:szCs w:val="15"/>
                <w:lang w:val="en-US" w:eastAsia="zh-CN"/>
              </w:rPr>
            </w:pPr>
            <w:r>
              <w:rPr>
                <w:rFonts w:hint="default" w:ascii="Calibri" w:hAnsi="Calibri" w:eastAsia="楷体_GB2312" w:cs="Calibri"/>
                <w:i/>
                <w:iCs/>
                <w:sz w:val="15"/>
                <w:szCs w:val="15"/>
                <w:lang w:val="en-US" w:eastAsia="zh-CN"/>
              </w:rPr>
              <w:t>资料来源：U.S. Bureau of Labor Statistics</w:t>
            </w:r>
            <w:r>
              <w:rPr>
                <w:rFonts w:hint="default" w:ascii="Calibri" w:hAnsi="Calibri" w:eastAsia="楷体_GB2312" w:cs="Calibri"/>
                <w:i/>
                <w:iCs/>
                <w:sz w:val="15"/>
                <w:szCs w:val="15"/>
                <w:lang w:val="en-US" w:eastAsia="zh-CN"/>
              </w:rPr>
              <w:t>，</w:t>
            </w:r>
            <w:r>
              <w:rPr>
                <w:rFonts w:hint="default" w:ascii="Calibri" w:hAnsi="Calibri" w:eastAsia="楷体_GB2312" w:cs="Calibri"/>
                <w:sz w:val="15"/>
                <w:szCs w:val="15"/>
                <w:lang w:val="en-US" w:eastAsia="zh-CN"/>
              </w:rPr>
              <w:t>HFi</w:t>
            </w:r>
          </w:p>
        </w:tc>
      </w:tr>
    </w:tbl>
    <w:p w14:paraId="58536AB8">
      <w:pPr>
        <w:overflowPunct w:val="0"/>
        <w:ind w:left="3200" w:leftChars="2000"/>
        <w:jc w:val="both"/>
        <w:rPr>
          <w:rFonts w:hint="default" w:ascii="Calibri" w:hAnsi="Calibri" w:eastAsia="楷体_GB2312" w:cs="Calibri"/>
          <w:b/>
          <w:bCs/>
          <w:sz w:val="20"/>
          <w:szCs w:val="20"/>
          <w:lang w:val="en-US" w:eastAsia="zh-CN"/>
        </w:rPr>
      </w:pPr>
    </w:p>
    <w:p w14:paraId="13320BC2">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展望未来，美国燃气轮机市场的新增需求更多由结构性因素驱动。</w:t>
      </w:r>
      <w:r>
        <w:rPr>
          <w:rFonts w:hint="default" w:ascii="Calibri" w:hAnsi="Calibri" w:eastAsia="楷体_GB2312" w:cs="Calibri"/>
          <w:sz w:val="20"/>
          <w:szCs w:val="20"/>
          <w:lang w:val="en-US" w:eastAsia="zh-CN"/>
        </w:rPr>
        <w:t>一方面，再工业化进程和制造业回流对电力系统提出更高稳定性与调峰要求；另一方面，AI与云计算带动的数据中心快速扩张，显著抬升高可靠电源需求。尽管美国燃气发电量已显著高于中国，但整体用电需求增速相对温和，且燃气轮机装机主要集中于2000—2005年建设高峰期，现有机组规模在短期内仍可覆盖常规发电需求。因此，美国燃气轮机市场的新增建设空间有限，未来增长重心预计将更多来自数据中心相关项目的拉动。</w:t>
      </w:r>
    </w:p>
    <w:p w14:paraId="01F9CF12">
      <w:pPr>
        <w:overflowPunct w:val="0"/>
        <w:jc w:val="both"/>
        <w:rPr>
          <w:rFonts w:hint="default" w:ascii="Calibri" w:hAnsi="Calibri" w:eastAsia="楷体_GB2312" w:cs="Calibri"/>
          <w:b/>
          <w:bCs/>
          <w:sz w:val="20"/>
          <w:szCs w:val="20"/>
          <w:lang w:val="en-US" w:eastAsia="zh-CN"/>
        </w:rPr>
      </w:pPr>
    </w:p>
    <w:tbl>
      <w:tblPr>
        <w:tblStyle w:val="27"/>
        <w:tblW w:w="8286" w:type="dxa"/>
        <w:tblInd w:w="2422"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8286"/>
      </w:tblGrid>
      <w:tr w14:paraId="26862BB2">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PrEx>
        <w:tc>
          <w:tcPr>
            <w:tcW w:w="8286" w:type="dxa"/>
            <w:tcBorders>
              <w:bottom w:val="single" w:color="auto" w:sz="4" w:space="0"/>
            </w:tcBorders>
          </w:tcPr>
          <w:p w14:paraId="6789A4DA">
            <w:pPr>
              <w:overflowPunct w:val="0"/>
              <w:rPr>
                <w:rFonts w:hint="default" w:ascii="Calibri" w:hAnsi="Calibri" w:eastAsia="楷体_GB2312" w:cs="Calibri"/>
                <w:sz w:val="20"/>
                <w:szCs w:val="20"/>
                <w:lang w:val="en-US" w:eastAsia="zh-CN"/>
              </w:rPr>
            </w:pPr>
            <w:r>
              <w:rPr>
                <w:rFonts w:hint="default" w:ascii="Calibri" w:hAnsi="Calibri" w:eastAsia="楷体_GB2312" w:cs="Calibri"/>
                <w:b/>
                <w:sz w:val="18"/>
                <w:szCs w:val="18"/>
                <w:lang w:eastAsia="zh-CN"/>
              </w:rPr>
              <w:t>图</w:t>
            </w:r>
            <w:r>
              <w:rPr>
                <w:rFonts w:hint="default" w:ascii="Calibri" w:hAnsi="Calibri" w:eastAsia="楷体_GB2312" w:cs="Calibri"/>
                <w:b/>
                <w:sz w:val="18"/>
                <w:szCs w:val="18"/>
                <w:lang w:val="en-US" w:eastAsia="zh-CN"/>
              </w:rPr>
              <w:t>6</w:t>
            </w:r>
            <w:r>
              <w:rPr>
                <w:rFonts w:hint="default" w:ascii="Calibri" w:hAnsi="Calibri" w:eastAsia="楷体_GB2312" w:cs="Calibri"/>
                <w:b/>
                <w:sz w:val="18"/>
                <w:szCs w:val="18"/>
                <w:lang w:eastAsia="zh-CN"/>
              </w:rPr>
              <w:t>: 美国例年联合循环燃气轮机新装机量</w:t>
            </w:r>
          </w:p>
        </w:tc>
      </w:tr>
      <w:tr w14:paraId="36405103">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2468" w:hRule="atLeast"/>
        </w:trPr>
        <w:tc>
          <w:tcPr>
            <w:tcW w:w="8286" w:type="dxa"/>
            <w:tcBorders>
              <w:top w:val="single" w:color="auto" w:sz="4" w:space="0"/>
              <w:bottom w:val="single" w:color="auto" w:sz="4" w:space="0"/>
            </w:tcBorders>
            <w:vAlign w:val="center"/>
          </w:tcPr>
          <w:p w14:paraId="044716BF">
            <w:pPr>
              <w:overflowPunct w:val="0"/>
              <w:jc w:val="center"/>
              <w:rPr>
                <w:rFonts w:hint="default" w:ascii="Calibri" w:hAnsi="Calibri" w:eastAsia="楷体_GB2312" w:cs="Calibri"/>
                <w:sz w:val="10"/>
              </w:rPr>
            </w:pPr>
            <w:r>
              <w:rPr>
                <w:rFonts w:hint="default" w:ascii="Calibri" w:hAnsi="Calibri" w:eastAsia="楷体_GB2312" w:cs="Calibri"/>
              </w:rPr>
              <w:drawing>
                <wp:inline distT="0" distB="0" distL="114300" distR="114300">
                  <wp:extent cx="5120005" cy="2543175"/>
                  <wp:effectExtent l="0" t="0" r="4445"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9"/>
                          <a:stretch>
                            <a:fillRect/>
                          </a:stretch>
                        </pic:blipFill>
                        <pic:spPr>
                          <a:xfrm>
                            <a:off x="0" y="0"/>
                            <a:ext cx="5120005" cy="2543175"/>
                          </a:xfrm>
                          <a:prstGeom prst="rect">
                            <a:avLst/>
                          </a:prstGeom>
                          <a:noFill/>
                          <a:ln>
                            <a:noFill/>
                          </a:ln>
                        </pic:spPr>
                      </pic:pic>
                    </a:graphicData>
                  </a:graphic>
                </wp:inline>
              </w:drawing>
            </w:r>
          </w:p>
        </w:tc>
      </w:tr>
      <w:tr w14:paraId="6C77072C">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PrEx>
        <w:tc>
          <w:tcPr>
            <w:tcW w:w="8286" w:type="dxa"/>
            <w:tcBorders>
              <w:top w:val="single" w:color="auto" w:sz="4" w:space="0"/>
            </w:tcBorders>
          </w:tcPr>
          <w:p w14:paraId="5C70BFB2">
            <w:pPr>
              <w:overflowPunct w:val="0"/>
              <w:rPr>
                <w:rFonts w:hint="default" w:ascii="Calibri" w:hAnsi="Calibri" w:eastAsia="楷体_GB2312" w:cs="Calibri"/>
                <w:sz w:val="15"/>
                <w:szCs w:val="15"/>
                <w:lang w:val="en-US" w:eastAsia="zh-CN"/>
              </w:rPr>
            </w:pPr>
            <w:r>
              <w:rPr>
                <w:rFonts w:hint="default" w:ascii="Calibri" w:hAnsi="Calibri" w:eastAsia="楷体_GB2312" w:cs="Calibri"/>
                <w:i/>
                <w:iCs/>
                <w:lang w:val="zh-CN"/>
              </w:rPr>
              <w:t>资料来源：</w:t>
            </w:r>
            <w:r>
              <w:rPr>
                <w:rFonts w:hint="default" w:ascii="Calibri" w:hAnsi="Calibri" w:eastAsia="楷体_GB2312" w:cs="Calibri"/>
                <w:lang w:val="zh-CN"/>
              </w:rPr>
              <w:t>EIA</w:t>
            </w:r>
            <w:r>
              <w:rPr>
                <w:rFonts w:hint="default" w:ascii="Calibri" w:hAnsi="Calibri" w:eastAsia="楷体_GB2312" w:cs="Calibri"/>
                <w:lang w:val="zh-CN"/>
              </w:rPr>
              <w:t>，</w:t>
            </w:r>
            <w:r>
              <w:rPr>
                <w:rFonts w:hint="default" w:ascii="Calibri" w:hAnsi="Calibri" w:eastAsia="楷体_GB2312" w:cs="Calibri"/>
                <w:lang w:val="en-US" w:eastAsia="zh-CN"/>
              </w:rPr>
              <w:t>HFI</w:t>
            </w:r>
          </w:p>
        </w:tc>
      </w:tr>
    </w:tbl>
    <w:p w14:paraId="2D5B1853">
      <w:pPr>
        <w:overflowPunct w:val="0"/>
        <w:ind w:firstLine="3000" w:firstLineChars="1500"/>
        <w:rPr>
          <w:rFonts w:hint="default" w:ascii="Calibri" w:hAnsi="Calibri" w:eastAsia="楷体_GB2312" w:cs="Calibri"/>
          <w:sz w:val="20"/>
          <w:szCs w:val="20"/>
          <w:lang w:val="en-US" w:eastAsia="zh-CN"/>
        </w:rPr>
      </w:pPr>
    </w:p>
    <w:p w14:paraId="1AC0ED04">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在价格走势上，泵与压缩机制造环节PPI整体呈现长期上行态势。</w:t>
      </w:r>
      <w:r>
        <w:rPr>
          <w:rFonts w:hint="default" w:ascii="Calibri" w:hAnsi="Calibri" w:eastAsia="楷体_GB2312" w:cs="Calibri"/>
          <w:sz w:val="20"/>
          <w:szCs w:val="20"/>
          <w:lang w:val="en-US" w:eastAsia="zh-CN"/>
        </w:rPr>
        <w:t>作为工业系统中的关键通用设备，其生产者出厂价格指数自2003年基期以来持续抬升，2020年后涨幅明显扩大，并在2022年起进入加速上行阶段。至2025年12月，指数升至238.872，处于历史高位区间。预计在AI 数据中心建设、工业投资回暖等因素支撑下，相关需求具备较强韧性，价格中枢有望维持高位运行。</w:t>
      </w:r>
    </w:p>
    <w:tbl>
      <w:tblPr>
        <w:tblStyle w:val="27"/>
        <w:tblW w:w="8376" w:type="dxa"/>
        <w:tblInd w:w="2336"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8376"/>
      </w:tblGrid>
      <w:tr w14:paraId="2B55D1EB">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8376" w:type="dxa"/>
            <w:tcBorders>
              <w:bottom w:val="single" w:color="auto" w:sz="4" w:space="0"/>
            </w:tcBorders>
          </w:tcPr>
          <w:p w14:paraId="76516327">
            <w:pPr>
              <w:overflowPunct w:val="0"/>
              <w:rPr>
                <w:rFonts w:hint="default" w:ascii="Calibri" w:hAnsi="Calibri" w:eastAsia="楷体_GB2312" w:cs="Calibri"/>
                <w:b/>
                <w:sz w:val="18"/>
                <w:szCs w:val="18"/>
                <w:lang w:eastAsia="zh-CN"/>
              </w:rPr>
            </w:pPr>
            <w:r>
              <w:rPr>
                <w:rFonts w:hint="default" w:ascii="Calibri" w:hAnsi="Calibri" w:eastAsia="楷体_GB2312" w:cs="Calibri"/>
                <w:b/>
                <w:sz w:val="18"/>
                <w:szCs w:val="18"/>
                <w:lang w:eastAsia="zh-CN"/>
              </w:rPr>
              <w:t>图</w:t>
            </w:r>
            <w:r>
              <w:rPr>
                <w:rFonts w:hint="default" w:ascii="Calibri" w:hAnsi="Calibri" w:eastAsia="楷体_GB2312" w:cs="Calibri"/>
                <w:b/>
                <w:sz w:val="18"/>
                <w:szCs w:val="18"/>
                <w:lang w:val="en-US" w:eastAsia="zh-CN"/>
              </w:rPr>
              <w:t>7</w:t>
            </w:r>
            <w:r>
              <w:rPr>
                <w:rFonts w:hint="default" w:ascii="Calibri" w:hAnsi="Calibri" w:eastAsia="楷体_GB2312" w:cs="Calibri"/>
                <w:b/>
                <w:sz w:val="18"/>
                <w:szCs w:val="18"/>
                <w:lang w:eastAsia="zh-CN"/>
              </w:rPr>
              <w:t>: 生产商价格指数按行业：泵和压缩机制造</w:t>
            </w:r>
          </w:p>
        </w:tc>
      </w:tr>
      <w:tr w14:paraId="6E8B719D">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2554" w:hRule="atLeast"/>
        </w:trPr>
        <w:tc>
          <w:tcPr>
            <w:tcW w:w="8376" w:type="dxa"/>
            <w:tcBorders>
              <w:top w:val="single" w:color="auto" w:sz="4" w:space="0"/>
              <w:bottom w:val="single" w:color="auto" w:sz="4" w:space="0"/>
            </w:tcBorders>
            <w:vAlign w:val="center"/>
          </w:tcPr>
          <w:p w14:paraId="1662FCDD">
            <w:pPr>
              <w:overflowPunct w:val="0"/>
              <w:jc w:val="center"/>
              <w:rPr>
                <w:rFonts w:hint="default" w:ascii="Calibri" w:hAnsi="Calibri" w:eastAsia="楷体_GB2312" w:cs="Calibri"/>
                <w:sz w:val="10"/>
              </w:rPr>
            </w:pPr>
            <w:r>
              <w:rPr>
                <w:rFonts w:hint="default" w:ascii="Calibri" w:hAnsi="Calibri" w:eastAsia="楷体_GB2312" w:cs="Calibri"/>
                <w:sz w:val="10"/>
              </w:rPr>
              <w:drawing>
                <wp:inline distT="0" distB="0" distL="114300" distR="114300">
                  <wp:extent cx="5180330" cy="2350770"/>
                  <wp:effectExtent l="0" t="0" r="1270" b="0"/>
                  <wp:docPr id="4" name="图片 4" descr="fredgrap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redgraph (1)"/>
                          <pic:cNvPicPr>
                            <a:picLocks noChangeAspect="1"/>
                          </pic:cNvPicPr>
                        </pic:nvPicPr>
                        <pic:blipFill>
                          <a:blip r:embed="rId20"/>
                          <a:stretch>
                            <a:fillRect/>
                          </a:stretch>
                        </pic:blipFill>
                        <pic:spPr>
                          <a:xfrm>
                            <a:off x="0" y="0"/>
                            <a:ext cx="5185967" cy="2353846"/>
                          </a:xfrm>
                          <a:prstGeom prst="rect">
                            <a:avLst/>
                          </a:prstGeom>
                        </pic:spPr>
                      </pic:pic>
                    </a:graphicData>
                  </a:graphic>
                </wp:inline>
              </w:drawing>
            </w:r>
          </w:p>
        </w:tc>
      </w:tr>
      <w:tr w14:paraId="6FDABF14">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8376" w:type="dxa"/>
            <w:tcBorders>
              <w:top w:val="single" w:color="auto" w:sz="4" w:space="0"/>
            </w:tcBorders>
          </w:tcPr>
          <w:p w14:paraId="7692913D">
            <w:pPr>
              <w:overflowPunct w:val="0"/>
              <w:rPr>
                <w:rFonts w:hint="default" w:ascii="Calibri" w:hAnsi="Calibri" w:eastAsia="楷体_GB2312" w:cs="Calibri"/>
                <w:sz w:val="15"/>
                <w:szCs w:val="15"/>
              </w:rPr>
            </w:pPr>
            <w:r>
              <w:rPr>
                <w:rFonts w:hint="default" w:ascii="Calibri" w:hAnsi="Calibri" w:eastAsia="楷体_GB2312" w:cs="Calibri"/>
                <w:i/>
                <w:iCs/>
                <w:lang w:val="zh-CN"/>
              </w:rPr>
              <w:t>资料来源：U.S. Bureau of Labor Statistics via FRED® , HFI</w:t>
            </w:r>
          </w:p>
        </w:tc>
      </w:tr>
    </w:tbl>
    <w:p w14:paraId="35E14E17">
      <w:pPr>
        <w:overflowPunct w:val="0"/>
        <w:rPr>
          <w:rFonts w:hint="default" w:ascii="Calibri" w:hAnsi="Calibri" w:eastAsia="楷体_GB2312" w:cs="Calibri"/>
          <w:b/>
          <w:bCs/>
          <w:kern w:val="28"/>
          <w:szCs w:val="20"/>
          <w:lang w:eastAsia="zh-CN"/>
        </w:rPr>
      </w:pPr>
    </w:p>
    <w:p w14:paraId="1F7D8A85">
      <w:pPr>
        <w:overflowPunct w:val="0"/>
        <w:ind w:left="3200" w:leftChars="2000"/>
        <w:jc w:val="both"/>
        <w:rPr>
          <w:rFonts w:hint="default" w:ascii="Calibri" w:hAnsi="Calibri" w:eastAsia="楷体_GB2312" w:cs="Calibri"/>
          <w:sz w:val="20"/>
          <w:szCs w:val="20"/>
          <w:lang w:val="en-US" w:eastAsia="zh-CN"/>
        </w:rPr>
      </w:pPr>
    </w:p>
    <w:p w14:paraId="2E37D2B4">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美国电力及特种变压器：初级产品生产价格指数月环比稳定</w:t>
      </w:r>
      <w:r>
        <w:rPr>
          <w:rFonts w:hint="default" w:ascii="Calibri" w:hAnsi="Calibri" w:eastAsia="楷体_GB2312" w:cs="Calibri"/>
          <w:sz w:val="20"/>
          <w:szCs w:val="20"/>
          <w:lang w:val="en-US" w:eastAsia="zh-CN"/>
        </w:rPr>
        <w:t>。电力及特种变压器初级产品生产价格指数2025年12月为441.856，环比上升，同比增长5.86%。</w:t>
      </w:r>
    </w:p>
    <w:tbl>
      <w:tblPr>
        <w:tblStyle w:val="27"/>
        <w:tblpPr w:leftFromText="180" w:rightFromText="180" w:vertAnchor="text" w:horzAnchor="margin" w:tblpXSpec="right" w:tblpY="283"/>
        <w:tblW w:w="8316" w:type="dxa"/>
        <w:tblInd w:w="0"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8316"/>
      </w:tblGrid>
      <w:tr w14:paraId="0F5B7681">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rPr>
          <w:trHeight w:val="90" w:hRule="atLeast"/>
        </w:trPr>
        <w:tc>
          <w:tcPr>
            <w:tcW w:w="8316" w:type="dxa"/>
            <w:tcBorders>
              <w:bottom w:val="single" w:color="auto" w:sz="4" w:space="0"/>
            </w:tcBorders>
          </w:tcPr>
          <w:p w14:paraId="2E9B1AAF">
            <w:pPr>
              <w:overflowPunct w:val="0"/>
              <w:rPr>
                <w:rFonts w:hint="default" w:ascii="Calibri" w:hAnsi="Calibri" w:eastAsia="楷体_GB2312" w:cs="Calibri"/>
                <w:b/>
                <w:sz w:val="17"/>
                <w:lang w:eastAsia="zh-CN"/>
              </w:rPr>
            </w:pPr>
            <w:r>
              <w:rPr>
                <w:rFonts w:hint="default" w:ascii="Calibri" w:hAnsi="Calibri" w:eastAsia="楷体_GB2312" w:cs="Calibri"/>
                <w:b/>
                <w:sz w:val="18"/>
                <w:szCs w:val="18"/>
                <w:lang w:eastAsia="zh-CN"/>
              </w:rPr>
              <w:t>图</w:t>
            </w:r>
            <w:r>
              <w:rPr>
                <w:rFonts w:hint="default" w:ascii="Calibri" w:hAnsi="Calibri" w:eastAsia="楷体_GB2312" w:cs="Calibri"/>
                <w:b/>
                <w:sz w:val="18"/>
                <w:szCs w:val="18"/>
                <w:lang w:val="en-US" w:eastAsia="zh-CN"/>
              </w:rPr>
              <w:t>8</w:t>
            </w:r>
            <w:r>
              <w:rPr>
                <w:rFonts w:hint="default" w:ascii="Calibri" w:hAnsi="Calibri" w:eastAsia="楷体_GB2312" w:cs="Calibri"/>
                <w:b/>
                <w:sz w:val="18"/>
                <w:szCs w:val="18"/>
                <w:lang w:eastAsia="zh-CN"/>
              </w:rPr>
              <w:t>: 工业生产者出厂价格指数 : 电力及特种变压器初级产品</w:t>
            </w:r>
          </w:p>
        </w:tc>
      </w:tr>
      <w:tr w14:paraId="59893EDB">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2761" w:hRule="atLeast"/>
        </w:trPr>
        <w:tc>
          <w:tcPr>
            <w:tcW w:w="8316" w:type="dxa"/>
            <w:tcBorders>
              <w:top w:val="single" w:color="auto" w:sz="4" w:space="0"/>
              <w:bottom w:val="single" w:color="auto" w:sz="4" w:space="0"/>
            </w:tcBorders>
            <w:vAlign w:val="center"/>
          </w:tcPr>
          <w:p w14:paraId="42DDFEEA">
            <w:pPr>
              <w:overflowPunct w:val="0"/>
              <w:jc w:val="center"/>
              <w:rPr>
                <w:rFonts w:hint="default" w:ascii="Calibri" w:hAnsi="Calibri" w:eastAsia="楷体_GB2312" w:cs="Calibri"/>
                <w:sz w:val="10"/>
              </w:rPr>
            </w:pPr>
            <w:r>
              <w:rPr>
                <w:rFonts w:hint="default" w:ascii="Calibri" w:hAnsi="Calibri" w:eastAsia="楷体_GB2312" w:cs="Calibri"/>
                <w:sz w:val="10"/>
              </w:rPr>
              <w:drawing>
                <wp:inline distT="0" distB="0" distL="114300" distR="114300">
                  <wp:extent cx="5134610" cy="2872740"/>
                  <wp:effectExtent l="0" t="0" r="8890" b="3810"/>
                  <wp:docPr id="8" name="图片 8" descr="fredgrap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redgraph (5)"/>
                          <pic:cNvPicPr>
                            <a:picLocks noChangeAspect="1"/>
                          </pic:cNvPicPr>
                        </pic:nvPicPr>
                        <pic:blipFill>
                          <a:blip r:embed="rId21"/>
                          <a:stretch>
                            <a:fillRect/>
                          </a:stretch>
                        </pic:blipFill>
                        <pic:spPr>
                          <a:xfrm>
                            <a:off x="0" y="0"/>
                            <a:ext cx="5134610" cy="2872740"/>
                          </a:xfrm>
                          <a:prstGeom prst="rect">
                            <a:avLst/>
                          </a:prstGeom>
                        </pic:spPr>
                      </pic:pic>
                    </a:graphicData>
                  </a:graphic>
                </wp:inline>
              </w:drawing>
            </w:r>
          </w:p>
        </w:tc>
      </w:tr>
      <w:tr w14:paraId="27F275CF">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8316" w:type="dxa"/>
            <w:tcBorders>
              <w:top w:val="single" w:color="auto" w:sz="4" w:space="0"/>
            </w:tcBorders>
          </w:tcPr>
          <w:p w14:paraId="013D4E53">
            <w:pPr>
              <w:overflowPunct w:val="0"/>
              <w:rPr>
                <w:rFonts w:hint="default" w:ascii="Calibri" w:hAnsi="Calibri" w:eastAsia="楷体_GB2312" w:cs="Calibri"/>
                <w:i/>
                <w:iCs/>
                <w:sz w:val="15"/>
                <w:szCs w:val="15"/>
              </w:rPr>
            </w:pPr>
            <w:r>
              <w:rPr>
                <w:rFonts w:hint="default" w:ascii="Calibri" w:hAnsi="Calibri" w:eastAsia="楷体_GB2312" w:cs="Calibri"/>
                <w:i/>
                <w:iCs/>
                <w:sz w:val="15"/>
                <w:szCs w:val="15"/>
              </w:rPr>
              <w:t>资料来源：U.S. Bureau of Labor Statistics，</w:t>
            </w:r>
            <w:r>
              <w:rPr>
                <w:rFonts w:hint="default" w:ascii="Calibri" w:hAnsi="Calibri" w:eastAsia="楷体_GB2312" w:cs="Calibri"/>
                <w:i/>
                <w:iCs/>
                <w:sz w:val="15"/>
                <w:szCs w:val="15"/>
                <w:lang w:eastAsia="zh-CN"/>
              </w:rPr>
              <w:t>HFI</w:t>
            </w:r>
          </w:p>
        </w:tc>
      </w:tr>
    </w:tbl>
    <w:p w14:paraId="1B9E4DC2">
      <w:pPr>
        <w:overflowPunct w:val="0"/>
        <w:ind w:left="3200" w:leftChars="2000"/>
        <w:jc w:val="both"/>
        <w:rPr>
          <w:rFonts w:hint="default" w:ascii="Calibri" w:hAnsi="Calibri" w:eastAsia="楷体_GB2312" w:cs="Calibri"/>
          <w:sz w:val="20"/>
          <w:szCs w:val="20"/>
          <w:lang w:val="en-US" w:eastAsia="zh-CN"/>
        </w:rPr>
      </w:pPr>
    </w:p>
    <w:p w14:paraId="2319DC5D">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美国电力及特种变压器制造价格指数月环比稳定。</w:t>
      </w:r>
      <w:r>
        <w:rPr>
          <w:rFonts w:hint="default" w:ascii="Calibri" w:hAnsi="Calibri" w:eastAsia="楷体_GB2312" w:cs="Calibri"/>
          <w:sz w:val="20"/>
          <w:szCs w:val="20"/>
          <w:lang w:val="en-US" w:eastAsia="zh-CN"/>
        </w:rPr>
        <w:t>电力及特种变压器生产价格指数2025年12月为458.394，环比上升，同比增长5.95%。</w:t>
      </w:r>
    </w:p>
    <w:p w14:paraId="3227A58E">
      <w:pPr>
        <w:rPr>
          <w:rFonts w:hint="default" w:ascii="Calibri" w:hAnsi="Calibri" w:eastAsia="楷体_GB2312" w:cs="Calibri"/>
          <w:sz w:val="20"/>
          <w:szCs w:val="20"/>
          <w:lang w:val="en-US" w:eastAsia="zh-CN"/>
        </w:rPr>
      </w:pPr>
    </w:p>
    <w:tbl>
      <w:tblPr>
        <w:tblStyle w:val="27"/>
        <w:tblW w:w="8646" w:type="dxa"/>
        <w:tblInd w:w="2057"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8646"/>
      </w:tblGrid>
      <w:tr w14:paraId="44798DF4">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PrEx>
        <w:tc>
          <w:tcPr>
            <w:tcW w:w="8646" w:type="dxa"/>
            <w:tcBorders>
              <w:bottom w:val="single" w:color="auto" w:sz="4" w:space="0"/>
            </w:tcBorders>
          </w:tcPr>
          <w:p w14:paraId="3606F88A">
            <w:pPr>
              <w:overflowPunct w:val="0"/>
              <w:rPr>
                <w:rFonts w:hint="default" w:ascii="Calibri" w:hAnsi="Calibri" w:eastAsia="楷体_GB2312" w:cs="Calibri"/>
                <w:b/>
                <w:sz w:val="17"/>
                <w:lang w:eastAsia="zh-CN"/>
              </w:rPr>
            </w:pPr>
            <w:r>
              <w:rPr>
                <w:rFonts w:hint="default" w:ascii="Calibri" w:hAnsi="Calibri" w:eastAsia="楷体_GB2312" w:cs="Calibri"/>
                <w:b/>
                <w:sz w:val="18"/>
                <w:szCs w:val="18"/>
                <w:lang w:eastAsia="zh-CN"/>
              </w:rPr>
              <w:t>图</w:t>
            </w:r>
            <w:r>
              <w:rPr>
                <w:rFonts w:hint="default" w:ascii="Calibri" w:hAnsi="Calibri" w:eastAsia="楷体_GB2312" w:cs="Calibri"/>
                <w:b/>
                <w:sz w:val="18"/>
                <w:szCs w:val="18"/>
                <w:lang w:val="en-US" w:eastAsia="zh-CN"/>
              </w:rPr>
              <w:t>9</w:t>
            </w:r>
            <w:r>
              <w:rPr>
                <w:rFonts w:hint="default" w:ascii="Calibri" w:hAnsi="Calibri" w:eastAsia="楷体_GB2312" w:cs="Calibri"/>
                <w:b/>
                <w:sz w:val="18"/>
                <w:szCs w:val="18"/>
                <w:lang w:eastAsia="zh-CN"/>
              </w:rPr>
              <w:t>: 工业生产者出厂价格指数 : 电力及特种变压器制造</w:t>
            </w:r>
          </w:p>
        </w:tc>
      </w:tr>
      <w:tr w14:paraId="030FF19D">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2982" w:hRule="atLeast"/>
        </w:trPr>
        <w:tc>
          <w:tcPr>
            <w:tcW w:w="8646" w:type="dxa"/>
            <w:tcBorders>
              <w:top w:val="single" w:color="auto" w:sz="4" w:space="0"/>
              <w:bottom w:val="single" w:color="auto" w:sz="4" w:space="0"/>
            </w:tcBorders>
            <w:vAlign w:val="center"/>
          </w:tcPr>
          <w:p w14:paraId="06479446">
            <w:pPr>
              <w:overflowPunct w:val="0"/>
              <w:jc w:val="center"/>
              <w:rPr>
                <w:rFonts w:hint="default" w:ascii="Calibri" w:hAnsi="Calibri" w:eastAsia="楷体_GB2312" w:cs="Calibri"/>
                <w:sz w:val="10"/>
              </w:rPr>
            </w:pPr>
            <w:r>
              <w:rPr>
                <w:rFonts w:hint="default" w:ascii="Calibri" w:hAnsi="Calibri" w:eastAsia="楷体_GB2312" w:cs="Calibri"/>
                <w:sz w:val="10"/>
              </w:rPr>
              <w:drawing>
                <wp:inline distT="0" distB="0" distL="114300" distR="114300">
                  <wp:extent cx="5344795" cy="2634615"/>
                  <wp:effectExtent l="0" t="0" r="8255" b="3810"/>
                  <wp:docPr id="10" name="图片 10" descr="fredgrap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redgraph (6)"/>
                          <pic:cNvPicPr>
                            <a:picLocks noChangeAspect="1"/>
                          </pic:cNvPicPr>
                        </pic:nvPicPr>
                        <pic:blipFill>
                          <a:blip r:embed="rId22"/>
                          <a:stretch>
                            <a:fillRect/>
                          </a:stretch>
                        </pic:blipFill>
                        <pic:spPr>
                          <a:xfrm>
                            <a:off x="0" y="0"/>
                            <a:ext cx="5344795" cy="2634615"/>
                          </a:xfrm>
                          <a:prstGeom prst="rect">
                            <a:avLst/>
                          </a:prstGeom>
                        </pic:spPr>
                      </pic:pic>
                    </a:graphicData>
                  </a:graphic>
                </wp:inline>
              </w:drawing>
            </w:r>
          </w:p>
        </w:tc>
      </w:tr>
      <w:tr w14:paraId="5228EBD8">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8646" w:type="dxa"/>
            <w:tcBorders>
              <w:top w:val="single" w:color="auto" w:sz="4" w:space="0"/>
            </w:tcBorders>
          </w:tcPr>
          <w:p w14:paraId="15B4BFA5">
            <w:pPr>
              <w:overflowPunct w:val="0"/>
              <w:rPr>
                <w:rFonts w:hint="default" w:ascii="Calibri" w:hAnsi="Calibri" w:eastAsia="楷体_GB2312" w:cs="Calibri"/>
                <w:i/>
                <w:iCs/>
                <w:sz w:val="15"/>
                <w:szCs w:val="15"/>
              </w:rPr>
            </w:pPr>
            <w:r>
              <w:rPr>
                <w:rFonts w:hint="default" w:ascii="Calibri" w:hAnsi="Calibri" w:eastAsia="楷体_GB2312" w:cs="Calibri"/>
                <w:i/>
                <w:iCs/>
                <w:sz w:val="15"/>
                <w:szCs w:val="15"/>
              </w:rPr>
              <w:t>资料来源：U.S. Bureau of Labor Statistics，</w:t>
            </w:r>
            <w:r>
              <w:rPr>
                <w:rFonts w:hint="default" w:ascii="Calibri" w:hAnsi="Calibri" w:eastAsia="楷体_GB2312" w:cs="Calibri"/>
                <w:i/>
                <w:iCs/>
                <w:sz w:val="15"/>
                <w:szCs w:val="15"/>
                <w:lang w:eastAsia="zh-CN"/>
              </w:rPr>
              <w:t>HFI</w:t>
            </w:r>
          </w:p>
        </w:tc>
      </w:tr>
    </w:tbl>
    <w:p w14:paraId="06EC9237">
      <w:pPr>
        <w:overflowPunct w:val="0"/>
        <w:ind w:left="3200" w:leftChars="2000"/>
        <w:jc w:val="both"/>
        <w:rPr>
          <w:rFonts w:hint="default" w:ascii="Calibri" w:hAnsi="Calibri" w:eastAsia="楷体_GB2312" w:cs="Calibri"/>
          <w:b/>
          <w:bCs/>
          <w:sz w:val="20"/>
          <w:szCs w:val="20"/>
          <w:lang w:val="en-US" w:eastAsia="zh-CN"/>
        </w:rPr>
      </w:pPr>
    </w:p>
    <w:p w14:paraId="3CB20C2A">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美国变压器和电力调节器价格指数月环比稳定。</w:t>
      </w:r>
      <w:r>
        <w:rPr>
          <w:rFonts w:hint="default" w:ascii="Calibri" w:hAnsi="Calibri" w:eastAsia="楷体_GB2312" w:cs="Calibri"/>
          <w:sz w:val="20"/>
          <w:szCs w:val="20"/>
          <w:lang w:val="en-US" w:eastAsia="zh-CN"/>
        </w:rPr>
        <w:t>变压器和电力调节器生产价格指数2025年12月为419.143，环比上升，同比增长5.72%。</w:t>
      </w:r>
    </w:p>
    <w:p w14:paraId="15898C57">
      <w:pPr>
        <w:overflowPunct w:val="0"/>
        <w:ind w:left="3200" w:leftChars="2000"/>
        <w:jc w:val="both"/>
        <w:rPr>
          <w:rFonts w:hint="default" w:ascii="Calibri" w:hAnsi="Calibri" w:eastAsia="楷体_GB2312" w:cs="Calibri"/>
          <w:sz w:val="20"/>
          <w:szCs w:val="20"/>
          <w:lang w:eastAsia="zh-CN"/>
        </w:rPr>
      </w:pPr>
    </w:p>
    <w:p w14:paraId="58D99A5B">
      <w:pPr>
        <w:overflowPunct w:val="0"/>
        <w:ind w:left="3200" w:leftChars="2000"/>
        <w:jc w:val="both"/>
        <w:rPr>
          <w:rFonts w:hint="default" w:ascii="Calibri" w:hAnsi="Calibri" w:eastAsia="楷体_GB2312" w:cs="Calibri"/>
          <w:b/>
          <w:bCs/>
          <w:sz w:val="20"/>
          <w:szCs w:val="20"/>
          <w:lang w:val="en-US" w:eastAsia="zh-CN"/>
        </w:rPr>
      </w:pPr>
    </w:p>
    <w:tbl>
      <w:tblPr>
        <w:tblStyle w:val="27"/>
        <w:tblW w:w="8541" w:type="dxa"/>
        <w:tblInd w:w="2164"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8541"/>
      </w:tblGrid>
      <w:tr w14:paraId="310A4781">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8541" w:type="dxa"/>
            <w:tcBorders>
              <w:bottom w:val="single" w:color="auto" w:sz="4" w:space="0"/>
            </w:tcBorders>
          </w:tcPr>
          <w:p w14:paraId="2F036A1B">
            <w:pPr>
              <w:overflowPunct w:val="0"/>
              <w:rPr>
                <w:rFonts w:hint="default" w:ascii="Calibri" w:hAnsi="Calibri" w:eastAsia="楷体_GB2312" w:cs="Calibri"/>
                <w:b/>
                <w:szCs w:val="20"/>
                <w:lang w:eastAsia="zh-CN"/>
              </w:rPr>
            </w:pPr>
            <w:r>
              <w:rPr>
                <w:rFonts w:hint="default" w:ascii="Calibri" w:hAnsi="Calibri" w:eastAsia="楷体_GB2312" w:cs="Calibri"/>
                <w:b/>
                <w:sz w:val="18"/>
                <w:szCs w:val="18"/>
                <w:lang w:eastAsia="zh-CN"/>
              </w:rPr>
              <w:t>图</w:t>
            </w:r>
            <w:r>
              <w:rPr>
                <w:rFonts w:hint="default" w:ascii="Calibri" w:hAnsi="Calibri" w:eastAsia="楷体_GB2312" w:cs="Calibri"/>
                <w:b/>
                <w:sz w:val="18"/>
                <w:szCs w:val="18"/>
                <w:lang w:val="en-US" w:eastAsia="zh-CN"/>
              </w:rPr>
              <w:t>10</w:t>
            </w:r>
            <w:r>
              <w:rPr>
                <w:rFonts w:hint="default" w:ascii="Calibri" w:hAnsi="Calibri" w:eastAsia="楷体_GB2312" w:cs="Calibri"/>
                <w:b/>
                <w:sz w:val="18"/>
                <w:szCs w:val="18"/>
                <w:lang w:eastAsia="zh-CN"/>
              </w:rPr>
              <w:t>: 工业生产者出厂价格指数 : 机械和设备-变压器和电力调节器</w:t>
            </w:r>
          </w:p>
        </w:tc>
      </w:tr>
      <w:tr w14:paraId="4C60091D">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2792" w:hRule="atLeast"/>
        </w:trPr>
        <w:tc>
          <w:tcPr>
            <w:tcW w:w="8541" w:type="dxa"/>
            <w:tcBorders>
              <w:top w:val="single" w:color="auto" w:sz="4" w:space="0"/>
              <w:bottom w:val="single" w:color="auto" w:sz="4" w:space="0"/>
            </w:tcBorders>
            <w:vAlign w:val="center"/>
          </w:tcPr>
          <w:p w14:paraId="7265F474">
            <w:pPr>
              <w:overflowPunct w:val="0"/>
              <w:jc w:val="center"/>
              <w:rPr>
                <w:rFonts w:hint="default" w:ascii="Calibri" w:hAnsi="Calibri" w:eastAsia="楷体_GB2312" w:cs="Calibri"/>
                <w:sz w:val="10"/>
              </w:rPr>
            </w:pPr>
            <w:r>
              <w:rPr>
                <w:rFonts w:hint="default" w:ascii="Calibri" w:hAnsi="Calibri" w:eastAsia="楷体_GB2312" w:cs="Calibri"/>
                <w:sz w:val="10"/>
              </w:rPr>
              <w:drawing>
                <wp:inline distT="0" distB="0" distL="114300" distR="114300">
                  <wp:extent cx="5286375" cy="2863215"/>
                  <wp:effectExtent l="0" t="0" r="0" b="3810"/>
                  <wp:docPr id="7" name="图片 7" descr="fredgrap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redgraph (4)"/>
                          <pic:cNvPicPr>
                            <a:picLocks noChangeAspect="1"/>
                          </pic:cNvPicPr>
                        </pic:nvPicPr>
                        <pic:blipFill>
                          <a:blip r:embed="rId23"/>
                          <a:stretch>
                            <a:fillRect/>
                          </a:stretch>
                        </pic:blipFill>
                        <pic:spPr>
                          <a:xfrm>
                            <a:off x="0" y="0"/>
                            <a:ext cx="5286375" cy="2863215"/>
                          </a:xfrm>
                          <a:prstGeom prst="rect">
                            <a:avLst/>
                          </a:prstGeom>
                        </pic:spPr>
                      </pic:pic>
                    </a:graphicData>
                  </a:graphic>
                </wp:inline>
              </w:drawing>
            </w:r>
          </w:p>
        </w:tc>
      </w:tr>
      <w:tr w14:paraId="2D91B2D3">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8541" w:type="dxa"/>
            <w:tcBorders>
              <w:top w:val="single" w:color="auto" w:sz="4" w:space="0"/>
            </w:tcBorders>
          </w:tcPr>
          <w:p w14:paraId="1B4A8ADC">
            <w:pPr>
              <w:overflowPunct w:val="0"/>
              <w:rPr>
                <w:rFonts w:hint="default" w:ascii="Calibri" w:hAnsi="Calibri" w:eastAsia="楷体_GB2312" w:cs="Calibri"/>
                <w:i/>
                <w:iCs/>
                <w:sz w:val="15"/>
                <w:szCs w:val="15"/>
                <w:lang w:eastAsia="zh-CN"/>
              </w:rPr>
            </w:pPr>
            <w:r>
              <w:rPr>
                <w:rFonts w:hint="default" w:ascii="Calibri" w:hAnsi="Calibri" w:eastAsia="楷体_GB2312" w:cs="Calibri"/>
                <w:i/>
                <w:iCs/>
                <w:sz w:val="15"/>
                <w:szCs w:val="15"/>
              </w:rPr>
              <w:t>资料来源：U.S. Bureau of Labor Statistics，</w:t>
            </w:r>
            <w:r>
              <w:rPr>
                <w:rFonts w:hint="default" w:ascii="Calibri" w:hAnsi="Calibri" w:eastAsia="楷体_GB2312" w:cs="Calibri"/>
                <w:i/>
                <w:iCs/>
                <w:sz w:val="15"/>
                <w:szCs w:val="15"/>
                <w:lang w:eastAsia="zh-CN"/>
              </w:rPr>
              <w:t>HFI</w:t>
            </w:r>
          </w:p>
          <w:p w14:paraId="15BDCDED">
            <w:pPr>
              <w:overflowPunct w:val="0"/>
              <w:rPr>
                <w:rFonts w:hint="default" w:ascii="Calibri" w:hAnsi="Calibri" w:eastAsia="楷体_GB2312" w:cs="Calibri"/>
                <w:i/>
                <w:iCs/>
                <w:sz w:val="15"/>
                <w:szCs w:val="15"/>
              </w:rPr>
            </w:pPr>
          </w:p>
        </w:tc>
      </w:tr>
    </w:tbl>
    <w:p w14:paraId="49860532">
      <w:pPr>
        <w:overflowPunct w:val="0"/>
        <w:ind w:left="3200" w:leftChars="2000"/>
        <w:jc w:val="both"/>
        <w:rPr>
          <w:rFonts w:hint="default" w:ascii="Calibri" w:hAnsi="Calibri" w:eastAsia="楷体_GB2312" w:cs="Calibri"/>
          <w:b/>
          <w:bCs/>
          <w:sz w:val="20"/>
          <w:szCs w:val="20"/>
          <w:lang w:val="en-US" w:eastAsia="zh-CN"/>
        </w:rPr>
      </w:pPr>
    </w:p>
    <w:p w14:paraId="35822003">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欧洲电动机、发电机、变压器制造和配电生产价格指数月环比稳定。</w:t>
      </w:r>
      <w:r>
        <w:rPr>
          <w:rFonts w:hint="default" w:ascii="Calibri" w:hAnsi="Calibri" w:eastAsia="楷体_GB2312" w:cs="Calibri"/>
          <w:sz w:val="20"/>
          <w:szCs w:val="20"/>
          <w:lang w:val="en-US" w:eastAsia="zh-CN"/>
        </w:rPr>
        <w:t>欧洲电动机、发电机、变压器制造和配电生产价格指数2025年11月为120.8，环比微增，同比增长0.83%。</w:t>
      </w:r>
    </w:p>
    <w:p w14:paraId="5C12EC8E">
      <w:pPr>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br w:type="page"/>
      </w:r>
    </w:p>
    <w:tbl>
      <w:tblPr>
        <w:tblStyle w:val="27"/>
        <w:tblpPr w:leftFromText="180" w:rightFromText="180" w:vertAnchor="text" w:horzAnchor="margin" w:tblpXSpec="right" w:tblpY="128"/>
        <w:tblW w:w="8095" w:type="dxa"/>
        <w:tblInd w:w="0"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8095"/>
      </w:tblGrid>
      <w:tr w14:paraId="5DCE3849">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8095" w:type="dxa"/>
            <w:tcBorders>
              <w:bottom w:val="single" w:color="auto" w:sz="4" w:space="0"/>
            </w:tcBorders>
          </w:tcPr>
          <w:p w14:paraId="5D09D8C7">
            <w:pPr>
              <w:overflowPunct w:val="0"/>
              <w:rPr>
                <w:rFonts w:hint="default" w:ascii="Calibri" w:hAnsi="Calibri" w:eastAsia="楷体_GB2312" w:cs="Calibri"/>
                <w:b/>
                <w:bCs/>
                <w:szCs w:val="20"/>
                <w:lang w:eastAsia="zh-CN"/>
              </w:rPr>
            </w:pPr>
            <w:r>
              <w:rPr>
                <w:rFonts w:hint="default" w:ascii="Calibri" w:hAnsi="Calibri" w:eastAsia="楷体_GB2312" w:cs="Calibri"/>
                <w:b/>
                <w:sz w:val="18"/>
                <w:szCs w:val="18"/>
                <w:lang w:eastAsia="zh-CN"/>
              </w:rPr>
              <w:t>图</w:t>
            </w:r>
            <w:r>
              <w:rPr>
                <w:rFonts w:hint="default" w:ascii="Calibri" w:hAnsi="Calibri" w:eastAsia="楷体_GB2312" w:cs="Calibri"/>
                <w:b/>
                <w:sz w:val="18"/>
                <w:szCs w:val="18"/>
                <w:lang w:val="en-US" w:eastAsia="zh-CN"/>
              </w:rPr>
              <w:t>11</w:t>
            </w:r>
            <w:r>
              <w:rPr>
                <w:rFonts w:hint="default" w:ascii="Calibri" w:hAnsi="Calibri" w:eastAsia="楷体_GB2312" w:cs="Calibri"/>
                <w:b/>
                <w:sz w:val="18"/>
                <w:szCs w:val="18"/>
                <w:lang w:eastAsia="zh-CN"/>
              </w:rPr>
              <w:t>：欧盟 - 工业生产者价格：电动机、发电机、变压器制造和配电</w:t>
            </w:r>
          </w:p>
        </w:tc>
      </w:tr>
      <w:tr w14:paraId="2CB74A29">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rPr>
          <w:trHeight w:val="4409" w:hRule="atLeast"/>
        </w:trPr>
        <w:tc>
          <w:tcPr>
            <w:tcW w:w="8095" w:type="dxa"/>
            <w:tcBorders>
              <w:top w:val="single" w:color="auto" w:sz="4" w:space="0"/>
              <w:bottom w:val="single" w:color="auto" w:sz="4" w:space="0"/>
            </w:tcBorders>
          </w:tcPr>
          <w:p w14:paraId="4B523B3C">
            <w:pPr>
              <w:rPr>
                <w:rFonts w:hint="default" w:ascii="Calibri" w:hAnsi="Calibri" w:eastAsia="楷体_GB2312" w:cs="Calibri"/>
                <w:szCs w:val="20"/>
              </w:rPr>
            </w:pPr>
            <w:r>
              <w:rPr>
                <w:rFonts w:hint="default" w:ascii="Calibri" w:hAnsi="Calibri" w:eastAsia="楷体_GB2312" w:cs="Calibri"/>
                <w:szCs w:val="20"/>
              </w:rPr>
              <w:drawing>
                <wp:inline distT="0" distB="0" distL="114300" distR="114300">
                  <wp:extent cx="5140325" cy="2706370"/>
                  <wp:effectExtent l="0" t="0" r="0" b="0"/>
                  <wp:docPr id="11" name="图片 11" descr="European_Union_Producer_prices_in_industry_Manufacture_of_electric_motors_generators_transformers_and_electricity_distribution_and_control_appar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European_Union_Producer_prices_in_industry_Manufacture_of_electric_motors_generators_transformers_and_electricity_distribution_and_control_apparatus"/>
                          <pic:cNvPicPr>
                            <a:picLocks noChangeAspect="1"/>
                          </pic:cNvPicPr>
                        </pic:nvPicPr>
                        <pic:blipFill>
                          <a:blip r:embed="rId24"/>
                          <a:srcRect t="4018" b="8621"/>
                          <a:stretch>
                            <a:fillRect/>
                          </a:stretch>
                        </pic:blipFill>
                        <pic:spPr>
                          <a:xfrm>
                            <a:off x="0" y="0"/>
                            <a:ext cx="5140325" cy="2706370"/>
                          </a:xfrm>
                          <a:prstGeom prst="rect">
                            <a:avLst/>
                          </a:prstGeom>
                        </pic:spPr>
                      </pic:pic>
                    </a:graphicData>
                  </a:graphic>
                </wp:inline>
              </w:drawing>
            </w:r>
          </w:p>
        </w:tc>
      </w:tr>
      <w:tr w14:paraId="626BCAB7">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rPr>
          <w:trHeight w:val="61" w:hRule="atLeast"/>
        </w:trPr>
        <w:tc>
          <w:tcPr>
            <w:tcW w:w="8095" w:type="dxa"/>
            <w:tcBorders>
              <w:top w:val="single" w:color="auto" w:sz="4" w:space="0"/>
            </w:tcBorders>
          </w:tcPr>
          <w:p w14:paraId="0EA4C6D0">
            <w:pPr>
              <w:overflowPunct w:val="0"/>
              <w:rPr>
                <w:rFonts w:hint="default" w:ascii="Calibri" w:hAnsi="Calibri" w:eastAsia="楷体_GB2312" w:cs="Calibri"/>
                <w:i/>
                <w:iCs/>
                <w:szCs w:val="20"/>
              </w:rPr>
            </w:pPr>
            <w:r>
              <w:rPr>
                <w:rFonts w:hint="default" w:ascii="Calibri" w:hAnsi="Calibri" w:eastAsia="楷体_GB2312" w:cs="Calibri"/>
                <w:i/>
                <w:iCs/>
                <w:sz w:val="15"/>
                <w:szCs w:val="15"/>
              </w:rPr>
              <w:t xml:space="preserve">资料来源: Trading Economics， </w:t>
            </w:r>
            <w:r>
              <w:rPr>
                <w:rFonts w:hint="default" w:ascii="Calibri" w:hAnsi="Calibri" w:eastAsia="楷体_GB2312" w:cs="Calibri"/>
                <w:i/>
                <w:iCs/>
                <w:sz w:val="15"/>
                <w:szCs w:val="15"/>
                <w:lang w:eastAsia="zh-CN"/>
              </w:rPr>
              <w:t>HFI</w:t>
            </w:r>
          </w:p>
        </w:tc>
      </w:tr>
    </w:tbl>
    <w:p w14:paraId="5C4CAE50">
      <w:pPr>
        <w:overflowPunct w:val="0"/>
        <w:ind w:left="3200" w:leftChars="2000"/>
        <w:jc w:val="both"/>
        <w:rPr>
          <w:rFonts w:hint="default" w:ascii="Calibri" w:hAnsi="Calibri" w:eastAsia="楷体_GB2312" w:cs="Calibri"/>
          <w:b/>
          <w:bCs/>
          <w:sz w:val="20"/>
          <w:szCs w:val="20"/>
          <w:lang w:eastAsia="zh-CN"/>
        </w:rPr>
      </w:pPr>
    </w:p>
    <w:p w14:paraId="04C8191E">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美国电机和发电机制造：电机、发电机、发电机组和其他旋转设备的零部件、用品价格指数月环比稳定。</w:t>
      </w:r>
      <w:r>
        <w:rPr>
          <w:rFonts w:hint="default" w:ascii="Calibri" w:hAnsi="Calibri" w:eastAsia="楷体_GB2312" w:cs="Calibri"/>
          <w:sz w:val="20"/>
          <w:szCs w:val="20"/>
          <w:lang w:val="en-US" w:eastAsia="zh-CN"/>
        </w:rPr>
        <w:t>美国电机和发电机制造：电机、发电机、发电机组和其他旋转设备的零部件、用品价格指数2025年12月为386.080，环比稳定，同比增长5.42%。</w:t>
      </w:r>
    </w:p>
    <w:p w14:paraId="0B785683">
      <w:pPr>
        <w:overflowPunct w:val="0"/>
        <w:ind w:left="3200" w:leftChars="2000"/>
        <w:jc w:val="both"/>
        <w:rPr>
          <w:rFonts w:hint="default" w:ascii="Calibri" w:hAnsi="Calibri" w:eastAsia="楷体_GB2312" w:cs="Calibri"/>
          <w:sz w:val="20"/>
          <w:szCs w:val="20"/>
          <w:lang w:eastAsia="zh-CN"/>
        </w:rPr>
      </w:pPr>
    </w:p>
    <w:tbl>
      <w:tblPr>
        <w:tblStyle w:val="27"/>
        <w:tblW w:w="8556" w:type="dxa"/>
        <w:tblInd w:w="2153"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8556"/>
      </w:tblGrid>
      <w:tr w14:paraId="4826052A">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8556" w:type="dxa"/>
            <w:tcBorders>
              <w:bottom w:val="single" w:color="auto" w:sz="4" w:space="0"/>
            </w:tcBorders>
          </w:tcPr>
          <w:p w14:paraId="229BA56D">
            <w:pPr>
              <w:overflowPunct w:val="0"/>
              <w:rPr>
                <w:rFonts w:hint="default" w:ascii="Calibri" w:hAnsi="Calibri" w:eastAsia="楷体_GB2312" w:cs="Calibri"/>
                <w:b/>
                <w:szCs w:val="20"/>
                <w:lang w:eastAsia="zh-CN"/>
              </w:rPr>
            </w:pPr>
            <w:r>
              <w:rPr>
                <w:rFonts w:hint="default" w:ascii="Calibri" w:hAnsi="Calibri" w:eastAsia="楷体_GB2312" w:cs="Calibri"/>
                <w:b/>
                <w:sz w:val="18"/>
                <w:szCs w:val="18"/>
                <w:lang w:eastAsia="zh-CN"/>
              </w:rPr>
              <w:t>图</w:t>
            </w:r>
            <w:r>
              <w:rPr>
                <w:rFonts w:hint="default" w:ascii="Calibri" w:hAnsi="Calibri" w:eastAsia="楷体_GB2312" w:cs="Calibri"/>
                <w:b/>
                <w:sz w:val="18"/>
                <w:szCs w:val="18"/>
                <w:lang w:val="en-US" w:eastAsia="zh-CN"/>
              </w:rPr>
              <w:t>1</w:t>
            </w:r>
            <w:r>
              <w:rPr>
                <w:rFonts w:hint="default" w:ascii="Calibri" w:hAnsi="Calibri" w:eastAsia="楷体_GB2312" w:cs="Calibri"/>
                <w:b/>
                <w:sz w:val="18"/>
                <w:szCs w:val="18"/>
                <w:lang w:val="en-US" w:eastAsia="zh-CN"/>
              </w:rPr>
              <w:t>2</w:t>
            </w:r>
            <w:r>
              <w:rPr>
                <w:rFonts w:hint="default" w:ascii="Calibri" w:hAnsi="Calibri" w:eastAsia="楷体_GB2312" w:cs="Calibri"/>
                <w:b/>
                <w:sz w:val="18"/>
                <w:szCs w:val="18"/>
                <w:lang w:eastAsia="zh-CN"/>
              </w:rPr>
              <w:t>: 美国电机和发电机制造：电机、发电机、发电机组和其他旋转设备的零部件、用品价格指数</w:t>
            </w:r>
          </w:p>
        </w:tc>
      </w:tr>
      <w:tr w14:paraId="3928249C">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2587" w:hRule="atLeast"/>
        </w:trPr>
        <w:tc>
          <w:tcPr>
            <w:tcW w:w="8556" w:type="dxa"/>
            <w:tcBorders>
              <w:top w:val="single" w:color="auto" w:sz="4" w:space="0"/>
              <w:bottom w:val="single" w:color="auto" w:sz="4" w:space="0"/>
            </w:tcBorders>
            <w:vAlign w:val="center"/>
          </w:tcPr>
          <w:p w14:paraId="75A0E96E">
            <w:pPr>
              <w:overflowPunct w:val="0"/>
              <w:jc w:val="center"/>
              <w:rPr>
                <w:rFonts w:hint="default" w:ascii="Calibri" w:hAnsi="Calibri" w:eastAsia="楷体_GB2312" w:cs="Calibri"/>
                <w:sz w:val="10"/>
              </w:rPr>
            </w:pPr>
            <w:r>
              <w:rPr>
                <w:rFonts w:hint="default" w:ascii="Calibri" w:hAnsi="Calibri" w:eastAsia="楷体_GB2312" w:cs="Calibri"/>
                <w:sz w:val="10"/>
              </w:rPr>
              <w:drawing>
                <wp:inline distT="0" distB="0" distL="114300" distR="114300">
                  <wp:extent cx="5295265" cy="2291715"/>
                  <wp:effectExtent l="0" t="0" r="635" b="3810"/>
                  <wp:docPr id="12" name="图片 12" descr="fredgrap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redgraph (7)"/>
                          <pic:cNvPicPr>
                            <a:picLocks noChangeAspect="1"/>
                          </pic:cNvPicPr>
                        </pic:nvPicPr>
                        <pic:blipFill>
                          <a:blip r:embed="rId25"/>
                          <a:stretch>
                            <a:fillRect/>
                          </a:stretch>
                        </pic:blipFill>
                        <pic:spPr>
                          <a:xfrm>
                            <a:off x="0" y="0"/>
                            <a:ext cx="5295265" cy="2291715"/>
                          </a:xfrm>
                          <a:prstGeom prst="rect">
                            <a:avLst/>
                          </a:prstGeom>
                        </pic:spPr>
                      </pic:pic>
                    </a:graphicData>
                  </a:graphic>
                </wp:inline>
              </w:drawing>
            </w:r>
          </w:p>
        </w:tc>
      </w:tr>
      <w:tr w14:paraId="37D27FB1">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8556" w:type="dxa"/>
            <w:tcBorders>
              <w:top w:val="single" w:color="auto" w:sz="4" w:space="0"/>
            </w:tcBorders>
          </w:tcPr>
          <w:p w14:paraId="5411540E">
            <w:pPr>
              <w:overflowPunct w:val="0"/>
              <w:rPr>
                <w:rFonts w:hint="default" w:ascii="Calibri" w:hAnsi="Calibri" w:eastAsia="楷体_GB2312" w:cs="Calibri"/>
                <w:i/>
                <w:iCs/>
                <w:sz w:val="15"/>
                <w:szCs w:val="15"/>
              </w:rPr>
            </w:pPr>
            <w:r>
              <w:rPr>
                <w:rFonts w:hint="default" w:ascii="Calibri" w:hAnsi="Calibri" w:eastAsia="楷体_GB2312" w:cs="Calibri"/>
                <w:i/>
                <w:iCs/>
                <w:sz w:val="15"/>
                <w:szCs w:val="15"/>
              </w:rPr>
              <w:t>资料来源：U.S. Bureau of Labor Statistics，</w:t>
            </w:r>
            <w:r>
              <w:rPr>
                <w:rFonts w:hint="default" w:ascii="Calibri" w:hAnsi="Calibri" w:eastAsia="楷体_GB2312" w:cs="Calibri"/>
                <w:i/>
                <w:iCs/>
                <w:sz w:val="15"/>
                <w:szCs w:val="15"/>
                <w:lang w:eastAsia="zh-CN"/>
              </w:rPr>
              <w:t>HFI</w:t>
            </w:r>
          </w:p>
        </w:tc>
      </w:tr>
    </w:tbl>
    <w:p w14:paraId="217984A4">
      <w:pPr>
        <w:rPr>
          <w:rFonts w:hint="default" w:ascii="Calibri" w:hAnsi="Calibri" w:eastAsia="楷体_GB2312" w:cs="Calibri"/>
          <w:lang w:eastAsia="zh-CN"/>
        </w:rPr>
      </w:pPr>
    </w:p>
    <w:p w14:paraId="4DE24B2A">
      <w:pPr>
        <w:overflowPunct w:val="0"/>
        <w:ind w:left="3200" w:leftChars="2000"/>
        <w:jc w:val="both"/>
        <w:rPr>
          <w:rFonts w:hint="default" w:ascii="Calibri" w:hAnsi="Calibri" w:eastAsia="楷体_GB2312" w:cs="Calibri"/>
          <w:sz w:val="20"/>
          <w:szCs w:val="20"/>
          <w:lang w:val="en-US" w:eastAsia="zh-CN"/>
        </w:rPr>
      </w:pPr>
      <w:bookmarkStart w:id="16" w:name="_Toc867801181"/>
    </w:p>
    <w:p w14:paraId="7D6A5DF3">
      <w:pPr>
        <w:overflowPunct w:val="0"/>
        <w:ind w:left="3200" w:leftChars="2000"/>
        <w:jc w:val="both"/>
        <w:outlineLvl w:val="1"/>
        <w:rPr>
          <w:rFonts w:hint="default" w:ascii="Calibri" w:hAnsi="Calibri" w:eastAsia="楷体_GB2312" w:cs="Calibri"/>
          <w:b/>
          <w:bCs/>
          <w:color w:val="1F497D" w:themeColor="text2"/>
          <w:sz w:val="24"/>
          <w:szCs w:val="24"/>
          <w:lang w:val="en-US" w:eastAsia="zh-CN"/>
          <w14:textFill>
            <w14:solidFill>
              <w14:schemeClr w14:val="tx2"/>
            </w14:solidFill>
          </w14:textFill>
        </w:rPr>
      </w:pPr>
      <w:r>
        <w:rPr>
          <w:rFonts w:hint="default" w:ascii="Calibri" w:hAnsi="Calibri" w:eastAsia="楷体_GB2312" w:cs="Calibri"/>
        </w:rPr>
        <w:fldChar w:fldCharType="begin"/>
      </w:r>
      <w:r>
        <w:rPr>
          <w:rFonts w:hint="default" w:ascii="Calibri" w:hAnsi="Calibri" w:eastAsia="楷体_GB2312" w:cs="Calibri"/>
        </w:rPr>
        <w:instrText xml:space="preserve"> HYPERLINK \l "_Toc192787053" </w:instrText>
      </w:r>
      <w:r>
        <w:rPr>
          <w:rFonts w:hint="default" w:ascii="Calibri" w:hAnsi="Calibri" w:eastAsia="楷体_GB2312" w:cs="Calibri"/>
        </w:rPr>
        <w:fldChar w:fldCharType="separate"/>
      </w:r>
      <w:bookmarkStart w:id="17" w:name="_Toc223082600"/>
      <w:r>
        <w:rPr>
          <w:rFonts w:hint="default" w:ascii="Calibri" w:hAnsi="Calibri" w:eastAsia="楷体_GB2312" w:cs="Calibri"/>
          <w:b/>
          <w:bCs/>
          <w:color w:val="1F497D" w:themeColor="text2"/>
          <w:sz w:val="24"/>
          <w:szCs w:val="24"/>
          <w:lang w:val="en-US" w:eastAsia="zh-CN"/>
          <w14:textFill>
            <w14:solidFill>
              <w14:schemeClr w14:val="tx2"/>
            </w14:solidFill>
          </w14:textFill>
        </w:rPr>
        <w:t>（二）工业设备出口指数</w:t>
      </w:r>
      <w:bookmarkEnd w:id="17"/>
      <w:r>
        <w:rPr>
          <w:rFonts w:hint="default" w:ascii="Calibri" w:hAnsi="Calibri" w:eastAsia="楷体_GB2312" w:cs="Calibri"/>
          <w:b/>
          <w:bCs/>
          <w:color w:val="1F497D" w:themeColor="text2"/>
          <w:sz w:val="24"/>
          <w:szCs w:val="24"/>
          <w:lang w:val="en-US" w:eastAsia="zh-CN"/>
          <w14:textFill>
            <w14:solidFill>
              <w14:schemeClr w14:val="tx2"/>
            </w14:solidFill>
          </w14:textFill>
        </w:rPr>
        <w:fldChar w:fldCharType="end"/>
      </w:r>
      <w:bookmarkEnd w:id="16"/>
    </w:p>
    <w:p w14:paraId="74A32F5B">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中国2025年变压器出口保持高增</w:t>
      </w:r>
      <w:r>
        <w:rPr>
          <w:rFonts w:hint="default" w:ascii="Calibri" w:hAnsi="Calibri" w:eastAsia="楷体_GB2312" w:cs="Calibri"/>
          <w:sz w:val="20"/>
          <w:szCs w:val="20"/>
          <w:lang w:val="en-US" w:eastAsia="zh-CN"/>
        </w:rPr>
        <w:t>。2025年出口额狂飙至646亿元，同比激增36%，稳居全球第一大变压器出口国。受全球电网升级、数据中心及AI需求爆发驱动，中国凭借全产业链优势及高产能，成为缓解欧美电网设备短缺的“压舱石”，中国凭借全产业链优势和高效交付能力占据全球约60%市场份额，出口均价大幅上涨，单台设备的出口均价跳涨了30.5%。分地区来看，2025年中国变压器出口至亚洲、非洲、欧洲、北美的金额分别为44.96亿美元、7.90亿美元、18.37亿美元和13.24亿美元，同比分别增长37.9%、39.6%、42.2%和23.4%。整体延续高景气扩张态势，其中欧洲与亚洲贡献主要增量，非洲保持较快增长，北美稳健提升，在全球电网升级、新能源并网及算力基础设施扩张带动下，出口结构呈现多区域共振格局。</w:t>
      </w:r>
    </w:p>
    <w:p w14:paraId="335CAE78">
      <w:pPr>
        <w:overflowPunct w:val="0"/>
        <w:ind w:left="3200" w:leftChars="2000"/>
        <w:jc w:val="both"/>
        <w:rPr>
          <w:rFonts w:hint="default" w:ascii="Calibri" w:hAnsi="Calibri" w:eastAsia="楷体_GB2312" w:cs="Calibri"/>
          <w:sz w:val="20"/>
          <w:szCs w:val="20"/>
          <w:lang w:val="en-US" w:eastAsia="zh-CN"/>
        </w:rPr>
      </w:pPr>
    </w:p>
    <w:tbl>
      <w:tblPr>
        <w:tblStyle w:val="27"/>
        <w:tblW w:w="8361" w:type="dxa"/>
        <w:tblInd w:w="2347"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8361"/>
      </w:tblGrid>
      <w:tr w14:paraId="1A93F9B9">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PrEx>
        <w:tc>
          <w:tcPr>
            <w:tcW w:w="8361" w:type="dxa"/>
            <w:tcBorders>
              <w:bottom w:val="single" w:color="auto" w:sz="4" w:space="0"/>
            </w:tcBorders>
          </w:tcPr>
          <w:p w14:paraId="059E078A">
            <w:pPr>
              <w:overflowPunct w:val="0"/>
              <w:rPr>
                <w:rFonts w:hint="default" w:ascii="Calibri" w:hAnsi="Calibri" w:eastAsia="楷体_GB2312" w:cs="Calibri"/>
                <w:b/>
                <w:sz w:val="18"/>
                <w:szCs w:val="20"/>
                <w:lang w:eastAsia="zh-CN"/>
              </w:rPr>
            </w:pPr>
            <w:r>
              <w:rPr>
                <w:rFonts w:hint="default" w:ascii="Calibri" w:hAnsi="Calibri" w:eastAsia="楷体_GB2312" w:cs="Calibri"/>
                <w:b/>
                <w:sz w:val="18"/>
                <w:szCs w:val="18"/>
                <w:lang w:eastAsia="zh-CN"/>
              </w:rPr>
              <w:t>图</w:t>
            </w:r>
            <w:r>
              <w:rPr>
                <w:rFonts w:hint="default" w:ascii="Calibri" w:hAnsi="Calibri" w:eastAsia="楷体_GB2312" w:cs="Calibri"/>
                <w:b/>
                <w:sz w:val="18"/>
                <w:szCs w:val="18"/>
                <w:lang w:eastAsia="zh-CN"/>
              </w:rPr>
              <w:t>1</w:t>
            </w:r>
            <w:r>
              <w:rPr>
                <w:rFonts w:hint="default" w:ascii="Calibri" w:hAnsi="Calibri" w:eastAsia="楷体_GB2312" w:cs="Calibri"/>
                <w:b/>
                <w:sz w:val="18"/>
                <w:szCs w:val="18"/>
                <w:lang w:val="en-US" w:eastAsia="zh-CN"/>
              </w:rPr>
              <w:t>3</w:t>
            </w:r>
            <w:r>
              <w:rPr>
                <w:rFonts w:hint="default" w:ascii="Calibri" w:hAnsi="Calibri" w:eastAsia="楷体_GB2312" w:cs="Calibri"/>
                <w:b/>
                <w:sz w:val="18"/>
                <w:szCs w:val="18"/>
                <w:lang w:eastAsia="zh-CN"/>
              </w:rPr>
              <w:t>：中国变压器出口金额（亿元）</w:t>
            </w:r>
          </w:p>
        </w:tc>
      </w:tr>
      <w:tr w14:paraId="602EE239">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3222" w:hRule="atLeast"/>
        </w:trPr>
        <w:tc>
          <w:tcPr>
            <w:tcW w:w="8361" w:type="dxa"/>
            <w:tcBorders>
              <w:top w:val="single" w:color="auto" w:sz="4" w:space="0"/>
              <w:bottom w:val="single" w:color="auto" w:sz="4" w:space="0"/>
            </w:tcBorders>
            <w:vAlign w:val="center"/>
          </w:tcPr>
          <w:p w14:paraId="39DFF7B6">
            <w:pPr>
              <w:overflowPunct w:val="0"/>
              <w:jc w:val="center"/>
              <w:rPr>
                <w:rFonts w:hint="default" w:ascii="Calibri" w:hAnsi="Calibri" w:eastAsia="楷体_GB2312" w:cs="Calibri"/>
                <w:sz w:val="10"/>
              </w:rPr>
            </w:pPr>
            <w:r>
              <w:rPr>
                <w:rFonts w:hint="default" w:ascii="Calibri" w:hAnsi="Calibri" w:eastAsia="楷体_GB2312" w:cs="Calibri"/>
                <w:sz w:val="10"/>
              </w:rPr>
              <w:drawing>
                <wp:inline distT="0" distB="0" distL="114300" distR="114300">
                  <wp:extent cx="5135245" cy="2583180"/>
                  <wp:effectExtent l="4445" t="4445" r="11430" b="18415"/>
                  <wp:docPr id="31"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tc>
      </w:tr>
      <w:tr w14:paraId="60BE77A1">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8361" w:type="dxa"/>
            <w:tcBorders>
              <w:top w:val="single" w:color="auto" w:sz="4" w:space="0"/>
            </w:tcBorders>
          </w:tcPr>
          <w:p w14:paraId="01A98E23">
            <w:pPr>
              <w:rPr>
                <w:rFonts w:hint="default" w:ascii="Calibri" w:hAnsi="Calibri" w:eastAsia="楷体_GB2312" w:cs="Calibri"/>
                <w:i/>
                <w:iCs/>
                <w:sz w:val="15"/>
                <w:szCs w:val="15"/>
                <w:lang w:eastAsia="zh-CN"/>
              </w:rPr>
            </w:pPr>
            <w:r>
              <w:rPr>
                <w:rFonts w:hint="default" w:ascii="Calibri" w:hAnsi="Calibri" w:eastAsia="楷体_GB2312" w:cs="Calibri"/>
                <w:i/>
                <w:iCs/>
                <w:sz w:val="15"/>
                <w:szCs w:val="15"/>
                <w:lang w:eastAsia="zh-CN"/>
              </w:rPr>
              <w:t>资料来源: 中国海关数据， HFI</w:t>
            </w:r>
          </w:p>
        </w:tc>
      </w:tr>
    </w:tbl>
    <w:p w14:paraId="06004E0F">
      <w:pPr>
        <w:overflowPunct w:val="0"/>
        <w:ind w:left="3200" w:leftChars="2000"/>
        <w:jc w:val="both"/>
        <w:rPr>
          <w:rFonts w:hint="default" w:ascii="Calibri" w:hAnsi="Calibri" w:eastAsia="楷体_GB2312" w:cs="Calibri"/>
          <w:b/>
          <w:bCs/>
          <w:sz w:val="20"/>
          <w:szCs w:val="20"/>
          <w:lang w:val="en-US" w:eastAsia="zh-CN"/>
        </w:rPr>
      </w:pPr>
    </w:p>
    <w:p w14:paraId="54BF49F9">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2025年，韩国超高压变压器（10MVA及以上）出口创1977年以来历史新高</w:t>
      </w:r>
      <w:r>
        <w:rPr>
          <w:rFonts w:hint="default" w:ascii="Calibri" w:hAnsi="Calibri" w:eastAsia="楷体_GB2312" w:cs="Calibri"/>
          <w:sz w:val="20"/>
          <w:szCs w:val="20"/>
          <w:lang w:val="en-US" w:eastAsia="zh-CN"/>
        </w:rPr>
        <w:t>，总额达约13亿美元（约1.299亿美元），受全球AI数据中心扩张及电力基础设施巨额投资推动，自2010年以来首次突破10亿美元大关。美国仍是最大买家，出口金额约7.38亿美元，过去三年增长近7倍，主要驱动因素包括美国老旧电网更换（约70%变压器接近30年寿命周期）以及AI数据中心和半导体工厂带来的大容量电力需求。欧洲市场需求持续发力，英国、加拿大等国进口规模显著扩大。中等容量变压器（650kVA–10MVA）保持稳定增长，但占比相对较小。尽管个别月份出现环比波动（如5月环比下降7.72%），全年整体保持极高景气度。需求激增导致供应严重短缺，主要厂商（如HD Hyundai Electric、Hyosung Heavy Industries、LS Electric）订单积压达5–6年，交货周期延长至200周以上，正加速在美国及韩国本土扩产。韩国企业目前占据美国变压器市场约25%份额，出口强势预计2026年仍将维持高位，相关制造商股价过去一年均创历史新高。</w:t>
      </w:r>
    </w:p>
    <w:p w14:paraId="4985BBF5">
      <w:pPr>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br w:type="page"/>
      </w:r>
    </w:p>
    <w:p w14:paraId="2A88926D">
      <w:pPr>
        <w:rPr>
          <w:rFonts w:hint="default" w:ascii="Calibri" w:hAnsi="Calibri" w:eastAsia="楷体_GB2312" w:cs="Calibri"/>
          <w:color w:val="000000"/>
          <w:kern w:val="28"/>
          <w:szCs w:val="20"/>
          <w:lang w:eastAsia="zh-CN"/>
        </w:rPr>
      </w:pPr>
    </w:p>
    <w:tbl>
      <w:tblPr>
        <w:tblStyle w:val="27"/>
        <w:tblW w:w="7459" w:type="dxa"/>
        <w:tblInd w:w="3249"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7459"/>
      </w:tblGrid>
      <w:tr w14:paraId="6FC1FA59">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PrEx>
        <w:tc>
          <w:tcPr>
            <w:tcW w:w="7459" w:type="dxa"/>
            <w:tcBorders>
              <w:bottom w:val="single" w:color="auto" w:sz="4" w:space="0"/>
            </w:tcBorders>
          </w:tcPr>
          <w:p w14:paraId="54663311">
            <w:pPr>
              <w:overflowPunct w:val="0"/>
              <w:rPr>
                <w:rFonts w:hint="default" w:ascii="Calibri" w:hAnsi="Calibri" w:eastAsia="楷体_GB2312" w:cs="Calibri"/>
                <w:b/>
                <w:sz w:val="18"/>
                <w:szCs w:val="20"/>
                <w:lang w:eastAsia="zh-CN"/>
              </w:rPr>
            </w:pPr>
            <w:r>
              <w:rPr>
                <w:rFonts w:hint="default" w:ascii="Calibri" w:hAnsi="Calibri" w:eastAsia="楷体_GB2312" w:cs="Calibri"/>
                <w:b/>
                <w:sz w:val="18"/>
                <w:szCs w:val="18"/>
                <w:lang w:eastAsia="zh-CN"/>
              </w:rPr>
              <w:t>图</w:t>
            </w:r>
            <w:r>
              <w:rPr>
                <w:rFonts w:hint="default" w:ascii="Calibri" w:hAnsi="Calibri" w:eastAsia="楷体_GB2312" w:cs="Calibri"/>
                <w:b/>
                <w:sz w:val="18"/>
                <w:szCs w:val="18"/>
                <w:lang w:val="en-US" w:eastAsia="zh-CN"/>
              </w:rPr>
              <w:t>14</w:t>
            </w:r>
            <w:r>
              <w:rPr>
                <w:rFonts w:hint="default" w:ascii="Calibri" w:hAnsi="Calibri" w:eastAsia="楷体_GB2312" w:cs="Calibri"/>
                <w:b/>
                <w:sz w:val="18"/>
                <w:szCs w:val="18"/>
                <w:lang w:eastAsia="zh-CN"/>
              </w:rPr>
              <w:t>：韩国变压器出口出口金额（亿美元）及同比变化</w:t>
            </w:r>
          </w:p>
        </w:tc>
      </w:tr>
      <w:tr w14:paraId="5805398D">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3222" w:hRule="atLeast"/>
        </w:trPr>
        <w:tc>
          <w:tcPr>
            <w:tcW w:w="7459" w:type="dxa"/>
            <w:tcBorders>
              <w:top w:val="single" w:color="auto" w:sz="4" w:space="0"/>
              <w:bottom w:val="single" w:color="auto" w:sz="4" w:space="0"/>
            </w:tcBorders>
            <w:vAlign w:val="center"/>
          </w:tcPr>
          <w:p w14:paraId="7FAE2D1A">
            <w:pPr>
              <w:overflowPunct w:val="0"/>
              <w:jc w:val="center"/>
              <w:rPr>
                <w:rFonts w:hint="default" w:ascii="Calibri" w:hAnsi="Calibri" w:eastAsia="楷体_GB2312" w:cs="Calibri"/>
                <w:sz w:val="10"/>
              </w:rPr>
            </w:pPr>
            <w:r>
              <w:rPr>
                <w:rFonts w:hint="default" w:ascii="Calibri" w:hAnsi="Calibri" w:eastAsia="楷体_GB2312" w:cs="Calibri"/>
              </w:rPr>
              <w:drawing>
                <wp:inline distT="0" distB="0" distL="114300" distR="114300">
                  <wp:extent cx="4349750" cy="2242820"/>
                  <wp:effectExtent l="4445" t="5080" r="8255" b="9525"/>
                  <wp:docPr id="17" name="图表 7"/>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tc>
      </w:tr>
      <w:tr w14:paraId="025C0A85">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PrEx>
        <w:tc>
          <w:tcPr>
            <w:tcW w:w="7459" w:type="dxa"/>
            <w:tcBorders>
              <w:top w:val="single" w:color="auto" w:sz="4" w:space="0"/>
            </w:tcBorders>
          </w:tcPr>
          <w:p w14:paraId="5B7DC0D8">
            <w:pPr>
              <w:rPr>
                <w:rFonts w:hint="default" w:ascii="Calibri" w:hAnsi="Calibri" w:eastAsia="楷体_GB2312" w:cs="Calibri"/>
                <w:i/>
                <w:iCs/>
                <w:sz w:val="15"/>
                <w:szCs w:val="15"/>
                <w:lang w:eastAsia="zh-CN"/>
              </w:rPr>
            </w:pPr>
            <w:r>
              <w:rPr>
                <w:rFonts w:hint="default" w:ascii="Calibri" w:hAnsi="Calibri" w:eastAsia="楷体_GB2312" w:cs="Calibri"/>
                <w:i/>
                <w:iCs/>
                <w:sz w:val="15"/>
                <w:szCs w:val="15"/>
                <w:lang w:eastAsia="zh-CN"/>
              </w:rPr>
              <w:t xml:space="preserve">资料来源: </w:t>
            </w:r>
            <w:r>
              <w:rPr>
                <w:rFonts w:hint="default" w:ascii="Calibri" w:hAnsi="Calibri" w:eastAsia="楷体_GB2312" w:cs="Calibri"/>
                <w:i/>
                <w:iCs/>
                <w:sz w:val="15"/>
                <w:szCs w:val="15"/>
                <w:lang w:val="en-US" w:eastAsia="zh-CN"/>
              </w:rPr>
              <w:t>韩国</w:t>
            </w:r>
            <w:r>
              <w:rPr>
                <w:rFonts w:hint="default" w:ascii="Calibri" w:hAnsi="Calibri" w:eastAsia="楷体_GB2312" w:cs="Calibri"/>
                <w:i/>
                <w:iCs/>
                <w:sz w:val="15"/>
                <w:szCs w:val="15"/>
                <w:lang w:eastAsia="zh-CN"/>
              </w:rPr>
              <w:t>海关数据， HFI</w:t>
            </w:r>
          </w:p>
        </w:tc>
      </w:tr>
    </w:tbl>
    <w:p w14:paraId="200C40F2">
      <w:pPr>
        <w:overflowPunct w:val="0"/>
        <w:jc w:val="both"/>
        <w:rPr>
          <w:rFonts w:hint="default" w:ascii="Calibri" w:hAnsi="Calibri" w:eastAsia="楷体_GB2312" w:cs="Calibri"/>
          <w:kern w:val="28"/>
          <w:szCs w:val="20"/>
          <w:lang w:eastAsia="zh-CN"/>
        </w:rPr>
      </w:pPr>
    </w:p>
    <w:p w14:paraId="11245956">
      <w:pPr>
        <w:tabs>
          <w:tab w:val="left" w:pos="3879"/>
        </w:tabs>
        <w:rPr>
          <w:rFonts w:hint="default" w:ascii="Calibri" w:hAnsi="Calibri" w:eastAsia="楷体_GB2312" w:cs="Calibri"/>
          <w:lang w:eastAsia="zh-CN"/>
        </w:rPr>
      </w:pPr>
    </w:p>
    <w:p w14:paraId="3A84056B">
      <w:pPr>
        <w:tabs>
          <w:tab w:val="left" w:pos="3879"/>
        </w:tabs>
        <w:rPr>
          <w:rFonts w:hint="default" w:ascii="Calibri" w:hAnsi="Calibri" w:eastAsia="楷体_GB2312" w:cs="Calibri"/>
          <w:lang w:eastAsia="zh-CN"/>
        </w:rPr>
      </w:pPr>
    </w:p>
    <w:tbl>
      <w:tblPr>
        <w:tblStyle w:val="27"/>
        <w:tblW w:w="9855" w:type="dxa"/>
        <w:jc w:val="right"/>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fixed"/>
        <w:tblCellMar>
          <w:top w:w="0" w:type="dxa"/>
          <w:left w:w="0" w:type="dxa"/>
          <w:bottom w:w="0" w:type="dxa"/>
          <w:right w:w="0" w:type="dxa"/>
        </w:tblCellMar>
      </w:tblPr>
      <w:tblGrid>
        <w:gridCol w:w="9855"/>
      </w:tblGrid>
      <w:tr w14:paraId="630F58D7">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rPr>
          <w:trHeight w:val="104" w:hRule="atLeast"/>
          <w:jc w:val="right"/>
        </w:trPr>
        <w:tc>
          <w:tcPr>
            <w:tcW w:w="9855" w:type="dxa"/>
            <w:tcBorders>
              <w:bottom w:val="single" w:color="auto" w:sz="4" w:space="0"/>
            </w:tcBorders>
          </w:tcPr>
          <w:p w14:paraId="75D0B727">
            <w:pPr>
              <w:overflowPunct w:val="0"/>
              <w:rPr>
                <w:rFonts w:hint="default" w:ascii="Calibri" w:hAnsi="Calibri" w:eastAsia="楷体_GB2312" w:cs="Calibri"/>
                <w:b/>
                <w:sz w:val="18"/>
                <w:szCs w:val="20"/>
                <w:lang w:eastAsia="zh-CN"/>
              </w:rPr>
            </w:pPr>
            <w:r>
              <w:rPr>
                <w:rFonts w:hint="default" w:ascii="Calibri" w:hAnsi="Calibri" w:eastAsia="楷体_GB2312" w:cs="Calibri"/>
                <w:b/>
                <w:sz w:val="18"/>
                <w:szCs w:val="18"/>
                <w:lang w:eastAsia="zh-CN"/>
              </w:rPr>
              <w:t>表</w:t>
            </w:r>
            <w:r>
              <w:rPr>
                <w:rFonts w:hint="default" w:ascii="Calibri" w:hAnsi="Calibri" w:eastAsia="楷体_GB2312" w:cs="Calibri"/>
                <w:b/>
                <w:sz w:val="18"/>
                <w:szCs w:val="18"/>
                <w:lang w:val="en-US" w:eastAsia="zh-CN"/>
              </w:rPr>
              <w:t>4</w:t>
            </w:r>
            <w:r>
              <w:rPr>
                <w:rFonts w:hint="default" w:ascii="Calibri" w:hAnsi="Calibri" w:eastAsia="楷体_GB2312" w:cs="Calibri"/>
                <w:b/>
                <w:sz w:val="18"/>
                <w:szCs w:val="18"/>
                <w:lang w:eastAsia="zh-CN"/>
              </w:rPr>
              <w:t>：本周主要公司情况更新</w:t>
            </w:r>
          </w:p>
        </w:tc>
      </w:tr>
      <w:tr w14:paraId="7E38B039">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3744" w:hRule="atLeast"/>
          <w:jc w:val="right"/>
        </w:trPr>
        <w:tc>
          <w:tcPr>
            <w:tcW w:w="9855" w:type="dxa"/>
            <w:tcBorders>
              <w:top w:val="single" w:color="auto" w:sz="4" w:space="0"/>
              <w:bottom w:val="single" w:color="auto" w:sz="4" w:space="0"/>
            </w:tcBorders>
            <w:vAlign w:val="center"/>
          </w:tcPr>
          <w:tbl>
            <w:tblPr>
              <w:tblStyle w:val="26"/>
              <w:tblpPr w:leftFromText="180" w:rightFromText="180" w:vertAnchor="text" w:horzAnchor="page" w:tblpX="54" w:tblpY="-5636"/>
              <w:tblOverlap w:val="never"/>
              <w:tblW w:w="9793" w:type="dxa"/>
              <w:tblInd w:w="0" w:type="dxa"/>
              <w:tblLayout w:type="fixed"/>
              <w:tblCellMar>
                <w:top w:w="0" w:type="dxa"/>
                <w:left w:w="108" w:type="dxa"/>
                <w:bottom w:w="0" w:type="dxa"/>
                <w:right w:w="108" w:type="dxa"/>
              </w:tblCellMar>
            </w:tblPr>
            <w:tblGrid>
              <w:gridCol w:w="687"/>
              <w:gridCol w:w="913"/>
              <w:gridCol w:w="942"/>
              <w:gridCol w:w="7251"/>
            </w:tblGrid>
            <w:tr w14:paraId="4283DBFF">
              <w:tblPrEx>
                <w:tblCellMar>
                  <w:top w:w="0" w:type="dxa"/>
                  <w:left w:w="108" w:type="dxa"/>
                  <w:bottom w:w="0" w:type="dxa"/>
                  <w:right w:w="108" w:type="dxa"/>
                </w:tblCellMar>
              </w:tblPrEx>
              <w:trPr>
                <w:trHeight w:val="288" w:hRule="atLeast"/>
              </w:trPr>
              <w:tc>
                <w:tcPr>
                  <w:tcW w:w="350" w:type="pct"/>
                  <w:tcBorders>
                    <w:left w:val="single" w:color="auto" w:sz="4" w:space="0"/>
                    <w:bottom w:val="single" w:color="auto" w:sz="4" w:space="0"/>
                    <w:right w:val="nil"/>
                  </w:tcBorders>
                  <w:shd w:val="clear" w:color="000000" w:fill="0C2060"/>
                </w:tcPr>
                <w:p w14:paraId="5ED00BBE">
                  <w:pPr>
                    <w:overflowPunct w:val="0"/>
                    <w:jc w:val="center"/>
                    <w:rPr>
                      <w:rFonts w:hint="default" w:ascii="Calibri" w:hAnsi="Calibri" w:eastAsia="楷体_GB2312" w:cs="Calibri"/>
                      <w:b/>
                      <w:bCs/>
                      <w:color w:val="FFFFFF"/>
                      <w:lang w:eastAsia="zh-CN"/>
                    </w:rPr>
                  </w:pPr>
                </w:p>
              </w:tc>
              <w:tc>
                <w:tcPr>
                  <w:tcW w:w="466" w:type="pct"/>
                  <w:tcBorders>
                    <w:left w:val="single" w:color="auto" w:sz="4" w:space="0"/>
                    <w:bottom w:val="single" w:color="auto" w:sz="4" w:space="0"/>
                    <w:right w:val="nil"/>
                  </w:tcBorders>
                  <w:shd w:val="clear" w:color="000000" w:fill="0C2060"/>
                  <w:vAlign w:val="center"/>
                </w:tcPr>
                <w:p w14:paraId="6E5F577B">
                  <w:pPr>
                    <w:overflowPunct w:val="0"/>
                    <w:jc w:val="center"/>
                    <w:rPr>
                      <w:rFonts w:hint="default" w:ascii="Calibri" w:hAnsi="Calibri" w:eastAsia="楷体_GB2312" w:cs="Calibri"/>
                      <w:b/>
                      <w:bCs/>
                      <w:color w:val="FFFFFF"/>
                    </w:rPr>
                  </w:pPr>
                  <w:r>
                    <w:rPr>
                      <w:rFonts w:hint="default" w:ascii="Calibri" w:hAnsi="Calibri" w:eastAsia="楷体_GB2312" w:cs="Calibri"/>
                      <w:b/>
                      <w:bCs/>
                      <w:color w:val="FFFFFF"/>
                    </w:rPr>
                    <w:t>公司名称</w:t>
                  </w:r>
                </w:p>
              </w:tc>
              <w:tc>
                <w:tcPr>
                  <w:tcW w:w="481" w:type="pct"/>
                  <w:tcBorders>
                    <w:left w:val="single" w:color="auto" w:sz="4" w:space="0"/>
                    <w:bottom w:val="single" w:color="auto" w:sz="4" w:space="0"/>
                    <w:right w:val="nil"/>
                  </w:tcBorders>
                  <w:shd w:val="clear" w:color="000000" w:fill="0C2060"/>
                  <w:vAlign w:val="center"/>
                </w:tcPr>
                <w:p w14:paraId="5AABF342">
                  <w:pPr>
                    <w:overflowPunct w:val="0"/>
                    <w:jc w:val="center"/>
                    <w:rPr>
                      <w:rFonts w:hint="default" w:ascii="Calibri" w:hAnsi="Calibri" w:eastAsia="楷体_GB2312" w:cs="Calibri"/>
                      <w:b/>
                      <w:bCs/>
                      <w:color w:val="FFFFFF"/>
                    </w:rPr>
                  </w:pPr>
                  <w:r>
                    <w:rPr>
                      <w:rFonts w:hint="default" w:ascii="Calibri" w:hAnsi="Calibri" w:eastAsia="楷体_GB2312" w:cs="Calibri"/>
                      <w:b/>
                      <w:bCs/>
                      <w:color w:val="FFFFFF"/>
                    </w:rPr>
                    <w:t>时间</w:t>
                  </w:r>
                </w:p>
              </w:tc>
              <w:tc>
                <w:tcPr>
                  <w:tcW w:w="3701" w:type="pct"/>
                  <w:tcBorders>
                    <w:left w:val="nil"/>
                    <w:bottom w:val="single" w:color="auto" w:sz="4" w:space="0"/>
                    <w:right w:val="single" w:color="auto" w:sz="4" w:space="0"/>
                  </w:tcBorders>
                  <w:shd w:val="clear" w:color="000000" w:fill="0C2060"/>
                  <w:vAlign w:val="center"/>
                </w:tcPr>
                <w:p w14:paraId="11A00245">
                  <w:pPr>
                    <w:overflowPunct w:val="0"/>
                    <w:jc w:val="center"/>
                    <w:rPr>
                      <w:rFonts w:hint="default" w:ascii="Calibri" w:hAnsi="Calibri" w:eastAsia="楷体_GB2312" w:cs="Calibri"/>
                      <w:b/>
                      <w:bCs/>
                      <w:color w:val="FFFFFF"/>
                    </w:rPr>
                  </w:pPr>
                  <w:r>
                    <w:rPr>
                      <w:rFonts w:hint="default" w:ascii="Calibri" w:hAnsi="Calibri" w:eastAsia="楷体_GB2312" w:cs="Calibri"/>
                      <w:b/>
                      <w:bCs/>
                      <w:color w:val="FFFFFF"/>
                    </w:rPr>
                    <w:t>主要内容</w:t>
                  </w:r>
                </w:p>
              </w:tc>
            </w:tr>
            <w:tr w14:paraId="1C30CB68">
              <w:tblPrEx>
                <w:tblCellMar>
                  <w:top w:w="0" w:type="dxa"/>
                  <w:left w:w="108" w:type="dxa"/>
                  <w:bottom w:w="0" w:type="dxa"/>
                  <w:right w:w="108" w:type="dxa"/>
                </w:tblCellMar>
              </w:tblPrEx>
              <w:trPr>
                <w:trHeight w:val="446" w:hRule="atLeast"/>
              </w:trPr>
              <w:tc>
                <w:tcPr>
                  <w:tcW w:w="350" w:type="pct"/>
                  <w:vMerge w:val="restart"/>
                  <w:tcBorders>
                    <w:top w:val="single" w:color="auto" w:sz="4" w:space="0"/>
                    <w:left w:val="single" w:color="auto" w:sz="4" w:space="0"/>
                    <w:right w:val="nil"/>
                  </w:tcBorders>
                  <w:vAlign w:val="center"/>
                </w:tcPr>
                <w:p w14:paraId="579B91B0">
                  <w:pPr>
                    <w:overflowPunct w:val="0"/>
                    <w:jc w:val="center"/>
                    <w:rPr>
                      <w:rFonts w:hint="default" w:ascii="Calibri" w:hAnsi="Calibri" w:eastAsia="楷体_GB2312" w:cs="Calibri"/>
                      <w:color w:val="000000"/>
                    </w:rPr>
                  </w:pPr>
                  <w:r>
                    <w:rPr>
                      <w:rFonts w:hint="default" w:ascii="Calibri" w:hAnsi="Calibri" w:eastAsia="楷体_GB2312" w:cs="Calibri"/>
                      <w:color w:val="000000"/>
                      <w:lang w:val="en-US" w:eastAsia="zh-CN"/>
                    </w:rPr>
                    <w:t>工业-电气机械</w:t>
                  </w:r>
                </w:p>
              </w:tc>
              <w:tc>
                <w:tcPr>
                  <w:tcW w:w="466" w:type="pct"/>
                  <w:tcBorders>
                    <w:top w:val="single" w:color="auto" w:sz="4" w:space="0"/>
                    <w:left w:val="single" w:color="auto" w:sz="4" w:space="0"/>
                    <w:right w:val="nil"/>
                  </w:tcBorders>
                  <w:vAlign w:val="center"/>
                </w:tcPr>
                <w:p w14:paraId="0630F4CB">
                  <w:pPr>
                    <w:overflowPunct w:val="0"/>
                    <w:jc w:val="center"/>
                    <w:rPr>
                      <w:rFonts w:hint="default" w:ascii="Calibri" w:hAnsi="Calibri" w:eastAsia="楷体_GB2312" w:cs="Calibri"/>
                      <w:color w:val="000000"/>
                    </w:rPr>
                  </w:pPr>
                  <w:r>
                    <w:rPr>
                      <w:rFonts w:hint="default" w:ascii="Calibri" w:hAnsi="Calibri" w:eastAsia="楷体_GB2312" w:cs="Calibri"/>
                      <w:color w:val="000000"/>
                      <w:lang w:val="en-US" w:eastAsia="zh-CN"/>
                    </w:rPr>
                    <w:t>GE Vernova</w:t>
                  </w:r>
                </w:p>
              </w:tc>
              <w:tc>
                <w:tcPr>
                  <w:tcW w:w="481" w:type="pct"/>
                  <w:tcBorders>
                    <w:top w:val="single" w:color="auto" w:sz="4" w:space="0"/>
                    <w:left w:val="single" w:color="auto" w:sz="4" w:space="0"/>
                    <w:bottom w:val="single" w:color="auto" w:sz="4" w:space="0"/>
                    <w:right w:val="nil"/>
                  </w:tcBorders>
                  <w:vAlign w:val="center"/>
                </w:tcPr>
                <w:p w14:paraId="1F2BB9C8">
                  <w:pPr>
                    <w:overflowPunct w:val="0"/>
                    <w:jc w:val="center"/>
                    <w:rPr>
                      <w:rFonts w:hint="default" w:ascii="Calibri" w:hAnsi="Calibri" w:eastAsia="楷体_GB2312" w:cs="Calibri"/>
                      <w:color w:val="000000"/>
                    </w:rPr>
                  </w:pPr>
                  <w:r>
                    <w:rPr>
                      <w:rFonts w:hint="default" w:ascii="Calibri" w:hAnsi="Calibri" w:eastAsia="楷体_GB2312" w:cs="Calibri"/>
                      <w:color w:val="000000"/>
                      <w:lang w:val="en-US" w:eastAsia="zh-CN"/>
                    </w:rPr>
                    <w:t>2月24日</w:t>
                  </w:r>
                </w:p>
              </w:tc>
              <w:tc>
                <w:tcPr>
                  <w:tcW w:w="3701" w:type="pct"/>
                  <w:tcBorders>
                    <w:top w:val="single" w:color="auto" w:sz="4" w:space="0"/>
                    <w:left w:val="single" w:color="auto" w:sz="4" w:space="0"/>
                    <w:bottom w:val="single" w:color="auto" w:sz="4" w:space="0"/>
                    <w:right w:val="single" w:color="auto" w:sz="4" w:space="0"/>
                  </w:tcBorders>
                  <w:noWrap/>
                  <w:vAlign w:val="center"/>
                </w:tcPr>
                <w:p w14:paraId="6B8303AC">
                  <w:pPr>
                    <w:overflowPunct w:val="0"/>
                    <w:rPr>
                      <w:rFonts w:hint="default" w:ascii="Calibri" w:hAnsi="Calibri" w:eastAsia="楷体_GB2312" w:cs="Calibri"/>
                      <w:color w:val="000000"/>
                      <w:lang w:eastAsia="zh-CN"/>
                    </w:rPr>
                  </w:pPr>
                  <w:r>
                    <w:rPr>
                      <w:rFonts w:hint="default" w:ascii="Calibri" w:hAnsi="Calibri" w:eastAsia="楷体_GB2312" w:cs="Calibri"/>
                      <w:color w:val="000000"/>
                      <w:lang w:val="en-US" w:eastAsia="zh-CN"/>
                    </w:rPr>
                    <w:t>股价创历史新高：受益于 AI 数据中心和广泛电力需求的“超级周期”。公司完成 26 亿美元高级票据发行，用于资助收购变压器合资企业 Prolec GE 的剩余股份，进一步强化电网组合。此外，与波兰签署了 BWRX-300 小型模块化反应堆（SMR）的设计协议。</w:t>
                  </w:r>
                </w:p>
              </w:tc>
            </w:tr>
            <w:tr w14:paraId="3C2F8324">
              <w:tblPrEx>
                <w:tblCellMar>
                  <w:top w:w="0" w:type="dxa"/>
                  <w:left w:w="108" w:type="dxa"/>
                  <w:bottom w:w="0" w:type="dxa"/>
                  <w:right w:w="108" w:type="dxa"/>
                </w:tblCellMar>
              </w:tblPrEx>
              <w:trPr>
                <w:trHeight w:val="446" w:hRule="atLeast"/>
              </w:trPr>
              <w:tc>
                <w:tcPr>
                  <w:tcW w:w="350" w:type="pct"/>
                  <w:vMerge w:val="continue"/>
                  <w:tcBorders>
                    <w:left w:val="single" w:color="auto" w:sz="4" w:space="0"/>
                    <w:right w:val="nil"/>
                  </w:tcBorders>
                  <w:vAlign w:val="center"/>
                </w:tcPr>
                <w:p w14:paraId="16F81A3E">
                  <w:pPr>
                    <w:overflowPunct w:val="0"/>
                    <w:jc w:val="center"/>
                    <w:rPr>
                      <w:rFonts w:hint="default" w:ascii="Calibri" w:hAnsi="Calibri" w:eastAsia="楷体_GB2312" w:cs="Calibri"/>
                      <w:color w:val="000000"/>
                      <w:lang w:eastAsia="zh-CN"/>
                    </w:rPr>
                  </w:pPr>
                </w:p>
              </w:tc>
              <w:tc>
                <w:tcPr>
                  <w:tcW w:w="466" w:type="pct"/>
                  <w:tcBorders>
                    <w:top w:val="single" w:color="auto" w:sz="4" w:space="0"/>
                    <w:left w:val="single" w:color="auto" w:sz="4" w:space="0"/>
                    <w:right w:val="nil"/>
                  </w:tcBorders>
                  <w:vAlign w:val="center"/>
                </w:tcPr>
                <w:p w14:paraId="47137E9C">
                  <w:pPr>
                    <w:overflowPunct w:val="0"/>
                    <w:jc w:val="center"/>
                    <w:rPr>
                      <w:rFonts w:hint="default" w:ascii="Calibri" w:hAnsi="Calibri" w:eastAsia="楷体_GB2312" w:cs="Calibri"/>
                      <w:color w:val="000000"/>
                    </w:rPr>
                  </w:pPr>
                  <w:r>
                    <w:rPr>
                      <w:rFonts w:hint="default" w:ascii="Calibri" w:hAnsi="Calibri" w:eastAsia="楷体_GB2312" w:cs="Calibri"/>
                      <w:color w:val="000000"/>
                      <w:lang w:val="en-US" w:eastAsia="zh-CN"/>
                    </w:rPr>
                    <w:t>Siemens Energy</w:t>
                  </w:r>
                </w:p>
              </w:tc>
              <w:tc>
                <w:tcPr>
                  <w:tcW w:w="481" w:type="pct"/>
                  <w:tcBorders>
                    <w:top w:val="single" w:color="auto" w:sz="4" w:space="0"/>
                    <w:left w:val="single" w:color="auto" w:sz="4" w:space="0"/>
                    <w:bottom w:val="single" w:color="auto" w:sz="4" w:space="0"/>
                    <w:right w:val="nil"/>
                  </w:tcBorders>
                  <w:vAlign w:val="center"/>
                </w:tcPr>
                <w:p w14:paraId="51ED0874">
                  <w:pPr>
                    <w:overflowPunct w:val="0"/>
                    <w:jc w:val="center"/>
                    <w:rPr>
                      <w:rFonts w:hint="default" w:ascii="Calibri" w:hAnsi="Calibri" w:eastAsia="楷体_GB2312" w:cs="Calibri"/>
                      <w:color w:val="000000"/>
                    </w:rPr>
                  </w:pPr>
                  <w:r>
                    <w:rPr>
                      <w:rFonts w:hint="default" w:ascii="Calibri" w:hAnsi="Calibri" w:eastAsia="楷体_GB2312" w:cs="Calibri"/>
                      <w:color w:val="000000"/>
                      <w:lang w:val="en-US" w:eastAsia="zh-CN"/>
                    </w:rPr>
                    <w:t>2月11日</w:t>
                  </w:r>
                </w:p>
              </w:tc>
              <w:tc>
                <w:tcPr>
                  <w:tcW w:w="3701" w:type="pct"/>
                  <w:tcBorders>
                    <w:top w:val="single" w:color="auto" w:sz="4" w:space="0"/>
                    <w:left w:val="single" w:color="auto" w:sz="4" w:space="0"/>
                    <w:bottom w:val="single" w:color="auto" w:sz="4" w:space="0"/>
                    <w:right w:val="single" w:color="auto" w:sz="4" w:space="0"/>
                  </w:tcBorders>
                  <w:noWrap/>
                  <w:vAlign w:val="center"/>
                </w:tcPr>
                <w:p w14:paraId="0D6A258E">
                  <w:pPr>
                    <w:overflowPunct w:val="0"/>
                    <w:rPr>
                      <w:rFonts w:hint="default" w:ascii="Calibri" w:hAnsi="Calibri" w:eastAsia="楷体_GB2312" w:cs="Calibri"/>
                      <w:color w:val="000000"/>
                      <w:lang w:eastAsia="zh-CN"/>
                    </w:rPr>
                  </w:pPr>
                  <w:r>
                    <w:rPr>
                      <w:rFonts w:hint="default" w:ascii="Calibri" w:hAnsi="Calibri" w:eastAsia="楷体_GB2312" w:cs="Calibri"/>
                      <w:color w:val="000000"/>
                      <w:lang w:val="en-US" w:eastAsia="zh-CN"/>
                    </w:rPr>
                    <w:t>Siemens Energy公布2026财年第一季度业绩，净利润几乎三倍增长至7.46亿欧元，主要受AI驱动的燃气轮机和电网设备需求激增推动，订单额创纪录，确认全年营收增长11%-13%指引。</w:t>
                  </w:r>
                </w:p>
              </w:tc>
            </w:tr>
            <w:tr w14:paraId="06873F01">
              <w:tblPrEx>
                <w:tblCellMar>
                  <w:top w:w="0" w:type="dxa"/>
                  <w:left w:w="108" w:type="dxa"/>
                  <w:bottom w:w="0" w:type="dxa"/>
                  <w:right w:w="108" w:type="dxa"/>
                </w:tblCellMar>
              </w:tblPrEx>
              <w:trPr>
                <w:trHeight w:val="446" w:hRule="atLeast"/>
              </w:trPr>
              <w:tc>
                <w:tcPr>
                  <w:tcW w:w="350" w:type="pct"/>
                  <w:vMerge w:val="continue"/>
                  <w:tcBorders>
                    <w:left w:val="single" w:color="auto" w:sz="4" w:space="0"/>
                    <w:right w:val="nil"/>
                  </w:tcBorders>
                  <w:vAlign w:val="center"/>
                </w:tcPr>
                <w:p w14:paraId="05C6CBA8">
                  <w:pPr>
                    <w:overflowPunct w:val="0"/>
                    <w:jc w:val="center"/>
                    <w:rPr>
                      <w:rFonts w:hint="default" w:ascii="Calibri" w:hAnsi="Calibri" w:eastAsia="楷体_GB2312" w:cs="Calibri"/>
                      <w:color w:val="000000"/>
                      <w:lang w:eastAsia="zh-CN"/>
                    </w:rPr>
                  </w:pPr>
                </w:p>
              </w:tc>
              <w:tc>
                <w:tcPr>
                  <w:tcW w:w="466" w:type="pct"/>
                  <w:tcBorders>
                    <w:top w:val="single" w:color="auto" w:sz="4" w:space="0"/>
                    <w:left w:val="single" w:color="auto" w:sz="4" w:space="0"/>
                    <w:bottom w:val="single" w:color="auto" w:sz="4" w:space="0"/>
                    <w:right w:val="nil"/>
                  </w:tcBorders>
                  <w:vAlign w:val="center"/>
                </w:tcPr>
                <w:p w14:paraId="367F9BC3">
                  <w:pPr>
                    <w:overflowPunct w:val="0"/>
                    <w:jc w:val="center"/>
                    <w:rPr>
                      <w:rFonts w:hint="default" w:ascii="Calibri" w:hAnsi="Calibri" w:eastAsia="楷体_GB2312" w:cs="Calibri"/>
                      <w:color w:val="000000"/>
                    </w:rPr>
                  </w:pPr>
                  <w:r>
                    <w:rPr>
                      <w:rFonts w:hint="default" w:ascii="Calibri" w:hAnsi="Calibri" w:eastAsia="楷体_GB2312" w:cs="Calibri"/>
                      <w:color w:val="000000"/>
                      <w:lang w:val="en-US" w:eastAsia="zh-CN"/>
                    </w:rPr>
                    <w:t>Eaton</w:t>
                  </w:r>
                </w:p>
              </w:tc>
              <w:tc>
                <w:tcPr>
                  <w:tcW w:w="481" w:type="pct"/>
                  <w:tcBorders>
                    <w:top w:val="single" w:color="auto" w:sz="4" w:space="0"/>
                    <w:left w:val="single" w:color="auto" w:sz="4" w:space="0"/>
                    <w:bottom w:val="single" w:color="auto" w:sz="4" w:space="0"/>
                    <w:right w:val="nil"/>
                  </w:tcBorders>
                  <w:vAlign w:val="center"/>
                </w:tcPr>
                <w:p w14:paraId="5887565D">
                  <w:pPr>
                    <w:overflowPunct w:val="0"/>
                    <w:jc w:val="center"/>
                    <w:rPr>
                      <w:rFonts w:hint="default" w:ascii="Calibri" w:hAnsi="Calibri" w:eastAsia="楷体_GB2312" w:cs="Calibri"/>
                      <w:color w:val="000000"/>
                    </w:rPr>
                  </w:pPr>
                  <w:r>
                    <w:rPr>
                      <w:rFonts w:hint="default" w:ascii="Calibri" w:hAnsi="Calibri" w:eastAsia="楷体_GB2312" w:cs="Calibri"/>
                      <w:color w:val="000000"/>
                      <w:lang w:val="en-US" w:eastAsia="zh-CN"/>
                    </w:rPr>
                    <w:t>2月24日</w:t>
                  </w:r>
                </w:p>
              </w:tc>
              <w:tc>
                <w:tcPr>
                  <w:tcW w:w="3701" w:type="pct"/>
                  <w:tcBorders>
                    <w:top w:val="single" w:color="auto" w:sz="4" w:space="0"/>
                    <w:left w:val="single" w:color="auto" w:sz="4" w:space="0"/>
                    <w:bottom w:val="single" w:color="auto" w:sz="4" w:space="0"/>
                    <w:right w:val="single" w:color="auto" w:sz="4" w:space="0"/>
                  </w:tcBorders>
                  <w:noWrap/>
                  <w:vAlign w:val="center"/>
                </w:tcPr>
                <w:p w14:paraId="5B091569">
                  <w:pPr>
                    <w:overflowPunct w:val="0"/>
                    <w:rPr>
                      <w:rFonts w:hint="default" w:ascii="Calibri" w:hAnsi="Calibri" w:eastAsia="楷体_GB2312" w:cs="Calibri"/>
                      <w:color w:val="000000"/>
                      <w:lang w:eastAsia="zh-CN"/>
                    </w:rPr>
                  </w:pPr>
                  <w:r>
                    <w:rPr>
                      <w:rFonts w:hint="default" w:ascii="Calibri" w:hAnsi="Calibri" w:eastAsia="楷体_GB2312" w:cs="Calibri"/>
                      <w:color w:val="000000"/>
                    </w:rPr>
                    <w:t>数据中心订单激增 200%：Q4 财报显示数据中心业务订单量增长两倍，积压订单额增长 29%。公司正考虑以 50 亿美元的价格剥离或出售其车辆业务（Vehicle Unit），以全面转型为聚焦 AI 驱动电力系统和航空航天的纯粹参与者。</w:t>
                  </w:r>
                </w:p>
              </w:tc>
            </w:tr>
            <w:tr w14:paraId="52F0E34A">
              <w:tblPrEx>
                <w:tblCellMar>
                  <w:top w:w="0" w:type="dxa"/>
                  <w:left w:w="108" w:type="dxa"/>
                  <w:bottom w:w="0" w:type="dxa"/>
                  <w:right w:w="108" w:type="dxa"/>
                </w:tblCellMar>
              </w:tblPrEx>
              <w:trPr>
                <w:trHeight w:val="446" w:hRule="atLeast"/>
              </w:trPr>
              <w:tc>
                <w:tcPr>
                  <w:tcW w:w="350" w:type="pct"/>
                  <w:vMerge w:val="continue"/>
                  <w:tcBorders>
                    <w:left w:val="single" w:color="auto" w:sz="4" w:space="0"/>
                    <w:right w:val="nil"/>
                  </w:tcBorders>
                  <w:vAlign w:val="center"/>
                </w:tcPr>
                <w:p w14:paraId="0D88C562">
                  <w:pPr>
                    <w:overflowPunct w:val="0"/>
                    <w:jc w:val="center"/>
                    <w:rPr>
                      <w:rFonts w:hint="default" w:ascii="Calibri" w:hAnsi="Calibri" w:eastAsia="楷体_GB2312" w:cs="Calibri"/>
                      <w:color w:val="000000"/>
                      <w:lang w:eastAsia="zh-CN"/>
                    </w:rPr>
                  </w:pPr>
                </w:p>
              </w:tc>
              <w:tc>
                <w:tcPr>
                  <w:tcW w:w="466" w:type="pct"/>
                  <w:tcBorders>
                    <w:top w:val="single" w:color="auto" w:sz="4" w:space="0"/>
                    <w:left w:val="single" w:color="auto" w:sz="4" w:space="0"/>
                    <w:bottom w:val="single" w:color="auto" w:sz="4" w:space="0"/>
                    <w:right w:val="nil"/>
                  </w:tcBorders>
                  <w:vAlign w:val="center"/>
                </w:tcPr>
                <w:p w14:paraId="53090709">
                  <w:pPr>
                    <w:overflowPunct w:val="0"/>
                    <w:jc w:val="center"/>
                    <w:rPr>
                      <w:rFonts w:hint="default" w:ascii="Calibri" w:hAnsi="Calibri" w:eastAsia="楷体_GB2312" w:cs="Calibri"/>
                      <w:color w:val="000000"/>
                    </w:rPr>
                  </w:pPr>
                  <w:r>
                    <w:rPr>
                      <w:rFonts w:hint="default" w:ascii="Calibri" w:hAnsi="Calibri" w:eastAsia="楷体_GB2312" w:cs="Calibri"/>
                      <w:color w:val="000000"/>
                      <w:lang w:val="en-US" w:eastAsia="zh-CN"/>
                    </w:rPr>
                    <w:t>ABB</w:t>
                  </w:r>
                </w:p>
              </w:tc>
              <w:tc>
                <w:tcPr>
                  <w:tcW w:w="481" w:type="pct"/>
                  <w:tcBorders>
                    <w:top w:val="single" w:color="auto" w:sz="4" w:space="0"/>
                    <w:left w:val="single" w:color="auto" w:sz="4" w:space="0"/>
                    <w:bottom w:val="single" w:color="auto" w:sz="4" w:space="0"/>
                    <w:right w:val="nil"/>
                  </w:tcBorders>
                  <w:vAlign w:val="center"/>
                </w:tcPr>
                <w:p w14:paraId="1C5FB438">
                  <w:pPr>
                    <w:overflowPunct w:val="0"/>
                    <w:jc w:val="center"/>
                    <w:rPr>
                      <w:rFonts w:hint="default" w:ascii="Calibri" w:hAnsi="Calibri" w:eastAsia="楷体_GB2312" w:cs="Calibri"/>
                      <w:color w:val="000000"/>
                    </w:rPr>
                  </w:pPr>
                  <w:r>
                    <w:rPr>
                      <w:rFonts w:hint="default" w:ascii="Calibri" w:hAnsi="Calibri" w:eastAsia="楷体_GB2312" w:cs="Calibri"/>
                      <w:color w:val="000000"/>
                      <w:lang w:val="en-US" w:eastAsia="zh-CN"/>
                    </w:rPr>
                    <w:t>2月10日</w:t>
                  </w:r>
                </w:p>
              </w:tc>
              <w:tc>
                <w:tcPr>
                  <w:tcW w:w="3701" w:type="pct"/>
                  <w:tcBorders>
                    <w:top w:val="single" w:color="auto" w:sz="4" w:space="0"/>
                    <w:left w:val="single" w:color="auto" w:sz="4" w:space="0"/>
                    <w:bottom w:val="single" w:color="auto" w:sz="4" w:space="0"/>
                    <w:right w:val="single" w:color="auto" w:sz="4" w:space="0"/>
                  </w:tcBorders>
                  <w:noWrap/>
                  <w:vAlign w:val="center"/>
                </w:tcPr>
                <w:p w14:paraId="1E919AEB">
                  <w:pPr>
                    <w:overflowPunct w:val="0"/>
                    <w:rPr>
                      <w:rFonts w:hint="default" w:ascii="Calibri" w:hAnsi="Calibri" w:eastAsia="楷体_GB2312" w:cs="Calibri"/>
                      <w:color w:val="000000"/>
                      <w:lang w:eastAsia="zh-CN"/>
                    </w:rPr>
                  </w:pPr>
                  <w:r>
                    <w:rPr>
                      <w:rFonts w:hint="default" w:ascii="Calibri" w:hAnsi="Calibri" w:eastAsia="楷体_GB2312" w:cs="Calibri"/>
                      <w:color w:val="000000"/>
                      <w:lang w:val="en-US" w:eastAsia="zh-CN"/>
                    </w:rPr>
                    <w:t>ABB宣布收购交易，新增35万连接，提升规模并确保长期增长伙伴关系；公司对2026年充满信心，此前启动20亿美元股票回购计划，受益于电气化和自动化需求。</w:t>
                  </w:r>
                </w:p>
              </w:tc>
            </w:tr>
            <w:tr w14:paraId="7DA6A9E4">
              <w:tblPrEx>
                <w:tblCellMar>
                  <w:top w:w="0" w:type="dxa"/>
                  <w:left w:w="108" w:type="dxa"/>
                  <w:bottom w:w="0" w:type="dxa"/>
                  <w:right w:w="108" w:type="dxa"/>
                </w:tblCellMar>
              </w:tblPrEx>
              <w:trPr>
                <w:trHeight w:val="446" w:hRule="atLeast"/>
              </w:trPr>
              <w:tc>
                <w:tcPr>
                  <w:tcW w:w="350" w:type="pct"/>
                  <w:vMerge w:val="continue"/>
                  <w:tcBorders>
                    <w:left w:val="single" w:color="auto" w:sz="4" w:space="0"/>
                    <w:right w:val="nil"/>
                  </w:tcBorders>
                  <w:vAlign w:val="center"/>
                </w:tcPr>
                <w:p w14:paraId="7E4C7761">
                  <w:pPr>
                    <w:overflowPunct w:val="0"/>
                    <w:jc w:val="center"/>
                    <w:rPr>
                      <w:rFonts w:hint="default" w:ascii="Calibri" w:hAnsi="Calibri" w:eastAsia="楷体_GB2312" w:cs="Calibri"/>
                      <w:color w:val="000000"/>
                      <w:lang w:eastAsia="zh-CN"/>
                    </w:rPr>
                  </w:pPr>
                </w:p>
              </w:tc>
              <w:tc>
                <w:tcPr>
                  <w:tcW w:w="466" w:type="pct"/>
                  <w:tcBorders>
                    <w:top w:val="single" w:color="auto" w:sz="4" w:space="0"/>
                    <w:left w:val="single" w:color="auto" w:sz="4" w:space="0"/>
                    <w:bottom w:val="single" w:color="auto" w:sz="4" w:space="0"/>
                    <w:right w:val="nil"/>
                  </w:tcBorders>
                  <w:vAlign w:val="center"/>
                </w:tcPr>
                <w:p w14:paraId="568CBAD9">
                  <w:pPr>
                    <w:overflowPunct w:val="0"/>
                    <w:jc w:val="center"/>
                    <w:rPr>
                      <w:rFonts w:hint="default" w:ascii="Calibri" w:hAnsi="Calibri" w:eastAsia="楷体_GB2312" w:cs="Calibri"/>
                      <w:color w:val="000000"/>
                    </w:rPr>
                  </w:pPr>
                  <w:r>
                    <w:rPr>
                      <w:rFonts w:hint="default" w:ascii="Calibri" w:hAnsi="Calibri" w:eastAsia="楷体_GB2312" w:cs="Calibri"/>
                      <w:color w:val="000000"/>
                      <w:lang w:val="en-US" w:eastAsia="zh-CN"/>
                    </w:rPr>
                    <w:t>三菱重工</w:t>
                  </w:r>
                </w:p>
              </w:tc>
              <w:tc>
                <w:tcPr>
                  <w:tcW w:w="481" w:type="pct"/>
                  <w:tcBorders>
                    <w:top w:val="single" w:color="auto" w:sz="4" w:space="0"/>
                    <w:left w:val="single" w:color="auto" w:sz="4" w:space="0"/>
                    <w:bottom w:val="single" w:color="auto" w:sz="4" w:space="0"/>
                    <w:right w:val="nil"/>
                  </w:tcBorders>
                  <w:vAlign w:val="center"/>
                </w:tcPr>
                <w:p w14:paraId="6FE90559">
                  <w:pPr>
                    <w:overflowPunct w:val="0"/>
                    <w:jc w:val="center"/>
                    <w:rPr>
                      <w:rFonts w:hint="default" w:ascii="Calibri" w:hAnsi="Calibri" w:eastAsia="楷体_GB2312" w:cs="Calibri"/>
                      <w:color w:val="000000"/>
                    </w:rPr>
                  </w:pPr>
                  <w:r>
                    <w:rPr>
                      <w:rFonts w:hint="default" w:ascii="Calibri" w:hAnsi="Calibri" w:eastAsia="楷体_GB2312" w:cs="Calibri"/>
                      <w:color w:val="000000"/>
                      <w:lang w:val="en-US" w:eastAsia="zh-CN"/>
                    </w:rPr>
                    <w:t>2月4日</w:t>
                  </w:r>
                </w:p>
              </w:tc>
              <w:tc>
                <w:tcPr>
                  <w:tcW w:w="3701" w:type="pct"/>
                  <w:tcBorders>
                    <w:top w:val="single" w:color="auto" w:sz="4" w:space="0"/>
                    <w:left w:val="single" w:color="auto" w:sz="4" w:space="0"/>
                    <w:bottom w:val="single" w:color="auto" w:sz="4" w:space="0"/>
                    <w:right w:val="single" w:color="auto" w:sz="4" w:space="0"/>
                  </w:tcBorders>
                  <w:noWrap/>
                  <w:vAlign w:val="center"/>
                </w:tcPr>
                <w:p w14:paraId="597F2476">
                  <w:pPr>
                    <w:overflowPunct w:val="0"/>
                    <w:rPr>
                      <w:rFonts w:hint="default" w:ascii="Calibri" w:hAnsi="Calibri" w:eastAsia="楷体_GB2312" w:cs="Calibri"/>
                      <w:color w:val="000000"/>
                      <w:lang w:eastAsia="zh-CN"/>
                    </w:rPr>
                  </w:pPr>
                  <w:r>
                    <w:rPr>
                      <w:rFonts w:hint="default" w:ascii="Calibri" w:hAnsi="Calibri" w:eastAsia="楷体_GB2312" w:cs="Calibri"/>
                      <w:color w:val="000000"/>
                      <w:lang w:val="en-US" w:eastAsia="zh-CN"/>
                    </w:rPr>
                    <w:t>三菱重工公布2025财年前三季度业绩，订单额同比增长12.6%至5.03万亿日元，净利润增长，主要受益于能源、航空航天和防卫领域强劲需求；近期公告风电业务调整。</w:t>
                  </w:r>
                </w:p>
              </w:tc>
            </w:tr>
            <w:tr w14:paraId="3EE2FE67">
              <w:tblPrEx>
                <w:tblCellMar>
                  <w:top w:w="0" w:type="dxa"/>
                  <w:left w:w="108" w:type="dxa"/>
                  <w:bottom w:w="0" w:type="dxa"/>
                  <w:right w:w="108" w:type="dxa"/>
                </w:tblCellMar>
              </w:tblPrEx>
              <w:trPr>
                <w:trHeight w:val="446" w:hRule="atLeast"/>
              </w:trPr>
              <w:tc>
                <w:tcPr>
                  <w:tcW w:w="350" w:type="pct"/>
                  <w:vMerge w:val="continue"/>
                  <w:tcBorders>
                    <w:left w:val="single" w:color="auto" w:sz="4" w:space="0"/>
                    <w:right w:val="nil"/>
                  </w:tcBorders>
                  <w:vAlign w:val="center"/>
                </w:tcPr>
                <w:p w14:paraId="7DD086A9">
                  <w:pPr>
                    <w:overflowPunct w:val="0"/>
                    <w:jc w:val="center"/>
                    <w:rPr>
                      <w:rFonts w:hint="default" w:ascii="Calibri" w:hAnsi="Calibri" w:eastAsia="楷体_GB2312" w:cs="Calibri"/>
                      <w:color w:val="000000"/>
                      <w:lang w:eastAsia="zh-CN"/>
                    </w:rPr>
                  </w:pPr>
                </w:p>
              </w:tc>
              <w:tc>
                <w:tcPr>
                  <w:tcW w:w="466" w:type="pct"/>
                  <w:tcBorders>
                    <w:top w:val="single" w:color="auto" w:sz="4" w:space="0"/>
                    <w:left w:val="single" w:color="auto" w:sz="4" w:space="0"/>
                    <w:bottom w:val="single" w:color="auto" w:sz="4" w:space="0"/>
                    <w:right w:val="nil"/>
                  </w:tcBorders>
                  <w:vAlign w:val="center"/>
                </w:tcPr>
                <w:p w14:paraId="43CB04E5">
                  <w:pPr>
                    <w:overflowPunct w:val="0"/>
                    <w:jc w:val="center"/>
                    <w:rPr>
                      <w:rFonts w:hint="default" w:ascii="Calibri" w:hAnsi="Calibri" w:eastAsia="楷体_GB2312" w:cs="Calibri"/>
                      <w:color w:val="000000"/>
                    </w:rPr>
                  </w:pPr>
                  <w:r>
                    <w:rPr>
                      <w:rFonts w:hint="default" w:ascii="Calibri" w:hAnsi="Calibri" w:eastAsia="楷体_GB2312" w:cs="Calibri"/>
                      <w:color w:val="000000"/>
                      <w:lang w:val="en-US" w:eastAsia="zh-CN"/>
                    </w:rPr>
                    <w:t>三菱电机</w:t>
                  </w:r>
                </w:p>
              </w:tc>
              <w:tc>
                <w:tcPr>
                  <w:tcW w:w="481" w:type="pct"/>
                  <w:tcBorders>
                    <w:top w:val="single" w:color="auto" w:sz="4" w:space="0"/>
                    <w:left w:val="single" w:color="auto" w:sz="4" w:space="0"/>
                    <w:bottom w:val="single" w:color="auto" w:sz="4" w:space="0"/>
                    <w:right w:val="nil"/>
                  </w:tcBorders>
                  <w:vAlign w:val="center"/>
                </w:tcPr>
                <w:p w14:paraId="5E8796A3">
                  <w:pPr>
                    <w:overflowPunct w:val="0"/>
                    <w:jc w:val="center"/>
                    <w:rPr>
                      <w:rFonts w:hint="default" w:ascii="Calibri" w:hAnsi="Calibri" w:eastAsia="楷体_GB2312" w:cs="Calibri"/>
                      <w:color w:val="000000"/>
                    </w:rPr>
                  </w:pPr>
                  <w:r>
                    <w:rPr>
                      <w:rFonts w:hint="default" w:ascii="Calibri" w:hAnsi="Calibri" w:eastAsia="楷体_GB2312" w:cs="Calibri"/>
                      <w:color w:val="000000"/>
                      <w:lang w:val="en-US" w:eastAsia="zh-CN"/>
                    </w:rPr>
                    <w:t>2月19日</w:t>
                  </w:r>
                </w:p>
              </w:tc>
              <w:tc>
                <w:tcPr>
                  <w:tcW w:w="3701" w:type="pct"/>
                  <w:tcBorders>
                    <w:top w:val="single" w:color="auto" w:sz="4" w:space="0"/>
                    <w:left w:val="single" w:color="auto" w:sz="4" w:space="0"/>
                    <w:bottom w:val="single" w:color="auto" w:sz="4" w:space="0"/>
                    <w:right w:val="single" w:color="auto" w:sz="4" w:space="0"/>
                  </w:tcBorders>
                  <w:noWrap/>
                  <w:vAlign w:val="center"/>
                </w:tcPr>
                <w:p w14:paraId="12AAD611">
                  <w:pPr>
                    <w:overflowPunct w:val="0"/>
                    <w:rPr>
                      <w:rFonts w:hint="default" w:ascii="Calibri" w:hAnsi="Calibri" w:eastAsia="楷体_GB2312" w:cs="Calibri"/>
                      <w:color w:val="000000"/>
                      <w:lang w:eastAsia="zh-CN"/>
                    </w:rPr>
                  </w:pPr>
                  <w:r>
                    <w:rPr>
                      <w:rFonts w:hint="default" w:ascii="Calibri" w:hAnsi="Calibri" w:eastAsia="楷体_GB2312" w:cs="Calibri"/>
                      <w:color w:val="000000"/>
                    </w:rPr>
                    <w:t>重大组织架构调整：宣布从 2026 年 4 月 1 日起重组北美业务，整合工厂自动化（FA）与机床控制系统（CNC）部门。此外，获得日本防卫省下一代防卫卫星通信系统合同。</w:t>
                  </w:r>
                </w:p>
              </w:tc>
            </w:tr>
            <w:tr w14:paraId="6A4809BF">
              <w:tblPrEx>
                <w:tblCellMar>
                  <w:top w:w="0" w:type="dxa"/>
                  <w:left w:w="108" w:type="dxa"/>
                  <w:bottom w:w="0" w:type="dxa"/>
                  <w:right w:w="108" w:type="dxa"/>
                </w:tblCellMar>
              </w:tblPrEx>
              <w:trPr>
                <w:trHeight w:val="446" w:hRule="atLeast"/>
              </w:trPr>
              <w:tc>
                <w:tcPr>
                  <w:tcW w:w="350" w:type="pct"/>
                  <w:vMerge w:val="continue"/>
                  <w:tcBorders>
                    <w:left w:val="single" w:color="auto" w:sz="4" w:space="0"/>
                    <w:bottom w:val="single" w:color="auto" w:sz="4" w:space="0"/>
                    <w:right w:val="nil"/>
                  </w:tcBorders>
                  <w:vAlign w:val="center"/>
                </w:tcPr>
                <w:p w14:paraId="2546800C">
                  <w:pPr>
                    <w:overflowPunct w:val="0"/>
                    <w:jc w:val="center"/>
                    <w:rPr>
                      <w:rFonts w:hint="default" w:ascii="Calibri" w:hAnsi="Calibri" w:eastAsia="楷体_GB2312" w:cs="Calibri"/>
                      <w:color w:val="000000"/>
                      <w:lang w:eastAsia="zh-CN"/>
                    </w:rPr>
                  </w:pPr>
                </w:p>
              </w:tc>
              <w:tc>
                <w:tcPr>
                  <w:tcW w:w="466" w:type="pct"/>
                  <w:tcBorders>
                    <w:top w:val="single" w:color="auto" w:sz="4" w:space="0"/>
                    <w:left w:val="single" w:color="auto" w:sz="4" w:space="0"/>
                    <w:bottom w:val="single" w:color="auto" w:sz="4" w:space="0"/>
                    <w:right w:val="nil"/>
                  </w:tcBorders>
                  <w:vAlign w:val="center"/>
                </w:tcPr>
                <w:p w14:paraId="1CAB22E7">
                  <w:pPr>
                    <w:overflowPunct w:val="0"/>
                    <w:jc w:val="center"/>
                    <w:rPr>
                      <w:rFonts w:hint="default" w:ascii="Calibri" w:hAnsi="Calibri" w:eastAsia="楷体_GB2312" w:cs="Calibri"/>
                      <w:color w:val="000000"/>
                    </w:rPr>
                  </w:pPr>
                  <w:r>
                    <w:rPr>
                      <w:rFonts w:hint="default" w:ascii="Calibri" w:hAnsi="Calibri" w:eastAsia="楷体_GB2312" w:cs="Calibri"/>
                      <w:color w:val="000000"/>
                      <w:lang w:val="en-US" w:eastAsia="zh-CN"/>
                    </w:rPr>
                    <w:t>Vertiv</w:t>
                  </w:r>
                </w:p>
              </w:tc>
              <w:tc>
                <w:tcPr>
                  <w:tcW w:w="481" w:type="pct"/>
                  <w:tcBorders>
                    <w:top w:val="single" w:color="auto" w:sz="4" w:space="0"/>
                    <w:left w:val="single" w:color="auto" w:sz="4" w:space="0"/>
                    <w:bottom w:val="single" w:color="auto" w:sz="4" w:space="0"/>
                    <w:right w:val="nil"/>
                  </w:tcBorders>
                  <w:vAlign w:val="center"/>
                </w:tcPr>
                <w:p w14:paraId="6C66C9E3">
                  <w:pPr>
                    <w:overflowPunct w:val="0"/>
                    <w:jc w:val="center"/>
                    <w:rPr>
                      <w:rFonts w:hint="default" w:ascii="Calibri" w:hAnsi="Calibri" w:eastAsia="楷体_GB2312" w:cs="Calibri"/>
                      <w:color w:val="000000"/>
                    </w:rPr>
                  </w:pPr>
                  <w:r>
                    <w:rPr>
                      <w:rFonts w:hint="default" w:ascii="Calibri" w:hAnsi="Calibri" w:eastAsia="楷体_GB2312" w:cs="Calibri"/>
                      <w:color w:val="000000"/>
                      <w:lang w:val="en-US" w:eastAsia="zh-CN"/>
                    </w:rPr>
                    <w:t>2月25日</w:t>
                  </w:r>
                </w:p>
              </w:tc>
              <w:tc>
                <w:tcPr>
                  <w:tcW w:w="3701" w:type="pct"/>
                  <w:tcBorders>
                    <w:top w:val="single" w:color="auto" w:sz="4" w:space="0"/>
                    <w:left w:val="single" w:color="auto" w:sz="4" w:space="0"/>
                    <w:bottom w:val="single" w:color="auto" w:sz="4" w:space="0"/>
                    <w:right w:val="single" w:color="auto" w:sz="4" w:space="0"/>
                  </w:tcBorders>
                  <w:noWrap/>
                  <w:vAlign w:val="center"/>
                </w:tcPr>
                <w:p w14:paraId="3E5BFEBA">
                  <w:pPr>
                    <w:overflowPunct w:val="0"/>
                    <w:rPr>
                      <w:rFonts w:hint="default" w:ascii="Calibri" w:hAnsi="Calibri" w:eastAsia="楷体_GB2312" w:cs="Calibri"/>
                      <w:color w:val="000000"/>
                      <w:lang w:eastAsia="zh-CN"/>
                    </w:rPr>
                  </w:pPr>
                  <w:r>
                    <w:rPr>
                      <w:rFonts w:hint="default" w:ascii="Calibri" w:hAnsi="Calibri" w:eastAsia="楷体_GB2312" w:cs="Calibri"/>
                      <w:color w:val="000000"/>
                    </w:rPr>
                    <w:t>150 亿美元积压订单：2 月 11 日公布的 Q4 业绩大超预期，积压订单额同比暴涨 109% 至 150 亿美元。公司随即发行了 21 亿美元长期债券，锁定制冷和电力基础设施的长期投资资金，以应对 AI 数据中心爆发式的制冷需求。</w:t>
                  </w:r>
                </w:p>
              </w:tc>
            </w:tr>
          </w:tbl>
          <w:p w14:paraId="68AADEF8">
            <w:pPr>
              <w:overflowPunct w:val="0"/>
              <w:jc w:val="center"/>
              <w:rPr>
                <w:rFonts w:hint="default" w:ascii="Calibri" w:hAnsi="Calibri" w:eastAsia="楷体_GB2312" w:cs="Calibri"/>
                <w:sz w:val="10"/>
                <w:lang w:eastAsia="zh-CN"/>
              </w:rPr>
            </w:pPr>
          </w:p>
        </w:tc>
      </w:tr>
      <w:tr w14:paraId="69332B7D">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rPr>
          <w:jc w:val="right"/>
        </w:trPr>
        <w:tc>
          <w:tcPr>
            <w:tcW w:w="9855" w:type="dxa"/>
            <w:tcBorders>
              <w:top w:val="single" w:color="auto" w:sz="4" w:space="0"/>
            </w:tcBorders>
          </w:tcPr>
          <w:p w14:paraId="5FCD7CA2">
            <w:pPr>
              <w:rPr>
                <w:rFonts w:hint="default" w:ascii="Calibri" w:hAnsi="Calibri" w:eastAsia="楷体_GB2312" w:cs="Calibri"/>
                <w:i/>
                <w:iCs/>
                <w:sz w:val="15"/>
                <w:szCs w:val="15"/>
                <w:lang w:eastAsia="zh-CN"/>
              </w:rPr>
            </w:pPr>
            <w:r>
              <w:rPr>
                <w:rFonts w:hint="default" w:ascii="Calibri" w:hAnsi="Calibri" w:eastAsia="楷体_GB2312" w:cs="Calibri"/>
                <w:i/>
                <w:iCs/>
                <w:lang w:eastAsia="zh-CN"/>
              </w:rPr>
              <w:t>资料来源：公司公告，HFI</w:t>
            </w:r>
          </w:p>
        </w:tc>
      </w:tr>
    </w:tbl>
    <w:p w14:paraId="6B18560A">
      <w:pPr>
        <w:tabs>
          <w:tab w:val="left" w:pos="3879"/>
        </w:tabs>
        <w:rPr>
          <w:rFonts w:hint="default" w:ascii="Calibri" w:hAnsi="Calibri" w:eastAsia="楷体_GB2312" w:cs="Calibri"/>
          <w:lang w:eastAsia="zh-CN"/>
        </w:rPr>
      </w:pPr>
    </w:p>
    <w:p w14:paraId="1FA9B299">
      <w:pPr>
        <w:rPr>
          <w:rFonts w:hint="default" w:ascii="Calibri" w:hAnsi="Calibri" w:eastAsia="楷体_GB2312" w:cs="Calibri"/>
          <w:lang w:eastAsia="zh-CN"/>
        </w:rPr>
      </w:pPr>
      <w:r>
        <w:rPr>
          <w:rFonts w:hint="default" w:ascii="Calibri" w:hAnsi="Calibri" w:eastAsia="楷体_GB2312" w:cs="Calibri"/>
          <w:lang w:eastAsia="zh-CN"/>
        </w:rPr>
        <w:br w:type="page"/>
      </w:r>
    </w:p>
    <w:p w14:paraId="4C355FE3">
      <w:pPr>
        <w:overflowPunct w:val="0"/>
        <w:ind w:left="3200" w:leftChars="2000"/>
        <w:jc w:val="both"/>
        <w:outlineLvl w:val="0"/>
        <w:rPr>
          <w:rFonts w:hint="default" w:ascii="Calibri" w:hAnsi="Calibri" w:eastAsia="楷体_GB2312" w:cs="Calibri"/>
          <w:b/>
          <w:bCs/>
          <w:color w:val="1F497D" w:themeColor="text2"/>
          <w:sz w:val="24"/>
          <w:szCs w:val="24"/>
          <w:lang w:val="en-US" w:eastAsia="zh-CN"/>
          <w14:textFill>
            <w14:solidFill>
              <w14:schemeClr w14:val="tx2"/>
            </w14:solidFill>
          </w14:textFill>
        </w:rPr>
      </w:pPr>
    </w:p>
    <w:p w14:paraId="36AC6C2B">
      <w:pPr>
        <w:overflowPunct w:val="0"/>
        <w:ind w:left="3200" w:leftChars="2000"/>
        <w:jc w:val="both"/>
        <w:outlineLvl w:val="1"/>
        <w:rPr>
          <w:rFonts w:hint="default" w:ascii="Calibri" w:hAnsi="Calibri" w:eastAsia="楷体_GB2312" w:cs="Calibri"/>
          <w:b/>
          <w:bCs/>
          <w:sz w:val="20"/>
          <w:szCs w:val="20"/>
          <w:lang w:val="en-US" w:eastAsia="zh-CN"/>
        </w:rPr>
      </w:pPr>
      <w:bookmarkStart w:id="18" w:name="_Toc223082601"/>
      <w:r>
        <w:rPr>
          <w:rFonts w:hint="default" w:ascii="Calibri" w:hAnsi="Calibri" w:eastAsia="楷体_GB2312" w:cs="Calibri"/>
          <w:b/>
          <w:bCs/>
          <w:sz w:val="20"/>
          <w:szCs w:val="20"/>
          <w:lang w:val="en-US" w:eastAsia="zh-CN"/>
        </w:rPr>
        <w:t>（</w:t>
      </w:r>
      <w:r>
        <w:rPr>
          <w:rFonts w:hint="default" w:ascii="Calibri" w:hAnsi="Calibri" w:eastAsia="楷体_GB2312" w:cs="Calibri"/>
          <w:b/>
          <w:bCs/>
          <w:color w:val="1F497D" w:themeColor="text2"/>
          <w:sz w:val="24"/>
          <w:szCs w:val="24"/>
          <w:lang w:val="en-US" w:eastAsia="zh-CN"/>
          <w14:textFill>
            <w14:solidFill>
              <w14:schemeClr w14:val="tx2"/>
            </w14:solidFill>
          </w14:textFill>
        </w:rPr>
        <w:t>三</w:t>
      </w:r>
      <w:r>
        <w:rPr>
          <w:rFonts w:hint="default" w:ascii="Calibri" w:hAnsi="Calibri" w:eastAsia="楷体_GB2312" w:cs="Calibri"/>
          <w:b/>
          <w:bCs/>
          <w:color w:val="1F497D" w:themeColor="text2"/>
          <w:sz w:val="24"/>
          <w:szCs w:val="24"/>
          <w:lang w:val="en-US" w:eastAsia="zh-CN"/>
          <w14:textFill>
            <w14:solidFill>
              <w14:schemeClr w14:val="tx2"/>
            </w14:solidFill>
          </w14:textFill>
        </w:rPr>
        <w:t>）机器人-工业机器人</w:t>
      </w:r>
      <w:bookmarkEnd w:id="18"/>
    </w:p>
    <w:p w14:paraId="0FBE8C42">
      <w:pPr>
        <w:overflowPunct w:val="0"/>
        <w:ind w:left="3200" w:leftChars="2000"/>
        <w:jc w:val="both"/>
        <w:rPr>
          <w:rFonts w:hint="default" w:ascii="Calibri" w:hAnsi="Calibri" w:eastAsia="楷体_GB2312" w:cs="Calibri"/>
          <w:b/>
          <w:bCs/>
          <w:sz w:val="20"/>
          <w:szCs w:val="20"/>
          <w:lang w:val="en-US" w:eastAsia="zh-CN"/>
        </w:rPr>
      </w:pPr>
      <w:r>
        <w:rPr>
          <w:rFonts w:hint="default" w:ascii="Calibri" w:hAnsi="Calibri" w:eastAsia="楷体_GB2312" w:cs="Calibri"/>
          <w:b/>
          <w:bCs/>
          <w:sz w:val="20"/>
          <w:szCs w:val="20"/>
          <w:lang w:val="en-US" w:eastAsia="zh-CN"/>
        </w:rPr>
        <w:t>2024</w:t>
      </w:r>
      <w:r>
        <w:rPr>
          <w:rFonts w:hint="default" w:ascii="Calibri" w:hAnsi="Calibri" w:eastAsia="楷体_GB2312" w:cs="Calibri"/>
          <w:b/>
          <w:bCs/>
          <w:sz w:val="20"/>
          <w:szCs w:val="20"/>
          <w:lang w:val="en-US" w:eastAsia="zh-CN"/>
        </w:rPr>
        <w:t>年全球工业机器人安装总量正式数据为</w:t>
      </w:r>
      <w:r>
        <w:rPr>
          <w:rFonts w:hint="default" w:ascii="Calibri" w:hAnsi="Calibri" w:eastAsia="楷体_GB2312" w:cs="Calibri"/>
          <w:b/>
          <w:bCs/>
          <w:sz w:val="20"/>
          <w:szCs w:val="20"/>
          <w:lang w:val="en-US" w:eastAsia="zh-CN"/>
        </w:rPr>
        <w:t>542,076</w:t>
      </w:r>
      <w:r>
        <w:rPr>
          <w:rFonts w:hint="default" w:ascii="Calibri" w:hAnsi="Calibri" w:eastAsia="楷体_GB2312" w:cs="Calibri"/>
          <w:b/>
          <w:bCs/>
          <w:sz w:val="20"/>
          <w:szCs w:val="20"/>
          <w:lang w:val="en-US" w:eastAsia="zh-CN"/>
        </w:rPr>
        <w:t>台（亚洲</w:t>
      </w:r>
      <w:r>
        <w:rPr>
          <w:rFonts w:hint="default" w:ascii="Calibri" w:hAnsi="Calibri" w:eastAsia="楷体_GB2312" w:cs="Calibri"/>
          <w:b/>
          <w:bCs/>
          <w:sz w:val="20"/>
          <w:szCs w:val="20"/>
          <w:lang w:val="en-US" w:eastAsia="zh-CN"/>
        </w:rPr>
        <w:t>/</w:t>
      </w:r>
      <w:r>
        <w:rPr>
          <w:rFonts w:hint="default" w:ascii="Calibri" w:hAnsi="Calibri" w:eastAsia="楷体_GB2312" w:cs="Calibri"/>
          <w:b/>
          <w:bCs/>
          <w:sz w:val="20"/>
          <w:szCs w:val="20"/>
          <w:lang w:val="en-US" w:eastAsia="zh-CN"/>
        </w:rPr>
        <w:t>澳大利亚</w:t>
      </w:r>
      <w:r>
        <w:rPr>
          <w:rFonts w:hint="default" w:ascii="Calibri" w:hAnsi="Calibri" w:eastAsia="楷体_GB2312" w:cs="Calibri"/>
          <w:b/>
          <w:bCs/>
          <w:sz w:val="20"/>
          <w:szCs w:val="20"/>
          <w:lang w:val="en-US" w:eastAsia="zh-CN"/>
        </w:rPr>
        <w:t>401,665</w:t>
      </w:r>
      <w:r>
        <w:rPr>
          <w:rFonts w:hint="default" w:ascii="Calibri" w:hAnsi="Calibri" w:eastAsia="楷体_GB2312" w:cs="Calibri"/>
          <w:b/>
          <w:bCs/>
          <w:sz w:val="20"/>
          <w:szCs w:val="20"/>
          <w:lang w:val="en-US" w:eastAsia="zh-CN"/>
        </w:rPr>
        <w:t>台，欧洲</w:t>
      </w:r>
      <w:r>
        <w:rPr>
          <w:rFonts w:hint="default" w:ascii="Calibri" w:hAnsi="Calibri" w:eastAsia="楷体_GB2312" w:cs="Calibri"/>
          <w:b/>
          <w:bCs/>
          <w:sz w:val="20"/>
          <w:szCs w:val="20"/>
          <w:lang w:val="en-US" w:eastAsia="zh-CN"/>
        </w:rPr>
        <w:t>85,006</w:t>
      </w:r>
      <w:r>
        <w:rPr>
          <w:rFonts w:hint="default" w:ascii="Calibri" w:hAnsi="Calibri" w:eastAsia="楷体_GB2312" w:cs="Calibri"/>
          <w:b/>
          <w:bCs/>
          <w:sz w:val="20"/>
          <w:szCs w:val="20"/>
          <w:lang w:val="en-US" w:eastAsia="zh-CN"/>
        </w:rPr>
        <w:t>台，美洲</w:t>
      </w:r>
      <w:r>
        <w:rPr>
          <w:rFonts w:hint="default" w:ascii="Calibri" w:hAnsi="Calibri" w:eastAsia="楷体_GB2312" w:cs="Calibri"/>
          <w:b/>
          <w:bCs/>
          <w:sz w:val="20"/>
          <w:szCs w:val="20"/>
          <w:lang w:val="en-US" w:eastAsia="zh-CN"/>
        </w:rPr>
        <w:t>50,077</w:t>
      </w:r>
      <w:r>
        <w:rPr>
          <w:rFonts w:hint="default" w:ascii="Calibri" w:hAnsi="Calibri" w:eastAsia="楷体_GB2312" w:cs="Calibri"/>
          <w:b/>
          <w:bCs/>
          <w:sz w:val="20"/>
          <w:szCs w:val="20"/>
          <w:lang w:val="en-US" w:eastAsia="zh-CN"/>
        </w:rPr>
        <w:t>台）。</w:t>
      </w:r>
      <w:r>
        <w:rPr>
          <w:rFonts w:hint="default" w:ascii="Calibri" w:hAnsi="Calibri" w:eastAsia="楷体_GB2312" w:cs="Calibri"/>
          <w:sz w:val="20"/>
          <w:szCs w:val="20"/>
          <w:lang w:val="en-US" w:eastAsia="zh-CN"/>
        </w:rPr>
        <w:t>这标志着在经历了</w:t>
      </w:r>
      <w:r>
        <w:rPr>
          <w:rFonts w:hint="default" w:ascii="Calibri" w:hAnsi="Calibri" w:eastAsia="楷体_GB2312" w:cs="Calibri"/>
          <w:sz w:val="20"/>
          <w:szCs w:val="20"/>
          <w:lang w:val="en-US" w:eastAsia="zh-CN"/>
        </w:rPr>
        <w:t>2023</w:t>
      </w:r>
      <w:r>
        <w:rPr>
          <w:rFonts w:hint="default" w:ascii="Calibri" w:hAnsi="Calibri" w:eastAsia="楷体_GB2312" w:cs="Calibri"/>
          <w:sz w:val="20"/>
          <w:szCs w:val="20"/>
          <w:lang w:val="en-US" w:eastAsia="zh-CN"/>
        </w:rPr>
        <w:t>年</w:t>
      </w:r>
      <w:r>
        <w:rPr>
          <w:rFonts w:hint="default" w:ascii="Calibri" w:hAnsi="Calibri" w:eastAsia="楷体_GB2312" w:cs="Calibri"/>
          <w:sz w:val="20"/>
          <w:szCs w:val="20"/>
          <w:lang w:val="en-US" w:eastAsia="zh-CN"/>
        </w:rPr>
        <w:t>541,302</w:t>
      </w:r>
      <w:r>
        <w:rPr>
          <w:rFonts w:hint="default" w:ascii="Calibri" w:hAnsi="Calibri" w:eastAsia="楷体_GB2312" w:cs="Calibri"/>
          <w:sz w:val="20"/>
          <w:szCs w:val="20"/>
          <w:lang w:val="en-US" w:eastAsia="zh-CN"/>
        </w:rPr>
        <w:t>台的安装量之后，市场继续保持韧性，连续第四年突破</w:t>
      </w:r>
      <w:r>
        <w:rPr>
          <w:rFonts w:hint="default" w:ascii="Calibri" w:hAnsi="Calibri" w:eastAsia="楷体_GB2312" w:cs="Calibri"/>
          <w:sz w:val="20"/>
          <w:szCs w:val="20"/>
          <w:lang w:val="en-US" w:eastAsia="zh-CN"/>
        </w:rPr>
        <w:t>50</w:t>
      </w:r>
      <w:r>
        <w:rPr>
          <w:rFonts w:hint="default" w:ascii="Calibri" w:hAnsi="Calibri" w:eastAsia="楷体_GB2312" w:cs="Calibri"/>
          <w:sz w:val="20"/>
          <w:szCs w:val="20"/>
          <w:lang w:val="en-US" w:eastAsia="zh-CN"/>
        </w:rPr>
        <w:t>万台大关。从地域分布来看，亚洲</w:t>
      </w:r>
      <w:r>
        <w:rPr>
          <w:rFonts w:hint="default" w:ascii="Calibri" w:hAnsi="Calibri" w:eastAsia="楷体_GB2312" w:cs="Calibri"/>
          <w:sz w:val="20"/>
          <w:szCs w:val="20"/>
          <w:lang w:val="en-US" w:eastAsia="zh-CN"/>
        </w:rPr>
        <w:t>/</w:t>
      </w:r>
      <w:r>
        <w:rPr>
          <w:rFonts w:hint="default" w:ascii="Calibri" w:hAnsi="Calibri" w:eastAsia="楷体_GB2312" w:cs="Calibri"/>
          <w:sz w:val="20"/>
          <w:szCs w:val="20"/>
          <w:lang w:val="en-US" w:eastAsia="zh-CN"/>
        </w:rPr>
        <w:t>澳大利亚地区依旧是绝对的主导力量，贡献了约</w:t>
      </w:r>
      <w:r>
        <w:rPr>
          <w:rFonts w:hint="default" w:ascii="Calibri" w:hAnsi="Calibri" w:eastAsia="楷体_GB2312" w:cs="Calibri"/>
          <w:sz w:val="20"/>
          <w:szCs w:val="20"/>
          <w:lang w:val="en-US" w:eastAsia="zh-CN"/>
        </w:rPr>
        <w:t>74%</w:t>
      </w:r>
      <w:r>
        <w:rPr>
          <w:rFonts w:hint="default" w:ascii="Calibri" w:hAnsi="Calibri" w:eastAsia="楷体_GB2312" w:cs="Calibri"/>
          <w:sz w:val="20"/>
          <w:szCs w:val="20"/>
          <w:lang w:val="en-US" w:eastAsia="zh-CN"/>
        </w:rPr>
        <w:t>的全球安装量，其</w:t>
      </w:r>
      <w:r>
        <w:rPr>
          <w:rFonts w:hint="default" w:ascii="Calibri" w:hAnsi="Calibri" w:eastAsia="楷体_GB2312" w:cs="Calibri"/>
          <w:sz w:val="20"/>
          <w:szCs w:val="20"/>
          <w:lang w:val="en-US" w:eastAsia="zh-CN"/>
        </w:rPr>
        <w:t>401,665</w:t>
      </w:r>
      <w:r>
        <w:rPr>
          <w:rFonts w:hint="default" w:ascii="Calibri" w:hAnsi="Calibri" w:eastAsia="楷体_GB2312" w:cs="Calibri"/>
          <w:sz w:val="20"/>
          <w:szCs w:val="20"/>
          <w:lang w:val="en-US" w:eastAsia="zh-CN"/>
        </w:rPr>
        <w:t>台的安装量较</w:t>
      </w:r>
      <w:r>
        <w:rPr>
          <w:rFonts w:hint="default" w:ascii="Calibri" w:hAnsi="Calibri" w:eastAsia="楷体_GB2312" w:cs="Calibri"/>
          <w:sz w:val="20"/>
          <w:szCs w:val="20"/>
          <w:lang w:val="en-US" w:eastAsia="zh-CN"/>
        </w:rPr>
        <w:t>2023</w:t>
      </w:r>
      <w:r>
        <w:rPr>
          <w:rFonts w:hint="default" w:ascii="Calibri" w:hAnsi="Calibri" w:eastAsia="楷体_GB2312" w:cs="Calibri"/>
          <w:sz w:val="20"/>
          <w:szCs w:val="20"/>
          <w:lang w:val="en-US" w:eastAsia="zh-CN"/>
        </w:rPr>
        <w:t>年增长</w:t>
      </w:r>
      <w:r>
        <w:rPr>
          <w:rFonts w:hint="default" w:ascii="Calibri" w:hAnsi="Calibri" w:eastAsia="楷体_GB2312" w:cs="Calibri"/>
          <w:sz w:val="20"/>
          <w:szCs w:val="20"/>
          <w:lang w:val="en-US" w:eastAsia="zh-CN"/>
        </w:rPr>
        <w:t>5%</w:t>
      </w:r>
      <w:r>
        <w:rPr>
          <w:rFonts w:hint="default" w:ascii="Calibri" w:hAnsi="Calibri" w:eastAsia="楷体_GB2312" w:cs="Calibri"/>
          <w:sz w:val="20"/>
          <w:szCs w:val="20"/>
          <w:lang w:val="en-US" w:eastAsia="zh-CN"/>
        </w:rPr>
        <w:t>，显示出该区域市场的强劲恢复与增长潜力。欧洲地区安装量为</w:t>
      </w:r>
      <w:r>
        <w:rPr>
          <w:rFonts w:hint="default" w:ascii="Calibri" w:hAnsi="Calibri" w:eastAsia="楷体_GB2312" w:cs="Calibri"/>
          <w:sz w:val="20"/>
          <w:szCs w:val="20"/>
          <w:lang w:val="en-US" w:eastAsia="zh-CN"/>
        </w:rPr>
        <w:t>85,006</w:t>
      </w:r>
      <w:r>
        <w:rPr>
          <w:rFonts w:hint="default" w:ascii="Calibri" w:hAnsi="Calibri" w:eastAsia="楷体_GB2312" w:cs="Calibri"/>
          <w:sz w:val="20"/>
          <w:szCs w:val="20"/>
          <w:lang w:val="en-US" w:eastAsia="zh-CN"/>
        </w:rPr>
        <w:t>台（较</w:t>
      </w:r>
      <w:r>
        <w:rPr>
          <w:rFonts w:hint="default" w:ascii="Calibri" w:hAnsi="Calibri" w:eastAsia="楷体_GB2312" w:cs="Calibri"/>
          <w:sz w:val="20"/>
          <w:szCs w:val="20"/>
          <w:lang w:val="en-US" w:eastAsia="zh-CN"/>
        </w:rPr>
        <w:t>2023</w:t>
      </w:r>
      <w:r>
        <w:rPr>
          <w:rFonts w:hint="default" w:ascii="Calibri" w:hAnsi="Calibri" w:eastAsia="楷体_GB2312" w:cs="Calibri"/>
          <w:sz w:val="20"/>
          <w:szCs w:val="20"/>
          <w:lang w:val="en-US" w:eastAsia="zh-CN"/>
        </w:rPr>
        <w:t>年小幅回落</w:t>
      </w:r>
      <w:r>
        <w:rPr>
          <w:rFonts w:hint="default" w:ascii="Calibri" w:hAnsi="Calibri" w:eastAsia="楷体_GB2312" w:cs="Calibri"/>
          <w:sz w:val="20"/>
          <w:szCs w:val="20"/>
          <w:lang w:val="en-US" w:eastAsia="zh-CN"/>
        </w:rPr>
        <w:t>8%</w:t>
      </w:r>
      <w:r>
        <w:rPr>
          <w:rFonts w:hint="default" w:ascii="Calibri" w:hAnsi="Calibri" w:eastAsia="楷体_GB2312" w:cs="Calibri"/>
          <w:sz w:val="20"/>
          <w:szCs w:val="20"/>
          <w:lang w:val="en-US" w:eastAsia="zh-CN"/>
        </w:rPr>
        <w:t>），但仍维持在历史第二高水平。美洲地区安装量为</w:t>
      </w:r>
      <w:r>
        <w:rPr>
          <w:rFonts w:hint="default" w:ascii="Calibri" w:hAnsi="Calibri" w:eastAsia="楷体_GB2312" w:cs="Calibri"/>
          <w:sz w:val="20"/>
          <w:szCs w:val="20"/>
          <w:lang w:val="en-US" w:eastAsia="zh-CN"/>
        </w:rPr>
        <w:t>50,077</w:t>
      </w:r>
      <w:r>
        <w:rPr>
          <w:rFonts w:hint="default" w:ascii="Calibri" w:hAnsi="Calibri" w:eastAsia="楷体_GB2312" w:cs="Calibri"/>
          <w:sz w:val="20"/>
          <w:szCs w:val="20"/>
          <w:lang w:val="en-US" w:eastAsia="zh-CN"/>
        </w:rPr>
        <w:t>台（较</w:t>
      </w:r>
      <w:r>
        <w:rPr>
          <w:rFonts w:hint="default" w:ascii="Calibri" w:hAnsi="Calibri" w:eastAsia="楷体_GB2312" w:cs="Calibri"/>
          <w:sz w:val="20"/>
          <w:szCs w:val="20"/>
          <w:lang w:val="en-US" w:eastAsia="zh-CN"/>
        </w:rPr>
        <w:t>2023</w:t>
      </w:r>
      <w:r>
        <w:rPr>
          <w:rFonts w:hint="default" w:ascii="Calibri" w:hAnsi="Calibri" w:eastAsia="楷体_GB2312" w:cs="Calibri"/>
          <w:sz w:val="20"/>
          <w:szCs w:val="20"/>
          <w:lang w:val="en-US" w:eastAsia="zh-CN"/>
        </w:rPr>
        <w:t>年下降</w:t>
      </w:r>
      <w:r>
        <w:rPr>
          <w:rFonts w:hint="default" w:ascii="Calibri" w:hAnsi="Calibri" w:eastAsia="楷体_GB2312" w:cs="Calibri"/>
          <w:sz w:val="20"/>
          <w:szCs w:val="20"/>
          <w:lang w:val="en-US" w:eastAsia="zh-CN"/>
        </w:rPr>
        <w:t>10%</w:t>
      </w:r>
      <w:r>
        <w:rPr>
          <w:rFonts w:hint="default" w:ascii="Calibri" w:hAnsi="Calibri" w:eastAsia="楷体_GB2312" w:cs="Calibri"/>
          <w:sz w:val="20"/>
          <w:szCs w:val="20"/>
          <w:lang w:val="en-US" w:eastAsia="zh-CN"/>
        </w:rPr>
        <w:t>），连续第四年超过</w:t>
      </w:r>
      <w:r>
        <w:rPr>
          <w:rFonts w:hint="default" w:ascii="Calibri" w:hAnsi="Calibri" w:eastAsia="楷体_GB2312" w:cs="Calibri"/>
          <w:sz w:val="20"/>
          <w:szCs w:val="20"/>
          <w:lang w:val="en-US" w:eastAsia="zh-CN"/>
        </w:rPr>
        <w:t>5</w:t>
      </w:r>
      <w:r>
        <w:rPr>
          <w:rFonts w:hint="default" w:ascii="Calibri" w:hAnsi="Calibri" w:eastAsia="楷体_GB2312" w:cs="Calibri"/>
          <w:sz w:val="20"/>
          <w:szCs w:val="20"/>
          <w:lang w:val="en-US" w:eastAsia="zh-CN"/>
        </w:rPr>
        <w:t>万台。</w:t>
      </w:r>
    </w:p>
    <w:p w14:paraId="1C178344">
      <w:pPr>
        <w:overflowPunct w:val="0"/>
        <w:ind w:left="3200" w:leftChars="2000"/>
        <w:jc w:val="both"/>
        <w:rPr>
          <w:rFonts w:hint="default" w:ascii="Calibri" w:hAnsi="Calibri" w:eastAsia="楷体_GB2312" w:cs="Calibri"/>
          <w:b/>
          <w:bCs/>
          <w:sz w:val="20"/>
          <w:szCs w:val="20"/>
          <w:lang w:val="en-US" w:eastAsia="zh-CN"/>
        </w:rPr>
      </w:pPr>
    </w:p>
    <w:p w14:paraId="4D137F86">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2025</w:t>
      </w:r>
      <w:r>
        <w:rPr>
          <w:rFonts w:hint="default" w:ascii="Calibri" w:hAnsi="Calibri" w:eastAsia="楷体_GB2312" w:cs="Calibri"/>
          <w:b/>
          <w:bCs/>
          <w:sz w:val="20"/>
          <w:szCs w:val="20"/>
          <w:lang w:val="en-US" w:eastAsia="zh-CN"/>
        </w:rPr>
        <w:t>年展望：</w:t>
      </w:r>
      <w:r>
        <w:rPr>
          <w:rFonts w:hint="default" w:ascii="Calibri" w:hAnsi="Calibri" w:eastAsia="楷体_GB2312" w:cs="Calibri"/>
          <w:sz w:val="20"/>
          <w:szCs w:val="20"/>
          <w:lang w:val="en-US" w:eastAsia="zh-CN"/>
        </w:rPr>
        <w:t>根据</w:t>
      </w:r>
      <w:r>
        <w:rPr>
          <w:rFonts w:hint="default" w:ascii="Calibri" w:hAnsi="Calibri" w:eastAsia="楷体_GB2312" w:cs="Calibri"/>
          <w:sz w:val="20"/>
          <w:szCs w:val="20"/>
          <w:lang w:val="en-US" w:eastAsia="zh-CN"/>
        </w:rPr>
        <w:t>IFR</w:t>
      </w:r>
      <w:r>
        <w:rPr>
          <w:rFonts w:hint="default" w:ascii="Calibri" w:hAnsi="Calibri" w:eastAsia="楷体_GB2312" w:cs="Calibri"/>
          <w:sz w:val="20"/>
          <w:szCs w:val="20"/>
          <w:lang w:val="en-US" w:eastAsia="zh-CN"/>
        </w:rPr>
        <w:t>最新预测，</w:t>
      </w:r>
      <w:r>
        <w:rPr>
          <w:rFonts w:hint="default" w:ascii="Calibri" w:hAnsi="Calibri" w:eastAsia="楷体_GB2312" w:cs="Calibri"/>
          <w:sz w:val="20"/>
          <w:szCs w:val="20"/>
          <w:lang w:val="en-US" w:eastAsia="zh-CN"/>
        </w:rPr>
        <w:t>2025</w:t>
      </w:r>
      <w:r>
        <w:rPr>
          <w:rFonts w:hint="default" w:ascii="Calibri" w:hAnsi="Calibri" w:eastAsia="楷体_GB2312" w:cs="Calibri"/>
          <w:sz w:val="20"/>
          <w:szCs w:val="20"/>
          <w:lang w:val="en-US" w:eastAsia="zh-CN"/>
        </w:rPr>
        <w:t>年全球安装量有望增长约</w:t>
      </w:r>
      <w:r>
        <w:rPr>
          <w:rFonts w:hint="default" w:ascii="Calibri" w:hAnsi="Calibri" w:eastAsia="楷体_GB2312" w:cs="Calibri"/>
          <w:sz w:val="20"/>
          <w:szCs w:val="20"/>
          <w:lang w:val="en-US" w:eastAsia="zh-CN"/>
        </w:rPr>
        <w:t>6%</w:t>
      </w:r>
      <w:r>
        <w:rPr>
          <w:rFonts w:hint="default" w:ascii="Calibri" w:hAnsi="Calibri" w:eastAsia="楷体_GB2312" w:cs="Calibri"/>
          <w:sz w:val="20"/>
          <w:szCs w:val="20"/>
          <w:lang w:val="en-US" w:eastAsia="zh-CN"/>
        </w:rPr>
        <w:t>，达到约</w:t>
      </w:r>
      <w:r>
        <w:rPr>
          <w:rFonts w:hint="default" w:ascii="Calibri" w:hAnsi="Calibri" w:eastAsia="楷体_GB2312" w:cs="Calibri"/>
          <w:sz w:val="20"/>
          <w:szCs w:val="20"/>
          <w:lang w:val="en-US" w:eastAsia="zh-CN"/>
        </w:rPr>
        <w:t>575,000</w:t>
      </w:r>
      <w:r>
        <w:rPr>
          <w:rFonts w:hint="default" w:ascii="Calibri" w:hAnsi="Calibri" w:eastAsia="楷体_GB2312" w:cs="Calibri"/>
          <w:sz w:val="20"/>
          <w:szCs w:val="20"/>
          <w:lang w:val="en-US" w:eastAsia="zh-CN"/>
        </w:rPr>
        <w:t>台，但最终实际数据需待</w:t>
      </w:r>
      <w:r>
        <w:rPr>
          <w:rFonts w:hint="default" w:ascii="Calibri" w:hAnsi="Calibri" w:eastAsia="楷体_GB2312" w:cs="Calibri"/>
          <w:sz w:val="20"/>
          <w:szCs w:val="20"/>
          <w:lang w:val="en-US" w:eastAsia="zh-CN"/>
        </w:rPr>
        <w:t>2026</w:t>
      </w:r>
      <w:r>
        <w:rPr>
          <w:rFonts w:hint="default" w:ascii="Calibri" w:hAnsi="Calibri" w:eastAsia="楷体_GB2312" w:cs="Calibri"/>
          <w:sz w:val="20"/>
          <w:szCs w:val="20"/>
          <w:lang w:val="en-US" w:eastAsia="zh-CN"/>
        </w:rPr>
        <w:t>年下半年正式发布。</w:t>
      </w:r>
    </w:p>
    <w:p w14:paraId="00101DE3">
      <w:pPr>
        <w:overflowPunct w:val="0"/>
        <w:ind w:left="3200" w:leftChars="2000"/>
        <w:jc w:val="both"/>
        <w:rPr>
          <w:rFonts w:hint="default" w:ascii="Calibri" w:hAnsi="Calibri" w:eastAsia="楷体_GB2312" w:cs="Calibri"/>
          <w:sz w:val="20"/>
          <w:szCs w:val="20"/>
          <w:lang w:val="en-US" w:eastAsia="zh-CN"/>
        </w:rPr>
      </w:pPr>
    </w:p>
    <w:tbl>
      <w:tblPr>
        <w:tblStyle w:val="27"/>
        <w:tblW w:w="7423" w:type="dxa"/>
        <w:jc w:val="right"/>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7423"/>
      </w:tblGrid>
      <w:tr w14:paraId="7DFEBF42">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rPr>
          <w:trHeight w:val="397" w:hRule="atLeast"/>
          <w:jc w:val="right"/>
        </w:trPr>
        <w:tc>
          <w:tcPr>
            <w:tcW w:w="7423" w:type="dxa"/>
            <w:tcBorders>
              <w:bottom w:val="single" w:color="auto" w:sz="4" w:space="0"/>
            </w:tcBorders>
            <w:vAlign w:val="center"/>
          </w:tcPr>
          <w:p w14:paraId="055737A7">
            <w:pPr>
              <w:overflowPunct w:val="0"/>
              <w:jc w:val="both"/>
              <w:rPr>
                <w:rFonts w:hint="default" w:ascii="Calibri" w:hAnsi="Calibri" w:eastAsia="楷体_GB2312" w:cs="Calibri"/>
                <w:b/>
                <w:bCs/>
                <w:color w:val="1F497D" w:themeColor="text2"/>
                <w:sz w:val="24"/>
                <w:szCs w:val="24"/>
                <w:lang w:val="en-US" w:eastAsia="zh-CN"/>
                <w14:textFill>
                  <w14:solidFill>
                    <w14:schemeClr w14:val="tx2"/>
                  </w14:solidFill>
                </w14:textFill>
              </w:rPr>
            </w:pPr>
            <w:r>
              <w:rPr>
                <w:rFonts w:hint="default" w:ascii="Calibri" w:hAnsi="Calibri" w:eastAsia="楷体_GB2312" w:cs="Calibri"/>
                <w:b/>
                <w:bCs/>
                <w:sz w:val="18"/>
                <w:szCs w:val="18"/>
                <w:lang w:val="en-US" w:eastAsia="zh-CN"/>
              </w:rPr>
              <w:t>图</w:t>
            </w:r>
            <w:r>
              <w:rPr>
                <w:rFonts w:hint="default" w:ascii="Calibri" w:hAnsi="Calibri" w:eastAsia="楷体_GB2312" w:cs="Calibri"/>
                <w:b/>
                <w:bCs/>
                <w:sz w:val="18"/>
                <w:szCs w:val="18"/>
                <w:lang w:val="en-US" w:eastAsia="zh-CN"/>
              </w:rPr>
              <w:t>15</w:t>
            </w:r>
            <w:r>
              <w:rPr>
                <w:rFonts w:hint="default" w:ascii="Calibri" w:hAnsi="Calibri" w:eastAsia="楷体_GB2312" w:cs="Calibri"/>
                <w:b/>
                <w:bCs/>
                <w:sz w:val="18"/>
                <w:szCs w:val="18"/>
                <w:lang w:val="en-US" w:eastAsia="zh-CN"/>
              </w:rPr>
              <w:t>: 工业机器人年安装数量（千台）</w:t>
            </w:r>
          </w:p>
        </w:tc>
      </w:tr>
      <w:tr w14:paraId="5755CFB9">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3222" w:hRule="atLeast"/>
          <w:jc w:val="right"/>
        </w:trPr>
        <w:tc>
          <w:tcPr>
            <w:tcW w:w="7423" w:type="dxa"/>
            <w:tcBorders>
              <w:top w:val="single" w:color="auto" w:sz="4" w:space="0"/>
              <w:bottom w:val="single" w:color="auto" w:sz="4" w:space="0"/>
            </w:tcBorders>
            <w:vAlign w:val="center"/>
          </w:tcPr>
          <w:p w14:paraId="30FC3A50">
            <w:pPr>
              <w:overflowPunct w:val="0"/>
              <w:ind w:left="3200" w:leftChars="2000"/>
              <w:jc w:val="both"/>
              <w:rPr>
                <w:rFonts w:hint="default" w:ascii="Calibri" w:hAnsi="Calibri" w:eastAsia="楷体_GB2312" w:cs="Calibri"/>
                <w:b/>
                <w:bCs/>
                <w:color w:val="1F497D" w:themeColor="text2"/>
                <w:sz w:val="24"/>
                <w:szCs w:val="24"/>
                <w:lang w:val="en-US" w:eastAsia="zh-CN"/>
                <w14:textFill>
                  <w14:solidFill>
                    <w14:schemeClr w14:val="tx2"/>
                  </w14:solidFill>
                </w14:textFill>
              </w:rPr>
            </w:pPr>
            <w:r>
              <w:rPr>
                <w:rFonts w:hint="default" w:ascii="Calibri" w:hAnsi="Calibri" w:eastAsia="楷体_GB2312" w:cs="Calibri"/>
                <w:b/>
                <w:bCs/>
                <w:color w:val="1F497D" w:themeColor="text2"/>
                <w:sz w:val="24"/>
                <w:szCs w:val="24"/>
                <w:lang w:val="en-US" w:eastAsia="zh-CN"/>
                <w14:textFill>
                  <w14:solidFill>
                    <w14:schemeClr w14:val="tx2"/>
                  </w14:solidFill>
                </w14:textFill>
              </w:rPr>
              <w:drawing>
                <wp:anchor distT="0" distB="0" distL="114300" distR="114300" simplePos="0" relativeHeight="251661312" behindDoc="0" locked="0" layoutInCell="1" allowOverlap="1">
                  <wp:simplePos x="0" y="0"/>
                  <wp:positionH relativeFrom="column">
                    <wp:posOffset>1003300</wp:posOffset>
                  </wp:positionH>
                  <wp:positionV relativeFrom="paragraph">
                    <wp:posOffset>0</wp:posOffset>
                  </wp:positionV>
                  <wp:extent cx="4596765" cy="2526665"/>
                  <wp:effectExtent l="0" t="0" r="0" b="6985"/>
                  <wp:wrapTopAndBottom/>
                  <wp:docPr id="189916509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anchor>
              </w:drawing>
            </w:r>
          </w:p>
        </w:tc>
      </w:tr>
      <w:tr w14:paraId="6028F9FB">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rPr>
          <w:jc w:val="right"/>
        </w:trPr>
        <w:tc>
          <w:tcPr>
            <w:tcW w:w="7423" w:type="dxa"/>
            <w:tcBorders>
              <w:top w:val="single" w:color="auto" w:sz="4" w:space="0"/>
            </w:tcBorders>
          </w:tcPr>
          <w:p w14:paraId="120EE30C">
            <w:pPr>
              <w:rPr>
                <w:rFonts w:hint="default" w:ascii="Calibri" w:hAnsi="Calibri" w:eastAsia="楷体_GB2312" w:cs="Calibri"/>
                <w:i/>
                <w:iCs/>
                <w:lang w:val="en-US" w:eastAsia="zh-CN"/>
              </w:rPr>
            </w:pPr>
            <w:r>
              <w:rPr>
                <w:rFonts w:hint="default" w:ascii="Calibri" w:hAnsi="Calibri" w:eastAsia="楷体_GB2312" w:cs="Calibri"/>
                <w:i/>
                <w:iCs/>
                <w:lang w:val="en-US" w:eastAsia="zh-CN"/>
              </w:rPr>
              <w:t>资料来源：U.S. Bureau of Economic Analysis，HFI</w:t>
            </w:r>
          </w:p>
        </w:tc>
      </w:tr>
    </w:tbl>
    <w:p w14:paraId="1F0AFBFC">
      <w:pPr>
        <w:overflowPunct w:val="0"/>
        <w:ind w:left="3200" w:leftChars="2000"/>
        <w:jc w:val="both"/>
        <w:rPr>
          <w:rFonts w:hint="default" w:ascii="Calibri" w:hAnsi="Calibri" w:eastAsia="楷体_GB2312" w:cs="Calibri"/>
          <w:b/>
          <w:bCs/>
          <w:sz w:val="20"/>
          <w:szCs w:val="20"/>
          <w:lang w:val="en-US" w:eastAsia="zh-CN"/>
        </w:rPr>
      </w:pPr>
    </w:p>
    <w:p w14:paraId="0371B84F">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根据成本端压力分析（基于美国机械制造PPI数据), 全球机械制造业的价格体系呈现出显著的输入型通胀固化特征。</w:t>
      </w:r>
      <w:r>
        <w:rPr>
          <w:rFonts w:hint="default" w:ascii="Calibri" w:hAnsi="Calibri" w:eastAsia="楷体_GB2312" w:cs="Calibri"/>
          <w:sz w:val="20"/>
          <w:szCs w:val="20"/>
          <w:lang w:val="en-US" w:eastAsia="zh-CN"/>
        </w:rPr>
        <w:t>2025年，美国工业机械制造（NAICS 333）PPI指数在年初经历阶跃式增长后，年末稳定收于 264.258 的高位，反映出行业资本开支（CAPEX）成本的持续高企。特别是受劳动力成本与供应链韧性建设影响，核心动力模组（如电机、发电机及旋转设备零部件）的价格指数在2025年内录得高达 23.4% 的同比涨幅。</w:t>
      </w:r>
    </w:p>
    <w:p w14:paraId="3CB8664C">
      <w:pPr>
        <w:overflowPunct w:val="0"/>
        <w:ind w:left="3200" w:leftChars="2000"/>
        <w:jc w:val="both"/>
        <w:rPr>
          <w:rFonts w:hint="default" w:ascii="Calibri" w:hAnsi="Calibri" w:eastAsia="楷体_GB2312" w:cs="Calibri"/>
          <w:sz w:val="20"/>
          <w:szCs w:val="20"/>
          <w:lang w:val="en-US" w:eastAsia="zh-CN"/>
        </w:rPr>
      </w:pPr>
    </w:p>
    <w:tbl>
      <w:tblPr>
        <w:tblStyle w:val="27"/>
        <w:tblW w:w="7557" w:type="dxa"/>
        <w:jc w:val="right"/>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fixed"/>
        <w:tblCellMar>
          <w:top w:w="0" w:type="dxa"/>
          <w:left w:w="0" w:type="dxa"/>
          <w:bottom w:w="0" w:type="dxa"/>
          <w:right w:w="0" w:type="dxa"/>
        </w:tblCellMar>
      </w:tblPr>
      <w:tblGrid>
        <w:gridCol w:w="7557"/>
      </w:tblGrid>
      <w:tr w14:paraId="74C89B30">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PrEx>
        <w:trPr>
          <w:jc w:val="right"/>
        </w:trPr>
        <w:tc>
          <w:tcPr>
            <w:tcW w:w="7557" w:type="dxa"/>
            <w:tcBorders>
              <w:bottom w:val="single" w:color="auto" w:sz="4" w:space="0"/>
            </w:tcBorders>
          </w:tcPr>
          <w:p w14:paraId="093942E9">
            <w:pPr>
              <w:overflowPunct w:val="0"/>
              <w:jc w:val="both"/>
              <w:rPr>
                <w:rFonts w:hint="default" w:ascii="Calibri" w:hAnsi="Calibri" w:eastAsia="楷体_GB2312" w:cs="Calibri"/>
                <w:b/>
                <w:bCs/>
                <w:color w:val="1F497D" w:themeColor="text2"/>
                <w:sz w:val="24"/>
                <w:szCs w:val="24"/>
                <w:lang w:val="en-US" w:eastAsia="zh-CN"/>
                <w14:textFill>
                  <w14:solidFill>
                    <w14:schemeClr w14:val="tx2"/>
                  </w14:solidFill>
                </w14:textFill>
              </w:rPr>
            </w:pPr>
            <w:r>
              <w:rPr>
                <w:rFonts w:hint="default" w:ascii="Calibri" w:hAnsi="Calibri" w:eastAsia="楷体_GB2312" w:cs="Calibri"/>
                <w:b/>
                <w:bCs/>
                <w:sz w:val="18"/>
                <w:szCs w:val="18"/>
                <w:lang w:val="en-US" w:eastAsia="zh-CN"/>
              </w:rPr>
              <w:t>图</w:t>
            </w:r>
            <w:r>
              <w:rPr>
                <w:rFonts w:hint="default" w:ascii="Calibri" w:hAnsi="Calibri" w:eastAsia="楷体_GB2312" w:cs="Calibri"/>
                <w:b/>
                <w:bCs/>
                <w:sz w:val="18"/>
                <w:szCs w:val="18"/>
                <w:lang w:val="en-US" w:eastAsia="zh-CN"/>
              </w:rPr>
              <w:t>16</w:t>
            </w:r>
            <w:r>
              <w:rPr>
                <w:rFonts w:hint="default" w:ascii="Calibri" w:hAnsi="Calibri" w:eastAsia="楷体_GB2312" w:cs="Calibri"/>
                <w:b/>
                <w:bCs/>
                <w:sz w:val="18"/>
                <w:szCs w:val="18"/>
                <w:lang w:val="en-US" w:eastAsia="zh-CN"/>
              </w:rPr>
              <w:t>: 美国工业品价格指数：机械制造业</w:t>
            </w:r>
          </w:p>
        </w:tc>
      </w:tr>
      <w:tr w14:paraId="630AD5CE">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3056" w:hRule="atLeast"/>
          <w:jc w:val="right"/>
        </w:trPr>
        <w:tc>
          <w:tcPr>
            <w:tcW w:w="7557" w:type="dxa"/>
            <w:tcBorders>
              <w:top w:val="single" w:color="auto" w:sz="4" w:space="0"/>
              <w:bottom w:val="single" w:color="auto" w:sz="4" w:space="0"/>
            </w:tcBorders>
            <w:vAlign w:val="center"/>
          </w:tcPr>
          <w:p w14:paraId="4EF689A1">
            <w:pPr>
              <w:overflowPunct w:val="0"/>
              <w:jc w:val="both"/>
              <w:rPr>
                <w:rFonts w:hint="default" w:ascii="Calibri" w:hAnsi="Calibri" w:eastAsia="楷体_GB2312" w:cs="Calibri"/>
                <w:b/>
                <w:bCs/>
                <w:color w:val="1F497D" w:themeColor="text2"/>
                <w:sz w:val="24"/>
                <w:szCs w:val="24"/>
                <w:lang w:val="en-US" w:eastAsia="zh-CN"/>
                <w14:textFill>
                  <w14:solidFill>
                    <w14:schemeClr w14:val="tx2"/>
                  </w14:solidFill>
                </w14:textFill>
              </w:rPr>
            </w:pPr>
            <w:r>
              <w:rPr>
                <w:rFonts w:hint="default" w:ascii="Calibri" w:hAnsi="Calibri" w:eastAsia="楷体_GB2312" w:cs="Calibri"/>
                <w:b/>
                <w:bCs/>
                <w:color w:val="1F497D" w:themeColor="text2"/>
                <w:sz w:val="24"/>
                <w:szCs w:val="24"/>
                <w:lang w:val="en-US" w:eastAsia="zh-CN"/>
                <w14:textFill>
                  <w14:solidFill>
                    <w14:schemeClr w14:val="tx2"/>
                  </w14:solidFill>
                </w14:textFill>
              </w:rPr>
              <w:drawing>
                <wp:inline distT="0" distB="0" distL="0" distR="0">
                  <wp:extent cx="4661535" cy="1711960"/>
                  <wp:effectExtent l="0" t="0" r="5715" b="2540"/>
                  <wp:docPr id="16425812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81297" name="图片 1"/>
                          <pic:cNvPicPr>
                            <a:picLocks noChangeAspect="1"/>
                          </pic:cNvPicPr>
                        </pic:nvPicPr>
                        <pic:blipFill>
                          <a:blip r:embed="rId29"/>
                          <a:stretch>
                            <a:fillRect/>
                          </a:stretch>
                        </pic:blipFill>
                        <pic:spPr>
                          <a:xfrm>
                            <a:off x="0" y="0"/>
                            <a:ext cx="4661535" cy="1711960"/>
                          </a:xfrm>
                          <a:prstGeom prst="rect">
                            <a:avLst/>
                          </a:prstGeom>
                        </pic:spPr>
                      </pic:pic>
                    </a:graphicData>
                  </a:graphic>
                </wp:inline>
              </w:drawing>
            </w:r>
          </w:p>
        </w:tc>
      </w:tr>
      <w:tr w14:paraId="26B5E107">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rPr>
          <w:jc w:val="right"/>
        </w:trPr>
        <w:tc>
          <w:tcPr>
            <w:tcW w:w="7557" w:type="dxa"/>
            <w:tcBorders>
              <w:top w:val="single" w:color="auto" w:sz="4" w:space="0"/>
            </w:tcBorders>
          </w:tcPr>
          <w:p w14:paraId="31B92464">
            <w:pPr>
              <w:rPr>
                <w:rFonts w:hint="default" w:ascii="Calibri" w:hAnsi="Calibri" w:eastAsia="楷体_GB2312" w:cs="Calibri"/>
                <w:b/>
                <w:bCs/>
                <w:color w:val="1F497D" w:themeColor="text2"/>
                <w:sz w:val="24"/>
                <w:szCs w:val="24"/>
                <w:lang w:val="en-US" w:eastAsia="zh-CN"/>
                <w14:textFill>
                  <w14:solidFill>
                    <w14:schemeClr w14:val="tx2"/>
                  </w14:solidFill>
                </w14:textFill>
              </w:rPr>
            </w:pPr>
            <w:r>
              <w:rPr>
                <w:rFonts w:hint="default" w:ascii="Calibri" w:hAnsi="Calibri" w:eastAsia="楷体_GB2312" w:cs="Calibri"/>
                <w:i/>
                <w:iCs/>
                <w:lang w:val="en-US" w:eastAsia="zh-CN"/>
              </w:rPr>
              <w:t xml:space="preserve">资料来源：U.S. Bureau of </w:t>
            </w:r>
            <w:r>
              <w:rPr>
                <w:rFonts w:hint="default" w:ascii="Calibri" w:hAnsi="Calibri" w:eastAsia="楷体_GB2312" w:cs="Calibri"/>
                <w:i/>
                <w:iCs/>
                <w:lang w:val="en-US" w:eastAsia="zh-CN"/>
              </w:rPr>
              <w:t>Labor</w:t>
            </w:r>
            <w:r>
              <w:rPr>
                <w:rFonts w:hint="default" w:ascii="Calibri" w:hAnsi="Calibri" w:eastAsia="楷体_GB2312" w:cs="Calibri"/>
                <w:i/>
                <w:iCs/>
                <w:lang w:val="en-US" w:eastAsia="zh-CN"/>
              </w:rPr>
              <w:t xml:space="preserve"> </w:t>
            </w:r>
            <w:r>
              <w:rPr>
                <w:rFonts w:hint="default" w:ascii="Calibri" w:hAnsi="Calibri" w:eastAsia="楷体_GB2312" w:cs="Calibri"/>
                <w:i/>
                <w:iCs/>
                <w:lang w:val="en-US" w:eastAsia="zh-CN"/>
              </w:rPr>
              <w:t>Statistics</w:t>
            </w:r>
            <w:r>
              <w:rPr>
                <w:rFonts w:hint="default" w:ascii="Calibri" w:hAnsi="Calibri" w:eastAsia="楷体_GB2312" w:cs="Calibri"/>
                <w:i/>
                <w:iCs/>
                <w:lang w:val="en-US" w:eastAsia="zh-CN"/>
              </w:rPr>
              <w:t>，HFI</w:t>
            </w:r>
          </w:p>
        </w:tc>
      </w:tr>
    </w:tbl>
    <w:p w14:paraId="2A869513">
      <w:pPr>
        <w:overflowPunct w:val="0"/>
        <w:ind w:left="3200" w:leftChars="2000"/>
        <w:jc w:val="both"/>
        <w:rPr>
          <w:rFonts w:hint="default" w:ascii="Calibri" w:hAnsi="Calibri" w:eastAsia="楷体_GB2312" w:cs="Calibri"/>
          <w:b/>
          <w:bCs/>
          <w:sz w:val="20"/>
          <w:szCs w:val="20"/>
          <w:lang w:val="en-US" w:eastAsia="zh-CN"/>
        </w:rPr>
      </w:pPr>
    </w:p>
    <w:p w14:paraId="0811B0FA">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在具身智能商业化落地与制造业数字化转型深化的双重驱动下，预计</w:t>
      </w:r>
      <w:r>
        <w:rPr>
          <w:rFonts w:hint="default" w:ascii="Calibri" w:hAnsi="Calibri" w:eastAsia="楷体_GB2312" w:cs="Calibri"/>
          <w:b/>
          <w:bCs/>
          <w:sz w:val="20"/>
          <w:szCs w:val="20"/>
          <w:lang w:val="en-US" w:eastAsia="zh-CN"/>
        </w:rPr>
        <w:t>2025</w:t>
      </w:r>
      <w:r>
        <w:rPr>
          <w:rFonts w:hint="default" w:ascii="Calibri" w:hAnsi="Calibri" w:eastAsia="楷体_GB2312" w:cs="Calibri"/>
          <w:b/>
          <w:bCs/>
          <w:sz w:val="20"/>
          <w:szCs w:val="20"/>
          <w:lang w:val="en-US" w:eastAsia="zh-CN"/>
        </w:rPr>
        <w:t>年全球工业机器人安装量有望触达</w:t>
      </w:r>
      <w:r>
        <w:rPr>
          <w:rFonts w:hint="default" w:ascii="Calibri" w:hAnsi="Calibri" w:eastAsia="楷体_GB2312" w:cs="Calibri"/>
          <w:b/>
          <w:bCs/>
          <w:sz w:val="20"/>
          <w:szCs w:val="20"/>
          <w:lang w:val="en-US" w:eastAsia="zh-CN"/>
        </w:rPr>
        <w:t>57.5</w:t>
      </w:r>
      <w:r>
        <w:rPr>
          <w:rFonts w:hint="default" w:ascii="Calibri" w:hAnsi="Calibri" w:eastAsia="楷体_GB2312" w:cs="Calibri"/>
          <w:b/>
          <w:bCs/>
          <w:sz w:val="20"/>
          <w:szCs w:val="20"/>
          <w:lang w:val="en-US" w:eastAsia="zh-CN"/>
        </w:rPr>
        <w:t>万台的历史新高，实现约</w:t>
      </w:r>
      <w:r>
        <w:rPr>
          <w:rFonts w:hint="default" w:ascii="Calibri" w:hAnsi="Calibri" w:eastAsia="楷体_GB2312" w:cs="Calibri"/>
          <w:b/>
          <w:bCs/>
          <w:sz w:val="20"/>
          <w:szCs w:val="20"/>
          <w:lang w:val="en-US" w:eastAsia="zh-CN"/>
        </w:rPr>
        <w:t>6%</w:t>
      </w:r>
      <w:r>
        <w:rPr>
          <w:rFonts w:hint="default" w:ascii="Calibri" w:hAnsi="Calibri" w:eastAsia="楷体_GB2312" w:cs="Calibri"/>
          <w:b/>
          <w:bCs/>
          <w:sz w:val="20"/>
          <w:szCs w:val="20"/>
          <w:lang w:val="en-US" w:eastAsia="zh-CN"/>
        </w:rPr>
        <w:t>的年度增长。</w:t>
      </w:r>
      <w:r>
        <w:rPr>
          <w:rFonts w:hint="default" w:ascii="Calibri" w:hAnsi="Calibri" w:eastAsia="楷体_GB2312" w:cs="Calibri"/>
          <w:sz w:val="20"/>
          <w:szCs w:val="20"/>
          <w:lang w:val="en-US" w:eastAsia="zh-CN"/>
        </w:rPr>
        <w:t>从全球竞争格局来看，中国依然发挥着压舱石作用，其</w:t>
      </w:r>
      <w:r>
        <w:rPr>
          <w:rFonts w:hint="default" w:ascii="Calibri" w:hAnsi="Calibri" w:eastAsia="楷体_GB2312" w:cs="Calibri"/>
          <w:sz w:val="20"/>
          <w:szCs w:val="20"/>
          <w:lang w:val="en-US" w:eastAsia="zh-CN"/>
        </w:rPr>
        <w:t>2024</w:t>
      </w:r>
      <w:r>
        <w:rPr>
          <w:rFonts w:hint="default" w:ascii="Calibri" w:hAnsi="Calibri" w:eastAsia="楷体_GB2312" w:cs="Calibri"/>
          <w:sz w:val="20"/>
          <w:szCs w:val="20"/>
          <w:lang w:val="en-US" w:eastAsia="zh-CN"/>
        </w:rPr>
        <w:t>年安装量达到</w:t>
      </w:r>
      <w:r>
        <w:rPr>
          <w:rFonts w:hint="default" w:ascii="Calibri" w:hAnsi="Calibri" w:eastAsia="楷体_GB2312" w:cs="Calibri"/>
          <w:sz w:val="20"/>
          <w:szCs w:val="20"/>
          <w:lang w:val="en-US" w:eastAsia="zh-CN"/>
        </w:rPr>
        <w:t>29.5</w:t>
      </w:r>
      <w:r>
        <w:rPr>
          <w:rFonts w:hint="default" w:ascii="Calibri" w:hAnsi="Calibri" w:eastAsia="楷体_GB2312" w:cs="Calibri"/>
          <w:sz w:val="20"/>
          <w:szCs w:val="20"/>
          <w:lang w:val="en-US" w:eastAsia="zh-CN"/>
        </w:rPr>
        <w:t>万台，占据全球</w:t>
      </w:r>
      <w:r>
        <w:rPr>
          <w:rFonts w:hint="default" w:ascii="Calibri" w:hAnsi="Calibri" w:eastAsia="楷体_GB2312" w:cs="Calibri"/>
          <w:sz w:val="20"/>
          <w:szCs w:val="20"/>
          <w:lang w:val="en-US" w:eastAsia="zh-CN"/>
        </w:rPr>
        <w:t>54%</w:t>
      </w:r>
      <w:r>
        <w:rPr>
          <w:rFonts w:hint="default" w:ascii="Calibri" w:hAnsi="Calibri" w:eastAsia="楷体_GB2312" w:cs="Calibri"/>
          <w:sz w:val="20"/>
          <w:szCs w:val="20"/>
          <w:lang w:val="en-US" w:eastAsia="zh-CN"/>
        </w:rPr>
        <w:t>的份额，且</w:t>
      </w:r>
      <w:r>
        <w:rPr>
          <w:rFonts w:hint="default" w:ascii="Calibri" w:hAnsi="Calibri" w:eastAsia="楷体_GB2312" w:cs="Calibri"/>
          <w:sz w:val="20"/>
          <w:szCs w:val="20"/>
          <w:lang w:val="en-US" w:eastAsia="zh-CN"/>
        </w:rPr>
        <w:t>2024</w:t>
      </w:r>
      <w:r>
        <w:rPr>
          <w:rFonts w:hint="default" w:ascii="Calibri" w:hAnsi="Calibri" w:eastAsia="楷体_GB2312" w:cs="Calibri"/>
          <w:sz w:val="20"/>
          <w:szCs w:val="20"/>
          <w:lang w:val="en-US" w:eastAsia="zh-CN"/>
        </w:rPr>
        <w:t>年国产化率已突破</w:t>
      </w:r>
      <w:r>
        <w:rPr>
          <w:rFonts w:hint="default" w:ascii="Calibri" w:hAnsi="Calibri" w:eastAsia="楷体_GB2312" w:cs="Calibri"/>
          <w:sz w:val="20"/>
          <w:szCs w:val="20"/>
          <w:lang w:val="en-US" w:eastAsia="zh-CN"/>
        </w:rPr>
        <w:t>57%</w:t>
      </w:r>
      <w:r>
        <w:rPr>
          <w:rFonts w:hint="default" w:ascii="Calibri" w:hAnsi="Calibri" w:eastAsia="楷体_GB2312" w:cs="Calibri"/>
          <w:sz w:val="20"/>
          <w:szCs w:val="20"/>
          <w:lang w:val="en-US" w:eastAsia="zh-CN"/>
        </w:rPr>
        <w:t>的关键里程碑。尽管欧洲市场受地缘政治波动影响，</w:t>
      </w:r>
      <w:r>
        <w:rPr>
          <w:rFonts w:hint="default" w:ascii="Calibri" w:hAnsi="Calibri" w:eastAsia="楷体_GB2312" w:cs="Calibri"/>
          <w:sz w:val="20"/>
          <w:szCs w:val="20"/>
          <w:lang w:val="en-US" w:eastAsia="zh-CN"/>
        </w:rPr>
        <w:t>2024</w:t>
      </w:r>
      <w:r>
        <w:rPr>
          <w:rFonts w:hint="default" w:ascii="Calibri" w:hAnsi="Calibri" w:eastAsia="楷体_GB2312" w:cs="Calibri"/>
          <w:sz w:val="20"/>
          <w:szCs w:val="20"/>
          <w:lang w:val="en-US" w:eastAsia="zh-CN"/>
        </w:rPr>
        <w:t>年装机量回落至约</w:t>
      </w:r>
      <w:r>
        <w:rPr>
          <w:rFonts w:hint="default" w:ascii="Calibri" w:hAnsi="Calibri" w:eastAsia="楷体_GB2312" w:cs="Calibri"/>
          <w:sz w:val="20"/>
          <w:szCs w:val="20"/>
          <w:lang w:val="en-US" w:eastAsia="zh-CN"/>
        </w:rPr>
        <w:t>8.5</w:t>
      </w:r>
      <w:r>
        <w:rPr>
          <w:rFonts w:hint="default" w:ascii="Calibri" w:hAnsi="Calibri" w:eastAsia="楷体_GB2312" w:cs="Calibri"/>
          <w:sz w:val="20"/>
          <w:szCs w:val="20"/>
          <w:lang w:val="en-US" w:eastAsia="zh-CN"/>
        </w:rPr>
        <w:t>万台，美洲市场因高利率环境经历了约</w:t>
      </w:r>
      <w:r>
        <w:rPr>
          <w:rFonts w:hint="default" w:ascii="Calibri" w:hAnsi="Calibri" w:eastAsia="楷体_GB2312" w:cs="Calibri"/>
          <w:sz w:val="20"/>
          <w:szCs w:val="20"/>
          <w:lang w:val="en-US" w:eastAsia="zh-CN"/>
        </w:rPr>
        <w:t>9%</w:t>
      </w:r>
      <w:r>
        <w:rPr>
          <w:rFonts w:hint="default" w:ascii="Calibri" w:hAnsi="Calibri" w:eastAsia="楷体_GB2312" w:cs="Calibri"/>
          <w:sz w:val="20"/>
          <w:szCs w:val="20"/>
          <w:lang w:val="en-US" w:eastAsia="zh-CN"/>
        </w:rPr>
        <w:t>的结构性下滑，但随着《通胀削减法案》推动的供应链近岸化效应逐步显现，全球自动化资本开支正展现出强劲的复苏韧性，有望推动全球工业机器人年安装量加速迈向“</w:t>
      </w:r>
      <w:r>
        <w:rPr>
          <w:rFonts w:hint="default" w:ascii="Calibri" w:hAnsi="Calibri" w:eastAsia="楷体_GB2312" w:cs="Calibri"/>
          <w:sz w:val="20"/>
          <w:szCs w:val="20"/>
          <w:lang w:val="en-US" w:eastAsia="zh-CN"/>
        </w:rPr>
        <w:t>60</w:t>
      </w:r>
      <w:r>
        <w:rPr>
          <w:rFonts w:hint="default" w:ascii="Calibri" w:hAnsi="Calibri" w:eastAsia="楷体_GB2312" w:cs="Calibri"/>
          <w:sz w:val="20"/>
          <w:szCs w:val="20"/>
          <w:lang w:val="en-US" w:eastAsia="zh-CN"/>
        </w:rPr>
        <w:t>万台时代”的新周期</w:t>
      </w:r>
      <w:r>
        <w:rPr>
          <w:rFonts w:hint="default" w:ascii="Calibri" w:hAnsi="Calibri" w:eastAsia="楷体_GB2312" w:cs="Calibri"/>
          <w:sz w:val="20"/>
          <w:szCs w:val="20"/>
          <w:lang w:val="en-US" w:eastAsia="zh-CN"/>
        </w:rPr>
        <w:t>。</w:t>
      </w:r>
    </w:p>
    <w:p w14:paraId="29BF2DB4">
      <w:pPr>
        <w:overflowPunct w:val="0"/>
        <w:ind w:left="3200" w:leftChars="2000"/>
        <w:jc w:val="both"/>
        <w:outlineLvl w:val="0"/>
        <w:rPr>
          <w:rFonts w:hint="default" w:ascii="Calibri" w:hAnsi="Calibri" w:eastAsia="楷体_GB2312" w:cs="Calibri"/>
          <w:b/>
          <w:bCs/>
          <w:color w:val="1F497D" w:themeColor="text2"/>
          <w:sz w:val="24"/>
          <w:szCs w:val="24"/>
          <w:lang w:val="en-US" w:eastAsia="zh-CN"/>
          <w14:textFill>
            <w14:solidFill>
              <w14:schemeClr w14:val="tx2"/>
            </w14:solidFill>
          </w14:textFill>
        </w:rPr>
      </w:pPr>
    </w:p>
    <w:p w14:paraId="264925CA">
      <w:pPr>
        <w:overflowPunct w:val="0"/>
        <w:ind w:left="3200" w:leftChars="2000"/>
        <w:jc w:val="both"/>
        <w:outlineLvl w:val="0"/>
        <w:rPr>
          <w:rFonts w:hint="default" w:ascii="Calibri" w:hAnsi="Calibri" w:eastAsia="楷体_GB2312" w:cs="Calibri"/>
          <w:b/>
          <w:bCs/>
          <w:color w:val="1F497D" w:themeColor="text2"/>
          <w:sz w:val="24"/>
          <w:szCs w:val="24"/>
          <w:lang w:val="en-US" w:eastAsia="zh-CN"/>
          <w14:textFill>
            <w14:solidFill>
              <w14:schemeClr w14:val="tx2"/>
            </w14:solidFill>
          </w14:textFill>
        </w:rPr>
      </w:pPr>
      <w:bookmarkStart w:id="19" w:name="_Toc223082602"/>
      <w:r>
        <w:rPr>
          <w:rFonts w:hint="default" w:ascii="Calibri" w:hAnsi="Calibri" w:eastAsia="楷体_GB2312" w:cs="Calibri"/>
          <w:b/>
          <w:bCs/>
          <w:color w:val="1F497D" w:themeColor="text2"/>
          <w:sz w:val="24"/>
          <w:szCs w:val="24"/>
          <w:lang w:val="en-US" w:eastAsia="zh-CN"/>
          <w14:textFill>
            <w14:solidFill>
              <w14:schemeClr w14:val="tx2"/>
            </w14:solidFill>
          </w14:textFill>
        </w:rPr>
        <w:t>四、全球能源工业</w:t>
      </w:r>
      <w:bookmarkEnd w:id="19"/>
      <w:r>
        <w:rPr>
          <w:rFonts w:hint="default" w:ascii="Calibri" w:hAnsi="Calibri" w:eastAsia="楷体_GB2312" w:cs="Calibri"/>
          <w:b/>
          <w:bCs/>
          <w:color w:val="1F497D" w:themeColor="text2"/>
          <w:sz w:val="24"/>
          <w:szCs w:val="24"/>
          <w:lang w:val="en-US" w:eastAsia="zh-CN"/>
          <w14:textFill>
            <w14:solidFill>
              <w14:schemeClr w14:val="tx2"/>
            </w14:solidFill>
          </w14:textFill>
        </w:rPr>
        <w:t xml:space="preserve">   </w:t>
      </w:r>
    </w:p>
    <w:p w14:paraId="5F3B703A">
      <w:pPr>
        <w:overflowPunct w:val="0"/>
        <w:ind w:left="3200" w:leftChars="2000"/>
        <w:jc w:val="both"/>
        <w:outlineLvl w:val="1"/>
        <w:rPr>
          <w:rFonts w:hint="default" w:ascii="Calibri" w:hAnsi="Calibri" w:eastAsia="楷体_GB2312" w:cs="Calibri"/>
          <w:b/>
          <w:bCs/>
          <w:color w:val="1F497D" w:themeColor="text2"/>
          <w:sz w:val="24"/>
          <w:szCs w:val="24"/>
          <w:lang w:val="en-US" w:eastAsia="zh-CN"/>
          <w14:textFill>
            <w14:solidFill>
              <w14:schemeClr w14:val="tx2"/>
            </w14:solidFill>
          </w14:textFill>
        </w:rPr>
      </w:pPr>
      <w:bookmarkStart w:id="20" w:name="_Toc223082603"/>
      <w:r>
        <w:rPr>
          <w:rFonts w:hint="default" w:ascii="Calibri" w:hAnsi="Calibri" w:eastAsia="楷体_GB2312" w:cs="Calibri"/>
          <w:b/>
          <w:bCs/>
          <w:color w:val="1F497D" w:themeColor="text2"/>
          <w:sz w:val="24"/>
          <w:szCs w:val="24"/>
          <w:lang w:val="en-US" w:eastAsia="zh-CN"/>
          <w14:textFill>
            <w14:solidFill>
              <w14:schemeClr w14:val="tx2"/>
            </w14:solidFill>
          </w14:textFill>
        </w:rPr>
        <w:t>（一）能源发展</w:t>
      </w:r>
      <w:bookmarkEnd w:id="20"/>
    </w:p>
    <w:p w14:paraId="064D439B">
      <w:pPr>
        <w:overflowPunct w:val="0"/>
        <w:ind w:left="3200" w:leftChars="2000"/>
        <w:jc w:val="both"/>
        <w:outlineLvl w:val="2"/>
        <w:rPr>
          <w:rFonts w:hint="default" w:ascii="Calibri" w:hAnsi="Calibri" w:eastAsia="楷体_GB2312" w:cs="Calibri"/>
          <w:b/>
          <w:bCs/>
          <w:color w:val="1F497D" w:themeColor="text2"/>
          <w:sz w:val="24"/>
          <w:szCs w:val="24"/>
          <w:lang w:val="en-US" w:eastAsia="zh-CN"/>
          <w14:textFill>
            <w14:solidFill>
              <w14:schemeClr w14:val="tx2"/>
            </w14:solidFill>
          </w14:textFill>
        </w:rPr>
      </w:pPr>
      <w:bookmarkStart w:id="21" w:name="_Toc223082604"/>
      <w:r>
        <w:rPr>
          <w:rFonts w:hint="default" w:ascii="Calibri" w:hAnsi="Calibri" w:eastAsia="楷体_GB2312" w:cs="Calibri"/>
          <w:b/>
          <w:bCs/>
          <w:color w:val="1F497D" w:themeColor="text2"/>
          <w:sz w:val="24"/>
          <w:szCs w:val="24"/>
          <w:lang w:val="en-US" w:eastAsia="zh-CN"/>
          <w14:textFill>
            <w14:solidFill>
              <w14:schemeClr w14:val="tx2"/>
            </w14:solidFill>
          </w14:textFill>
        </w:rPr>
        <w:t>（1）美国电力市场</w:t>
      </w:r>
      <w:bookmarkEnd w:id="21"/>
    </w:p>
    <w:p w14:paraId="5D273F50">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电力需求方面，经过十多年的缓慢变化，美国电力消耗再次上升。</w:t>
      </w:r>
      <w:r>
        <w:rPr>
          <w:rFonts w:hint="default" w:ascii="Calibri" w:hAnsi="Calibri" w:eastAsia="楷体_GB2312" w:cs="Calibri"/>
          <w:sz w:val="20"/>
          <w:szCs w:val="20"/>
          <w:lang w:val="en-US" w:eastAsia="zh-CN"/>
        </w:rPr>
        <w:t>EIA预计美国年度电力消耗将在2025、2026及2027年持续攀升，远超2024年创下的历史最高水平，与2000年代中期至2020年代初的平稳趋势形成鲜明对比。近期及预测的增长主要由商业部门（含数据中心）和工业部门（含制造业）驱动，其中商业与交通用电是核心引擎，反映AI算力与基础设施需求爆发；工业用电保持稳健增长支撑制造业回流；而居民用电因能效提升与分布式光伏普及，预计2027年将出现负增长，部分抵消整体增速。</w:t>
      </w:r>
    </w:p>
    <w:tbl>
      <w:tblPr>
        <w:tblStyle w:val="26"/>
        <w:tblpPr w:leftFromText="180" w:rightFromText="180" w:vertAnchor="text" w:horzAnchor="margin" w:tblpXSpec="center" w:tblpY="246"/>
        <w:tblW w:w="10490" w:type="dxa"/>
        <w:tblInd w:w="0" w:type="dxa"/>
        <w:tblLayout w:type="fixed"/>
        <w:tblCellMar>
          <w:top w:w="0" w:type="dxa"/>
          <w:left w:w="108" w:type="dxa"/>
          <w:bottom w:w="0" w:type="dxa"/>
          <w:right w:w="108" w:type="dxa"/>
        </w:tblCellMar>
      </w:tblPr>
      <w:tblGrid>
        <w:gridCol w:w="5103"/>
        <w:gridCol w:w="238"/>
        <w:gridCol w:w="5149"/>
      </w:tblGrid>
      <w:tr w14:paraId="6BD2EBDB">
        <w:tblPrEx>
          <w:tblCellMar>
            <w:top w:w="0" w:type="dxa"/>
            <w:left w:w="108" w:type="dxa"/>
            <w:bottom w:w="0" w:type="dxa"/>
            <w:right w:w="108" w:type="dxa"/>
          </w:tblCellMar>
        </w:tblPrEx>
        <w:trPr>
          <w:trHeight w:val="227" w:hRule="atLeast"/>
        </w:trPr>
        <w:tc>
          <w:tcPr>
            <w:tcW w:w="5103" w:type="dxa"/>
            <w:tcBorders>
              <w:top w:val="nil"/>
              <w:left w:val="nil"/>
              <w:bottom w:val="single" w:color="auto" w:sz="4" w:space="0"/>
              <w:right w:val="nil"/>
            </w:tcBorders>
            <w:tcMar>
              <w:top w:w="0" w:type="dxa"/>
              <w:left w:w="0" w:type="dxa"/>
              <w:bottom w:w="0" w:type="dxa"/>
              <w:right w:w="28" w:type="dxa"/>
            </w:tcMar>
          </w:tcPr>
          <w:p w14:paraId="45B4CE22">
            <w:pPr>
              <w:overflowPunct w:val="0"/>
              <w:rPr>
                <w:rFonts w:hint="default" w:ascii="Calibri" w:hAnsi="Calibri" w:eastAsia="楷体_GB2312" w:cs="Calibri"/>
                <w:b/>
                <w:sz w:val="18"/>
                <w:szCs w:val="18"/>
                <w:lang w:eastAsia="zh-CN"/>
              </w:rPr>
            </w:pPr>
            <w:r>
              <w:rPr>
                <w:rFonts w:hint="default" w:ascii="Calibri" w:hAnsi="Calibri" w:eastAsia="楷体_GB2312" w:cs="Calibri"/>
                <w:b/>
                <w:sz w:val="18"/>
                <w:szCs w:val="18"/>
                <w:lang w:val="zh-CN" w:eastAsia="zh-CN"/>
              </w:rPr>
              <w:t>图</w:t>
            </w:r>
            <w:r>
              <w:rPr>
                <w:rFonts w:hint="default" w:ascii="Calibri" w:hAnsi="Calibri" w:eastAsia="楷体_GB2312" w:cs="Calibri"/>
                <w:b/>
                <w:sz w:val="18"/>
                <w:szCs w:val="18"/>
                <w:lang w:val="en-US" w:eastAsia="zh-CN"/>
              </w:rPr>
              <w:t>17</w:t>
            </w:r>
            <w:r>
              <w:rPr>
                <w:rFonts w:hint="default" w:ascii="Calibri" w:hAnsi="Calibri" w:eastAsia="楷体_GB2312" w:cs="Calibri"/>
                <w:b/>
                <w:sz w:val="18"/>
                <w:szCs w:val="18"/>
                <w:lang w:val="zh-CN" w:eastAsia="zh-CN"/>
              </w:rPr>
              <w:t>：美国电力</w:t>
            </w:r>
            <w:r>
              <w:rPr>
                <w:rFonts w:hint="default" w:ascii="Calibri" w:hAnsi="Calibri" w:eastAsia="楷体_GB2312" w:cs="Calibri"/>
                <w:b/>
                <w:sz w:val="18"/>
                <w:szCs w:val="18"/>
                <w:lang w:val="en-US" w:eastAsia="zh-CN"/>
              </w:rPr>
              <w:t>消费预测及变化构成预测</w:t>
            </w:r>
          </w:p>
        </w:tc>
        <w:tc>
          <w:tcPr>
            <w:tcW w:w="238" w:type="dxa"/>
            <w:tcBorders>
              <w:top w:val="nil"/>
              <w:left w:val="nil"/>
              <w:bottom w:val="nil"/>
              <w:right w:val="nil"/>
            </w:tcBorders>
            <w:tcMar>
              <w:top w:w="0" w:type="dxa"/>
              <w:left w:w="0" w:type="dxa"/>
              <w:bottom w:w="0" w:type="dxa"/>
              <w:right w:w="28" w:type="dxa"/>
            </w:tcMar>
          </w:tcPr>
          <w:p w14:paraId="4454C1AC">
            <w:pPr>
              <w:overflowPunct w:val="0"/>
              <w:rPr>
                <w:rFonts w:hint="default" w:ascii="Calibri" w:hAnsi="Calibri" w:eastAsia="楷体_GB2312" w:cs="Calibri"/>
                <w:b/>
                <w:sz w:val="18"/>
                <w:szCs w:val="18"/>
                <w:lang w:eastAsia="zh-CN"/>
              </w:rPr>
            </w:pPr>
            <w:r>
              <w:rPr>
                <w:rFonts w:hint="default" w:ascii="Calibri" w:hAnsi="Calibri" w:eastAsia="楷体_GB2312" w:cs="Calibri"/>
                <w:b/>
                <w:sz w:val="18"/>
                <w:szCs w:val="18"/>
                <w:lang w:eastAsia="zh-CN"/>
              </w:rPr>
              <w:t xml:space="preserve">         </w:t>
            </w:r>
          </w:p>
        </w:tc>
        <w:tc>
          <w:tcPr>
            <w:tcW w:w="5149" w:type="dxa"/>
            <w:tcBorders>
              <w:top w:val="nil"/>
              <w:left w:val="nil"/>
              <w:bottom w:val="single" w:color="auto" w:sz="4" w:space="0"/>
              <w:right w:val="nil"/>
            </w:tcBorders>
            <w:tcMar>
              <w:top w:w="0" w:type="dxa"/>
              <w:left w:w="0" w:type="dxa"/>
              <w:bottom w:w="0" w:type="dxa"/>
              <w:right w:w="28" w:type="dxa"/>
            </w:tcMar>
          </w:tcPr>
          <w:p w14:paraId="0296BCBA">
            <w:pPr>
              <w:overflowPunct w:val="0"/>
              <w:rPr>
                <w:rFonts w:hint="default" w:ascii="Calibri" w:hAnsi="Calibri" w:eastAsia="楷体_GB2312" w:cs="Calibri"/>
                <w:b/>
                <w:sz w:val="18"/>
                <w:szCs w:val="18"/>
                <w:lang w:eastAsia="zh-CN"/>
              </w:rPr>
            </w:pPr>
            <w:r>
              <w:rPr>
                <w:rFonts w:hint="default" w:ascii="Calibri" w:hAnsi="Calibri" w:eastAsia="楷体_GB2312" w:cs="Calibri"/>
                <w:b/>
                <w:sz w:val="18"/>
                <w:szCs w:val="18"/>
                <w:lang w:val="zh-CN" w:eastAsia="zh-CN"/>
              </w:rPr>
              <w:t>图</w:t>
            </w:r>
            <w:r>
              <w:rPr>
                <w:rFonts w:hint="default" w:ascii="Calibri" w:hAnsi="Calibri" w:eastAsia="楷体_GB2312" w:cs="Calibri"/>
                <w:b/>
                <w:sz w:val="18"/>
                <w:szCs w:val="18"/>
                <w:lang w:val="en-US" w:eastAsia="zh-CN"/>
              </w:rPr>
              <w:t>18</w:t>
            </w:r>
            <w:r>
              <w:rPr>
                <w:rFonts w:hint="default" w:ascii="Calibri" w:hAnsi="Calibri" w:eastAsia="楷体_GB2312" w:cs="Calibri"/>
                <w:b/>
                <w:sz w:val="18"/>
                <w:szCs w:val="18"/>
                <w:lang w:val="zh-CN" w:eastAsia="zh-CN"/>
              </w:rPr>
              <w:t>：美国电力供应区域版图</w:t>
            </w:r>
          </w:p>
        </w:tc>
      </w:tr>
      <w:tr w14:paraId="329B142D">
        <w:tblPrEx>
          <w:tblCellMar>
            <w:top w:w="0" w:type="dxa"/>
            <w:left w:w="108" w:type="dxa"/>
            <w:bottom w:w="0" w:type="dxa"/>
            <w:right w:w="108" w:type="dxa"/>
          </w:tblCellMar>
        </w:tblPrEx>
        <w:trPr>
          <w:trHeight w:val="2219" w:hRule="atLeast"/>
        </w:trPr>
        <w:tc>
          <w:tcPr>
            <w:tcW w:w="5103" w:type="dxa"/>
            <w:tcBorders>
              <w:top w:val="single" w:color="auto" w:sz="4" w:space="0"/>
              <w:left w:val="nil"/>
              <w:bottom w:val="single" w:color="auto" w:sz="4" w:space="0"/>
              <w:right w:val="nil"/>
            </w:tcBorders>
            <w:tcMar>
              <w:top w:w="0" w:type="dxa"/>
              <w:left w:w="0" w:type="dxa"/>
              <w:bottom w:w="0" w:type="dxa"/>
              <w:right w:w="28" w:type="dxa"/>
            </w:tcMar>
            <w:vAlign w:val="center"/>
          </w:tcPr>
          <w:p w14:paraId="15AF2AEC">
            <w:pPr>
              <w:overflowPunct w:val="0"/>
              <w:spacing w:before="48" w:beforeLines="20" w:after="48" w:afterLines="20"/>
              <w:jc w:val="center"/>
              <w:textAlignment w:val="center"/>
              <w:rPr>
                <w:rFonts w:hint="default" w:ascii="Calibri" w:hAnsi="Calibri" w:eastAsia="楷体_GB2312" w:cs="Calibri"/>
                <w:b/>
                <w:color w:val="000000"/>
                <w:sz w:val="15"/>
                <w:szCs w:val="15"/>
              </w:rPr>
            </w:pPr>
            <w:r>
              <w:rPr>
                <w:rFonts w:hint="default" w:ascii="Calibri" w:hAnsi="Calibri" w:eastAsia="楷体_GB2312" w:cs="Calibri"/>
                <w:snapToGrid/>
              </w:rPr>
              <w:drawing>
                <wp:inline distT="0" distB="0" distL="0" distR="0">
                  <wp:extent cx="3222625" cy="1861820"/>
                  <wp:effectExtent l="0" t="0" r="0" b="5080"/>
                  <wp:docPr id="2505127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512767" name="图片 1"/>
                          <pic:cNvPicPr>
                            <a:picLocks noChangeAspect="1"/>
                          </pic:cNvPicPr>
                        </pic:nvPicPr>
                        <pic:blipFill>
                          <a:blip r:embed="rId30"/>
                          <a:stretch>
                            <a:fillRect/>
                          </a:stretch>
                        </pic:blipFill>
                        <pic:spPr>
                          <a:xfrm>
                            <a:off x="0" y="0"/>
                            <a:ext cx="3222625" cy="1861820"/>
                          </a:xfrm>
                          <a:prstGeom prst="rect">
                            <a:avLst/>
                          </a:prstGeom>
                        </pic:spPr>
                      </pic:pic>
                    </a:graphicData>
                  </a:graphic>
                </wp:inline>
              </w:drawing>
            </w:r>
          </w:p>
        </w:tc>
        <w:tc>
          <w:tcPr>
            <w:tcW w:w="238" w:type="dxa"/>
            <w:tcBorders>
              <w:top w:val="nil"/>
              <w:left w:val="nil"/>
              <w:bottom w:val="nil"/>
              <w:right w:val="nil"/>
            </w:tcBorders>
            <w:tcMar>
              <w:top w:w="0" w:type="dxa"/>
              <w:left w:w="0" w:type="dxa"/>
              <w:bottom w:w="0" w:type="dxa"/>
              <w:right w:w="28" w:type="dxa"/>
            </w:tcMar>
          </w:tcPr>
          <w:p w14:paraId="7C0E5B99">
            <w:pPr>
              <w:overflowPunct w:val="0"/>
              <w:spacing w:before="48" w:beforeLines="20" w:after="48" w:afterLines="20"/>
              <w:rPr>
                <w:rFonts w:hint="default" w:ascii="Calibri" w:hAnsi="Calibri" w:eastAsia="楷体_GB2312" w:cs="Calibri"/>
                <w:sz w:val="15"/>
                <w:szCs w:val="15"/>
              </w:rPr>
            </w:pPr>
          </w:p>
        </w:tc>
        <w:tc>
          <w:tcPr>
            <w:tcW w:w="5149" w:type="dxa"/>
            <w:tcBorders>
              <w:top w:val="single" w:color="auto" w:sz="4" w:space="0"/>
              <w:left w:val="nil"/>
              <w:bottom w:val="single" w:color="auto" w:sz="4" w:space="0"/>
              <w:right w:val="nil"/>
            </w:tcBorders>
            <w:tcMar>
              <w:top w:w="0" w:type="dxa"/>
              <w:left w:w="0" w:type="dxa"/>
              <w:bottom w:w="0" w:type="dxa"/>
              <w:right w:w="28" w:type="dxa"/>
            </w:tcMar>
          </w:tcPr>
          <w:p w14:paraId="4DDD01CE">
            <w:pPr>
              <w:overflowPunct w:val="0"/>
              <w:spacing w:before="48" w:beforeLines="20" w:after="48" w:afterLines="20"/>
              <w:jc w:val="center"/>
              <w:rPr>
                <w:rFonts w:hint="default" w:ascii="Calibri" w:hAnsi="Calibri" w:eastAsia="楷体_GB2312" w:cs="Calibri"/>
                <w:b/>
                <w:sz w:val="15"/>
                <w:szCs w:val="15"/>
              </w:rPr>
            </w:pPr>
            <w:r>
              <w:rPr>
                <w:rFonts w:hint="default" w:ascii="Calibri" w:hAnsi="Calibri" w:eastAsia="楷体_GB2312" w:cs="Calibri"/>
                <w:snapToGrid/>
              </w:rPr>
              <w:drawing>
                <wp:inline distT="0" distB="0" distL="0" distR="0">
                  <wp:extent cx="3178810" cy="2078355"/>
                  <wp:effectExtent l="0" t="0" r="2540" b="0"/>
                  <wp:docPr id="13694575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57510" name="图片 1"/>
                          <pic:cNvPicPr>
                            <a:picLocks noChangeAspect="1"/>
                          </pic:cNvPicPr>
                        </pic:nvPicPr>
                        <pic:blipFill>
                          <a:blip r:embed="rId31"/>
                          <a:stretch>
                            <a:fillRect/>
                          </a:stretch>
                        </pic:blipFill>
                        <pic:spPr>
                          <a:xfrm>
                            <a:off x="0" y="0"/>
                            <a:ext cx="3182836" cy="2080870"/>
                          </a:xfrm>
                          <a:prstGeom prst="rect">
                            <a:avLst/>
                          </a:prstGeom>
                        </pic:spPr>
                      </pic:pic>
                    </a:graphicData>
                  </a:graphic>
                </wp:inline>
              </w:drawing>
            </w:r>
          </w:p>
        </w:tc>
      </w:tr>
      <w:tr w14:paraId="1638DF8E">
        <w:tblPrEx>
          <w:tblCellMar>
            <w:top w:w="0" w:type="dxa"/>
            <w:left w:w="108" w:type="dxa"/>
            <w:bottom w:w="0" w:type="dxa"/>
            <w:right w:w="108" w:type="dxa"/>
          </w:tblCellMar>
        </w:tblPrEx>
        <w:tc>
          <w:tcPr>
            <w:tcW w:w="5103" w:type="dxa"/>
            <w:tcBorders>
              <w:top w:val="single" w:color="auto" w:sz="4" w:space="0"/>
              <w:left w:val="nil"/>
              <w:bottom w:val="nil"/>
              <w:right w:val="nil"/>
            </w:tcBorders>
            <w:tcMar>
              <w:top w:w="0" w:type="dxa"/>
              <w:left w:w="0" w:type="dxa"/>
              <w:bottom w:w="0" w:type="dxa"/>
              <w:right w:w="28" w:type="dxa"/>
            </w:tcMar>
            <w:vAlign w:val="center"/>
          </w:tcPr>
          <w:p w14:paraId="0261E21C">
            <w:pPr>
              <w:overflowPunct w:val="0"/>
              <w:spacing w:before="48" w:beforeLines="20" w:after="48" w:afterLines="20"/>
              <w:textAlignment w:val="center"/>
              <w:rPr>
                <w:rFonts w:hint="default" w:ascii="Calibri" w:hAnsi="Calibri" w:eastAsia="楷体_GB2312" w:cs="Calibri"/>
                <w:sz w:val="10"/>
                <w:szCs w:val="10"/>
                <w:lang w:eastAsia="zh-CN"/>
              </w:rPr>
            </w:pPr>
            <w:r>
              <w:rPr>
                <w:rFonts w:hint="default" w:ascii="Calibri" w:hAnsi="Calibri" w:eastAsia="楷体_GB2312" w:cs="Calibri"/>
                <w:i/>
                <w:iCs/>
                <w:lang w:val="zh-CN" w:eastAsia="zh-CN"/>
              </w:rPr>
              <w:t>资料来源：EIA，HFI</w:t>
            </w:r>
          </w:p>
        </w:tc>
        <w:tc>
          <w:tcPr>
            <w:tcW w:w="238" w:type="dxa"/>
            <w:tcBorders>
              <w:top w:val="nil"/>
              <w:left w:val="nil"/>
              <w:bottom w:val="nil"/>
              <w:right w:val="nil"/>
            </w:tcBorders>
            <w:tcMar>
              <w:top w:w="0" w:type="dxa"/>
              <w:left w:w="0" w:type="dxa"/>
              <w:bottom w:w="0" w:type="dxa"/>
              <w:right w:w="28" w:type="dxa"/>
            </w:tcMar>
          </w:tcPr>
          <w:p w14:paraId="002C04E6">
            <w:pPr>
              <w:overflowPunct w:val="0"/>
              <w:spacing w:before="48" w:beforeLines="20" w:after="48" w:afterLines="20"/>
              <w:rPr>
                <w:rFonts w:hint="default" w:ascii="Calibri" w:hAnsi="Calibri" w:eastAsia="楷体_GB2312" w:cs="Calibri"/>
                <w:sz w:val="15"/>
                <w:szCs w:val="15"/>
                <w:lang w:eastAsia="zh-CN"/>
              </w:rPr>
            </w:pPr>
          </w:p>
        </w:tc>
        <w:tc>
          <w:tcPr>
            <w:tcW w:w="5149" w:type="dxa"/>
            <w:tcBorders>
              <w:top w:val="single" w:color="auto" w:sz="4" w:space="0"/>
              <w:left w:val="nil"/>
              <w:bottom w:val="nil"/>
              <w:right w:val="nil"/>
            </w:tcBorders>
            <w:tcMar>
              <w:top w:w="0" w:type="dxa"/>
              <w:left w:w="0" w:type="dxa"/>
              <w:bottom w:w="0" w:type="dxa"/>
              <w:right w:w="28" w:type="dxa"/>
            </w:tcMar>
          </w:tcPr>
          <w:p w14:paraId="33C48BED">
            <w:pPr>
              <w:overflowPunct w:val="0"/>
              <w:spacing w:before="48" w:beforeLines="20" w:after="48" w:afterLines="20"/>
              <w:rPr>
                <w:rFonts w:hint="default" w:ascii="Calibri" w:hAnsi="Calibri" w:eastAsia="楷体_GB2312" w:cs="Calibri"/>
                <w:sz w:val="10"/>
                <w:szCs w:val="10"/>
                <w:lang w:eastAsia="zh-CN"/>
              </w:rPr>
            </w:pPr>
            <w:r>
              <w:rPr>
                <w:rFonts w:hint="default" w:ascii="Calibri" w:hAnsi="Calibri" w:eastAsia="楷体_GB2312" w:cs="Calibri"/>
                <w:i/>
                <w:iCs/>
                <w:lang w:val="zh-CN" w:eastAsia="zh-CN"/>
              </w:rPr>
              <w:t>资料来源：EIA，HFI</w:t>
            </w:r>
          </w:p>
        </w:tc>
      </w:tr>
    </w:tbl>
    <w:p w14:paraId="1EE519B6">
      <w:pPr>
        <w:overflowPunct w:val="0"/>
        <w:ind w:left="3200" w:leftChars="2000"/>
        <w:jc w:val="both"/>
        <w:rPr>
          <w:rFonts w:hint="default" w:ascii="Calibri" w:hAnsi="Calibri" w:eastAsia="楷体_GB2312" w:cs="Calibri"/>
          <w:b/>
          <w:bCs/>
          <w:sz w:val="20"/>
          <w:szCs w:val="20"/>
          <w:lang w:eastAsia="zh-CN"/>
        </w:rPr>
      </w:pPr>
    </w:p>
    <w:p w14:paraId="56182DC3">
      <w:pPr>
        <w:overflowPunct w:val="0"/>
        <w:ind w:left="3200" w:leftChars="2000"/>
        <w:jc w:val="both"/>
        <w:rPr>
          <w:rFonts w:hint="default" w:ascii="Calibri" w:hAnsi="Calibri" w:eastAsia="楷体_GB2312" w:cs="Calibri"/>
          <w:b/>
          <w:bCs/>
          <w:sz w:val="20"/>
          <w:szCs w:val="20"/>
          <w:lang w:val="en-US" w:eastAsia="zh-CN"/>
        </w:rPr>
      </w:pPr>
    </w:p>
    <w:p w14:paraId="78A07917">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电价方面，据EIA最新预测，2025年美国批发电价将呈现显著区域分化，多数地区价格大幅上涨。</w:t>
      </w:r>
      <w:r>
        <w:rPr>
          <w:rFonts w:hint="default" w:ascii="Calibri" w:hAnsi="Calibri" w:eastAsia="楷体_GB2312" w:cs="Calibri"/>
          <w:sz w:val="20"/>
          <w:szCs w:val="20"/>
          <w:lang w:val="en-US" w:eastAsia="zh-CN"/>
        </w:rPr>
        <w:t>以STEO追踪的主要电价枢纽为例，2025年批发电价加权平均预计达51美元/MWh，较2024年上涨约34%。</w:t>
      </w:r>
    </w:p>
    <w:p w14:paraId="3F524CBC">
      <w:pPr>
        <w:overflowPunct w:val="0"/>
        <w:ind w:left="3200" w:leftChars="2000"/>
        <w:jc w:val="both"/>
        <w:rPr>
          <w:rFonts w:hint="default" w:ascii="Calibri" w:hAnsi="Calibri" w:eastAsia="楷体_GB2312" w:cs="Calibri"/>
          <w:sz w:val="20"/>
          <w:szCs w:val="20"/>
          <w:lang w:val="en-US" w:eastAsia="zh-CN"/>
        </w:rPr>
      </w:pPr>
    </w:p>
    <w:p w14:paraId="535698FE">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美国本土48州大多数主要交易中心的日前平均批发电力价格在2025年高于2024年，这主要是由于天然气价格上涨导致发电成本增加。</w:t>
      </w:r>
      <w:r>
        <w:rPr>
          <w:rFonts w:hint="default" w:ascii="Calibri" w:hAnsi="Calibri" w:eastAsia="楷体_GB2312" w:cs="Calibri"/>
          <w:sz w:val="20"/>
          <w:szCs w:val="20"/>
          <w:lang w:val="en-US" w:eastAsia="zh-CN"/>
        </w:rPr>
        <w:t>价格涨幅最大的是新英格兰独立系统运营商（ISO-NE），每兆瓦时（MWh）上涨了29美元；价格跌幅最大的是西北地区中哥伦比亚河谷地区的，每兆瓦时下降了14美元。</w:t>
      </w:r>
    </w:p>
    <w:p w14:paraId="3C383A2A">
      <w:pPr>
        <w:overflowPunct w:val="0"/>
        <w:ind w:left="3200" w:leftChars="2000"/>
        <w:jc w:val="both"/>
        <w:rPr>
          <w:rFonts w:hint="default" w:ascii="Calibri" w:hAnsi="Calibri" w:eastAsia="楷体_GB2312" w:cs="Calibri"/>
          <w:sz w:val="20"/>
          <w:szCs w:val="20"/>
          <w:lang w:val="en-US" w:eastAsia="zh-CN"/>
        </w:rPr>
      </w:pPr>
    </w:p>
    <w:tbl>
      <w:tblPr>
        <w:tblStyle w:val="26"/>
        <w:tblW w:w="10490" w:type="dxa"/>
        <w:tblInd w:w="384" w:type="dxa"/>
        <w:tblLayout w:type="fixed"/>
        <w:tblCellMar>
          <w:top w:w="0" w:type="dxa"/>
          <w:left w:w="108" w:type="dxa"/>
          <w:bottom w:w="0" w:type="dxa"/>
          <w:right w:w="108" w:type="dxa"/>
        </w:tblCellMar>
      </w:tblPr>
      <w:tblGrid>
        <w:gridCol w:w="5103"/>
        <w:gridCol w:w="238"/>
        <w:gridCol w:w="5149"/>
      </w:tblGrid>
      <w:tr w14:paraId="39AFE0D2">
        <w:tblPrEx>
          <w:tblCellMar>
            <w:top w:w="0" w:type="dxa"/>
            <w:left w:w="108" w:type="dxa"/>
            <w:bottom w:w="0" w:type="dxa"/>
            <w:right w:w="108" w:type="dxa"/>
          </w:tblCellMar>
        </w:tblPrEx>
        <w:trPr>
          <w:trHeight w:val="227" w:hRule="atLeast"/>
        </w:trPr>
        <w:tc>
          <w:tcPr>
            <w:tcW w:w="5103" w:type="dxa"/>
            <w:tcBorders>
              <w:top w:val="nil"/>
              <w:left w:val="nil"/>
              <w:bottom w:val="single" w:color="auto" w:sz="4" w:space="0"/>
              <w:right w:val="nil"/>
            </w:tcBorders>
            <w:tcMar>
              <w:top w:w="0" w:type="dxa"/>
              <w:left w:w="0" w:type="dxa"/>
              <w:bottom w:w="0" w:type="dxa"/>
              <w:right w:w="28" w:type="dxa"/>
            </w:tcMar>
          </w:tcPr>
          <w:p w14:paraId="541C3AB1">
            <w:pPr>
              <w:overflowPunct w:val="0"/>
              <w:rPr>
                <w:rFonts w:hint="default" w:ascii="Calibri" w:hAnsi="Calibri" w:eastAsia="楷体_GB2312" w:cs="Calibri"/>
                <w:b/>
                <w:sz w:val="18"/>
                <w:szCs w:val="18"/>
                <w:lang w:val="zh-CN" w:eastAsia="zh-CN"/>
              </w:rPr>
            </w:pPr>
            <w:r>
              <w:rPr>
                <w:rFonts w:hint="default" w:ascii="Calibri" w:hAnsi="Calibri" w:eastAsia="楷体_GB2312" w:cs="Calibri"/>
                <w:b/>
                <w:sz w:val="18"/>
                <w:szCs w:val="18"/>
                <w:lang w:val="zh-CN" w:eastAsia="zh-CN"/>
              </w:rPr>
              <w:t>图</w:t>
            </w:r>
            <w:r>
              <w:rPr>
                <w:rFonts w:hint="default" w:ascii="Calibri" w:hAnsi="Calibri" w:eastAsia="楷体_GB2312" w:cs="Calibri"/>
                <w:b/>
                <w:sz w:val="18"/>
                <w:szCs w:val="18"/>
                <w:lang w:val="en-US" w:eastAsia="zh-CN"/>
              </w:rPr>
              <w:t>19</w:t>
            </w:r>
            <w:r>
              <w:rPr>
                <w:rFonts w:hint="default" w:ascii="Calibri" w:hAnsi="Calibri" w:eastAsia="楷体_GB2312" w:cs="Calibri"/>
                <w:b/>
                <w:sz w:val="18"/>
                <w:szCs w:val="18"/>
                <w:lang w:val="zh-CN" w:eastAsia="zh-CN"/>
              </w:rPr>
              <w:t>：202</w:t>
            </w:r>
            <w:r>
              <w:rPr>
                <w:rFonts w:hint="default" w:ascii="Calibri" w:hAnsi="Calibri" w:eastAsia="楷体_GB2312" w:cs="Calibri"/>
                <w:b/>
                <w:sz w:val="18"/>
                <w:szCs w:val="18"/>
                <w:lang w:val="en-US" w:eastAsia="zh-CN"/>
              </w:rPr>
              <w:t>4</w:t>
            </w:r>
            <w:r>
              <w:rPr>
                <w:rFonts w:hint="default" w:ascii="Calibri" w:hAnsi="Calibri" w:eastAsia="楷体_GB2312" w:cs="Calibri"/>
                <w:b/>
                <w:sz w:val="18"/>
                <w:szCs w:val="18"/>
                <w:lang w:val="zh-CN" w:eastAsia="zh-CN"/>
              </w:rPr>
              <w:t>-202</w:t>
            </w:r>
            <w:r>
              <w:rPr>
                <w:rFonts w:hint="default" w:ascii="Calibri" w:hAnsi="Calibri" w:eastAsia="楷体_GB2312" w:cs="Calibri"/>
                <w:b/>
                <w:sz w:val="18"/>
                <w:szCs w:val="18"/>
                <w:lang w:val="en-US" w:eastAsia="zh-CN"/>
              </w:rPr>
              <w:t>6E</w:t>
            </w:r>
            <w:r>
              <w:rPr>
                <w:rFonts w:hint="default" w:ascii="Calibri" w:hAnsi="Calibri" w:eastAsia="楷体_GB2312" w:cs="Calibri"/>
                <w:b/>
                <w:sz w:val="18"/>
                <w:szCs w:val="18"/>
                <w:lang w:val="zh-CN" w:eastAsia="zh-CN"/>
              </w:rPr>
              <w:t>主要交易中心的</w:t>
            </w:r>
            <w:r>
              <w:rPr>
                <w:rFonts w:hint="default" w:ascii="Calibri" w:hAnsi="Calibri" w:eastAsia="楷体_GB2312" w:cs="Calibri"/>
                <w:b/>
                <w:sz w:val="18"/>
                <w:szCs w:val="18"/>
                <w:lang w:val="en-US" w:eastAsia="zh-CN"/>
              </w:rPr>
              <w:t>年度</w:t>
            </w:r>
            <w:r>
              <w:rPr>
                <w:rFonts w:hint="default" w:ascii="Calibri" w:hAnsi="Calibri" w:eastAsia="楷体_GB2312" w:cs="Calibri"/>
                <w:b/>
                <w:sz w:val="18"/>
                <w:szCs w:val="18"/>
                <w:lang w:val="zh-CN" w:eastAsia="zh-CN"/>
              </w:rPr>
              <w:t>批发电价</w:t>
            </w:r>
          </w:p>
        </w:tc>
        <w:tc>
          <w:tcPr>
            <w:tcW w:w="238" w:type="dxa"/>
            <w:tcBorders>
              <w:top w:val="nil"/>
              <w:left w:val="nil"/>
              <w:bottom w:val="nil"/>
              <w:right w:val="nil"/>
            </w:tcBorders>
            <w:tcMar>
              <w:top w:w="0" w:type="dxa"/>
              <w:left w:w="0" w:type="dxa"/>
              <w:bottom w:w="0" w:type="dxa"/>
              <w:right w:w="28" w:type="dxa"/>
            </w:tcMar>
          </w:tcPr>
          <w:p w14:paraId="5A04858C">
            <w:pPr>
              <w:overflowPunct w:val="0"/>
              <w:rPr>
                <w:rFonts w:hint="default" w:ascii="Calibri" w:hAnsi="Calibri" w:eastAsia="楷体_GB2312" w:cs="Calibri"/>
                <w:b/>
                <w:sz w:val="18"/>
                <w:szCs w:val="18"/>
                <w:lang w:val="zh-CN" w:eastAsia="zh-CN"/>
              </w:rPr>
            </w:pPr>
            <w:r>
              <w:rPr>
                <w:rFonts w:hint="default" w:ascii="Calibri" w:hAnsi="Calibri" w:eastAsia="楷体_GB2312" w:cs="Calibri"/>
                <w:b/>
                <w:sz w:val="18"/>
                <w:szCs w:val="18"/>
                <w:lang w:val="zh-CN" w:eastAsia="zh-CN"/>
              </w:rPr>
              <w:t xml:space="preserve">         </w:t>
            </w:r>
          </w:p>
        </w:tc>
        <w:tc>
          <w:tcPr>
            <w:tcW w:w="5149" w:type="dxa"/>
            <w:tcBorders>
              <w:top w:val="nil"/>
              <w:left w:val="nil"/>
              <w:bottom w:val="single" w:color="auto" w:sz="4" w:space="0"/>
              <w:right w:val="nil"/>
            </w:tcBorders>
            <w:tcMar>
              <w:top w:w="0" w:type="dxa"/>
              <w:left w:w="0" w:type="dxa"/>
              <w:bottom w:w="0" w:type="dxa"/>
              <w:right w:w="28" w:type="dxa"/>
            </w:tcMar>
          </w:tcPr>
          <w:p w14:paraId="7A841F40">
            <w:pPr>
              <w:overflowPunct w:val="0"/>
              <w:rPr>
                <w:rFonts w:hint="default" w:ascii="Calibri" w:hAnsi="Calibri" w:eastAsia="楷体_GB2312" w:cs="Calibri"/>
                <w:b/>
                <w:sz w:val="18"/>
                <w:szCs w:val="18"/>
                <w:lang w:val="zh-CN" w:eastAsia="zh-CN"/>
              </w:rPr>
            </w:pPr>
            <w:r>
              <w:rPr>
                <w:rFonts w:hint="default" w:ascii="Calibri" w:hAnsi="Calibri" w:eastAsia="楷体_GB2312" w:cs="Calibri"/>
                <w:b/>
                <w:sz w:val="18"/>
                <w:szCs w:val="18"/>
                <w:lang w:val="zh-CN" w:eastAsia="zh-CN"/>
              </w:rPr>
              <w:t>图</w:t>
            </w:r>
            <w:r>
              <w:rPr>
                <w:rFonts w:hint="default" w:ascii="Calibri" w:hAnsi="Calibri" w:eastAsia="楷体_GB2312" w:cs="Calibri"/>
                <w:b/>
                <w:sz w:val="18"/>
                <w:szCs w:val="18"/>
                <w:lang w:val="en-US" w:eastAsia="zh-CN"/>
              </w:rPr>
              <w:t>20</w:t>
            </w:r>
            <w:r>
              <w:rPr>
                <w:rFonts w:hint="default" w:ascii="Calibri" w:hAnsi="Calibri" w:eastAsia="楷体_GB2312" w:cs="Calibri"/>
                <w:b/>
                <w:sz w:val="18"/>
                <w:szCs w:val="18"/>
                <w:lang w:val="zh-CN" w:eastAsia="zh-CN"/>
              </w:rPr>
              <w:t>：202</w:t>
            </w:r>
            <w:r>
              <w:rPr>
                <w:rFonts w:hint="default" w:ascii="Calibri" w:hAnsi="Calibri" w:eastAsia="楷体_GB2312" w:cs="Calibri"/>
                <w:b/>
                <w:sz w:val="18"/>
                <w:szCs w:val="18"/>
                <w:lang w:val="en-US" w:eastAsia="zh-CN"/>
              </w:rPr>
              <w:t>4</w:t>
            </w:r>
            <w:r>
              <w:rPr>
                <w:rFonts w:hint="default" w:ascii="Calibri" w:hAnsi="Calibri" w:eastAsia="楷体_GB2312" w:cs="Calibri"/>
                <w:b/>
                <w:sz w:val="18"/>
                <w:szCs w:val="18"/>
                <w:lang w:val="zh-CN" w:eastAsia="zh-CN"/>
              </w:rPr>
              <w:t>-202</w:t>
            </w:r>
            <w:r>
              <w:rPr>
                <w:rFonts w:hint="default" w:ascii="Calibri" w:hAnsi="Calibri" w:eastAsia="楷体_GB2312" w:cs="Calibri"/>
                <w:b/>
                <w:sz w:val="18"/>
                <w:szCs w:val="18"/>
                <w:lang w:val="en-US" w:eastAsia="zh-CN"/>
              </w:rPr>
              <w:t>5</w:t>
            </w:r>
            <w:r>
              <w:rPr>
                <w:rFonts w:hint="default" w:ascii="Calibri" w:hAnsi="Calibri" w:eastAsia="楷体_GB2312" w:cs="Calibri"/>
                <w:b/>
                <w:sz w:val="18"/>
                <w:szCs w:val="18"/>
                <w:lang w:val="zh-CN" w:eastAsia="zh-CN"/>
              </w:rPr>
              <w:t>年主要交易中心的月均批发电价</w:t>
            </w:r>
          </w:p>
        </w:tc>
      </w:tr>
      <w:tr w14:paraId="15B1D5C5">
        <w:tblPrEx>
          <w:tblCellMar>
            <w:top w:w="0" w:type="dxa"/>
            <w:left w:w="108" w:type="dxa"/>
            <w:bottom w:w="0" w:type="dxa"/>
            <w:right w:w="108" w:type="dxa"/>
          </w:tblCellMar>
        </w:tblPrEx>
        <w:trPr>
          <w:trHeight w:val="2219" w:hRule="atLeast"/>
        </w:trPr>
        <w:tc>
          <w:tcPr>
            <w:tcW w:w="5103" w:type="dxa"/>
            <w:tcBorders>
              <w:top w:val="single" w:color="auto" w:sz="4" w:space="0"/>
              <w:left w:val="nil"/>
              <w:bottom w:val="single" w:color="auto" w:sz="4" w:space="0"/>
              <w:right w:val="nil"/>
            </w:tcBorders>
            <w:tcMar>
              <w:top w:w="0" w:type="dxa"/>
              <w:left w:w="0" w:type="dxa"/>
              <w:bottom w:w="0" w:type="dxa"/>
              <w:right w:w="28" w:type="dxa"/>
            </w:tcMar>
            <w:vAlign w:val="center"/>
          </w:tcPr>
          <w:p w14:paraId="2B50BAD2">
            <w:pPr>
              <w:overflowPunct w:val="0"/>
              <w:spacing w:before="48" w:beforeLines="20" w:after="48" w:afterLines="20"/>
              <w:jc w:val="center"/>
              <w:textAlignment w:val="center"/>
              <w:rPr>
                <w:rFonts w:hint="default" w:ascii="Calibri" w:hAnsi="Calibri" w:eastAsia="楷体_GB2312" w:cs="Calibri"/>
                <w:b/>
                <w:color w:val="000000"/>
                <w:sz w:val="15"/>
                <w:szCs w:val="15"/>
              </w:rPr>
            </w:pPr>
            <w:r>
              <w:rPr>
                <w:rFonts w:hint="default" w:ascii="Calibri" w:hAnsi="Calibri" w:eastAsia="楷体_GB2312" w:cs="Calibri"/>
              </w:rPr>
              <w:drawing>
                <wp:inline distT="0" distB="0" distL="114300" distR="114300">
                  <wp:extent cx="3136900" cy="1163320"/>
                  <wp:effectExtent l="0" t="0" r="6350" b="0"/>
                  <wp:docPr id="35" name="图片 10"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0" descr="图表, 条形图&#10;&#10;AI 生成的内容可能不正确。"/>
                          <pic:cNvPicPr>
                            <a:picLocks noChangeAspect="1"/>
                          </pic:cNvPicPr>
                        </pic:nvPicPr>
                        <pic:blipFill>
                          <a:blip r:embed="rId32"/>
                          <a:stretch>
                            <a:fillRect/>
                          </a:stretch>
                        </pic:blipFill>
                        <pic:spPr>
                          <a:xfrm>
                            <a:off x="0" y="0"/>
                            <a:ext cx="3146205" cy="1166961"/>
                          </a:xfrm>
                          <a:prstGeom prst="rect">
                            <a:avLst/>
                          </a:prstGeom>
                          <a:noFill/>
                          <a:ln>
                            <a:noFill/>
                          </a:ln>
                        </pic:spPr>
                      </pic:pic>
                    </a:graphicData>
                  </a:graphic>
                </wp:inline>
              </w:drawing>
            </w:r>
          </w:p>
        </w:tc>
        <w:tc>
          <w:tcPr>
            <w:tcW w:w="238" w:type="dxa"/>
            <w:tcBorders>
              <w:top w:val="nil"/>
              <w:left w:val="nil"/>
              <w:bottom w:val="nil"/>
              <w:right w:val="nil"/>
            </w:tcBorders>
            <w:tcMar>
              <w:top w:w="0" w:type="dxa"/>
              <w:left w:w="0" w:type="dxa"/>
              <w:bottom w:w="0" w:type="dxa"/>
              <w:right w:w="28" w:type="dxa"/>
            </w:tcMar>
          </w:tcPr>
          <w:p w14:paraId="531BDEA8">
            <w:pPr>
              <w:overflowPunct w:val="0"/>
              <w:spacing w:before="48" w:beforeLines="20" w:after="48" w:afterLines="20"/>
              <w:rPr>
                <w:rFonts w:hint="default" w:ascii="Calibri" w:hAnsi="Calibri" w:eastAsia="楷体_GB2312" w:cs="Calibri"/>
                <w:sz w:val="15"/>
                <w:szCs w:val="15"/>
              </w:rPr>
            </w:pPr>
          </w:p>
        </w:tc>
        <w:tc>
          <w:tcPr>
            <w:tcW w:w="5149" w:type="dxa"/>
            <w:tcBorders>
              <w:top w:val="single" w:color="auto" w:sz="4" w:space="0"/>
              <w:left w:val="nil"/>
              <w:bottom w:val="single" w:color="auto" w:sz="4" w:space="0"/>
              <w:right w:val="nil"/>
            </w:tcBorders>
            <w:tcMar>
              <w:top w:w="0" w:type="dxa"/>
              <w:left w:w="0" w:type="dxa"/>
              <w:bottom w:w="0" w:type="dxa"/>
              <w:right w:w="28" w:type="dxa"/>
            </w:tcMar>
          </w:tcPr>
          <w:p w14:paraId="6F39C119">
            <w:pPr>
              <w:overflowPunct w:val="0"/>
              <w:spacing w:before="48" w:beforeLines="20" w:after="48" w:afterLines="20"/>
              <w:jc w:val="center"/>
              <w:rPr>
                <w:rFonts w:hint="default" w:ascii="Calibri" w:hAnsi="Calibri" w:eastAsia="楷体_GB2312" w:cs="Calibri"/>
                <w:b/>
                <w:sz w:val="15"/>
                <w:szCs w:val="15"/>
              </w:rPr>
            </w:pPr>
            <w:r>
              <w:rPr>
                <w:rFonts w:hint="default" w:ascii="Calibri" w:hAnsi="Calibri" w:eastAsia="楷体_GB2312" w:cs="Calibri"/>
                <w:b/>
                <w:sz w:val="15"/>
                <w:szCs w:val="15"/>
              </w:rPr>
              <w:drawing>
                <wp:inline distT="0" distB="0" distL="114300" distR="114300">
                  <wp:extent cx="3241040" cy="1583055"/>
                  <wp:effectExtent l="0" t="0" r="10160" b="4445"/>
                  <wp:docPr id="34" name="图片 34" descr="afcb21ee0175b7a75dee64826175e9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afcb21ee0175b7a75dee64826175e9e5"/>
                          <pic:cNvPicPr>
                            <a:picLocks noChangeAspect="1"/>
                          </pic:cNvPicPr>
                        </pic:nvPicPr>
                        <pic:blipFill>
                          <a:blip r:embed="rId33"/>
                          <a:stretch>
                            <a:fillRect/>
                          </a:stretch>
                        </pic:blipFill>
                        <pic:spPr>
                          <a:xfrm>
                            <a:off x="0" y="0"/>
                            <a:ext cx="3241040" cy="1583055"/>
                          </a:xfrm>
                          <a:prstGeom prst="rect">
                            <a:avLst/>
                          </a:prstGeom>
                        </pic:spPr>
                      </pic:pic>
                    </a:graphicData>
                  </a:graphic>
                </wp:inline>
              </w:drawing>
            </w:r>
          </w:p>
        </w:tc>
      </w:tr>
      <w:tr w14:paraId="2B215445">
        <w:tblPrEx>
          <w:tblCellMar>
            <w:top w:w="0" w:type="dxa"/>
            <w:left w:w="108" w:type="dxa"/>
            <w:bottom w:w="0" w:type="dxa"/>
            <w:right w:w="108" w:type="dxa"/>
          </w:tblCellMar>
        </w:tblPrEx>
        <w:tc>
          <w:tcPr>
            <w:tcW w:w="5103" w:type="dxa"/>
            <w:tcBorders>
              <w:top w:val="single" w:color="auto" w:sz="4" w:space="0"/>
              <w:left w:val="nil"/>
              <w:bottom w:val="nil"/>
              <w:right w:val="nil"/>
            </w:tcBorders>
            <w:tcMar>
              <w:top w:w="0" w:type="dxa"/>
              <w:left w:w="0" w:type="dxa"/>
              <w:bottom w:w="0" w:type="dxa"/>
              <w:right w:w="28" w:type="dxa"/>
            </w:tcMar>
            <w:vAlign w:val="center"/>
          </w:tcPr>
          <w:p w14:paraId="62629971">
            <w:pPr>
              <w:overflowPunct w:val="0"/>
              <w:spacing w:before="48" w:beforeLines="20" w:after="48" w:afterLines="20"/>
              <w:textAlignment w:val="center"/>
              <w:rPr>
                <w:rFonts w:hint="default" w:ascii="Calibri" w:hAnsi="Calibri" w:eastAsia="楷体_GB2312" w:cs="Calibri"/>
                <w:sz w:val="10"/>
                <w:szCs w:val="10"/>
                <w:lang w:eastAsia="zh-CN"/>
              </w:rPr>
            </w:pPr>
            <w:r>
              <w:rPr>
                <w:rFonts w:hint="default" w:ascii="Calibri" w:hAnsi="Calibri" w:eastAsia="楷体_GB2312" w:cs="Calibri"/>
                <w:i/>
                <w:iCs/>
                <w:lang w:val="zh-CN" w:eastAsia="zh-CN"/>
              </w:rPr>
              <w:t>资料来源：EIA，HFI</w:t>
            </w:r>
          </w:p>
        </w:tc>
        <w:tc>
          <w:tcPr>
            <w:tcW w:w="238" w:type="dxa"/>
            <w:tcBorders>
              <w:top w:val="nil"/>
              <w:left w:val="nil"/>
              <w:bottom w:val="nil"/>
              <w:right w:val="nil"/>
            </w:tcBorders>
            <w:tcMar>
              <w:top w:w="0" w:type="dxa"/>
              <w:left w:w="0" w:type="dxa"/>
              <w:bottom w:w="0" w:type="dxa"/>
              <w:right w:w="28" w:type="dxa"/>
            </w:tcMar>
          </w:tcPr>
          <w:p w14:paraId="7BA56AB3">
            <w:pPr>
              <w:overflowPunct w:val="0"/>
              <w:spacing w:before="48" w:beforeLines="20" w:after="48" w:afterLines="20"/>
              <w:rPr>
                <w:rFonts w:hint="default" w:ascii="Calibri" w:hAnsi="Calibri" w:eastAsia="楷体_GB2312" w:cs="Calibri"/>
                <w:sz w:val="15"/>
                <w:szCs w:val="15"/>
                <w:lang w:eastAsia="zh-CN"/>
              </w:rPr>
            </w:pPr>
          </w:p>
        </w:tc>
        <w:tc>
          <w:tcPr>
            <w:tcW w:w="5149" w:type="dxa"/>
            <w:tcBorders>
              <w:top w:val="single" w:color="auto" w:sz="4" w:space="0"/>
              <w:left w:val="nil"/>
              <w:bottom w:val="nil"/>
              <w:right w:val="nil"/>
            </w:tcBorders>
            <w:tcMar>
              <w:top w:w="0" w:type="dxa"/>
              <w:left w:w="0" w:type="dxa"/>
              <w:bottom w:w="0" w:type="dxa"/>
              <w:right w:w="28" w:type="dxa"/>
            </w:tcMar>
          </w:tcPr>
          <w:p w14:paraId="13FB4F63">
            <w:pPr>
              <w:overflowPunct w:val="0"/>
              <w:spacing w:before="48" w:beforeLines="20" w:after="48" w:afterLines="20"/>
              <w:rPr>
                <w:rFonts w:hint="default" w:ascii="Calibri" w:hAnsi="Calibri" w:eastAsia="楷体_GB2312" w:cs="Calibri"/>
                <w:sz w:val="10"/>
                <w:szCs w:val="10"/>
                <w:lang w:eastAsia="zh-CN"/>
              </w:rPr>
            </w:pPr>
            <w:r>
              <w:rPr>
                <w:rFonts w:hint="default" w:ascii="Calibri" w:hAnsi="Calibri" w:eastAsia="楷体_GB2312" w:cs="Calibri"/>
                <w:i/>
                <w:iCs/>
                <w:lang w:val="zh-CN" w:eastAsia="zh-CN"/>
              </w:rPr>
              <w:t>资料来源：EIA，HFI</w:t>
            </w:r>
          </w:p>
        </w:tc>
      </w:tr>
    </w:tbl>
    <w:p w14:paraId="38AAA399">
      <w:pPr>
        <w:overflowPunct w:val="0"/>
        <w:ind w:left="3200" w:leftChars="2000"/>
        <w:jc w:val="both"/>
        <w:rPr>
          <w:rFonts w:hint="default" w:ascii="Calibri" w:hAnsi="Calibri" w:eastAsia="楷体_GB2312" w:cs="Calibri"/>
          <w:sz w:val="20"/>
          <w:szCs w:val="20"/>
          <w:lang w:val="en-US" w:eastAsia="zh-CN"/>
        </w:rPr>
      </w:pPr>
    </w:p>
    <w:p w14:paraId="0552F7D5">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据EIA统计，美国月度电力的平均零售价格中枢持续抬高，截至2025年10月，平均零售价格为$0.134/kWh（13.43美分/千瓦时），较9月环比下降约1.5%。</w:t>
      </w:r>
    </w:p>
    <w:p w14:paraId="5AFA5249">
      <w:pPr>
        <w:overflowPunct w:val="0"/>
        <w:ind w:left="3200" w:leftChars="2000"/>
        <w:jc w:val="both"/>
        <w:rPr>
          <w:rFonts w:hint="default" w:ascii="Calibri" w:hAnsi="Calibri" w:eastAsia="楷体_GB2312" w:cs="Calibri"/>
          <w:sz w:val="20"/>
          <w:szCs w:val="20"/>
          <w:lang w:val="en-US" w:eastAsia="zh-CN"/>
        </w:rPr>
      </w:pPr>
    </w:p>
    <w:tbl>
      <w:tblPr>
        <w:tblStyle w:val="27"/>
        <w:tblW w:w="7459" w:type="dxa"/>
        <w:tblInd w:w="3249"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7459"/>
      </w:tblGrid>
      <w:tr w14:paraId="685901DD">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PrEx>
        <w:tc>
          <w:tcPr>
            <w:tcW w:w="7459" w:type="dxa"/>
            <w:tcBorders>
              <w:bottom w:val="single" w:color="auto" w:sz="4" w:space="0"/>
            </w:tcBorders>
          </w:tcPr>
          <w:p w14:paraId="5033A54B">
            <w:pPr>
              <w:overflowPunct w:val="0"/>
              <w:rPr>
                <w:rFonts w:hint="default" w:ascii="Calibri" w:hAnsi="Calibri" w:eastAsia="楷体_GB2312" w:cs="Calibri"/>
                <w:b/>
                <w:sz w:val="18"/>
                <w:szCs w:val="20"/>
                <w:lang w:eastAsia="zh-CN"/>
              </w:rPr>
            </w:pPr>
            <w:r>
              <w:rPr>
                <w:rFonts w:hint="default" w:ascii="Calibri" w:hAnsi="Calibri" w:eastAsia="楷体_GB2312" w:cs="Calibri"/>
                <w:b/>
                <w:sz w:val="18"/>
                <w:szCs w:val="18"/>
                <w:lang w:eastAsia="zh-CN"/>
              </w:rPr>
              <w:t>图2</w:t>
            </w:r>
            <w:r>
              <w:rPr>
                <w:rFonts w:hint="default" w:ascii="Calibri" w:hAnsi="Calibri" w:eastAsia="楷体_GB2312" w:cs="Calibri"/>
                <w:b/>
                <w:sz w:val="18"/>
                <w:szCs w:val="18"/>
                <w:lang w:val="en-US" w:eastAsia="zh-CN"/>
              </w:rPr>
              <w:t>1</w:t>
            </w:r>
            <w:r>
              <w:rPr>
                <w:rFonts w:hint="default" w:ascii="Calibri" w:hAnsi="Calibri" w:eastAsia="楷体_GB2312" w:cs="Calibri"/>
                <w:b/>
                <w:sz w:val="18"/>
                <w:szCs w:val="18"/>
                <w:lang w:eastAsia="zh-CN"/>
              </w:rPr>
              <w:t>：美国月度电力平均零售价格 (¢/KWh)</w:t>
            </w:r>
          </w:p>
        </w:tc>
      </w:tr>
      <w:tr w14:paraId="3449CF39">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3061" w:hRule="atLeast"/>
        </w:trPr>
        <w:tc>
          <w:tcPr>
            <w:tcW w:w="7459" w:type="dxa"/>
            <w:tcBorders>
              <w:top w:val="single" w:color="auto" w:sz="4" w:space="0"/>
              <w:bottom w:val="single" w:color="auto" w:sz="4" w:space="0"/>
            </w:tcBorders>
            <w:vAlign w:val="center"/>
          </w:tcPr>
          <w:p w14:paraId="39A97066">
            <w:pPr>
              <w:overflowPunct w:val="0"/>
              <w:jc w:val="center"/>
              <w:rPr>
                <w:rFonts w:hint="default" w:ascii="Calibri" w:hAnsi="Calibri" w:eastAsia="楷体_GB2312" w:cs="Calibri"/>
                <w:sz w:val="10"/>
              </w:rPr>
            </w:pPr>
            <w:r>
              <w:rPr>
                <w:rFonts w:hint="default" w:ascii="Calibri" w:hAnsi="Calibri" w:eastAsia="楷体_GB2312" w:cs="Calibri"/>
              </w:rPr>
              <w:drawing>
                <wp:inline distT="0" distB="0" distL="114300" distR="114300">
                  <wp:extent cx="4590415" cy="1675765"/>
                  <wp:effectExtent l="0" t="0" r="6985" b="635"/>
                  <wp:docPr id="3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1"/>
                          <pic:cNvPicPr>
                            <a:picLocks noChangeAspect="1"/>
                          </pic:cNvPicPr>
                        </pic:nvPicPr>
                        <pic:blipFill>
                          <a:blip r:embed="rId34"/>
                          <a:stretch>
                            <a:fillRect/>
                          </a:stretch>
                        </pic:blipFill>
                        <pic:spPr>
                          <a:xfrm>
                            <a:off x="0" y="0"/>
                            <a:ext cx="4590415" cy="1675765"/>
                          </a:xfrm>
                          <a:prstGeom prst="rect">
                            <a:avLst/>
                          </a:prstGeom>
                          <a:noFill/>
                          <a:ln>
                            <a:noFill/>
                          </a:ln>
                        </pic:spPr>
                      </pic:pic>
                    </a:graphicData>
                  </a:graphic>
                </wp:inline>
              </w:drawing>
            </w:r>
          </w:p>
        </w:tc>
      </w:tr>
      <w:tr w14:paraId="1ADEEF09">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7459" w:type="dxa"/>
            <w:tcBorders>
              <w:top w:val="single" w:color="auto" w:sz="4" w:space="0"/>
            </w:tcBorders>
          </w:tcPr>
          <w:p w14:paraId="0E9F9334">
            <w:pPr>
              <w:rPr>
                <w:rFonts w:hint="default" w:ascii="Calibri" w:hAnsi="Calibri" w:eastAsia="楷体_GB2312" w:cs="Calibri"/>
                <w:i/>
                <w:iCs/>
                <w:sz w:val="15"/>
                <w:szCs w:val="15"/>
              </w:rPr>
            </w:pPr>
            <w:r>
              <w:rPr>
                <w:rFonts w:hint="default" w:ascii="Calibri" w:hAnsi="Calibri" w:eastAsia="楷体_GB2312" w:cs="Calibri"/>
                <w:i/>
                <w:iCs/>
                <w:sz w:val="15"/>
                <w:szCs w:val="15"/>
              </w:rPr>
              <w:t>资料来源:</w:t>
            </w:r>
            <w:r>
              <w:rPr>
                <w:rFonts w:hint="default" w:ascii="Calibri" w:hAnsi="Calibri" w:eastAsia="楷体_GB2312" w:cs="Calibri"/>
                <w:i/>
                <w:iCs/>
                <w:sz w:val="15"/>
                <w:szCs w:val="15"/>
                <w:lang w:eastAsia="zh-CN"/>
              </w:rPr>
              <w:t xml:space="preserve">  </w:t>
            </w:r>
            <w:r>
              <w:rPr>
                <w:rFonts w:hint="default" w:ascii="Calibri" w:hAnsi="Calibri" w:eastAsia="楷体_GB2312" w:cs="Calibri"/>
                <w:i/>
                <w:iCs/>
                <w:sz w:val="15"/>
                <w:szCs w:val="15"/>
                <w:lang w:val="en-US" w:eastAsia="zh-CN"/>
              </w:rPr>
              <w:t>EIA</w:t>
            </w:r>
            <w:r>
              <w:rPr>
                <w:rFonts w:hint="default" w:ascii="Calibri" w:hAnsi="Calibri" w:eastAsia="楷体_GB2312" w:cs="Calibri"/>
                <w:i/>
                <w:iCs/>
                <w:sz w:val="15"/>
                <w:szCs w:val="15"/>
              </w:rPr>
              <w:t xml:space="preserve">， </w:t>
            </w:r>
            <w:r>
              <w:rPr>
                <w:rFonts w:hint="default" w:ascii="Calibri" w:hAnsi="Calibri" w:eastAsia="楷体_GB2312" w:cs="Calibri"/>
                <w:i/>
                <w:iCs/>
                <w:sz w:val="15"/>
                <w:szCs w:val="15"/>
                <w:lang w:eastAsia="zh-CN"/>
              </w:rPr>
              <w:t>HFI</w:t>
            </w:r>
          </w:p>
        </w:tc>
      </w:tr>
    </w:tbl>
    <w:p w14:paraId="7584E822">
      <w:pPr>
        <w:overflowPunct w:val="0"/>
        <w:ind w:left="3200" w:leftChars="2000"/>
        <w:jc w:val="both"/>
        <w:rPr>
          <w:rFonts w:hint="default" w:ascii="Calibri" w:hAnsi="Calibri" w:eastAsia="楷体_GB2312" w:cs="Calibri"/>
          <w:sz w:val="20"/>
          <w:szCs w:val="20"/>
          <w:lang w:eastAsia="zh-CN"/>
        </w:rPr>
      </w:pPr>
    </w:p>
    <w:p w14:paraId="06CA6594">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据EIA统计，2月</w:t>
      </w:r>
      <w:r>
        <w:rPr>
          <w:rFonts w:hint="default" w:ascii="Calibri" w:hAnsi="Calibri" w:eastAsia="楷体_GB2312" w:cs="Calibri"/>
          <w:sz w:val="20"/>
          <w:szCs w:val="20"/>
          <w:lang w:val="en-US" w:eastAsia="zh-CN"/>
        </w:rPr>
        <w:t>25</w:t>
      </w:r>
      <w:r>
        <w:rPr>
          <w:rFonts w:hint="default" w:ascii="Calibri" w:hAnsi="Calibri" w:eastAsia="楷体_GB2312" w:cs="Calibri"/>
          <w:sz w:val="20"/>
          <w:szCs w:val="20"/>
          <w:lang w:val="en-US" w:eastAsia="zh-CN"/>
        </w:rPr>
        <w:t>日，美国主要地区电力平均现货价格为</w:t>
      </w:r>
      <w:r>
        <w:rPr>
          <w:rFonts w:hint="default" w:ascii="Calibri" w:hAnsi="Calibri" w:eastAsia="楷体_GB2312" w:cs="Calibri"/>
          <w:sz w:val="20"/>
          <w:szCs w:val="20"/>
          <w:lang w:val="en-US" w:eastAsia="zh-CN"/>
        </w:rPr>
        <w:t>$34.16</w:t>
      </w:r>
      <w:r>
        <w:rPr>
          <w:rFonts w:hint="default" w:ascii="Calibri" w:hAnsi="Calibri" w:eastAsia="楷体_GB2312" w:cs="Calibri"/>
          <w:sz w:val="20"/>
          <w:szCs w:val="20"/>
          <w:lang w:val="en-US" w:eastAsia="zh-CN"/>
        </w:rPr>
        <w:t>/MWh</w:t>
      </w:r>
      <w:r>
        <w:rPr>
          <w:rFonts w:hint="default" w:ascii="Calibri" w:hAnsi="Calibri" w:eastAsia="楷体_GB2312" w:cs="Calibri"/>
          <w:sz w:val="20"/>
          <w:szCs w:val="20"/>
          <w:lang w:val="en-US" w:eastAsia="zh-CN"/>
        </w:rPr>
        <w:t>。</w:t>
      </w:r>
    </w:p>
    <w:p w14:paraId="1DA790BF">
      <w:pPr>
        <w:overflowPunct w:val="0"/>
        <w:jc w:val="both"/>
        <w:rPr>
          <w:rFonts w:hint="default" w:ascii="Calibri" w:hAnsi="Calibri" w:eastAsia="楷体_GB2312" w:cs="Calibri"/>
          <w:sz w:val="20"/>
          <w:szCs w:val="20"/>
          <w:lang w:val="en-US" w:eastAsia="zh-CN"/>
        </w:rPr>
      </w:pPr>
    </w:p>
    <w:tbl>
      <w:tblPr>
        <w:tblStyle w:val="27"/>
        <w:tblW w:w="7459" w:type="dxa"/>
        <w:tblInd w:w="3249"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7459"/>
      </w:tblGrid>
      <w:tr w14:paraId="0A1FDFBE">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PrEx>
        <w:tc>
          <w:tcPr>
            <w:tcW w:w="7459" w:type="dxa"/>
            <w:tcBorders>
              <w:bottom w:val="single" w:color="auto" w:sz="4" w:space="0"/>
            </w:tcBorders>
          </w:tcPr>
          <w:p w14:paraId="4068A8C8">
            <w:pPr>
              <w:overflowPunct w:val="0"/>
              <w:rPr>
                <w:rFonts w:hint="default" w:ascii="Calibri" w:hAnsi="Calibri" w:eastAsia="楷体_GB2312" w:cs="Calibri"/>
                <w:b/>
                <w:sz w:val="18"/>
                <w:szCs w:val="20"/>
                <w:lang w:eastAsia="zh-CN"/>
              </w:rPr>
            </w:pPr>
            <w:r>
              <w:rPr>
                <w:rFonts w:hint="default" w:ascii="Calibri" w:hAnsi="Calibri" w:eastAsia="楷体_GB2312" w:cs="Calibri"/>
                <w:b/>
                <w:sz w:val="18"/>
                <w:szCs w:val="18"/>
                <w:lang w:eastAsia="zh-CN"/>
              </w:rPr>
              <w:t>表</w:t>
            </w:r>
            <w:r>
              <w:rPr>
                <w:rFonts w:hint="default" w:ascii="Calibri" w:hAnsi="Calibri" w:eastAsia="楷体_GB2312" w:cs="Calibri"/>
                <w:b/>
                <w:sz w:val="18"/>
                <w:szCs w:val="18"/>
                <w:lang w:val="en-US" w:eastAsia="zh-CN"/>
              </w:rPr>
              <w:t>5</w:t>
            </w:r>
            <w:r>
              <w:rPr>
                <w:rFonts w:hint="default" w:ascii="Calibri" w:hAnsi="Calibri" w:eastAsia="楷体_GB2312" w:cs="Calibri"/>
                <w:b/>
                <w:sz w:val="18"/>
                <w:szCs w:val="18"/>
                <w:lang w:eastAsia="zh-CN"/>
              </w:rPr>
              <w:t>：美国主要地区电力现货价格 ($/MWh)</w:t>
            </w:r>
          </w:p>
        </w:tc>
      </w:tr>
      <w:tr w14:paraId="6394E265">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3061" w:hRule="atLeast"/>
        </w:trPr>
        <w:tc>
          <w:tcPr>
            <w:tcW w:w="7459" w:type="dxa"/>
            <w:tcBorders>
              <w:top w:val="single" w:color="auto" w:sz="4" w:space="0"/>
              <w:bottom w:val="single" w:color="auto" w:sz="4" w:space="0"/>
            </w:tcBorders>
            <w:vAlign w:val="center"/>
          </w:tcPr>
          <w:tbl>
            <w:tblPr>
              <w:tblStyle w:val="26"/>
              <w:tblW w:w="7225" w:type="dxa"/>
              <w:jc w:val="center"/>
              <w:tblLayout w:type="autofit"/>
              <w:tblCellMar>
                <w:top w:w="0" w:type="dxa"/>
                <w:left w:w="108" w:type="dxa"/>
                <w:bottom w:w="0" w:type="dxa"/>
                <w:right w:w="108" w:type="dxa"/>
              </w:tblCellMar>
            </w:tblPr>
            <w:tblGrid>
              <w:gridCol w:w="2392"/>
              <w:gridCol w:w="4833"/>
            </w:tblGrid>
            <w:tr w14:paraId="5D0AA646">
              <w:tblPrEx>
                <w:tblCellMar>
                  <w:top w:w="0" w:type="dxa"/>
                  <w:left w:w="108" w:type="dxa"/>
                  <w:bottom w:w="0" w:type="dxa"/>
                  <w:right w:w="108" w:type="dxa"/>
                </w:tblCellMar>
              </w:tblPrEx>
              <w:trPr>
                <w:trHeight w:val="252" w:hRule="atLeast"/>
                <w:jc w:val="center"/>
              </w:trPr>
              <w:tc>
                <w:tcPr>
                  <w:tcW w:w="2392" w:type="dxa"/>
                  <w:tcBorders>
                    <w:top w:val="single" w:color="auto" w:sz="4" w:space="0"/>
                    <w:left w:val="single" w:color="auto" w:sz="4" w:space="0"/>
                    <w:bottom w:val="single" w:color="auto" w:sz="4" w:space="0"/>
                    <w:right w:val="single" w:color="auto" w:sz="4" w:space="0"/>
                  </w:tcBorders>
                  <w:shd w:val="clear" w:color="auto" w:fill="002060"/>
                  <w:noWrap/>
                  <w:vAlign w:val="center"/>
                </w:tcPr>
                <w:p w14:paraId="03D742C2">
                  <w:pPr>
                    <w:jc w:val="center"/>
                    <w:rPr>
                      <w:rFonts w:hint="default" w:ascii="Calibri" w:hAnsi="Calibri" w:eastAsia="楷体_GB2312" w:cs="Calibri"/>
                      <w:b/>
                      <w:bCs/>
                      <w:color w:val="FFFFFF"/>
                      <w:sz w:val="18"/>
                      <w:szCs w:val="18"/>
                    </w:rPr>
                  </w:pPr>
                  <w:r>
                    <w:rPr>
                      <w:rFonts w:hint="default" w:ascii="Calibri" w:hAnsi="Calibri" w:eastAsia="楷体_GB2312" w:cs="Calibri"/>
                      <w:b/>
                      <w:bCs/>
                      <w:color w:val="FFFFFF"/>
                      <w:sz w:val="18"/>
                      <w:szCs w:val="18"/>
                    </w:rPr>
                    <w:t>地区</w:t>
                  </w:r>
                </w:p>
              </w:tc>
              <w:tc>
                <w:tcPr>
                  <w:tcW w:w="4833" w:type="dxa"/>
                  <w:tcBorders>
                    <w:top w:val="single" w:color="auto" w:sz="4" w:space="0"/>
                    <w:left w:val="nil"/>
                    <w:bottom w:val="single" w:color="auto" w:sz="4" w:space="0"/>
                    <w:right w:val="single" w:color="auto" w:sz="4" w:space="0"/>
                  </w:tcBorders>
                  <w:shd w:val="clear" w:color="auto" w:fill="002060"/>
                  <w:noWrap/>
                  <w:vAlign w:val="center"/>
                </w:tcPr>
                <w:p w14:paraId="7428D1EF">
                  <w:pPr>
                    <w:jc w:val="center"/>
                    <w:rPr>
                      <w:rFonts w:hint="default" w:ascii="Calibri" w:hAnsi="Calibri" w:eastAsia="楷体_GB2312" w:cs="Calibri"/>
                      <w:b/>
                      <w:bCs/>
                      <w:color w:val="FFFFFF"/>
                      <w:sz w:val="18"/>
                      <w:szCs w:val="18"/>
                    </w:rPr>
                  </w:pPr>
                  <w:r>
                    <w:rPr>
                      <w:rFonts w:hint="default" w:ascii="Calibri" w:hAnsi="Calibri" w:eastAsia="楷体_GB2312" w:cs="Calibri"/>
                      <w:b/>
                      <w:bCs/>
                      <w:color w:val="FFFFFF"/>
                      <w:sz w:val="18"/>
                      <w:szCs w:val="18"/>
                    </w:rPr>
                    <w:t>价格</w:t>
                  </w:r>
                </w:p>
              </w:tc>
            </w:tr>
            <w:tr w14:paraId="46AAED64">
              <w:tblPrEx>
                <w:tblCellMar>
                  <w:top w:w="0" w:type="dxa"/>
                  <w:left w:w="108" w:type="dxa"/>
                  <w:bottom w:w="0" w:type="dxa"/>
                  <w:right w:w="108" w:type="dxa"/>
                </w:tblCellMar>
              </w:tblPrEx>
              <w:trPr>
                <w:trHeight w:val="252" w:hRule="atLeast"/>
                <w:jc w:val="center"/>
              </w:trPr>
              <w:tc>
                <w:tcPr>
                  <w:tcW w:w="2392" w:type="dxa"/>
                  <w:tcBorders>
                    <w:top w:val="nil"/>
                    <w:left w:val="single" w:color="auto" w:sz="4" w:space="0"/>
                    <w:bottom w:val="single" w:color="auto" w:sz="4" w:space="0"/>
                    <w:right w:val="single" w:color="auto" w:sz="4" w:space="0"/>
                  </w:tcBorders>
                  <w:noWrap/>
                  <w:vAlign w:val="center"/>
                </w:tcPr>
                <w:p w14:paraId="7C99AD5C">
                  <w:pPr>
                    <w:jc w:val="center"/>
                    <w:rPr>
                      <w:rFonts w:hint="default" w:ascii="Calibri" w:hAnsi="Calibri" w:eastAsia="楷体_GB2312" w:cs="Calibri"/>
                      <w:color w:val="000000"/>
                      <w:sz w:val="18"/>
                      <w:szCs w:val="18"/>
                    </w:rPr>
                  </w:pPr>
                  <w:r>
                    <w:rPr>
                      <w:rFonts w:hint="default" w:ascii="Calibri" w:hAnsi="Calibri" w:eastAsia="楷体_GB2312" w:cs="Calibri"/>
                      <w:color w:val="000000"/>
                      <w:sz w:val="18"/>
                      <w:szCs w:val="18"/>
                      <w:lang w:val="zh-CN"/>
                    </w:rPr>
                    <w:t>新英格兰州</w:t>
                  </w:r>
                </w:p>
              </w:tc>
              <w:tc>
                <w:tcPr>
                  <w:tcW w:w="4833" w:type="dxa"/>
                  <w:tcBorders>
                    <w:top w:val="single" w:color="auto" w:sz="4" w:space="0"/>
                    <w:left w:val="single" w:color="auto" w:sz="4" w:space="0"/>
                    <w:bottom w:val="single" w:color="auto" w:sz="4" w:space="0"/>
                    <w:right w:val="single" w:color="auto" w:sz="4" w:space="0"/>
                  </w:tcBorders>
                  <w:noWrap/>
                </w:tcPr>
                <w:p w14:paraId="2E9C8BC6">
                  <w:pPr>
                    <w:jc w:val="center"/>
                    <w:rPr>
                      <w:rFonts w:hint="default" w:ascii="Calibri" w:hAnsi="Calibri" w:eastAsia="楷体_GB2312" w:cs="Calibri"/>
                    </w:rPr>
                  </w:pPr>
                  <w:r>
                    <w:rPr>
                      <w:rFonts w:hint="default" w:ascii="Calibri" w:hAnsi="Calibri" w:eastAsia="楷体_GB2312" w:cs="Calibri"/>
                      <w:lang w:val="en-US" w:eastAsia="zh-CN"/>
                    </w:rPr>
                    <w:t>85.56</w:t>
                  </w:r>
                </w:p>
              </w:tc>
            </w:tr>
            <w:tr w14:paraId="789B7C2E">
              <w:tblPrEx>
                <w:tblCellMar>
                  <w:top w:w="0" w:type="dxa"/>
                  <w:left w:w="108" w:type="dxa"/>
                  <w:bottom w:w="0" w:type="dxa"/>
                  <w:right w:w="108" w:type="dxa"/>
                </w:tblCellMar>
              </w:tblPrEx>
              <w:trPr>
                <w:trHeight w:val="252" w:hRule="atLeast"/>
                <w:jc w:val="center"/>
              </w:trPr>
              <w:tc>
                <w:tcPr>
                  <w:tcW w:w="2392" w:type="dxa"/>
                  <w:tcBorders>
                    <w:top w:val="nil"/>
                    <w:left w:val="single" w:color="auto" w:sz="4" w:space="0"/>
                    <w:bottom w:val="single" w:color="auto" w:sz="4" w:space="0"/>
                    <w:right w:val="single" w:color="auto" w:sz="4" w:space="0"/>
                  </w:tcBorders>
                  <w:noWrap/>
                  <w:vAlign w:val="center"/>
                </w:tcPr>
                <w:p w14:paraId="2661F397">
                  <w:pPr>
                    <w:jc w:val="center"/>
                    <w:rPr>
                      <w:rFonts w:hint="default" w:ascii="Calibri" w:hAnsi="Calibri" w:eastAsia="楷体_GB2312" w:cs="Calibri"/>
                      <w:color w:val="000000"/>
                      <w:sz w:val="18"/>
                      <w:szCs w:val="18"/>
                    </w:rPr>
                  </w:pPr>
                  <w:r>
                    <w:rPr>
                      <w:rFonts w:hint="default" w:ascii="Calibri" w:hAnsi="Calibri" w:eastAsia="楷体_GB2312" w:cs="Calibri"/>
                      <w:color w:val="000000"/>
                      <w:sz w:val="18"/>
                      <w:szCs w:val="18"/>
                      <w:lang w:val="zh-CN"/>
                    </w:rPr>
                    <w:t>纽约市</w:t>
                  </w:r>
                </w:p>
              </w:tc>
              <w:tc>
                <w:tcPr>
                  <w:tcW w:w="4833" w:type="dxa"/>
                  <w:tcBorders>
                    <w:top w:val="single" w:color="auto" w:sz="4" w:space="0"/>
                    <w:left w:val="single" w:color="auto" w:sz="4" w:space="0"/>
                    <w:bottom w:val="single" w:color="auto" w:sz="4" w:space="0"/>
                    <w:right w:val="single" w:color="auto" w:sz="4" w:space="0"/>
                  </w:tcBorders>
                  <w:noWrap/>
                </w:tcPr>
                <w:p w14:paraId="16CAAEAA">
                  <w:pPr>
                    <w:jc w:val="center"/>
                    <w:rPr>
                      <w:rFonts w:hint="default" w:ascii="Calibri" w:hAnsi="Calibri" w:eastAsia="楷体_GB2312" w:cs="Calibri"/>
                    </w:rPr>
                  </w:pPr>
                  <w:r>
                    <w:rPr>
                      <w:rFonts w:hint="default" w:ascii="Calibri" w:hAnsi="Calibri" w:eastAsia="楷体_GB2312" w:cs="Calibri"/>
                      <w:lang w:val="en-US" w:eastAsia="zh-CN"/>
                    </w:rPr>
                    <w:t>82.04</w:t>
                  </w:r>
                </w:p>
              </w:tc>
            </w:tr>
            <w:tr w14:paraId="7B783F3C">
              <w:tblPrEx>
                <w:tblCellMar>
                  <w:top w:w="0" w:type="dxa"/>
                  <w:left w:w="108" w:type="dxa"/>
                  <w:bottom w:w="0" w:type="dxa"/>
                  <w:right w:w="108" w:type="dxa"/>
                </w:tblCellMar>
              </w:tblPrEx>
              <w:trPr>
                <w:trHeight w:val="252" w:hRule="atLeast"/>
                <w:jc w:val="center"/>
              </w:trPr>
              <w:tc>
                <w:tcPr>
                  <w:tcW w:w="2392" w:type="dxa"/>
                  <w:tcBorders>
                    <w:top w:val="nil"/>
                    <w:left w:val="single" w:color="auto" w:sz="4" w:space="0"/>
                    <w:bottom w:val="single" w:color="auto" w:sz="4" w:space="0"/>
                    <w:right w:val="single" w:color="auto" w:sz="4" w:space="0"/>
                  </w:tcBorders>
                  <w:noWrap/>
                  <w:vAlign w:val="center"/>
                </w:tcPr>
                <w:p w14:paraId="7FF7FB66">
                  <w:pPr>
                    <w:jc w:val="center"/>
                    <w:rPr>
                      <w:rFonts w:hint="default" w:ascii="Calibri" w:hAnsi="Calibri" w:eastAsia="楷体_GB2312" w:cs="Calibri"/>
                      <w:color w:val="000000"/>
                      <w:sz w:val="18"/>
                      <w:szCs w:val="18"/>
                    </w:rPr>
                  </w:pPr>
                  <w:r>
                    <w:rPr>
                      <w:rFonts w:hint="default" w:ascii="Calibri" w:hAnsi="Calibri" w:eastAsia="楷体_GB2312" w:cs="Calibri"/>
                      <w:color w:val="000000"/>
                      <w:sz w:val="18"/>
                      <w:szCs w:val="18"/>
                      <w:lang w:val="zh-CN"/>
                    </w:rPr>
                    <w:t>中大西洋州份</w:t>
                  </w:r>
                </w:p>
              </w:tc>
              <w:tc>
                <w:tcPr>
                  <w:tcW w:w="4833" w:type="dxa"/>
                  <w:tcBorders>
                    <w:top w:val="single" w:color="auto" w:sz="4" w:space="0"/>
                    <w:left w:val="single" w:color="auto" w:sz="4" w:space="0"/>
                    <w:bottom w:val="single" w:color="auto" w:sz="4" w:space="0"/>
                    <w:right w:val="single" w:color="auto" w:sz="4" w:space="0"/>
                  </w:tcBorders>
                  <w:noWrap/>
                </w:tcPr>
                <w:p w14:paraId="677480A6">
                  <w:pPr>
                    <w:jc w:val="center"/>
                    <w:rPr>
                      <w:rFonts w:hint="default" w:ascii="Calibri" w:hAnsi="Calibri" w:eastAsia="楷体_GB2312" w:cs="Calibri"/>
                    </w:rPr>
                  </w:pPr>
                  <w:r>
                    <w:rPr>
                      <w:rFonts w:hint="default" w:ascii="Calibri" w:hAnsi="Calibri" w:eastAsia="楷体_GB2312" w:cs="Calibri"/>
                      <w:lang w:val="en-US" w:eastAsia="zh-CN"/>
                    </w:rPr>
                    <w:t>42.71</w:t>
                  </w:r>
                </w:p>
              </w:tc>
            </w:tr>
            <w:tr w14:paraId="35BD53DA">
              <w:tblPrEx>
                <w:tblCellMar>
                  <w:top w:w="0" w:type="dxa"/>
                  <w:left w:w="108" w:type="dxa"/>
                  <w:bottom w:w="0" w:type="dxa"/>
                  <w:right w:w="108" w:type="dxa"/>
                </w:tblCellMar>
              </w:tblPrEx>
              <w:trPr>
                <w:trHeight w:val="231" w:hRule="atLeast"/>
                <w:jc w:val="center"/>
              </w:trPr>
              <w:tc>
                <w:tcPr>
                  <w:tcW w:w="2392" w:type="dxa"/>
                  <w:tcBorders>
                    <w:top w:val="nil"/>
                    <w:left w:val="single" w:color="auto" w:sz="4" w:space="0"/>
                    <w:bottom w:val="single" w:color="auto" w:sz="4" w:space="0"/>
                    <w:right w:val="single" w:color="auto" w:sz="4" w:space="0"/>
                  </w:tcBorders>
                  <w:noWrap/>
                  <w:vAlign w:val="center"/>
                </w:tcPr>
                <w:p w14:paraId="4F1EE652">
                  <w:pPr>
                    <w:jc w:val="center"/>
                    <w:rPr>
                      <w:rFonts w:hint="default" w:ascii="Calibri" w:hAnsi="Calibri" w:eastAsia="楷体_GB2312" w:cs="Calibri"/>
                      <w:color w:val="000000"/>
                      <w:sz w:val="18"/>
                      <w:szCs w:val="18"/>
                    </w:rPr>
                  </w:pPr>
                  <w:r>
                    <w:rPr>
                      <w:rFonts w:hint="default" w:ascii="Calibri" w:hAnsi="Calibri" w:eastAsia="楷体_GB2312" w:cs="Calibri"/>
                      <w:color w:val="000000"/>
                      <w:sz w:val="18"/>
                      <w:szCs w:val="18"/>
                      <w:lang w:val="zh-CN"/>
                    </w:rPr>
                    <w:t>中西部</w:t>
                  </w:r>
                </w:p>
              </w:tc>
              <w:tc>
                <w:tcPr>
                  <w:tcW w:w="4833" w:type="dxa"/>
                  <w:tcBorders>
                    <w:top w:val="single" w:color="auto" w:sz="4" w:space="0"/>
                    <w:left w:val="single" w:color="auto" w:sz="4" w:space="0"/>
                    <w:bottom w:val="single" w:color="auto" w:sz="4" w:space="0"/>
                    <w:right w:val="single" w:color="auto" w:sz="4" w:space="0"/>
                  </w:tcBorders>
                  <w:noWrap/>
                </w:tcPr>
                <w:p w14:paraId="6F76A5A3">
                  <w:pPr>
                    <w:jc w:val="center"/>
                    <w:rPr>
                      <w:rFonts w:hint="default" w:ascii="Calibri" w:hAnsi="Calibri" w:eastAsia="楷体_GB2312" w:cs="Calibri"/>
                    </w:rPr>
                  </w:pPr>
                  <w:r>
                    <w:rPr>
                      <w:rFonts w:hint="default" w:ascii="Calibri" w:hAnsi="Calibri" w:eastAsia="楷体_GB2312" w:cs="Calibri"/>
                      <w:lang w:val="en-US" w:eastAsia="zh-CN"/>
                    </w:rPr>
                    <w:t>34.33</w:t>
                  </w:r>
                </w:p>
              </w:tc>
            </w:tr>
            <w:tr w14:paraId="365952E2">
              <w:tblPrEx>
                <w:tblCellMar>
                  <w:top w:w="0" w:type="dxa"/>
                  <w:left w:w="108" w:type="dxa"/>
                  <w:bottom w:w="0" w:type="dxa"/>
                  <w:right w:w="108" w:type="dxa"/>
                </w:tblCellMar>
              </w:tblPrEx>
              <w:trPr>
                <w:trHeight w:val="90" w:hRule="atLeast"/>
                <w:jc w:val="center"/>
              </w:trPr>
              <w:tc>
                <w:tcPr>
                  <w:tcW w:w="2392" w:type="dxa"/>
                  <w:tcBorders>
                    <w:top w:val="nil"/>
                    <w:left w:val="single" w:color="auto" w:sz="4" w:space="0"/>
                    <w:bottom w:val="single" w:color="auto" w:sz="4" w:space="0"/>
                    <w:right w:val="single" w:color="auto" w:sz="4" w:space="0"/>
                  </w:tcBorders>
                  <w:noWrap/>
                  <w:vAlign w:val="center"/>
                </w:tcPr>
                <w:p w14:paraId="3B46B2EE">
                  <w:pPr>
                    <w:jc w:val="center"/>
                    <w:rPr>
                      <w:rFonts w:hint="default" w:ascii="Calibri" w:hAnsi="Calibri" w:eastAsia="楷体_GB2312" w:cs="Calibri"/>
                      <w:color w:val="000000"/>
                      <w:sz w:val="18"/>
                      <w:szCs w:val="18"/>
                    </w:rPr>
                  </w:pPr>
                  <w:r>
                    <w:rPr>
                      <w:rFonts w:hint="default" w:ascii="Calibri" w:hAnsi="Calibri" w:eastAsia="楷体_GB2312" w:cs="Calibri"/>
                      <w:color w:val="000000"/>
                      <w:sz w:val="18"/>
                      <w:szCs w:val="18"/>
                      <w:lang w:val="zh-CN"/>
                    </w:rPr>
                    <w:t>路易斯安那州</w:t>
                  </w:r>
                </w:p>
              </w:tc>
              <w:tc>
                <w:tcPr>
                  <w:tcW w:w="4833" w:type="dxa"/>
                  <w:tcBorders>
                    <w:top w:val="single" w:color="auto" w:sz="4" w:space="0"/>
                    <w:left w:val="single" w:color="auto" w:sz="4" w:space="0"/>
                    <w:bottom w:val="single" w:color="auto" w:sz="4" w:space="0"/>
                    <w:right w:val="single" w:color="auto" w:sz="4" w:space="0"/>
                  </w:tcBorders>
                  <w:noWrap/>
                </w:tcPr>
                <w:p w14:paraId="224B1B0C">
                  <w:pPr>
                    <w:jc w:val="center"/>
                    <w:rPr>
                      <w:rFonts w:hint="default" w:ascii="Calibri" w:hAnsi="Calibri" w:eastAsia="楷体_GB2312" w:cs="Calibri"/>
                    </w:rPr>
                  </w:pPr>
                  <w:r>
                    <w:rPr>
                      <w:rFonts w:hint="default" w:ascii="Calibri" w:hAnsi="Calibri" w:eastAsia="楷体_GB2312" w:cs="Calibri"/>
                      <w:lang w:val="en-US" w:eastAsia="zh-CN"/>
                    </w:rPr>
                    <w:t>27.75</w:t>
                  </w:r>
                </w:p>
              </w:tc>
            </w:tr>
            <w:tr w14:paraId="5FFDE0BA">
              <w:tblPrEx>
                <w:tblCellMar>
                  <w:top w:w="0" w:type="dxa"/>
                  <w:left w:w="108" w:type="dxa"/>
                  <w:bottom w:w="0" w:type="dxa"/>
                  <w:right w:w="108" w:type="dxa"/>
                </w:tblCellMar>
              </w:tblPrEx>
              <w:trPr>
                <w:trHeight w:val="252" w:hRule="atLeast"/>
                <w:jc w:val="center"/>
              </w:trPr>
              <w:tc>
                <w:tcPr>
                  <w:tcW w:w="2392" w:type="dxa"/>
                  <w:tcBorders>
                    <w:top w:val="nil"/>
                    <w:left w:val="single" w:color="auto" w:sz="4" w:space="0"/>
                    <w:bottom w:val="single" w:color="auto" w:sz="4" w:space="0"/>
                    <w:right w:val="single" w:color="auto" w:sz="4" w:space="0"/>
                  </w:tcBorders>
                  <w:noWrap/>
                  <w:vAlign w:val="center"/>
                </w:tcPr>
                <w:p w14:paraId="1BCD726F">
                  <w:pPr>
                    <w:jc w:val="center"/>
                    <w:rPr>
                      <w:rFonts w:hint="default" w:ascii="Calibri" w:hAnsi="Calibri" w:eastAsia="楷体_GB2312" w:cs="Calibri"/>
                      <w:color w:val="000000"/>
                      <w:sz w:val="18"/>
                      <w:szCs w:val="18"/>
                    </w:rPr>
                  </w:pPr>
                  <w:r>
                    <w:rPr>
                      <w:rFonts w:hint="default" w:ascii="Calibri" w:hAnsi="Calibri" w:eastAsia="楷体_GB2312" w:cs="Calibri"/>
                      <w:color w:val="000000"/>
                      <w:sz w:val="18"/>
                      <w:szCs w:val="18"/>
                      <w:lang w:val="zh-CN"/>
                    </w:rPr>
                    <w:t>休斯顿</w:t>
                  </w:r>
                </w:p>
              </w:tc>
              <w:tc>
                <w:tcPr>
                  <w:tcW w:w="4833" w:type="dxa"/>
                  <w:tcBorders>
                    <w:top w:val="single" w:color="auto" w:sz="4" w:space="0"/>
                    <w:left w:val="single" w:color="auto" w:sz="4" w:space="0"/>
                    <w:bottom w:val="single" w:color="auto" w:sz="4" w:space="0"/>
                    <w:right w:val="single" w:color="auto" w:sz="4" w:space="0"/>
                  </w:tcBorders>
                  <w:noWrap/>
                </w:tcPr>
                <w:p w14:paraId="33ABC6FF">
                  <w:pPr>
                    <w:jc w:val="center"/>
                    <w:rPr>
                      <w:rFonts w:hint="default" w:ascii="Calibri" w:hAnsi="Calibri" w:eastAsia="楷体_GB2312" w:cs="Calibri"/>
                    </w:rPr>
                  </w:pPr>
                  <w:r>
                    <w:rPr>
                      <w:rFonts w:hint="default" w:ascii="Calibri" w:hAnsi="Calibri" w:eastAsia="楷体_GB2312" w:cs="Calibri"/>
                      <w:lang w:val="en-US" w:eastAsia="zh-CN"/>
                    </w:rPr>
                    <w:t>19.25</w:t>
                  </w:r>
                </w:p>
              </w:tc>
            </w:tr>
            <w:tr w14:paraId="7E28237B">
              <w:tblPrEx>
                <w:tblCellMar>
                  <w:top w:w="0" w:type="dxa"/>
                  <w:left w:w="108" w:type="dxa"/>
                  <w:bottom w:w="0" w:type="dxa"/>
                  <w:right w:w="108" w:type="dxa"/>
                </w:tblCellMar>
              </w:tblPrEx>
              <w:trPr>
                <w:trHeight w:val="252" w:hRule="atLeast"/>
                <w:jc w:val="center"/>
              </w:trPr>
              <w:tc>
                <w:tcPr>
                  <w:tcW w:w="2392" w:type="dxa"/>
                  <w:tcBorders>
                    <w:top w:val="nil"/>
                    <w:left w:val="single" w:color="auto" w:sz="4" w:space="0"/>
                    <w:bottom w:val="single" w:color="auto" w:sz="4" w:space="0"/>
                    <w:right w:val="single" w:color="auto" w:sz="4" w:space="0"/>
                  </w:tcBorders>
                  <w:noWrap/>
                  <w:vAlign w:val="center"/>
                </w:tcPr>
                <w:p w14:paraId="29A33356">
                  <w:pPr>
                    <w:jc w:val="center"/>
                    <w:rPr>
                      <w:rFonts w:hint="default" w:ascii="Calibri" w:hAnsi="Calibri" w:eastAsia="楷体_GB2312" w:cs="Calibri"/>
                      <w:color w:val="000000"/>
                      <w:sz w:val="18"/>
                      <w:szCs w:val="18"/>
                    </w:rPr>
                  </w:pPr>
                  <w:r>
                    <w:rPr>
                      <w:rFonts w:hint="default" w:ascii="Calibri" w:hAnsi="Calibri" w:eastAsia="楷体_GB2312" w:cs="Calibri"/>
                      <w:color w:val="000000"/>
                      <w:sz w:val="18"/>
                      <w:szCs w:val="18"/>
                      <w:lang w:val="zh-CN"/>
                    </w:rPr>
                    <w:t>西南部</w:t>
                  </w:r>
                </w:p>
              </w:tc>
              <w:tc>
                <w:tcPr>
                  <w:tcW w:w="4833" w:type="dxa"/>
                  <w:tcBorders>
                    <w:top w:val="single" w:color="auto" w:sz="4" w:space="0"/>
                    <w:left w:val="single" w:color="auto" w:sz="4" w:space="0"/>
                    <w:bottom w:val="single" w:color="auto" w:sz="4" w:space="0"/>
                    <w:right w:val="single" w:color="auto" w:sz="4" w:space="0"/>
                  </w:tcBorders>
                  <w:noWrap/>
                </w:tcPr>
                <w:p w14:paraId="74F53611">
                  <w:pPr>
                    <w:jc w:val="center"/>
                    <w:rPr>
                      <w:rFonts w:hint="default" w:ascii="Calibri" w:hAnsi="Calibri" w:eastAsia="楷体_GB2312" w:cs="Calibri"/>
                    </w:rPr>
                  </w:pPr>
                  <w:r>
                    <w:rPr>
                      <w:rFonts w:hint="default" w:ascii="Calibri" w:hAnsi="Calibri" w:eastAsia="楷体_GB2312" w:cs="Calibri"/>
                      <w:lang w:val="en-US" w:eastAsia="zh-CN"/>
                    </w:rPr>
                    <w:t>8.25</w:t>
                  </w:r>
                </w:p>
              </w:tc>
            </w:tr>
            <w:tr w14:paraId="66E14E99">
              <w:tblPrEx>
                <w:tblCellMar>
                  <w:top w:w="0" w:type="dxa"/>
                  <w:left w:w="108" w:type="dxa"/>
                  <w:bottom w:w="0" w:type="dxa"/>
                  <w:right w:w="108" w:type="dxa"/>
                </w:tblCellMar>
              </w:tblPrEx>
              <w:trPr>
                <w:trHeight w:val="252" w:hRule="atLeast"/>
                <w:jc w:val="center"/>
              </w:trPr>
              <w:tc>
                <w:tcPr>
                  <w:tcW w:w="2392" w:type="dxa"/>
                  <w:tcBorders>
                    <w:top w:val="nil"/>
                    <w:left w:val="single" w:color="auto" w:sz="4" w:space="0"/>
                    <w:bottom w:val="single" w:color="auto" w:sz="4" w:space="0"/>
                    <w:right w:val="single" w:color="auto" w:sz="4" w:space="0"/>
                  </w:tcBorders>
                  <w:noWrap/>
                  <w:vAlign w:val="center"/>
                </w:tcPr>
                <w:p w14:paraId="64E628E2">
                  <w:pPr>
                    <w:jc w:val="center"/>
                    <w:rPr>
                      <w:rFonts w:hint="default" w:ascii="Calibri" w:hAnsi="Calibri" w:eastAsia="楷体_GB2312" w:cs="Calibri"/>
                      <w:color w:val="000000"/>
                      <w:sz w:val="18"/>
                      <w:szCs w:val="18"/>
                    </w:rPr>
                  </w:pPr>
                  <w:r>
                    <w:rPr>
                      <w:rFonts w:hint="default" w:ascii="Calibri" w:hAnsi="Calibri" w:eastAsia="楷体_GB2312" w:cs="Calibri"/>
                      <w:color w:val="000000"/>
                      <w:sz w:val="18"/>
                      <w:szCs w:val="18"/>
                      <w:lang w:val="zh-CN"/>
                    </w:rPr>
                    <w:t>加利福尼亚州南部</w:t>
                  </w:r>
                </w:p>
              </w:tc>
              <w:tc>
                <w:tcPr>
                  <w:tcW w:w="4833" w:type="dxa"/>
                  <w:tcBorders>
                    <w:top w:val="single" w:color="auto" w:sz="4" w:space="0"/>
                    <w:left w:val="single" w:color="auto" w:sz="4" w:space="0"/>
                    <w:bottom w:val="single" w:color="auto" w:sz="4" w:space="0"/>
                    <w:right w:val="single" w:color="auto" w:sz="4" w:space="0"/>
                  </w:tcBorders>
                  <w:noWrap/>
                </w:tcPr>
                <w:p w14:paraId="6CBB4209">
                  <w:pPr>
                    <w:jc w:val="center"/>
                    <w:rPr>
                      <w:rFonts w:hint="default" w:ascii="Calibri" w:hAnsi="Calibri" w:eastAsia="楷体_GB2312" w:cs="Calibri"/>
                    </w:rPr>
                  </w:pPr>
                  <w:r>
                    <w:rPr>
                      <w:rFonts w:hint="default" w:ascii="Calibri" w:hAnsi="Calibri" w:eastAsia="楷体_GB2312" w:cs="Calibri"/>
                      <w:lang w:val="en-US" w:eastAsia="zh-CN"/>
                    </w:rPr>
                    <w:t>7.77</w:t>
                  </w:r>
                </w:p>
              </w:tc>
            </w:tr>
            <w:tr w14:paraId="60B1DBB7">
              <w:tblPrEx>
                <w:tblCellMar>
                  <w:top w:w="0" w:type="dxa"/>
                  <w:left w:w="108" w:type="dxa"/>
                  <w:bottom w:w="0" w:type="dxa"/>
                  <w:right w:w="108" w:type="dxa"/>
                </w:tblCellMar>
              </w:tblPrEx>
              <w:trPr>
                <w:trHeight w:val="252" w:hRule="atLeast"/>
                <w:jc w:val="center"/>
              </w:trPr>
              <w:tc>
                <w:tcPr>
                  <w:tcW w:w="2392" w:type="dxa"/>
                  <w:tcBorders>
                    <w:top w:val="nil"/>
                    <w:left w:val="single" w:color="auto" w:sz="4" w:space="0"/>
                    <w:bottom w:val="single" w:color="auto" w:sz="4" w:space="0"/>
                    <w:right w:val="single" w:color="auto" w:sz="4" w:space="0"/>
                  </w:tcBorders>
                  <w:noWrap/>
                  <w:vAlign w:val="center"/>
                </w:tcPr>
                <w:p w14:paraId="6C91432F">
                  <w:pPr>
                    <w:jc w:val="center"/>
                    <w:rPr>
                      <w:rFonts w:hint="default" w:ascii="Calibri" w:hAnsi="Calibri" w:eastAsia="楷体_GB2312" w:cs="Calibri"/>
                      <w:color w:val="000000"/>
                      <w:sz w:val="18"/>
                      <w:szCs w:val="18"/>
                    </w:rPr>
                  </w:pPr>
                  <w:r>
                    <w:rPr>
                      <w:rFonts w:hint="default" w:ascii="Calibri" w:hAnsi="Calibri" w:eastAsia="楷体_GB2312" w:cs="Calibri"/>
                      <w:color w:val="000000"/>
                      <w:sz w:val="18"/>
                      <w:szCs w:val="18"/>
                      <w:lang w:val="zh-CN"/>
                    </w:rPr>
                    <w:t>加利福尼亚州北部</w:t>
                  </w:r>
                </w:p>
              </w:tc>
              <w:tc>
                <w:tcPr>
                  <w:tcW w:w="4833" w:type="dxa"/>
                  <w:tcBorders>
                    <w:top w:val="single" w:color="auto" w:sz="4" w:space="0"/>
                    <w:left w:val="single" w:color="auto" w:sz="4" w:space="0"/>
                    <w:bottom w:val="single" w:color="auto" w:sz="4" w:space="0"/>
                    <w:right w:val="single" w:color="auto" w:sz="4" w:space="0"/>
                  </w:tcBorders>
                  <w:noWrap/>
                </w:tcPr>
                <w:p w14:paraId="1BCB48BB">
                  <w:pPr>
                    <w:jc w:val="center"/>
                    <w:rPr>
                      <w:rFonts w:hint="default" w:ascii="Calibri" w:hAnsi="Calibri" w:eastAsia="楷体_GB2312" w:cs="Calibri"/>
                    </w:rPr>
                  </w:pPr>
                  <w:r>
                    <w:rPr>
                      <w:rFonts w:hint="default" w:ascii="Calibri" w:hAnsi="Calibri" w:eastAsia="楷体_GB2312" w:cs="Calibri"/>
                      <w:lang w:val="en-US" w:eastAsia="zh-CN"/>
                    </w:rPr>
                    <w:t>23.98</w:t>
                  </w:r>
                </w:p>
              </w:tc>
            </w:tr>
            <w:tr w14:paraId="6CA3DB3D">
              <w:tblPrEx>
                <w:tblCellMar>
                  <w:top w:w="0" w:type="dxa"/>
                  <w:left w:w="108" w:type="dxa"/>
                  <w:bottom w:w="0" w:type="dxa"/>
                  <w:right w:w="108" w:type="dxa"/>
                </w:tblCellMar>
              </w:tblPrEx>
              <w:trPr>
                <w:trHeight w:val="252" w:hRule="atLeast"/>
                <w:jc w:val="center"/>
              </w:trPr>
              <w:tc>
                <w:tcPr>
                  <w:tcW w:w="2392" w:type="dxa"/>
                  <w:tcBorders>
                    <w:top w:val="nil"/>
                    <w:left w:val="single" w:color="auto" w:sz="4" w:space="0"/>
                    <w:bottom w:val="single" w:color="auto" w:sz="4" w:space="0"/>
                    <w:right w:val="single" w:color="auto" w:sz="4" w:space="0"/>
                  </w:tcBorders>
                  <w:noWrap/>
                  <w:vAlign w:val="center"/>
                </w:tcPr>
                <w:p w14:paraId="2246D4A6">
                  <w:pPr>
                    <w:jc w:val="center"/>
                    <w:rPr>
                      <w:rFonts w:hint="default" w:ascii="Calibri" w:hAnsi="Calibri" w:eastAsia="楷体_GB2312" w:cs="Calibri"/>
                      <w:color w:val="000000"/>
                      <w:sz w:val="18"/>
                      <w:szCs w:val="18"/>
                    </w:rPr>
                  </w:pPr>
                  <w:r>
                    <w:rPr>
                      <w:rFonts w:hint="default" w:ascii="Calibri" w:hAnsi="Calibri" w:eastAsia="楷体_GB2312" w:cs="Calibri"/>
                      <w:color w:val="000000"/>
                      <w:sz w:val="18"/>
                      <w:szCs w:val="18"/>
                      <w:lang w:val="zh-CN"/>
                    </w:rPr>
                    <w:t>西北部</w:t>
                  </w:r>
                </w:p>
              </w:tc>
              <w:tc>
                <w:tcPr>
                  <w:tcW w:w="4833" w:type="dxa"/>
                  <w:tcBorders>
                    <w:top w:val="single" w:color="auto" w:sz="4" w:space="0"/>
                    <w:left w:val="single" w:color="auto" w:sz="4" w:space="0"/>
                    <w:bottom w:val="single" w:color="auto" w:sz="4" w:space="0"/>
                    <w:right w:val="single" w:color="auto" w:sz="4" w:space="0"/>
                  </w:tcBorders>
                  <w:noWrap/>
                </w:tcPr>
                <w:p w14:paraId="12589DA1">
                  <w:pPr>
                    <w:jc w:val="center"/>
                    <w:rPr>
                      <w:rFonts w:hint="default" w:ascii="Calibri" w:hAnsi="Calibri" w:eastAsia="楷体_GB2312" w:cs="Calibri"/>
                      <w:lang w:val="en-US" w:eastAsia="zh-CN"/>
                    </w:rPr>
                  </w:pPr>
                  <w:r>
                    <w:rPr>
                      <w:rFonts w:hint="default" w:ascii="Calibri" w:hAnsi="Calibri" w:eastAsia="楷体_GB2312" w:cs="Calibri"/>
                      <w:lang w:val="en-US" w:eastAsia="zh-CN"/>
                    </w:rPr>
                    <w:t>10</w:t>
                  </w:r>
                </w:p>
              </w:tc>
            </w:tr>
          </w:tbl>
          <w:p w14:paraId="651EA460">
            <w:pPr>
              <w:overflowPunct w:val="0"/>
              <w:jc w:val="center"/>
              <w:rPr>
                <w:rFonts w:hint="default" w:ascii="Calibri" w:hAnsi="Calibri" w:eastAsia="楷体_GB2312" w:cs="Calibri"/>
                <w:sz w:val="10"/>
              </w:rPr>
            </w:pPr>
          </w:p>
        </w:tc>
      </w:tr>
      <w:tr w14:paraId="583625C1">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7459" w:type="dxa"/>
            <w:tcBorders>
              <w:top w:val="single" w:color="auto" w:sz="4" w:space="0"/>
            </w:tcBorders>
          </w:tcPr>
          <w:p w14:paraId="61BE2FA1">
            <w:pPr>
              <w:rPr>
                <w:rFonts w:hint="default" w:ascii="Calibri" w:hAnsi="Calibri" w:eastAsia="楷体_GB2312" w:cs="Calibri"/>
                <w:i/>
                <w:iCs/>
                <w:sz w:val="15"/>
                <w:szCs w:val="15"/>
              </w:rPr>
            </w:pPr>
            <w:r>
              <w:rPr>
                <w:rFonts w:hint="default" w:ascii="Calibri" w:hAnsi="Calibri" w:eastAsia="楷体_GB2312" w:cs="Calibri"/>
                <w:i/>
                <w:iCs/>
                <w:sz w:val="15"/>
                <w:szCs w:val="15"/>
              </w:rPr>
              <w:t>资料来源:</w:t>
            </w:r>
            <w:r>
              <w:rPr>
                <w:rFonts w:hint="default" w:ascii="Calibri" w:hAnsi="Calibri" w:eastAsia="楷体_GB2312" w:cs="Calibri"/>
                <w:i/>
                <w:iCs/>
                <w:sz w:val="15"/>
                <w:szCs w:val="15"/>
                <w:lang w:eastAsia="zh-CN"/>
              </w:rPr>
              <w:t xml:space="preserve">  </w:t>
            </w:r>
            <w:r>
              <w:rPr>
                <w:rFonts w:hint="default" w:ascii="Calibri" w:hAnsi="Calibri" w:eastAsia="楷体_GB2312" w:cs="Calibri"/>
                <w:i/>
                <w:iCs/>
                <w:sz w:val="15"/>
                <w:szCs w:val="15"/>
                <w:lang w:val="en-US" w:eastAsia="zh-CN"/>
              </w:rPr>
              <w:t>EIA</w:t>
            </w:r>
            <w:r>
              <w:rPr>
                <w:rFonts w:hint="default" w:ascii="Calibri" w:hAnsi="Calibri" w:eastAsia="楷体_GB2312" w:cs="Calibri"/>
                <w:i/>
                <w:iCs/>
                <w:sz w:val="15"/>
                <w:szCs w:val="15"/>
              </w:rPr>
              <w:t xml:space="preserve">， </w:t>
            </w:r>
            <w:r>
              <w:rPr>
                <w:rFonts w:hint="default" w:ascii="Calibri" w:hAnsi="Calibri" w:eastAsia="楷体_GB2312" w:cs="Calibri"/>
                <w:i/>
                <w:iCs/>
                <w:sz w:val="15"/>
                <w:szCs w:val="15"/>
                <w:lang w:eastAsia="zh-CN"/>
              </w:rPr>
              <w:t>HFI</w:t>
            </w:r>
          </w:p>
        </w:tc>
      </w:tr>
    </w:tbl>
    <w:p w14:paraId="30533707">
      <w:pPr>
        <w:overflowPunct w:val="0"/>
        <w:ind w:left="3200" w:leftChars="2000"/>
        <w:jc w:val="both"/>
        <w:rPr>
          <w:rFonts w:hint="default" w:ascii="Calibri" w:hAnsi="Calibri" w:eastAsia="楷体_GB2312" w:cs="Calibri"/>
          <w:sz w:val="20"/>
          <w:szCs w:val="20"/>
          <w:lang w:val="en-US" w:eastAsia="zh-CN"/>
        </w:rPr>
      </w:pPr>
    </w:p>
    <w:p w14:paraId="0372E030">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极端天气、老化基础设施及激增的电力需求持续施压美国电网。</w:t>
      </w:r>
      <w:r>
        <w:rPr>
          <w:rFonts w:hint="default" w:ascii="Calibri" w:hAnsi="Calibri" w:eastAsia="楷体_GB2312" w:cs="Calibri"/>
          <w:sz w:val="20"/>
          <w:szCs w:val="20"/>
          <w:lang w:val="en-US" w:eastAsia="zh-CN"/>
        </w:rPr>
        <w:t>据Climate Central统计，过去十年美国与天气相关的停电次数较2000年代增加60%，每年约四分之一家庭遭遇停电。</w:t>
      </w:r>
      <w:r>
        <w:rPr>
          <w:rFonts w:hint="default" w:ascii="Calibri" w:hAnsi="Calibri" w:eastAsia="楷体_GB2312" w:cs="Calibri"/>
          <w:sz w:val="20"/>
          <w:szCs w:val="20"/>
          <w:lang w:val="en-US" w:eastAsia="zh-CN"/>
        </w:rPr>
        <w:t>2月东北部遭遇近十年最强冬季风暴，飓风级狂风与38厘米以上强降雪直接冲击输电设施，压垮老旧线路，高峰期约30万用户断电，马萨诸塞州等核心区域抢修持续数日。这一情况与 1 月下旬冬季风暴的影响形成叠加，新英格兰电网再度告急，PJM 电网发电中断规模达 21GW。西南部持续反常高温干旱，同时焚风天气加剧空气干燥，山火风险上升，直接威胁输电线路安全，但尚未出现大规模停电。</w:t>
      </w:r>
    </w:p>
    <w:p w14:paraId="690F4057">
      <w:pPr>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br w:type="page"/>
      </w:r>
    </w:p>
    <w:tbl>
      <w:tblPr>
        <w:tblStyle w:val="26"/>
        <w:tblW w:w="10490" w:type="dxa"/>
        <w:tblInd w:w="384" w:type="dxa"/>
        <w:tblLayout w:type="fixed"/>
        <w:tblCellMar>
          <w:top w:w="0" w:type="dxa"/>
          <w:left w:w="108" w:type="dxa"/>
          <w:bottom w:w="0" w:type="dxa"/>
          <w:right w:w="108" w:type="dxa"/>
        </w:tblCellMar>
      </w:tblPr>
      <w:tblGrid>
        <w:gridCol w:w="5103"/>
        <w:gridCol w:w="238"/>
        <w:gridCol w:w="5149"/>
      </w:tblGrid>
      <w:tr w14:paraId="7872663A">
        <w:tblPrEx>
          <w:tblCellMar>
            <w:top w:w="0" w:type="dxa"/>
            <w:left w:w="108" w:type="dxa"/>
            <w:bottom w:w="0" w:type="dxa"/>
            <w:right w:w="108" w:type="dxa"/>
          </w:tblCellMar>
        </w:tblPrEx>
        <w:trPr>
          <w:trHeight w:val="227" w:hRule="atLeast"/>
        </w:trPr>
        <w:tc>
          <w:tcPr>
            <w:tcW w:w="5103" w:type="dxa"/>
            <w:tcBorders>
              <w:top w:val="nil"/>
              <w:left w:val="nil"/>
              <w:bottom w:val="single" w:color="auto" w:sz="4" w:space="0"/>
              <w:right w:val="nil"/>
            </w:tcBorders>
            <w:tcMar>
              <w:top w:w="0" w:type="dxa"/>
              <w:left w:w="0" w:type="dxa"/>
              <w:bottom w:w="0" w:type="dxa"/>
              <w:right w:w="28" w:type="dxa"/>
            </w:tcMar>
          </w:tcPr>
          <w:p w14:paraId="09243E92">
            <w:pPr>
              <w:overflowPunct w:val="0"/>
              <w:rPr>
                <w:rFonts w:hint="default" w:ascii="Calibri" w:hAnsi="Calibri" w:eastAsia="楷体_GB2312" w:cs="Calibri"/>
                <w:b/>
                <w:sz w:val="18"/>
                <w:szCs w:val="18"/>
                <w:lang w:val="zh-CN" w:eastAsia="zh-CN"/>
              </w:rPr>
            </w:pPr>
            <w:r>
              <w:rPr>
                <w:rFonts w:hint="default" w:ascii="Calibri" w:hAnsi="Calibri" w:eastAsia="楷体_GB2312" w:cs="Calibri"/>
                <w:b/>
                <w:sz w:val="18"/>
                <w:szCs w:val="18"/>
                <w:lang w:val="zh-CN"/>
              </w:rPr>
              <w:t>图</w:t>
            </w:r>
            <w:r>
              <w:rPr>
                <w:rFonts w:hint="default" w:ascii="Calibri" w:hAnsi="Calibri" w:eastAsia="楷体_GB2312" w:cs="Calibri"/>
                <w:b/>
                <w:sz w:val="18"/>
                <w:szCs w:val="18"/>
                <w:lang w:eastAsia="zh-CN"/>
              </w:rPr>
              <w:t>2</w:t>
            </w:r>
            <w:r>
              <w:rPr>
                <w:rFonts w:hint="default" w:ascii="Calibri" w:hAnsi="Calibri" w:eastAsia="楷体_GB2312" w:cs="Calibri"/>
                <w:b/>
                <w:sz w:val="18"/>
                <w:szCs w:val="18"/>
                <w:lang w:val="en-US" w:eastAsia="zh-CN"/>
              </w:rPr>
              <w:t>2</w:t>
            </w:r>
            <w:r>
              <w:rPr>
                <w:rFonts w:hint="default" w:ascii="Calibri" w:hAnsi="Calibri" w:eastAsia="楷体_GB2312" w:cs="Calibri"/>
                <w:b/>
                <w:sz w:val="18"/>
                <w:szCs w:val="18"/>
                <w:lang w:val="zh-CN"/>
              </w:rPr>
              <w:t>：</w:t>
            </w:r>
            <w:r>
              <w:rPr>
                <w:rFonts w:hint="default" w:ascii="Calibri" w:hAnsi="Calibri" w:eastAsia="楷体_GB2312" w:cs="Calibri"/>
                <w:b/>
                <w:sz w:val="18"/>
                <w:szCs w:val="18"/>
                <w:lang w:val="zh-CN" w:eastAsia="zh-CN"/>
              </w:rPr>
              <w:t>美国停电情况</w:t>
            </w:r>
          </w:p>
        </w:tc>
        <w:tc>
          <w:tcPr>
            <w:tcW w:w="238" w:type="dxa"/>
            <w:tcBorders>
              <w:top w:val="nil"/>
              <w:left w:val="nil"/>
              <w:bottom w:val="nil"/>
              <w:right w:val="nil"/>
            </w:tcBorders>
            <w:tcMar>
              <w:top w:w="0" w:type="dxa"/>
              <w:left w:w="0" w:type="dxa"/>
              <w:bottom w:w="0" w:type="dxa"/>
              <w:right w:w="28" w:type="dxa"/>
            </w:tcMar>
          </w:tcPr>
          <w:p w14:paraId="4E812F45">
            <w:pPr>
              <w:overflowPunct w:val="0"/>
              <w:rPr>
                <w:rFonts w:hint="default" w:ascii="Calibri" w:hAnsi="Calibri" w:eastAsia="楷体_GB2312" w:cs="Calibri"/>
                <w:b/>
                <w:sz w:val="18"/>
                <w:szCs w:val="18"/>
                <w:lang w:val="zh-CN"/>
              </w:rPr>
            </w:pPr>
            <w:r>
              <w:rPr>
                <w:rFonts w:hint="default" w:ascii="Calibri" w:hAnsi="Calibri" w:eastAsia="楷体_GB2312" w:cs="Calibri"/>
                <w:b/>
                <w:sz w:val="18"/>
                <w:szCs w:val="18"/>
                <w:lang w:val="zh-CN"/>
              </w:rPr>
              <w:t xml:space="preserve">         </w:t>
            </w:r>
          </w:p>
        </w:tc>
        <w:tc>
          <w:tcPr>
            <w:tcW w:w="5149" w:type="dxa"/>
            <w:tcBorders>
              <w:top w:val="nil"/>
              <w:left w:val="nil"/>
              <w:bottom w:val="single" w:color="auto" w:sz="4" w:space="0"/>
              <w:right w:val="nil"/>
            </w:tcBorders>
            <w:tcMar>
              <w:top w:w="0" w:type="dxa"/>
              <w:left w:w="0" w:type="dxa"/>
              <w:bottom w:w="0" w:type="dxa"/>
              <w:right w:w="28" w:type="dxa"/>
            </w:tcMar>
          </w:tcPr>
          <w:p w14:paraId="4CFF47CD">
            <w:pPr>
              <w:overflowPunct w:val="0"/>
              <w:rPr>
                <w:rFonts w:hint="default" w:ascii="Calibri" w:hAnsi="Calibri" w:eastAsia="楷体_GB2312" w:cs="Calibri"/>
                <w:b/>
                <w:sz w:val="18"/>
                <w:szCs w:val="18"/>
                <w:lang w:val="zh-CN" w:eastAsia="zh-CN"/>
              </w:rPr>
            </w:pPr>
            <w:r>
              <w:rPr>
                <w:rFonts w:hint="default" w:ascii="Calibri" w:hAnsi="Calibri" w:eastAsia="楷体_GB2312" w:cs="Calibri"/>
                <w:b/>
                <w:sz w:val="18"/>
                <w:szCs w:val="18"/>
                <w:lang w:val="zh-CN"/>
              </w:rPr>
              <w:t>图</w:t>
            </w:r>
            <w:r>
              <w:rPr>
                <w:rFonts w:hint="default" w:ascii="Calibri" w:hAnsi="Calibri" w:eastAsia="楷体_GB2312" w:cs="Calibri"/>
                <w:b/>
                <w:sz w:val="18"/>
                <w:szCs w:val="18"/>
              </w:rPr>
              <w:t>2</w:t>
            </w:r>
            <w:r>
              <w:rPr>
                <w:rFonts w:hint="default" w:ascii="Calibri" w:hAnsi="Calibri" w:eastAsia="楷体_GB2312" w:cs="Calibri"/>
                <w:b/>
                <w:sz w:val="18"/>
                <w:szCs w:val="18"/>
                <w:lang w:val="en-US" w:eastAsia="zh-CN"/>
              </w:rPr>
              <w:t>3</w:t>
            </w:r>
            <w:r>
              <w:rPr>
                <w:rFonts w:hint="default" w:ascii="Calibri" w:hAnsi="Calibri" w:eastAsia="楷体_GB2312" w:cs="Calibri"/>
                <w:b/>
                <w:sz w:val="18"/>
                <w:szCs w:val="18"/>
                <w:lang w:val="zh-CN"/>
              </w:rPr>
              <w:t>：</w:t>
            </w:r>
            <w:r>
              <w:rPr>
                <w:rFonts w:hint="default" w:ascii="Calibri" w:hAnsi="Calibri" w:eastAsia="楷体_GB2312" w:cs="Calibri"/>
                <w:b/>
                <w:sz w:val="18"/>
                <w:szCs w:val="18"/>
                <w:lang w:val="zh-CN" w:eastAsia="zh-CN"/>
              </w:rPr>
              <w:t>天气情况</w:t>
            </w:r>
          </w:p>
        </w:tc>
      </w:tr>
      <w:tr w14:paraId="4E4833D0">
        <w:tblPrEx>
          <w:tblCellMar>
            <w:top w:w="0" w:type="dxa"/>
            <w:left w:w="108" w:type="dxa"/>
            <w:bottom w:w="0" w:type="dxa"/>
            <w:right w:w="108" w:type="dxa"/>
          </w:tblCellMar>
        </w:tblPrEx>
        <w:trPr>
          <w:trHeight w:val="2219" w:hRule="atLeast"/>
        </w:trPr>
        <w:tc>
          <w:tcPr>
            <w:tcW w:w="5103" w:type="dxa"/>
            <w:tcBorders>
              <w:top w:val="single" w:color="auto" w:sz="4" w:space="0"/>
              <w:left w:val="nil"/>
              <w:bottom w:val="single" w:color="auto" w:sz="4" w:space="0"/>
              <w:right w:val="nil"/>
            </w:tcBorders>
            <w:tcMar>
              <w:top w:w="0" w:type="dxa"/>
              <w:left w:w="0" w:type="dxa"/>
              <w:bottom w:w="0" w:type="dxa"/>
              <w:right w:w="28" w:type="dxa"/>
            </w:tcMar>
            <w:vAlign w:val="center"/>
          </w:tcPr>
          <w:p w14:paraId="57C8A858">
            <w:pPr>
              <w:overflowPunct w:val="0"/>
              <w:spacing w:before="48" w:beforeLines="20" w:after="48" w:afterLines="20"/>
              <w:jc w:val="center"/>
              <w:textAlignment w:val="center"/>
              <w:rPr>
                <w:rFonts w:hint="default" w:ascii="Calibri" w:hAnsi="Calibri" w:eastAsia="楷体_GB2312" w:cs="Calibri"/>
                <w:b/>
                <w:color w:val="000000"/>
                <w:sz w:val="15"/>
                <w:szCs w:val="15"/>
              </w:rPr>
            </w:pPr>
            <w:r>
              <w:rPr>
                <w:rFonts w:hint="default" w:ascii="Calibri" w:hAnsi="Calibri" w:eastAsia="楷体_GB2312" w:cs="Calibri"/>
                <w:b/>
                <w:color w:val="000000"/>
                <w:sz w:val="15"/>
                <w:szCs w:val="15"/>
                <w:lang w:eastAsia="zh-CN"/>
              </w:rPr>
              <w:drawing>
                <wp:inline distT="0" distB="0" distL="114300" distR="114300">
                  <wp:extent cx="2705735" cy="2087880"/>
                  <wp:effectExtent l="0" t="0" r="12065" b="20320"/>
                  <wp:docPr id="30" name="图片 30" descr="美国停电状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美国停电状况"/>
                          <pic:cNvPicPr>
                            <a:picLocks noChangeAspect="1"/>
                          </pic:cNvPicPr>
                        </pic:nvPicPr>
                        <pic:blipFill>
                          <a:blip r:embed="rId35"/>
                          <a:stretch>
                            <a:fillRect/>
                          </a:stretch>
                        </pic:blipFill>
                        <pic:spPr>
                          <a:xfrm>
                            <a:off x="0" y="0"/>
                            <a:ext cx="2705735" cy="2087880"/>
                          </a:xfrm>
                          <a:prstGeom prst="rect">
                            <a:avLst/>
                          </a:prstGeom>
                        </pic:spPr>
                      </pic:pic>
                    </a:graphicData>
                  </a:graphic>
                </wp:inline>
              </w:drawing>
            </w:r>
          </w:p>
        </w:tc>
        <w:tc>
          <w:tcPr>
            <w:tcW w:w="238" w:type="dxa"/>
            <w:tcBorders>
              <w:top w:val="nil"/>
              <w:left w:val="nil"/>
              <w:bottom w:val="nil"/>
              <w:right w:val="nil"/>
            </w:tcBorders>
            <w:tcMar>
              <w:top w:w="0" w:type="dxa"/>
              <w:left w:w="0" w:type="dxa"/>
              <w:bottom w:w="0" w:type="dxa"/>
              <w:right w:w="28" w:type="dxa"/>
            </w:tcMar>
          </w:tcPr>
          <w:p w14:paraId="47EF19C0">
            <w:pPr>
              <w:overflowPunct w:val="0"/>
              <w:spacing w:before="48" w:beforeLines="20" w:after="48" w:afterLines="20"/>
              <w:rPr>
                <w:rFonts w:hint="default" w:ascii="Calibri" w:hAnsi="Calibri" w:eastAsia="楷体_GB2312" w:cs="Calibri"/>
                <w:sz w:val="15"/>
                <w:szCs w:val="15"/>
              </w:rPr>
            </w:pPr>
          </w:p>
        </w:tc>
        <w:tc>
          <w:tcPr>
            <w:tcW w:w="5149" w:type="dxa"/>
            <w:tcBorders>
              <w:top w:val="single" w:color="auto" w:sz="4" w:space="0"/>
              <w:left w:val="nil"/>
              <w:bottom w:val="single" w:color="auto" w:sz="4" w:space="0"/>
              <w:right w:val="nil"/>
            </w:tcBorders>
            <w:tcMar>
              <w:top w:w="0" w:type="dxa"/>
              <w:left w:w="0" w:type="dxa"/>
              <w:bottom w:w="0" w:type="dxa"/>
              <w:right w:w="28" w:type="dxa"/>
            </w:tcMar>
          </w:tcPr>
          <w:p w14:paraId="3ABBB62A">
            <w:pPr>
              <w:overflowPunct w:val="0"/>
              <w:spacing w:before="48" w:beforeLines="20" w:after="48" w:afterLines="20"/>
              <w:jc w:val="center"/>
              <w:rPr>
                <w:rFonts w:hint="default" w:ascii="Calibri" w:hAnsi="Calibri" w:eastAsia="楷体_GB2312" w:cs="Calibri"/>
                <w:b/>
                <w:sz w:val="15"/>
                <w:szCs w:val="15"/>
              </w:rPr>
            </w:pPr>
            <w:r>
              <w:rPr>
                <w:rFonts w:hint="default" w:ascii="Calibri" w:hAnsi="Calibri" w:eastAsia="楷体_GB2312" w:cs="Calibri"/>
                <w:b/>
                <w:sz w:val="15"/>
                <w:szCs w:val="15"/>
                <w:lang w:eastAsia="zh-CN"/>
              </w:rPr>
              <w:drawing>
                <wp:inline distT="0" distB="0" distL="114300" distR="114300">
                  <wp:extent cx="3251835" cy="2070100"/>
                  <wp:effectExtent l="0" t="0" r="24765" b="12700"/>
                  <wp:docPr id="1" name="图片 1" descr="美国天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美国天气"/>
                          <pic:cNvPicPr>
                            <a:picLocks noChangeAspect="1"/>
                          </pic:cNvPicPr>
                        </pic:nvPicPr>
                        <pic:blipFill>
                          <a:blip r:embed="rId36"/>
                          <a:stretch>
                            <a:fillRect/>
                          </a:stretch>
                        </pic:blipFill>
                        <pic:spPr>
                          <a:xfrm>
                            <a:off x="0" y="0"/>
                            <a:ext cx="3251835" cy="2070100"/>
                          </a:xfrm>
                          <a:prstGeom prst="rect">
                            <a:avLst/>
                          </a:prstGeom>
                        </pic:spPr>
                      </pic:pic>
                    </a:graphicData>
                  </a:graphic>
                </wp:inline>
              </w:drawing>
            </w:r>
          </w:p>
        </w:tc>
      </w:tr>
      <w:tr w14:paraId="1BC685D6">
        <w:tblPrEx>
          <w:tblCellMar>
            <w:top w:w="0" w:type="dxa"/>
            <w:left w:w="108" w:type="dxa"/>
            <w:bottom w:w="0" w:type="dxa"/>
            <w:right w:w="108" w:type="dxa"/>
          </w:tblCellMar>
        </w:tblPrEx>
        <w:tc>
          <w:tcPr>
            <w:tcW w:w="5103" w:type="dxa"/>
            <w:tcBorders>
              <w:top w:val="single" w:color="auto" w:sz="4" w:space="0"/>
              <w:left w:val="nil"/>
              <w:bottom w:val="nil"/>
              <w:right w:val="nil"/>
            </w:tcBorders>
            <w:tcMar>
              <w:top w:w="0" w:type="dxa"/>
              <w:left w:w="0" w:type="dxa"/>
              <w:bottom w:w="0" w:type="dxa"/>
              <w:right w:w="28" w:type="dxa"/>
            </w:tcMar>
            <w:vAlign w:val="center"/>
          </w:tcPr>
          <w:p w14:paraId="42F88223">
            <w:pPr>
              <w:overflowPunct w:val="0"/>
              <w:spacing w:before="48" w:beforeLines="20" w:after="48" w:afterLines="20"/>
              <w:textAlignment w:val="center"/>
              <w:rPr>
                <w:rFonts w:hint="default" w:ascii="Calibri" w:hAnsi="Calibri" w:eastAsia="楷体_GB2312" w:cs="Calibri"/>
                <w:sz w:val="10"/>
                <w:szCs w:val="10"/>
              </w:rPr>
            </w:pPr>
            <w:r>
              <w:rPr>
                <w:rFonts w:hint="default" w:ascii="Calibri" w:hAnsi="Calibri" w:eastAsia="楷体_GB2312" w:cs="Calibri"/>
                <w:i/>
                <w:iCs/>
                <w:lang w:val="zh-CN"/>
              </w:rPr>
              <w:t>资料来源：</w:t>
            </w:r>
            <w:r>
              <w:rPr>
                <w:rFonts w:hint="default" w:ascii="Calibri" w:hAnsi="Calibri" w:eastAsia="楷体_GB2312" w:cs="Calibri"/>
                <w:i/>
                <w:iCs/>
                <w:lang w:val="zh-CN" w:eastAsia="zh-CN"/>
              </w:rPr>
              <w:t>Poweroutage</w:t>
            </w:r>
            <w:r>
              <w:rPr>
                <w:rFonts w:hint="default" w:ascii="Calibri" w:hAnsi="Calibri" w:eastAsia="楷体_GB2312" w:cs="Calibri"/>
                <w:i/>
                <w:iCs/>
                <w:lang w:val="zh-CN"/>
              </w:rPr>
              <w:t>，HFI</w:t>
            </w:r>
          </w:p>
        </w:tc>
        <w:tc>
          <w:tcPr>
            <w:tcW w:w="238" w:type="dxa"/>
            <w:tcBorders>
              <w:top w:val="nil"/>
              <w:left w:val="nil"/>
              <w:bottom w:val="nil"/>
              <w:right w:val="nil"/>
            </w:tcBorders>
            <w:tcMar>
              <w:top w:w="0" w:type="dxa"/>
              <w:left w:w="0" w:type="dxa"/>
              <w:bottom w:w="0" w:type="dxa"/>
              <w:right w:w="28" w:type="dxa"/>
            </w:tcMar>
          </w:tcPr>
          <w:p w14:paraId="52A54ECE">
            <w:pPr>
              <w:overflowPunct w:val="0"/>
              <w:spacing w:before="48" w:beforeLines="20" w:after="48" w:afterLines="20"/>
              <w:rPr>
                <w:rFonts w:hint="default" w:ascii="Calibri" w:hAnsi="Calibri" w:eastAsia="楷体_GB2312" w:cs="Calibri"/>
                <w:sz w:val="15"/>
                <w:szCs w:val="15"/>
              </w:rPr>
            </w:pPr>
          </w:p>
        </w:tc>
        <w:tc>
          <w:tcPr>
            <w:tcW w:w="5149" w:type="dxa"/>
            <w:tcBorders>
              <w:top w:val="single" w:color="auto" w:sz="4" w:space="0"/>
              <w:left w:val="nil"/>
              <w:bottom w:val="nil"/>
              <w:right w:val="nil"/>
            </w:tcBorders>
            <w:tcMar>
              <w:top w:w="0" w:type="dxa"/>
              <w:left w:w="0" w:type="dxa"/>
              <w:bottom w:w="0" w:type="dxa"/>
              <w:right w:w="28" w:type="dxa"/>
            </w:tcMar>
          </w:tcPr>
          <w:p w14:paraId="2ACD29BA">
            <w:pPr>
              <w:overflowPunct w:val="0"/>
              <w:spacing w:before="48" w:beforeLines="20" w:after="48" w:afterLines="20"/>
              <w:rPr>
                <w:rFonts w:hint="default" w:ascii="Calibri" w:hAnsi="Calibri" w:eastAsia="楷体_GB2312" w:cs="Calibri"/>
                <w:sz w:val="10"/>
                <w:szCs w:val="10"/>
              </w:rPr>
            </w:pPr>
            <w:r>
              <w:rPr>
                <w:rFonts w:hint="default" w:ascii="Calibri" w:hAnsi="Calibri" w:eastAsia="楷体_GB2312" w:cs="Calibri"/>
                <w:i/>
                <w:iCs/>
                <w:lang w:val="zh-CN"/>
              </w:rPr>
              <w:t>资料来源：</w:t>
            </w:r>
            <w:r>
              <w:rPr>
                <w:rFonts w:hint="default" w:ascii="Calibri" w:hAnsi="Calibri" w:eastAsia="楷体_GB2312" w:cs="Calibri"/>
                <w:i/>
                <w:iCs/>
                <w:lang w:val="zh-CN" w:eastAsia="zh-CN"/>
              </w:rPr>
              <w:t>USA Today</w:t>
            </w:r>
            <w:r>
              <w:rPr>
                <w:rFonts w:hint="default" w:ascii="Calibri" w:hAnsi="Calibri" w:eastAsia="楷体_GB2312" w:cs="Calibri"/>
                <w:i/>
                <w:iCs/>
                <w:lang w:val="zh-CN"/>
              </w:rPr>
              <w:t>，HFI</w:t>
            </w:r>
          </w:p>
        </w:tc>
      </w:tr>
    </w:tbl>
    <w:p w14:paraId="2A091E3D">
      <w:pPr>
        <w:overflowPunct w:val="0"/>
        <w:jc w:val="both"/>
        <w:rPr>
          <w:rFonts w:hint="default" w:ascii="Calibri" w:hAnsi="Calibri" w:eastAsia="楷体_GB2312" w:cs="Calibri"/>
          <w:b/>
          <w:bCs/>
          <w:color w:val="1F497D" w:themeColor="text2"/>
          <w:sz w:val="24"/>
          <w:szCs w:val="24"/>
          <w:lang w:val="en-US" w:eastAsia="zh-CN"/>
          <w14:textFill>
            <w14:solidFill>
              <w14:schemeClr w14:val="tx2"/>
            </w14:solidFill>
          </w14:textFill>
        </w:rPr>
      </w:pPr>
      <w:r>
        <w:rPr>
          <w:rFonts w:hint="default" w:ascii="Calibri" w:hAnsi="Calibri" w:eastAsia="楷体_GB2312" w:cs="Calibri"/>
          <w:b/>
          <w:bCs/>
          <w:color w:val="1F497D" w:themeColor="text2"/>
          <w:sz w:val="24"/>
          <w:szCs w:val="24"/>
          <w:lang w:val="en-US" w:eastAsia="zh-CN"/>
          <w14:textFill>
            <w14:solidFill>
              <w14:schemeClr w14:val="tx2"/>
            </w14:solidFill>
          </w14:textFill>
        </w:rPr>
        <w:t xml:space="preserve">   </w:t>
      </w:r>
    </w:p>
    <w:p w14:paraId="3AD9C62E">
      <w:pPr>
        <w:overflowPunct w:val="0"/>
        <w:jc w:val="both"/>
        <w:rPr>
          <w:rFonts w:hint="default" w:ascii="Calibri" w:hAnsi="Calibri" w:eastAsia="楷体_GB2312" w:cs="Calibri"/>
          <w:b/>
          <w:bCs/>
          <w:color w:val="1F497D" w:themeColor="text2"/>
          <w:sz w:val="24"/>
          <w:szCs w:val="24"/>
          <w:lang w:val="en-US" w:eastAsia="zh-CN"/>
          <w14:textFill>
            <w14:solidFill>
              <w14:schemeClr w14:val="tx2"/>
            </w14:solidFill>
          </w14:textFill>
        </w:rPr>
      </w:pPr>
    </w:p>
    <w:p w14:paraId="4F949925">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装机情况方面，</w:t>
      </w:r>
      <w:r>
        <w:rPr>
          <w:rFonts w:hint="default" w:ascii="Calibri" w:hAnsi="Calibri" w:eastAsia="楷体_GB2312" w:cs="Calibri"/>
          <w:sz w:val="20"/>
          <w:szCs w:val="20"/>
          <w:lang w:val="en-US" w:eastAsia="zh-CN"/>
        </w:rPr>
        <w:t>2025年11月，美国新增装机容量约3.4GW，以太阳能、风电等清洁能源为主；退役装机容量约0.2GW，主要为陆上风电。</w:t>
      </w:r>
    </w:p>
    <w:p w14:paraId="12C3F065">
      <w:pPr>
        <w:overflowPunct w:val="0"/>
        <w:ind w:left="3200" w:leftChars="2000"/>
        <w:jc w:val="both"/>
        <w:rPr>
          <w:rFonts w:hint="default" w:ascii="Calibri" w:hAnsi="Calibri" w:eastAsia="楷体_GB2312" w:cs="Calibri"/>
          <w:sz w:val="20"/>
          <w:szCs w:val="20"/>
          <w:lang w:val="en-US" w:eastAsia="zh-CN"/>
        </w:rPr>
      </w:pPr>
    </w:p>
    <w:tbl>
      <w:tblPr>
        <w:tblStyle w:val="26"/>
        <w:tblW w:w="10490" w:type="dxa"/>
        <w:tblInd w:w="384" w:type="dxa"/>
        <w:tblLayout w:type="fixed"/>
        <w:tblCellMar>
          <w:top w:w="0" w:type="dxa"/>
          <w:left w:w="108" w:type="dxa"/>
          <w:bottom w:w="0" w:type="dxa"/>
          <w:right w:w="108" w:type="dxa"/>
        </w:tblCellMar>
      </w:tblPr>
      <w:tblGrid>
        <w:gridCol w:w="5103"/>
        <w:gridCol w:w="238"/>
        <w:gridCol w:w="5149"/>
      </w:tblGrid>
      <w:tr w14:paraId="0E17A5C5">
        <w:trPr>
          <w:trHeight w:val="227" w:hRule="atLeast"/>
        </w:trPr>
        <w:tc>
          <w:tcPr>
            <w:tcW w:w="5103" w:type="dxa"/>
            <w:tcBorders>
              <w:top w:val="nil"/>
              <w:left w:val="nil"/>
              <w:bottom w:val="single" w:color="auto" w:sz="4" w:space="0"/>
              <w:right w:val="nil"/>
            </w:tcBorders>
            <w:tcMar>
              <w:top w:w="0" w:type="dxa"/>
              <w:left w:w="0" w:type="dxa"/>
              <w:bottom w:w="0" w:type="dxa"/>
              <w:right w:w="28" w:type="dxa"/>
            </w:tcMar>
          </w:tcPr>
          <w:p w14:paraId="01E9FEE7">
            <w:pPr>
              <w:overflowPunct w:val="0"/>
              <w:rPr>
                <w:rFonts w:hint="default" w:ascii="Calibri" w:hAnsi="Calibri" w:eastAsia="楷体_GB2312" w:cs="Calibri"/>
                <w:b/>
                <w:sz w:val="18"/>
                <w:szCs w:val="18"/>
                <w:lang w:val="zh-CN" w:eastAsia="zh-CN"/>
              </w:rPr>
            </w:pPr>
            <w:r>
              <w:rPr>
                <w:rFonts w:hint="default" w:ascii="Calibri" w:hAnsi="Calibri" w:eastAsia="楷体_GB2312" w:cs="Calibri"/>
                <w:b/>
                <w:sz w:val="18"/>
                <w:szCs w:val="18"/>
                <w:lang w:val="zh-CN" w:eastAsia="zh-CN"/>
              </w:rPr>
              <w:t>图</w:t>
            </w:r>
            <w:r>
              <w:rPr>
                <w:rFonts w:hint="default" w:ascii="Calibri" w:hAnsi="Calibri" w:eastAsia="楷体_GB2312" w:cs="Calibri"/>
                <w:b/>
                <w:sz w:val="18"/>
                <w:szCs w:val="18"/>
                <w:lang w:eastAsia="zh-CN"/>
              </w:rPr>
              <w:t>2</w:t>
            </w:r>
            <w:r>
              <w:rPr>
                <w:rFonts w:hint="default" w:ascii="Calibri" w:hAnsi="Calibri" w:eastAsia="楷体_GB2312" w:cs="Calibri"/>
                <w:b/>
                <w:sz w:val="18"/>
                <w:szCs w:val="18"/>
                <w:lang w:val="en-US" w:eastAsia="zh-CN"/>
              </w:rPr>
              <w:t>4</w:t>
            </w:r>
            <w:r>
              <w:rPr>
                <w:rFonts w:hint="default" w:ascii="Calibri" w:hAnsi="Calibri" w:eastAsia="楷体_GB2312" w:cs="Calibri"/>
                <w:b/>
                <w:sz w:val="18"/>
                <w:szCs w:val="18"/>
                <w:lang w:val="zh-CN" w:eastAsia="zh-CN"/>
              </w:rPr>
              <w:t>：2025年</w:t>
            </w:r>
            <w:r>
              <w:rPr>
                <w:rFonts w:hint="default" w:ascii="Calibri" w:hAnsi="Calibri" w:eastAsia="楷体_GB2312" w:cs="Calibri"/>
                <w:b/>
                <w:sz w:val="18"/>
                <w:szCs w:val="18"/>
                <w:lang w:val="en-US" w:eastAsia="zh-CN"/>
              </w:rPr>
              <w:t>12</w:t>
            </w:r>
            <w:r>
              <w:rPr>
                <w:rFonts w:hint="default" w:ascii="Calibri" w:hAnsi="Calibri" w:eastAsia="楷体_GB2312" w:cs="Calibri"/>
                <w:b/>
                <w:sz w:val="18"/>
                <w:szCs w:val="18"/>
                <w:lang w:val="zh-CN" w:eastAsia="zh-CN"/>
              </w:rPr>
              <w:t>月-2026年</w:t>
            </w:r>
            <w:r>
              <w:rPr>
                <w:rFonts w:hint="default" w:ascii="Calibri" w:hAnsi="Calibri" w:eastAsia="楷体_GB2312" w:cs="Calibri"/>
                <w:b/>
                <w:sz w:val="18"/>
                <w:szCs w:val="18"/>
                <w:lang w:val="en-US" w:eastAsia="zh-CN"/>
              </w:rPr>
              <w:t>11</w:t>
            </w:r>
            <w:r>
              <w:rPr>
                <w:rFonts w:hint="default" w:ascii="Calibri" w:hAnsi="Calibri" w:eastAsia="楷体_GB2312" w:cs="Calibri"/>
                <w:b/>
                <w:sz w:val="18"/>
                <w:szCs w:val="18"/>
                <w:lang w:val="zh-CN" w:eastAsia="zh-CN"/>
              </w:rPr>
              <w:t>月新增装机计划</w:t>
            </w:r>
          </w:p>
        </w:tc>
        <w:tc>
          <w:tcPr>
            <w:tcW w:w="238" w:type="dxa"/>
            <w:tcBorders>
              <w:top w:val="nil"/>
              <w:left w:val="nil"/>
              <w:bottom w:val="nil"/>
              <w:right w:val="nil"/>
            </w:tcBorders>
            <w:tcMar>
              <w:top w:w="0" w:type="dxa"/>
              <w:left w:w="0" w:type="dxa"/>
              <w:bottom w:w="0" w:type="dxa"/>
              <w:right w:w="28" w:type="dxa"/>
            </w:tcMar>
          </w:tcPr>
          <w:p w14:paraId="08E49DD7">
            <w:pPr>
              <w:overflowPunct w:val="0"/>
              <w:rPr>
                <w:rFonts w:hint="default" w:ascii="Calibri" w:hAnsi="Calibri" w:eastAsia="楷体_GB2312" w:cs="Calibri"/>
                <w:b/>
                <w:sz w:val="18"/>
                <w:szCs w:val="18"/>
                <w:lang w:val="zh-CN" w:eastAsia="zh-CN"/>
              </w:rPr>
            </w:pPr>
          </w:p>
        </w:tc>
        <w:tc>
          <w:tcPr>
            <w:tcW w:w="5149" w:type="dxa"/>
            <w:tcBorders>
              <w:top w:val="nil"/>
              <w:left w:val="nil"/>
              <w:bottom w:val="single" w:color="auto" w:sz="4" w:space="0"/>
              <w:right w:val="nil"/>
            </w:tcBorders>
            <w:tcMar>
              <w:top w:w="0" w:type="dxa"/>
              <w:left w:w="0" w:type="dxa"/>
              <w:bottom w:w="0" w:type="dxa"/>
              <w:right w:w="28" w:type="dxa"/>
            </w:tcMar>
          </w:tcPr>
          <w:p w14:paraId="4588043E">
            <w:pPr>
              <w:overflowPunct w:val="0"/>
              <w:rPr>
                <w:rFonts w:hint="default" w:ascii="Calibri" w:hAnsi="Calibri" w:eastAsia="楷体_GB2312" w:cs="Calibri"/>
                <w:b/>
                <w:sz w:val="18"/>
                <w:szCs w:val="18"/>
                <w:lang w:val="zh-CN"/>
              </w:rPr>
            </w:pPr>
            <w:r>
              <w:rPr>
                <w:rFonts w:hint="default" w:ascii="Calibri" w:hAnsi="Calibri" w:eastAsia="楷体_GB2312" w:cs="Calibri"/>
                <w:b/>
                <w:sz w:val="18"/>
                <w:szCs w:val="18"/>
                <w:lang w:val="zh-CN"/>
              </w:rPr>
              <w:t>图</w:t>
            </w:r>
            <w:r>
              <w:rPr>
                <w:rFonts w:hint="default" w:ascii="Calibri" w:hAnsi="Calibri" w:eastAsia="楷体_GB2312" w:cs="Calibri"/>
                <w:b/>
                <w:sz w:val="18"/>
                <w:szCs w:val="18"/>
              </w:rPr>
              <w:t>2</w:t>
            </w:r>
            <w:r>
              <w:rPr>
                <w:rFonts w:hint="default" w:ascii="Calibri" w:hAnsi="Calibri" w:eastAsia="楷体_GB2312" w:cs="Calibri"/>
                <w:b/>
                <w:sz w:val="18"/>
                <w:szCs w:val="18"/>
                <w:lang w:val="en-US" w:eastAsia="zh-CN"/>
              </w:rPr>
              <w:t>5</w:t>
            </w:r>
            <w:r>
              <w:rPr>
                <w:rFonts w:hint="default" w:ascii="Calibri" w:hAnsi="Calibri" w:eastAsia="楷体_GB2312" w:cs="Calibri"/>
                <w:b/>
                <w:sz w:val="18"/>
                <w:szCs w:val="18"/>
                <w:lang w:val="zh-CN"/>
              </w:rPr>
              <w:t>：2025年</w:t>
            </w:r>
            <w:r>
              <w:rPr>
                <w:rFonts w:hint="default" w:ascii="Calibri" w:hAnsi="Calibri" w:eastAsia="楷体_GB2312" w:cs="Calibri"/>
                <w:b/>
                <w:sz w:val="18"/>
                <w:szCs w:val="18"/>
                <w:lang w:val="en-US" w:eastAsia="zh-CN"/>
              </w:rPr>
              <w:t>11</w:t>
            </w:r>
            <w:r>
              <w:rPr>
                <w:rFonts w:hint="default" w:ascii="Calibri" w:hAnsi="Calibri" w:eastAsia="楷体_GB2312" w:cs="Calibri"/>
                <w:b/>
                <w:sz w:val="18"/>
                <w:szCs w:val="18"/>
                <w:lang w:val="zh-CN"/>
              </w:rPr>
              <w:t>月新增装机</w:t>
            </w:r>
          </w:p>
        </w:tc>
      </w:tr>
      <w:tr w14:paraId="626AFBAD">
        <w:tblPrEx>
          <w:tblCellMar>
            <w:top w:w="0" w:type="dxa"/>
            <w:left w:w="108" w:type="dxa"/>
            <w:bottom w:w="0" w:type="dxa"/>
            <w:right w:w="108" w:type="dxa"/>
          </w:tblCellMar>
        </w:tblPrEx>
        <w:trPr>
          <w:trHeight w:val="3109" w:hRule="atLeast"/>
        </w:trPr>
        <w:tc>
          <w:tcPr>
            <w:tcW w:w="5103" w:type="dxa"/>
            <w:tcBorders>
              <w:top w:val="single" w:color="auto" w:sz="4" w:space="0"/>
              <w:left w:val="nil"/>
              <w:bottom w:val="single" w:color="auto" w:sz="4" w:space="0"/>
              <w:right w:val="nil"/>
            </w:tcBorders>
            <w:tcMar>
              <w:top w:w="0" w:type="dxa"/>
              <w:left w:w="0" w:type="dxa"/>
              <w:bottom w:w="0" w:type="dxa"/>
              <w:right w:w="28" w:type="dxa"/>
            </w:tcMar>
            <w:vAlign w:val="center"/>
          </w:tcPr>
          <w:p w14:paraId="3C3F264C">
            <w:pPr>
              <w:overflowPunct w:val="0"/>
              <w:spacing w:before="48" w:beforeLines="20" w:after="48" w:afterLines="20"/>
              <w:jc w:val="center"/>
              <w:textAlignment w:val="center"/>
              <w:rPr>
                <w:rFonts w:hint="default" w:ascii="Calibri" w:hAnsi="Calibri" w:eastAsia="楷体_GB2312" w:cs="Calibri"/>
                <w:b/>
                <w:color w:val="000000"/>
                <w:sz w:val="15"/>
                <w:szCs w:val="15"/>
              </w:rPr>
            </w:pPr>
            <w:r>
              <w:rPr>
                <w:rFonts w:hint="default" w:ascii="Calibri" w:hAnsi="Calibri" w:eastAsia="楷体_GB2312" w:cs="Calibri"/>
                <w:b/>
                <w:color w:val="000000"/>
                <w:sz w:val="15"/>
                <w:szCs w:val="15"/>
              </w:rPr>
              <w:drawing>
                <wp:inline distT="0" distB="0" distL="114300" distR="114300">
                  <wp:extent cx="2850515" cy="2375535"/>
                  <wp:effectExtent l="0" t="0" r="6985" b="12065"/>
                  <wp:docPr id="41" name="图片 41" descr="d7a01d47220725ce0bf166247bf26c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d7a01d47220725ce0bf166247bf26cd2"/>
                          <pic:cNvPicPr>
                            <a:picLocks noChangeAspect="1"/>
                          </pic:cNvPicPr>
                        </pic:nvPicPr>
                        <pic:blipFill>
                          <a:blip r:embed="rId37"/>
                          <a:stretch>
                            <a:fillRect/>
                          </a:stretch>
                        </pic:blipFill>
                        <pic:spPr>
                          <a:xfrm>
                            <a:off x="0" y="0"/>
                            <a:ext cx="2850515" cy="2375535"/>
                          </a:xfrm>
                          <a:prstGeom prst="rect">
                            <a:avLst/>
                          </a:prstGeom>
                        </pic:spPr>
                      </pic:pic>
                    </a:graphicData>
                  </a:graphic>
                </wp:inline>
              </w:drawing>
            </w:r>
          </w:p>
        </w:tc>
        <w:tc>
          <w:tcPr>
            <w:tcW w:w="238" w:type="dxa"/>
            <w:tcBorders>
              <w:top w:val="nil"/>
              <w:left w:val="nil"/>
              <w:bottom w:val="nil"/>
              <w:right w:val="nil"/>
            </w:tcBorders>
            <w:tcMar>
              <w:top w:w="0" w:type="dxa"/>
              <w:left w:w="0" w:type="dxa"/>
              <w:bottom w:w="0" w:type="dxa"/>
              <w:right w:w="28" w:type="dxa"/>
            </w:tcMar>
          </w:tcPr>
          <w:p w14:paraId="5DAD0022">
            <w:pPr>
              <w:overflowPunct w:val="0"/>
              <w:spacing w:before="48" w:beforeLines="20" w:after="48" w:afterLines="20"/>
              <w:rPr>
                <w:rFonts w:hint="default" w:ascii="Calibri" w:hAnsi="Calibri" w:eastAsia="楷体_GB2312" w:cs="Calibri"/>
                <w:sz w:val="15"/>
                <w:szCs w:val="15"/>
              </w:rPr>
            </w:pPr>
          </w:p>
        </w:tc>
        <w:tc>
          <w:tcPr>
            <w:tcW w:w="5149" w:type="dxa"/>
            <w:tcBorders>
              <w:top w:val="single" w:color="auto" w:sz="4" w:space="0"/>
              <w:left w:val="nil"/>
              <w:bottom w:val="single" w:color="auto" w:sz="4" w:space="0"/>
              <w:right w:val="nil"/>
            </w:tcBorders>
            <w:tcMar>
              <w:top w:w="0" w:type="dxa"/>
              <w:left w:w="0" w:type="dxa"/>
              <w:bottom w:w="0" w:type="dxa"/>
              <w:right w:w="28" w:type="dxa"/>
            </w:tcMar>
          </w:tcPr>
          <w:p w14:paraId="50EAFFFA">
            <w:pPr>
              <w:overflowPunct w:val="0"/>
              <w:spacing w:before="48" w:beforeLines="20" w:after="48" w:afterLines="20"/>
              <w:jc w:val="center"/>
              <w:rPr>
                <w:rFonts w:hint="default" w:ascii="Calibri" w:hAnsi="Calibri" w:eastAsia="楷体_GB2312" w:cs="Calibri"/>
                <w:b/>
                <w:sz w:val="15"/>
                <w:szCs w:val="15"/>
              </w:rPr>
            </w:pPr>
            <w:r>
              <w:rPr>
                <w:rFonts w:hint="default" w:ascii="Calibri" w:hAnsi="Calibri" w:eastAsia="楷体_GB2312" w:cs="Calibri"/>
                <w:b/>
                <w:sz w:val="15"/>
                <w:szCs w:val="15"/>
              </w:rPr>
              <w:drawing>
                <wp:inline distT="0" distB="0" distL="114300" distR="114300">
                  <wp:extent cx="2802255" cy="2335530"/>
                  <wp:effectExtent l="0" t="0" r="4445" b="1270"/>
                  <wp:docPr id="42" name="图片 42" descr="c598b1931ca94c00d1b86b4255613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c598b1931ca94c00d1b86b4255613325"/>
                          <pic:cNvPicPr>
                            <a:picLocks noChangeAspect="1"/>
                          </pic:cNvPicPr>
                        </pic:nvPicPr>
                        <pic:blipFill>
                          <a:blip r:embed="rId38"/>
                          <a:stretch>
                            <a:fillRect/>
                          </a:stretch>
                        </pic:blipFill>
                        <pic:spPr>
                          <a:xfrm>
                            <a:off x="0" y="0"/>
                            <a:ext cx="2802255" cy="2335530"/>
                          </a:xfrm>
                          <a:prstGeom prst="rect">
                            <a:avLst/>
                          </a:prstGeom>
                        </pic:spPr>
                      </pic:pic>
                    </a:graphicData>
                  </a:graphic>
                </wp:inline>
              </w:drawing>
            </w:r>
          </w:p>
        </w:tc>
      </w:tr>
      <w:tr w14:paraId="68883F27">
        <w:tblPrEx>
          <w:tblCellMar>
            <w:top w:w="0" w:type="dxa"/>
            <w:left w:w="108" w:type="dxa"/>
            <w:bottom w:w="0" w:type="dxa"/>
            <w:right w:w="108" w:type="dxa"/>
          </w:tblCellMar>
        </w:tblPrEx>
        <w:tc>
          <w:tcPr>
            <w:tcW w:w="5103" w:type="dxa"/>
            <w:tcBorders>
              <w:top w:val="single" w:color="auto" w:sz="4" w:space="0"/>
              <w:left w:val="nil"/>
              <w:bottom w:val="nil"/>
              <w:right w:val="nil"/>
            </w:tcBorders>
            <w:tcMar>
              <w:top w:w="0" w:type="dxa"/>
              <w:left w:w="0" w:type="dxa"/>
              <w:bottom w:w="0" w:type="dxa"/>
              <w:right w:w="28" w:type="dxa"/>
            </w:tcMar>
            <w:vAlign w:val="center"/>
          </w:tcPr>
          <w:p w14:paraId="3D45FE3B">
            <w:pPr>
              <w:overflowPunct w:val="0"/>
              <w:spacing w:before="48" w:beforeLines="20" w:after="48" w:afterLines="20"/>
              <w:textAlignment w:val="center"/>
              <w:rPr>
                <w:rFonts w:hint="default" w:ascii="Calibri" w:hAnsi="Calibri" w:eastAsia="楷体_GB2312" w:cs="Calibri"/>
                <w:sz w:val="10"/>
                <w:szCs w:val="10"/>
                <w:lang w:eastAsia="zh-CN"/>
              </w:rPr>
            </w:pPr>
            <w:r>
              <w:rPr>
                <w:rFonts w:hint="default" w:ascii="Calibri" w:hAnsi="Calibri" w:eastAsia="楷体_GB2312" w:cs="Calibri"/>
                <w:i/>
                <w:iCs/>
                <w:lang w:val="zh-CN" w:eastAsia="zh-CN"/>
              </w:rPr>
              <w:t>资料来源：EIA，HFI</w:t>
            </w:r>
          </w:p>
        </w:tc>
        <w:tc>
          <w:tcPr>
            <w:tcW w:w="238" w:type="dxa"/>
            <w:tcBorders>
              <w:top w:val="nil"/>
              <w:left w:val="nil"/>
              <w:bottom w:val="nil"/>
              <w:right w:val="nil"/>
            </w:tcBorders>
            <w:tcMar>
              <w:top w:w="0" w:type="dxa"/>
              <w:left w:w="0" w:type="dxa"/>
              <w:bottom w:w="0" w:type="dxa"/>
              <w:right w:w="28" w:type="dxa"/>
            </w:tcMar>
          </w:tcPr>
          <w:p w14:paraId="4136E3DE">
            <w:pPr>
              <w:overflowPunct w:val="0"/>
              <w:spacing w:before="48" w:beforeLines="20" w:after="48" w:afterLines="20"/>
              <w:rPr>
                <w:rFonts w:hint="default" w:ascii="Calibri" w:hAnsi="Calibri" w:eastAsia="楷体_GB2312" w:cs="Calibri"/>
                <w:sz w:val="15"/>
                <w:szCs w:val="15"/>
                <w:lang w:eastAsia="zh-CN"/>
              </w:rPr>
            </w:pPr>
          </w:p>
        </w:tc>
        <w:tc>
          <w:tcPr>
            <w:tcW w:w="5149" w:type="dxa"/>
            <w:tcBorders>
              <w:top w:val="single" w:color="auto" w:sz="4" w:space="0"/>
              <w:left w:val="nil"/>
              <w:bottom w:val="nil"/>
              <w:right w:val="nil"/>
            </w:tcBorders>
            <w:tcMar>
              <w:top w:w="0" w:type="dxa"/>
              <w:left w:w="0" w:type="dxa"/>
              <w:bottom w:w="0" w:type="dxa"/>
              <w:right w:w="28" w:type="dxa"/>
            </w:tcMar>
          </w:tcPr>
          <w:p w14:paraId="71D08B98">
            <w:pPr>
              <w:overflowPunct w:val="0"/>
              <w:spacing w:before="48" w:beforeLines="20" w:after="48" w:afterLines="20"/>
              <w:rPr>
                <w:rFonts w:hint="default" w:ascii="Calibri" w:hAnsi="Calibri" w:eastAsia="楷体_GB2312" w:cs="Calibri"/>
                <w:sz w:val="10"/>
                <w:szCs w:val="10"/>
                <w:lang w:eastAsia="zh-CN"/>
              </w:rPr>
            </w:pPr>
            <w:r>
              <w:rPr>
                <w:rFonts w:hint="default" w:ascii="Calibri" w:hAnsi="Calibri" w:eastAsia="楷体_GB2312" w:cs="Calibri"/>
                <w:i/>
                <w:iCs/>
                <w:lang w:val="zh-CN" w:eastAsia="zh-CN"/>
              </w:rPr>
              <w:t>资料来源：EIA，HFI</w:t>
            </w:r>
          </w:p>
        </w:tc>
      </w:tr>
    </w:tbl>
    <w:p w14:paraId="4DEB9B9A">
      <w:pPr>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br w:type="page"/>
      </w:r>
    </w:p>
    <w:tbl>
      <w:tblPr>
        <w:tblStyle w:val="26"/>
        <w:tblpPr w:leftFromText="180" w:rightFromText="180" w:vertAnchor="text" w:horzAnchor="margin" w:tblpXSpec="right" w:tblpY="249"/>
        <w:tblW w:w="10490" w:type="dxa"/>
        <w:jc w:val="right"/>
        <w:tblLayout w:type="fixed"/>
        <w:tblCellMar>
          <w:top w:w="0" w:type="dxa"/>
          <w:left w:w="108" w:type="dxa"/>
          <w:bottom w:w="0" w:type="dxa"/>
          <w:right w:w="108" w:type="dxa"/>
        </w:tblCellMar>
      </w:tblPr>
      <w:tblGrid>
        <w:gridCol w:w="5103"/>
        <w:gridCol w:w="238"/>
        <w:gridCol w:w="5149"/>
      </w:tblGrid>
      <w:tr w14:paraId="1F26CBCE">
        <w:tblPrEx>
          <w:tblCellMar>
            <w:top w:w="0" w:type="dxa"/>
            <w:left w:w="108" w:type="dxa"/>
            <w:bottom w:w="0" w:type="dxa"/>
            <w:right w:w="108" w:type="dxa"/>
          </w:tblCellMar>
        </w:tblPrEx>
        <w:trPr>
          <w:trHeight w:val="227" w:hRule="atLeast"/>
          <w:jc w:val="right"/>
        </w:trPr>
        <w:tc>
          <w:tcPr>
            <w:tcW w:w="5103" w:type="dxa"/>
            <w:tcBorders>
              <w:top w:val="nil"/>
              <w:left w:val="nil"/>
              <w:bottom w:val="single" w:color="auto" w:sz="4" w:space="0"/>
              <w:right w:val="nil"/>
            </w:tcBorders>
            <w:tcMar>
              <w:top w:w="0" w:type="dxa"/>
              <w:left w:w="0" w:type="dxa"/>
              <w:bottom w:w="0" w:type="dxa"/>
              <w:right w:w="28" w:type="dxa"/>
            </w:tcMar>
          </w:tcPr>
          <w:p w14:paraId="62BD3404">
            <w:pPr>
              <w:overflowPunct w:val="0"/>
              <w:rPr>
                <w:rFonts w:hint="default" w:ascii="Calibri" w:hAnsi="Calibri" w:eastAsia="楷体_GB2312" w:cs="Calibri"/>
                <w:b/>
                <w:sz w:val="18"/>
                <w:szCs w:val="18"/>
                <w:lang w:val="zh-CN" w:eastAsia="zh-CN"/>
              </w:rPr>
            </w:pPr>
            <w:r>
              <w:rPr>
                <w:rFonts w:hint="default" w:ascii="Calibri" w:hAnsi="Calibri" w:eastAsia="楷体_GB2312" w:cs="Calibri"/>
                <w:b/>
                <w:sz w:val="18"/>
                <w:szCs w:val="18"/>
                <w:lang w:val="zh-CN" w:eastAsia="zh-CN"/>
              </w:rPr>
              <w:t>图</w:t>
            </w:r>
            <w:r>
              <w:rPr>
                <w:rFonts w:hint="default" w:ascii="Calibri" w:hAnsi="Calibri" w:eastAsia="楷体_GB2312" w:cs="Calibri"/>
                <w:b/>
                <w:sz w:val="18"/>
                <w:szCs w:val="18"/>
                <w:lang w:eastAsia="zh-CN"/>
              </w:rPr>
              <w:t>2</w:t>
            </w:r>
            <w:r>
              <w:rPr>
                <w:rFonts w:hint="default" w:ascii="Calibri" w:hAnsi="Calibri" w:eastAsia="楷体_GB2312" w:cs="Calibri"/>
                <w:b/>
                <w:sz w:val="18"/>
                <w:szCs w:val="18"/>
                <w:lang w:val="en-US" w:eastAsia="zh-CN"/>
              </w:rPr>
              <w:t>6</w:t>
            </w:r>
            <w:r>
              <w:rPr>
                <w:rFonts w:hint="default" w:ascii="Calibri" w:hAnsi="Calibri" w:eastAsia="楷体_GB2312" w:cs="Calibri"/>
                <w:b/>
                <w:sz w:val="18"/>
                <w:szCs w:val="18"/>
                <w:lang w:val="zh-CN" w:eastAsia="zh-CN"/>
              </w:rPr>
              <w:t>：2025年</w:t>
            </w:r>
            <w:r>
              <w:rPr>
                <w:rFonts w:hint="default" w:ascii="Calibri" w:hAnsi="Calibri" w:eastAsia="楷体_GB2312" w:cs="Calibri"/>
                <w:b/>
                <w:sz w:val="18"/>
                <w:szCs w:val="18"/>
                <w:lang w:val="en-US" w:eastAsia="zh-CN"/>
              </w:rPr>
              <w:t>12</w:t>
            </w:r>
            <w:r>
              <w:rPr>
                <w:rFonts w:hint="default" w:ascii="Calibri" w:hAnsi="Calibri" w:eastAsia="楷体_GB2312" w:cs="Calibri"/>
                <w:b/>
                <w:sz w:val="18"/>
                <w:szCs w:val="18"/>
                <w:lang w:val="zh-CN" w:eastAsia="zh-CN"/>
              </w:rPr>
              <w:t>月-2026年</w:t>
            </w:r>
            <w:r>
              <w:rPr>
                <w:rFonts w:hint="default" w:ascii="Calibri" w:hAnsi="Calibri" w:eastAsia="楷体_GB2312" w:cs="Calibri"/>
                <w:b/>
                <w:sz w:val="18"/>
                <w:szCs w:val="18"/>
                <w:lang w:val="en-US" w:eastAsia="zh-CN"/>
              </w:rPr>
              <w:t>11</w:t>
            </w:r>
            <w:r>
              <w:rPr>
                <w:rFonts w:hint="default" w:ascii="Calibri" w:hAnsi="Calibri" w:eastAsia="楷体_GB2312" w:cs="Calibri"/>
                <w:b/>
                <w:sz w:val="18"/>
                <w:szCs w:val="18"/>
                <w:lang w:val="zh-CN" w:eastAsia="zh-CN"/>
              </w:rPr>
              <w:t>月退役装机计划</w:t>
            </w:r>
          </w:p>
        </w:tc>
        <w:tc>
          <w:tcPr>
            <w:tcW w:w="238" w:type="dxa"/>
            <w:tcBorders>
              <w:top w:val="nil"/>
              <w:left w:val="nil"/>
              <w:bottom w:val="nil"/>
              <w:right w:val="nil"/>
            </w:tcBorders>
            <w:tcMar>
              <w:top w:w="0" w:type="dxa"/>
              <w:left w:w="0" w:type="dxa"/>
              <w:bottom w:w="0" w:type="dxa"/>
              <w:right w:w="28" w:type="dxa"/>
            </w:tcMar>
          </w:tcPr>
          <w:p w14:paraId="0F816BD3">
            <w:pPr>
              <w:overflowPunct w:val="0"/>
              <w:rPr>
                <w:rFonts w:hint="default" w:ascii="Calibri" w:hAnsi="Calibri" w:eastAsia="楷体_GB2312" w:cs="Calibri"/>
                <w:b/>
                <w:sz w:val="18"/>
                <w:szCs w:val="18"/>
                <w:lang w:val="zh-CN" w:eastAsia="zh-CN"/>
              </w:rPr>
            </w:pPr>
          </w:p>
        </w:tc>
        <w:tc>
          <w:tcPr>
            <w:tcW w:w="5149" w:type="dxa"/>
            <w:tcBorders>
              <w:top w:val="nil"/>
              <w:left w:val="nil"/>
              <w:bottom w:val="single" w:color="auto" w:sz="4" w:space="0"/>
              <w:right w:val="nil"/>
            </w:tcBorders>
            <w:tcMar>
              <w:top w:w="0" w:type="dxa"/>
              <w:left w:w="0" w:type="dxa"/>
              <w:bottom w:w="0" w:type="dxa"/>
              <w:right w:w="28" w:type="dxa"/>
            </w:tcMar>
          </w:tcPr>
          <w:p w14:paraId="7312467B">
            <w:pPr>
              <w:overflowPunct w:val="0"/>
              <w:rPr>
                <w:rFonts w:hint="default" w:ascii="Calibri" w:hAnsi="Calibri" w:eastAsia="楷体_GB2312" w:cs="Calibri"/>
                <w:b/>
                <w:sz w:val="18"/>
                <w:szCs w:val="18"/>
                <w:lang w:val="zh-CN"/>
              </w:rPr>
            </w:pPr>
            <w:r>
              <w:rPr>
                <w:rFonts w:hint="default" w:ascii="Calibri" w:hAnsi="Calibri" w:eastAsia="楷体_GB2312" w:cs="Calibri"/>
                <w:b/>
                <w:sz w:val="18"/>
                <w:szCs w:val="18"/>
                <w:lang w:val="zh-CN"/>
              </w:rPr>
              <w:t>图</w:t>
            </w:r>
            <w:r>
              <w:rPr>
                <w:rFonts w:hint="default" w:ascii="Calibri" w:hAnsi="Calibri" w:eastAsia="楷体_GB2312" w:cs="Calibri"/>
                <w:b/>
                <w:sz w:val="18"/>
                <w:szCs w:val="18"/>
                <w:lang w:val="en-US" w:eastAsia="zh-CN"/>
              </w:rPr>
              <w:t>27</w:t>
            </w:r>
            <w:r>
              <w:rPr>
                <w:rFonts w:hint="default" w:ascii="Calibri" w:hAnsi="Calibri" w:eastAsia="楷体_GB2312" w:cs="Calibri"/>
                <w:b/>
                <w:sz w:val="18"/>
                <w:szCs w:val="18"/>
                <w:lang w:val="zh-CN"/>
              </w:rPr>
              <w:t>：2025年</w:t>
            </w:r>
            <w:r>
              <w:rPr>
                <w:rFonts w:hint="default" w:ascii="Calibri" w:hAnsi="Calibri" w:eastAsia="楷体_GB2312" w:cs="Calibri"/>
                <w:b/>
                <w:sz w:val="18"/>
                <w:szCs w:val="18"/>
                <w:lang w:val="en-US" w:eastAsia="zh-CN"/>
              </w:rPr>
              <w:t>11</w:t>
            </w:r>
            <w:r>
              <w:rPr>
                <w:rFonts w:hint="default" w:ascii="Calibri" w:hAnsi="Calibri" w:eastAsia="楷体_GB2312" w:cs="Calibri"/>
                <w:b/>
                <w:sz w:val="18"/>
                <w:szCs w:val="18"/>
                <w:lang w:val="zh-CN"/>
              </w:rPr>
              <w:t>月退役装机</w:t>
            </w:r>
          </w:p>
        </w:tc>
      </w:tr>
      <w:tr w14:paraId="23DA7919">
        <w:tblPrEx>
          <w:tblCellMar>
            <w:top w:w="0" w:type="dxa"/>
            <w:left w:w="108" w:type="dxa"/>
            <w:bottom w:w="0" w:type="dxa"/>
            <w:right w:w="108" w:type="dxa"/>
          </w:tblCellMar>
        </w:tblPrEx>
        <w:trPr>
          <w:trHeight w:val="3109" w:hRule="atLeast"/>
          <w:jc w:val="right"/>
        </w:trPr>
        <w:tc>
          <w:tcPr>
            <w:tcW w:w="5103" w:type="dxa"/>
            <w:tcBorders>
              <w:top w:val="single" w:color="auto" w:sz="4" w:space="0"/>
              <w:left w:val="nil"/>
              <w:bottom w:val="single" w:color="auto" w:sz="4" w:space="0"/>
              <w:right w:val="nil"/>
            </w:tcBorders>
            <w:tcMar>
              <w:top w:w="0" w:type="dxa"/>
              <w:left w:w="0" w:type="dxa"/>
              <w:bottom w:w="0" w:type="dxa"/>
              <w:right w:w="28" w:type="dxa"/>
            </w:tcMar>
            <w:vAlign w:val="center"/>
          </w:tcPr>
          <w:p w14:paraId="2E655FB3">
            <w:pPr>
              <w:overflowPunct w:val="0"/>
              <w:spacing w:before="48" w:beforeLines="20" w:after="48" w:afterLines="20"/>
              <w:jc w:val="center"/>
              <w:textAlignment w:val="center"/>
              <w:rPr>
                <w:rFonts w:hint="default" w:ascii="Calibri" w:hAnsi="Calibri" w:eastAsia="楷体_GB2312" w:cs="Calibri"/>
                <w:b/>
                <w:color w:val="000000"/>
                <w:sz w:val="15"/>
                <w:szCs w:val="15"/>
              </w:rPr>
            </w:pPr>
            <w:r>
              <w:rPr>
                <w:rFonts w:hint="default" w:ascii="Calibri" w:hAnsi="Calibri" w:eastAsia="楷体_GB2312" w:cs="Calibri"/>
                <w:b/>
                <w:color w:val="000000"/>
                <w:sz w:val="15"/>
                <w:szCs w:val="15"/>
              </w:rPr>
              <w:drawing>
                <wp:inline distT="0" distB="0" distL="114300" distR="114300">
                  <wp:extent cx="2921000" cy="2434590"/>
                  <wp:effectExtent l="0" t="0" r="5080" b="3810"/>
                  <wp:docPr id="43" name="图片 43" descr="502882e8320e3d8856c371980377f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502882e8320e3d8856c371980377f602"/>
                          <pic:cNvPicPr>
                            <a:picLocks noChangeAspect="1"/>
                          </pic:cNvPicPr>
                        </pic:nvPicPr>
                        <pic:blipFill>
                          <a:blip r:embed="rId39"/>
                          <a:stretch>
                            <a:fillRect/>
                          </a:stretch>
                        </pic:blipFill>
                        <pic:spPr>
                          <a:xfrm>
                            <a:off x="0" y="0"/>
                            <a:ext cx="2921000" cy="2434590"/>
                          </a:xfrm>
                          <a:prstGeom prst="rect">
                            <a:avLst/>
                          </a:prstGeom>
                        </pic:spPr>
                      </pic:pic>
                    </a:graphicData>
                  </a:graphic>
                </wp:inline>
              </w:drawing>
            </w:r>
          </w:p>
        </w:tc>
        <w:tc>
          <w:tcPr>
            <w:tcW w:w="238" w:type="dxa"/>
            <w:tcBorders>
              <w:top w:val="nil"/>
              <w:left w:val="nil"/>
              <w:bottom w:val="nil"/>
              <w:right w:val="nil"/>
            </w:tcBorders>
            <w:tcMar>
              <w:top w:w="0" w:type="dxa"/>
              <w:left w:w="0" w:type="dxa"/>
              <w:bottom w:w="0" w:type="dxa"/>
              <w:right w:w="28" w:type="dxa"/>
            </w:tcMar>
          </w:tcPr>
          <w:p w14:paraId="021522E8">
            <w:pPr>
              <w:overflowPunct w:val="0"/>
              <w:spacing w:before="48" w:beforeLines="20" w:after="48" w:afterLines="20"/>
              <w:rPr>
                <w:rFonts w:hint="default" w:ascii="Calibri" w:hAnsi="Calibri" w:eastAsia="楷体_GB2312" w:cs="Calibri"/>
                <w:sz w:val="15"/>
                <w:szCs w:val="15"/>
              </w:rPr>
            </w:pPr>
          </w:p>
        </w:tc>
        <w:tc>
          <w:tcPr>
            <w:tcW w:w="5149" w:type="dxa"/>
            <w:tcBorders>
              <w:top w:val="single" w:color="auto" w:sz="4" w:space="0"/>
              <w:left w:val="nil"/>
              <w:bottom w:val="single" w:color="auto" w:sz="4" w:space="0"/>
              <w:right w:val="nil"/>
            </w:tcBorders>
            <w:tcMar>
              <w:top w:w="0" w:type="dxa"/>
              <w:left w:w="0" w:type="dxa"/>
              <w:bottom w:w="0" w:type="dxa"/>
              <w:right w:w="28" w:type="dxa"/>
            </w:tcMar>
          </w:tcPr>
          <w:p w14:paraId="7FE8DFB1">
            <w:pPr>
              <w:overflowPunct w:val="0"/>
              <w:spacing w:before="48" w:beforeLines="20" w:after="48" w:afterLines="20"/>
              <w:jc w:val="center"/>
              <w:rPr>
                <w:rFonts w:hint="default" w:ascii="Calibri" w:hAnsi="Calibri" w:eastAsia="楷体_GB2312" w:cs="Calibri"/>
                <w:b/>
                <w:sz w:val="15"/>
                <w:szCs w:val="15"/>
              </w:rPr>
            </w:pPr>
            <w:r>
              <w:rPr>
                <w:rFonts w:hint="default" w:ascii="Calibri" w:hAnsi="Calibri" w:eastAsia="楷体_GB2312" w:cs="Calibri"/>
                <w:b/>
                <w:sz w:val="15"/>
                <w:szCs w:val="15"/>
              </w:rPr>
              <w:drawing>
                <wp:inline distT="0" distB="0" distL="114300" distR="114300">
                  <wp:extent cx="2865755" cy="2388235"/>
                  <wp:effectExtent l="0" t="0" r="14605" b="4445"/>
                  <wp:docPr id="44" name="图片 44" descr="e178506fbc6268571181f61e53469a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e178506fbc6268571181f61e53469a9b"/>
                          <pic:cNvPicPr>
                            <a:picLocks noChangeAspect="1"/>
                          </pic:cNvPicPr>
                        </pic:nvPicPr>
                        <pic:blipFill>
                          <a:blip r:embed="rId40"/>
                          <a:stretch>
                            <a:fillRect/>
                          </a:stretch>
                        </pic:blipFill>
                        <pic:spPr>
                          <a:xfrm>
                            <a:off x="0" y="0"/>
                            <a:ext cx="2865755" cy="2388235"/>
                          </a:xfrm>
                          <a:prstGeom prst="rect">
                            <a:avLst/>
                          </a:prstGeom>
                        </pic:spPr>
                      </pic:pic>
                    </a:graphicData>
                  </a:graphic>
                </wp:inline>
              </w:drawing>
            </w:r>
          </w:p>
        </w:tc>
      </w:tr>
      <w:tr w14:paraId="27E9B8A8">
        <w:tblPrEx>
          <w:tblCellMar>
            <w:top w:w="0" w:type="dxa"/>
            <w:left w:w="108" w:type="dxa"/>
            <w:bottom w:w="0" w:type="dxa"/>
            <w:right w:w="108" w:type="dxa"/>
          </w:tblCellMar>
        </w:tblPrEx>
        <w:trPr>
          <w:jc w:val="right"/>
        </w:trPr>
        <w:tc>
          <w:tcPr>
            <w:tcW w:w="5103" w:type="dxa"/>
            <w:tcBorders>
              <w:top w:val="single" w:color="auto" w:sz="4" w:space="0"/>
              <w:left w:val="nil"/>
              <w:bottom w:val="nil"/>
              <w:right w:val="nil"/>
            </w:tcBorders>
            <w:tcMar>
              <w:top w:w="0" w:type="dxa"/>
              <w:left w:w="0" w:type="dxa"/>
              <w:bottom w:w="0" w:type="dxa"/>
              <w:right w:w="28" w:type="dxa"/>
            </w:tcMar>
            <w:vAlign w:val="center"/>
          </w:tcPr>
          <w:p w14:paraId="0F647EF0">
            <w:pPr>
              <w:overflowPunct w:val="0"/>
              <w:spacing w:before="48" w:beforeLines="20" w:after="48" w:afterLines="20"/>
              <w:textAlignment w:val="center"/>
              <w:rPr>
                <w:rFonts w:hint="default" w:ascii="Calibri" w:hAnsi="Calibri" w:eastAsia="楷体_GB2312" w:cs="Calibri"/>
                <w:sz w:val="10"/>
                <w:szCs w:val="10"/>
                <w:lang w:eastAsia="zh-CN"/>
              </w:rPr>
            </w:pPr>
            <w:r>
              <w:rPr>
                <w:rFonts w:hint="default" w:ascii="Calibri" w:hAnsi="Calibri" w:eastAsia="楷体_GB2312" w:cs="Calibri"/>
                <w:i/>
                <w:iCs/>
                <w:lang w:val="zh-CN" w:eastAsia="zh-CN"/>
              </w:rPr>
              <w:t>资料来源：EIA，HFI</w:t>
            </w:r>
          </w:p>
        </w:tc>
        <w:tc>
          <w:tcPr>
            <w:tcW w:w="238" w:type="dxa"/>
            <w:tcBorders>
              <w:top w:val="nil"/>
              <w:left w:val="nil"/>
              <w:bottom w:val="nil"/>
              <w:right w:val="nil"/>
            </w:tcBorders>
            <w:tcMar>
              <w:top w:w="0" w:type="dxa"/>
              <w:left w:w="0" w:type="dxa"/>
              <w:bottom w:w="0" w:type="dxa"/>
              <w:right w:w="28" w:type="dxa"/>
            </w:tcMar>
          </w:tcPr>
          <w:p w14:paraId="1D668246">
            <w:pPr>
              <w:overflowPunct w:val="0"/>
              <w:spacing w:before="48" w:beforeLines="20" w:after="48" w:afterLines="20"/>
              <w:rPr>
                <w:rFonts w:hint="default" w:ascii="Calibri" w:hAnsi="Calibri" w:eastAsia="楷体_GB2312" w:cs="Calibri"/>
                <w:sz w:val="15"/>
                <w:szCs w:val="15"/>
                <w:lang w:eastAsia="zh-CN"/>
              </w:rPr>
            </w:pPr>
          </w:p>
        </w:tc>
        <w:tc>
          <w:tcPr>
            <w:tcW w:w="5149" w:type="dxa"/>
            <w:tcBorders>
              <w:top w:val="single" w:color="auto" w:sz="4" w:space="0"/>
              <w:left w:val="nil"/>
              <w:bottom w:val="nil"/>
              <w:right w:val="nil"/>
            </w:tcBorders>
            <w:tcMar>
              <w:top w:w="0" w:type="dxa"/>
              <w:left w:w="0" w:type="dxa"/>
              <w:bottom w:w="0" w:type="dxa"/>
              <w:right w:w="28" w:type="dxa"/>
            </w:tcMar>
          </w:tcPr>
          <w:p w14:paraId="00A07D0B">
            <w:pPr>
              <w:overflowPunct w:val="0"/>
              <w:spacing w:before="48" w:beforeLines="20" w:after="48" w:afterLines="20"/>
              <w:rPr>
                <w:rFonts w:hint="default" w:ascii="Calibri" w:hAnsi="Calibri" w:eastAsia="楷体_GB2312" w:cs="Calibri"/>
                <w:sz w:val="10"/>
                <w:szCs w:val="10"/>
                <w:lang w:eastAsia="zh-CN"/>
              </w:rPr>
            </w:pPr>
            <w:r>
              <w:rPr>
                <w:rFonts w:hint="default" w:ascii="Calibri" w:hAnsi="Calibri" w:eastAsia="楷体_GB2312" w:cs="Calibri"/>
                <w:i/>
                <w:iCs/>
                <w:lang w:val="zh-CN" w:eastAsia="zh-CN"/>
              </w:rPr>
              <w:t>资料来源：EIA，HFI</w:t>
            </w:r>
          </w:p>
        </w:tc>
      </w:tr>
    </w:tbl>
    <w:p w14:paraId="4C5DDE92">
      <w:pPr>
        <w:overflowPunct w:val="0"/>
        <w:ind w:left="3200" w:leftChars="2000"/>
        <w:jc w:val="both"/>
        <w:rPr>
          <w:rFonts w:hint="default" w:ascii="Calibri" w:hAnsi="Calibri" w:eastAsia="楷体_GB2312" w:cs="Calibri"/>
          <w:sz w:val="20"/>
          <w:szCs w:val="20"/>
          <w:lang w:val="en-US" w:eastAsia="zh-CN"/>
        </w:rPr>
      </w:pPr>
    </w:p>
    <w:p w14:paraId="48306EB4">
      <w:pPr>
        <w:overflowPunct w:val="0"/>
        <w:ind w:left="3200" w:leftChars="2000"/>
        <w:jc w:val="both"/>
        <w:rPr>
          <w:rFonts w:hint="default" w:ascii="Calibri" w:hAnsi="Calibri" w:eastAsia="楷体_GB2312" w:cs="Calibri"/>
          <w:sz w:val="20"/>
          <w:szCs w:val="20"/>
          <w:lang w:eastAsia="zh-CN"/>
        </w:rPr>
      </w:pPr>
    </w:p>
    <w:p w14:paraId="0513C184">
      <w:pPr>
        <w:overflowPunct w:val="0"/>
        <w:ind w:left="3200" w:leftChars="2000"/>
        <w:jc w:val="both"/>
        <w:rPr>
          <w:rFonts w:hint="default" w:ascii="Calibri" w:hAnsi="Calibri" w:eastAsia="楷体_GB2312" w:cs="Calibri"/>
          <w:b/>
          <w:bCs/>
          <w:sz w:val="20"/>
          <w:szCs w:val="20"/>
          <w:lang w:val="en-US" w:eastAsia="zh-CN"/>
        </w:rPr>
      </w:pPr>
      <w:r>
        <w:rPr>
          <w:rFonts w:hint="default" w:ascii="Calibri" w:hAnsi="Calibri" w:eastAsia="楷体_GB2312" w:cs="Calibri"/>
          <w:b/>
          <w:bCs/>
          <w:sz w:val="20"/>
          <w:szCs w:val="20"/>
          <w:lang w:val="en-US" w:eastAsia="zh-CN"/>
        </w:rPr>
        <w:t>各电力市场动态方面:</w:t>
      </w:r>
    </w:p>
    <w:p w14:paraId="61F39B6D">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CAISO：</w:t>
      </w:r>
      <w:r>
        <w:rPr>
          <w:rFonts w:hint="default" w:ascii="Calibri" w:hAnsi="Calibri" w:eastAsia="楷体_GB2312" w:cs="Calibri"/>
          <w:sz w:val="20"/>
          <w:szCs w:val="20"/>
          <w:lang w:val="en-US" w:eastAsia="zh-CN"/>
        </w:rPr>
        <w:t>2025年12月加州电网峰值负荷达31,455兆瓦（同比+2.9%），当月风光联合出力峰值11,078兆瓦；全年光伏最高21,774兆瓦，风光联合出力峰值25,744兆瓦，但风电峰值仍未突破2022年记录，凸显季节性风况制约。</w:t>
      </w:r>
    </w:p>
    <w:p w14:paraId="599E8075">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截至2026年1月，CAISO电池储能装机达15,809兆瓦（较2025年5月+22.6%），可再生能源总装机34,181兆瓦（太阳能占65.7%、风能24.4%），资源充足性净合格容量54,477兆瓦。</w:t>
      </w:r>
    </w:p>
    <w:p w14:paraId="30B2FCDE">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12月净进口电量峰值19,592兆瓦（同比+26.3%），冬季电力输入依赖度上升；10月录得3小时净负荷爬坡率24,378兆瓦历史新高，西部能源不平衡市场（WEIM）成为应对灵活性缺口的关键工具——目前覆盖11州22个参与方，自2014年累计创造经济效益78.2亿美元。</w:t>
      </w:r>
    </w:p>
    <w:p w14:paraId="5D9BADDC">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2025年三季度WEIM避免弃风弃光33,227兆瓦时，减排14,221吨CO₂；累计避免弃电266万兆瓦时，累计减排113.8万吨CO₂，支撑加州2045年碳中和目标。</w:t>
      </w:r>
    </w:p>
    <w:p w14:paraId="3869A943">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系统服务3,200万消费者（覆盖加州80%电力需求），2024年负荷服务总量241.8亿千瓦时，运营2.6万英里输电线路，协调333家市场参与者。</w:t>
      </w:r>
    </w:p>
    <w:tbl>
      <w:tblPr>
        <w:tblStyle w:val="26"/>
        <w:tblpPr w:leftFromText="180" w:rightFromText="180" w:vertAnchor="text" w:horzAnchor="margin" w:tblpXSpec="right" w:tblpY="252"/>
        <w:tblW w:w="10490" w:type="dxa"/>
        <w:tblInd w:w="0" w:type="dxa"/>
        <w:tblLayout w:type="fixed"/>
        <w:tblCellMar>
          <w:top w:w="0" w:type="dxa"/>
          <w:left w:w="108" w:type="dxa"/>
          <w:bottom w:w="0" w:type="dxa"/>
          <w:right w:w="108" w:type="dxa"/>
        </w:tblCellMar>
      </w:tblPr>
      <w:tblGrid>
        <w:gridCol w:w="5103"/>
        <w:gridCol w:w="238"/>
        <w:gridCol w:w="5149"/>
      </w:tblGrid>
      <w:tr w14:paraId="2F9C5985">
        <w:tblPrEx>
          <w:tblCellMar>
            <w:top w:w="0" w:type="dxa"/>
            <w:left w:w="108" w:type="dxa"/>
            <w:bottom w:w="0" w:type="dxa"/>
            <w:right w:w="108" w:type="dxa"/>
          </w:tblCellMar>
        </w:tblPrEx>
        <w:trPr>
          <w:trHeight w:val="227" w:hRule="atLeast"/>
        </w:trPr>
        <w:tc>
          <w:tcPr>
            <w:tcW w:w="5103" w:type="dxa"/>
            <w:tcBorders>
              <w:top w:val="nil"/>
              <w:left w:val="nil"/>
              <w:bottom w:val="single" w:color="auto" w:sz="4" w:space="0"/>
              <w:right w:val="nil"/>
            </w:tcBorders>
            <w:tcMar>
              <w:top w:w="0" w:type="dxa"/>
              <w:left w:w="0" w:type="dxa"/>
              <w:bottom w:w="0" w:type="dxa"/>
              <w:right w:w="28" w:type="dxa"/>
            </w:tcMar>
          </w:tcPr>
          <w:p w14:paraId="488F4F19">
            <w:pPr>
              <w:overflowPunct w:val="0"/>
              <w:rPr>
                <w:rFonts w:hint="default" w:ascii="Calibri" w:hAnsi="Calibri" w:eastAsia="楷体_GB2312" w:cs="Calibri"/>
                <w:b/>
                <w:sz w:val="18"/>
                <w:szCs w:val="18"/>
                <w:lang w:val="zh-CN" w:eastAsia="zh-CN"/>
              </w:rPr>
            </w:pPr>
            <w:r>
              <w:rPr>
                <w:rFonts w:hint="default" w:ascii="Calibri" w:hAnsi="Calibri" w:eastAsia="楷体_GB2312" w:cs="Calibri"/>
                <w:b/>
                <w:sz w:val="18"/>
                <w:szCs w:val="18"/>
                <w:lang w:val="zh-CN" w:eastAsia="zh-CN"/>
              </w:rPr>
              <w:t>图</w:t>
            </w:r>
            <w:r>
              <w:rPr>
                <w:rFonts w:hint="default" w:ascii="Calibri" w:hAnsi="Calibri" w:eastAsia="楷体_GB2312" w:cs="Calibri"/>
                <w:b/>
                <w:sz w:val="18"/>
                <w:szCs w:val="18"/>
                <w:lang w:val="en-US" w:eastAsia="zh-CN"/>
              </w:rPr>
              <w:t>28</w:t>
            </w:r>
            <w:r>
              <w:rPr>
                <w:rFonts w:hint="default" w:ascii="Calibri" w:hAnsi="Calibri" w:eastAsia="楷体_GB2312" w:cs="Calibri"/>
                <w:b/>
                <w:sz w:val="18"/>
                <w:szCs w:val="18"/>
                <w:lang w:val="zh-CN" w:eastAsia="zh-CN"/>
              </w:rPr>
              <w:t>：2025年</w:t>
            </w:r>
            <w:r>
              <w:rPr>
                <w:rFonts w:hint="default" w:ascii="Calibri" w:hAnsi="Calibri" w:eastAsia="楷体_GB2312" w:cs="Calibri"/>
                <w:b/>
                <w:sz w:val="18"/>
                <w:szCs w:val="18"/>
                <w:lang w:val="en-US" w:eastAsia="zh-CN"/>
              </w:rPr>
              <w:t>12</w:t>
            </w:r>
            <w:r>
              <w:rPr>
                <w:rFonts w:hint="default" w:ascii="Calibri" w:hAnsi="Calibri" w:eastAsia="楷体_GB2312" w:cs="Calibri"/>
                <w:b/>
                <w:sz w:val="18"/>
                <w:szCs w:val="18"/>
                <w:lang w:val="zh-CN" w:eastAsia="zh-CN"/>
              </w:rPr>
              <w:t>月各项峰值数据</w:t>
            </w:r>
          </w:p>
        </w:tc>
        <w:tc>
          <w:tcPr>
            <w:tcW w:w="238" w:type="dxa"/>
            <w:tcBorders>
              <w:top w:val="nil"/>
              <w:left w:val="nil"/>
              <w:bottom w:val="nil"/>
              <w:right w:val="nil"/>
            </w:tcBorders>
            <w:tcMar>
              <w:top w:w="0" w:type="dxa"/>
              <w:left w:w="0" w:type="dxa"/>
              <w:bottom w:w="0" w:type="dxa"/>
              <w:right w:w="28" w:type="dxa"/>
            </w:tcMar>
          </w:tcPr>
          <w:p w14:paraId="3CDA512B">
            <w:pPr>
              <w:overflowPunct w:val="0"/>
              <w:rPr>
                <w:rFonts w:hint="default" w:ascii="Calibri" w:hAnsi="Calibri" w:eastAsia="楷体_GB2312" w:cs="Calibri"/>
                <w:b/>
                <w:sz w:val="18"/>
                <w:szCs w:val="18"/>
                <w:lang w:val="zh-CN" w:eastAsia="zh-CN"/>
              </w:rPr>
            </w:pPr>
          </w:p>
        </w:tc>
        <w:tc>
          <w:tcPr>
            <w:tcW w:w="5149" w:type="dxa"/>
            <w:tcBorders>
              <w:top w:val="nil"/>
              <w:left w:val="nil"/>
              <w:bottom w:val="single" w:color="auto" w:sz="4" w:space="0"/>
              <w:right w:val="nil"/>
            </w:tcBorders>
            <w:tcMar>
              <w:top w:w="0" w:type="dxa"/>
              <w:left w:w="0" w:type="dxa"/>
              <w:bottom w:w="0" w:type="dxa"/>
              <w:right w:w="28" w:type="dxa"/>
            </w:tcMar>
          </w:tcPr>
          <w:p w14:paraId="1E68A55B">
            <w:pPr>
              <w:overflowPunct w:val="0"/>
              <w:rPr>
                <w:rFonts w:hint="default" w:ascii="Calibri" w:hAnsi="Calibri" w:eastAsia="楷体_GB2312" w:cs="Calibri"/>
                <w:b/>
                <w:sz w:val="18"/>
                <w:szCs w:val="18"/>
                <w:lang w:val="zh-CN" w:eastAsia="zh-CN"/>
              </w:rPr>
            </w:pPr>
            <w:r>
              <w:rPr>
                <w:rFonts w:hint="default" w:ascii="Calibri" w:hAnsi="Calibri" w:eastAsia="楷体_GB2312" w:cs="Calibri"/>
                <w:b/>
                <w:sz w:val="18"/>
                <w:szCs w:val="18"/>
                <w:lang w:val="zh-CN" w:eastAsia="zh-CN"/>
              </w:rPr>
              <w:t>图</w:t>
            </w:r>
            <w:r>
              <w:rPr>
                <w:rFonts w:hint="default" w:ascii="Calibri" w:hAnsi="Calibri" w:eastAsia="楷体_GB2312" w:cs="Calibri"/>
                <w:b/>
                <w:sz w:val="18"/>
                <w:szCs w:val="18"/>
                <w:lang w:val="en-US" w:eastAsia="zh-CN"/>
              </w:rPr>
              <w:t>29</w:t>
            </w:r>
            <w:r>
              <w:rPr>
                <w:rFonts w:hint="default" w:ascii="Calibri" w:hAnsi="Calibri" w:eastAsia="楷体_GB2312" w:cs="Calibri"/>
                <w:b/>
                <w:sz w:val="18"/>
                <w:szCs w:val="18"/>
                <w:lang w:val="zh-CN" w:eastAsia="zh-CN"/>
              </w:rPr>
              <w:t>：历史统计与纪录（截至202</w:t>
            </w:r>
            <w:r>
              <w:rPr>
                <w:rFonts w:hint="default" w:ascii="Calibri" w:hAnsi="Calibri" w:eastAsia="楷体_GB2312" w:cs="Calibri"/>
                <w:b/>
                <w:sz w:val="18"/>
                <w:szCs w:val="18"/>
                <w:lang w:val="en-US" w:eastAsia="zh-CN"/>
              </w:rPr>
              <w:t>6</w:t>
            </w:r>
            <w:r>
              <w:rPr>
                <w:rFonts w:hint="default" w:ascii="Calibri" w:hAnsi="Calibri" w:eastAsia="楷体_GB2312" w:cs="Calibri"/>
                <w:b/>
                <w:sz w:val="18"/>
                <w:szCs w:val="18"/>
                <w:lang w:val="zh-CN" w:eastAsia="zh-CN"/>
              </w:rPr>
              <w:t>年</w:t>
            </w:r>
            <w:r>
              <w:rPr>
                <w:rFonts w:hint="default" w:ascii="Calibri" w:hAnsi="Calibri" w:eastAsia="楷体_GB2312" w:cs="Calibri"/>
                <w:b/>
                <w:sz w:val="18"/>
                <w:szCs w:val="18"/>
                <w:lang w:val="en-US" w:eastAsia="zh-CN"/>
              </w:rPr>
              <w:t>1</w:t>
            </w:r>
            <w:r>
              <w:rPr>
                <w:rFonts w:hint="default" w:ascii="Calibri" w:hAnsi="Calibri" w:eastAsia="楷体_GB2312" w:cs="Calibri"/>
                <w:b/>
                <w:sz w:val="18"/>
                <w:szCs w:val="18"/>
                <w:lang w:val="zh-CN" w:eastAsia="zh-CN"/>
              </w:rPr>
              <w:t>月</w:t>
            </w:r>
            <w:r>
              <w:rPr>
                <w:rFonts w:hint="default" w:ascii="Calibri" w:hAnsi="Calibri" w:eastAsia="楷体_GB2312" w:cs="Calibri"/>
                <w:b/>
                <w:sz w:val="18"/>
                <w:szCs w:val="18"/>
                <w:lang w:val="en-US" w:eastAsia="zh-CN"/>
              </w:rPr>
              <w:t>15</w:t>
            </w:r>
            <w:r>
              <w:rPr>
                <w:rFonts w:hint="default" w:ascii="Calibri" w:hAnsi="Calibri" w:eastAsia="楷体_GB2312" w:cs="Calibri"/>
                <w:b/>
                <w:sz w:val="18"/>
                <w:szCs w:val="18"/>
                <w:lang w:val="zh-CN" w:eastAsia="zh-CN"/>
              </w:rPr>
              <w:t>日）</w:t>
            </w:r>
          </w:p>
        </w:tc>
      </w:tr>
      <w:tr w14:paraId="241CBD1B">
        <w:tblPrEx>
          <w:tblCellMar>
            <w:top w:w="0" w:type="dxa"/>
            <w:left w:w="108" w:type="dxa"/>
            <w:bottom w:w="0" w:type="dxa"/>
            <w:right w:w="108" w:type="dxa"/>
          </w:tblCellMar>
        </w:tblPrEx>
        <w:trPr>
          <w:trHeight w:val="2081" w:hRule="atLeast"/>
        </w:trPr>
        <w:tc>
          <w:tcPr>
            <w:tcW w:w="5103" w:type="dxa"/>
            <w:tcBorders>
              <w:top w:val="single" w:color="auto" w:sz="4" w:space="0"/>
              <w:left w:val="nil"/>
              <w:bottom w:val="single" w:color="auto" w:sz="4" w:space="0"/>
              <w:right w:val="nil"/>
            </w:tcBorders>
            <w:tcMar>
              <w:top w:w="0" w:type="dxa"/>
              <w:left w:w="0" w:type="dxa"/>
              <w:bottom w:w="0" w:type="dxa"/>
              <w:right w:w="28" w:type="dxa"/>
            </w:tcMar>
            <w:vAlign w:val="center"/>
          </w:tcPr>
          <w:p w14:paraId="1C230568">
            <w:pPr>
              <w:overflowPunct w:val="0"/>
              <w:spacing w:before="48" w:beforeLines="20" w:after="48" w:afterLines="20"/>
              <w:jc w:val="center"/>
              <w:textAlignment w:val="center"/>
              <w:rPr>
                <w:rFonts w:hint="default" w:ascii="Calibri" w:hAnsi="Calibri" w:eastAsia="楷体_GB2312" w:cs="Calibri"/>
                <w:b/>
                <w:color w:val="000000"/>
                <w:sz w:val="15"/>
                <w:szCs w:val="15"/>
              </w:rPr>
            </w:pPr>
            <w:r>
              <w:rPr>
                <w:rFonts w:hint="default" w:ascii="Calibri" w:hAnsi="Calibri" w:eastAsia="楷体_GB2312" w:cs="Calibri"/>
                <w:b/>
                <w:color w:val="000000"/>
                <w:sz w:val="15"/>
                <w:szCs w:val="15"/>
              </w:rPr>
              <w:drawing>
                <wp:inline distT="0" distB="0" distL="114300" distR="114300">
                  <wp:extent cx="2520315" cy="1492250"/>
                  <wp:effectExtent l="0" t="0" r="6985" b="6350"/>
                  <wp:docPr id="27" name="图片 27" descr="a28b4ac30890f0f7c67fc3202525fa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a28b4ac30890f0f7c67fc3202525faad"/>
                          <pic:cNvPicPr>
                            <a:picLocks noChangeAspect="1"/>
                          </pic:cNvPicPr>
                        </pic:nvPicPr>
                        <pic:blipFill>
                          <a:blip r:embed="rId41"/>
                          <a:stretch>
                            <a:fillRect/>
                          </a:stretch>
                        </pic:blipFill>
                        <pic:spPr>
                          <a:xfrm>
                            <a:off x="0" y="0"/>
                            <a:ext cx="2520315" cy="1492250"/>
                          </a:xfrm>
                          <a:prstGeom prst="rect">
                            <a:avLst/>
                          </a:prstGeom>
                        </pic:spPr>
                      </pic:pic>
                    </a:graphicData>
                  </a:graphic>
                </wp:inline>
              </w:drawing>
            </w:r>
          </w:p>
        </w:tc>
        <w:tc>
          <w:tcPr>
            <w:tcW w:w="238" w:type="dxa"/>
            <w:tcBorders>
              <w:top w:val="nil"/>
              <w:left w:val="nil"/>
              <w:bottom w:val="nil"/>
              <w:right w:val="nil"/>
            </w:tcBorders>
            <w:tcMar>
              <w:top w:w="0" w:type="dxa"/>
              <w:left w:w="0" w:type="dxa"/>
              <w:bottom w:w="0" w:type="dxa"/>
              <w:right w:w="28" w:type="dxa"/>
            </w:tcMar>
          </w:tcPr>
          <w:p w14:paraId="06932234">
            <w:pPr>
              <w:overflowPunct w:val="0"/>
              <w:spacing w:before="48" w:beforeLines="20" w:after="48" w:afterLines="20"/>
              <w:rPr>
                <w:rFonts w:hint="default" w:ascii="Calibri" w:hAnsi="Calibri" w:eastAsia="楷体_GB2312" w:cs="Calibri"/>
                <w:sz w:val="15"/>
                <w:szCs w:val="15"/>
              </w:rPr>
            </w:pPr>
          </w:p>
        </w:tc>
        <w:tc>
          <w:tcPr>
            <w:tcW w:w="5149" w:type="dxa"/>
            <w:tcBorders>
              <w:top w:val="single" w:color="auto" w:sz="4" w:space="0"/>
              <w:left w:val="nil"/>
              <w:bottom w:val="single" w:color="auto" w:sz="4" w:space="0"/>
              <w:right w:val="nil"/>
            </w:tcBorders>
            <w:tcMar>
              <w:top w:w="0" w:type="dxa"/>
              <w:left w:w="0" w:type="dxa"/>
              <w:bottom w:w="0" w:type="dxa"/>
              <w:right w:w="28" w:type="dxa"/>
            </w:tcMar>
          </w:tcPr>
          <w:p w14:paraId="5593D9F0">
            <w:pPr>
              <w:overflowPunct w:val="0"/>
              <w:spacing w:before="48" w:beforeLines="20" w:after="48" w:afterLines="20"/>
              <w:jc w:val="center"/>
              <w:rPr>
                <w:rFonts w:hint="default" w:ascii="Calibri" w:hAnsi="Calibri" w:eastAsia="楷体_GB2312" w:cs="Calibri"/>
                <w:b/>
                <w:sz w:val="15"/>
                <w:szCs w:val="15"/>
              </w:rPr>
            </w:pPr>
            <w:r>
              <w:rPr>
                <w:rFonts w:hint="default" w:ascii="Calibri" w:hAnsi="Calibri" w:eastAsia="楷体_GB2312" w:cs="Calibri"/>
                <w:b/>
                <w:sz w:val="15"/>
                <w:szCs w:val="15"/>
              </w:rPr>
              <w:drawing>
                <wp:inline distT="0" distB="0" distL="114300" distR="114300">
                  <wp:extent cx="3192780" cy="1359535"/>
                  <wp:effectExtent l="0" t="0" r="7620" b="12065"/>
                  <wp:docPr id="28" name="图片 28" descr="ee2719b50fa3ab4142dedba4ca5b21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ee2719b50fa3ab4142dedba4ca5b21a2"/>
                          <pic:cNvPicPr>
                            <a:picLocks noChangeAspect="1"/>
                          </pic:cNvPicPr>
                        </pic:nvPicPr>
                        <pic:blipFill>
                          <a:blip r:embed="rId42"/>
                          <a:stretch>
                            <a:fillRect/>
                          </a:stretch>
                        </pic:blipFill>
                        <pic:spPr>
                          <a:xfrm>
                            <a:off x="0" y="0"/>
                            <a:ext cx="3192780" cy="1359535"/>
                          </a:xfrm>
                          <a:prstGeom prst="rect">
                            <a:avLst/>
                          </a:prstGeom>
                        </pic:spPr>
                      </pic:pic>
                    </a:graphicData>
                  </a:graphic>
                </wp:inline>
              </w:drawing>
            </w:r>
          </w:p>
        </w:tc>
      </w:tr>
      <w:tr w14:paraId="086AA8F0">
        <w:tblPrEx>
          <w:tblCellMar>
            <w:top w:w="0" w:type="dxa"/>
            <w:left w:w="108" w:type="dxa"/>
            <w:bottom w:w="0" w:type="dxa"/>
            <w:right w:w="108" w:type="dxa"/>
          </w:tblCellMar>
        </w:tblPrEx>
        <w:trPr>
          <w:trHeight w:val="37" w:hRule="atLeast"/>
        </w:trPr>
        <w:tc>
          <w:tcPr>
            <w:tcW w:w="5103" w:type="dxa"/>
            <w:tcBorders>
              <w:top w:val="single" w:color="auto" w:sz="4" w:space="0"/>
              <w:left w:val="nil"/>
              <w:bottom w:val="nil"/>
              <w:right w:val="nil"/>
            </w:tcBorders>
            <w:tcMar>
              <w:top w:w="0" w:type="dxa"/>
              <w:left w:w="0" w:type="dxa"/>
              <w:bottom w:w="0" w:type="dxa"/>
              <w:right w:w="28" w:type="dxa"/>
            </w:tcMar>
            <w:vAlign w:val="center"/>
          </w:tcPr>
          <w:p w14:paraId="7D8F8461">
            <w:pPr>
              <w:overflowPunct w:val="0"/>
              <w:spacing w:before="48" w:beforeLines="20" w:after="48" w:afterLines="20"/>
              <w:textAlignment w:val="center"/>
              <w:rPr>
                <w:rFonts w:hint="default" w:ascii="Calibri" w:hAnsi="Calibri" w:eastAsia="楷体_GB2312" w:cs="Calibri"/>
                <w:sz w:val="10"/>
                <w:szCs w:val="10"/>
                <w:lang w:eastAsia="zh-CN"/>
              </w:rPr>
            </w:pPr>
            <w:r>
              <w:rPr>
                <w:rFonts w:hint="default" w:ascii="Calibri" w:hAnsi="Calibri" w:eastAsia="楷体_GB2312" w:cs="Calibri"/>
                <w:i/>
                <w:iCs/>
                <w:lang w:val="zh-CN" w:eastAsia="zh-CN"/>
              </w:rPr>
              <w:t>资料来源：PJM，HFI</w:t>
            </w:r>
          </w:p>
        </w:tc>
        <w:tc>
          <w:tcPr>
            <w:tcW w:w="238" w:type="dxa"/>
            <w:tcBorders>
              <w:top w:val="nil"/>
              <w:left w:val="nil"/>
              <w:bottom w:val="nil"/>
              <w:right w:val="nil"/>
            </w:tcBorders>
            <w:tcMar>
              <w:top w:w="0" w:type="dxa"/>
              <w:left w:w="0" w:type="dxa"/>
              <w:bottom w:w="0" w:type="dxa"/>
              <w:right w:w="28" w:type="dxa"/>
            </w:tcMar>
          </w:tcPr>
          <w:p w14:paraId="05D679B3">
            <w:pPr>
              <w:overflowPunct w:val="0"/>
              <w:spacing w:before="48" w:beforeLines="20" w:after="48" w:afterLines="20"/>
              <w:rPr>
                <w:rFonts w:hint="default" w:ascii="Calibri" w:hAnsi="Calibri" w:eastAsia="楷体_GB2312" w:cs="Calibri"/>
                <w:sz w:val="15"/>
                <w:szCs w:val="15"/>
                <w:lang w:eastAsia="zh-CN"/>
              </w:rPr>
            </w:pPr>
          </w:p>
        </w:tc>
        <w:tc>
          <w:tcPr>
            <w:tcW w:w="5149" w:type="dxa"/>
            <w:tcBorders>
              <w:top w:val="single" w:color="auto" w:sz="4" w:space="0"/>
              <w:left w:val="nil"/>
              <w:bottom w:val="nil"/>
              <w:right w:val="nil"/>
            </w:tcBorders>
            <w:tcMar>
              <w:top w:w="0" w:type="dxa"/>
              <w:left w:w="0" w:type="dxa"/>
              <w:bottom w:w="0" w:type="dxa"/>
              <w:right w:w="28" w:type="dxa"/>
            </w:tcMar>
          </w:tcPr>
          <w:p w14:paraId="10077044">
            <w:pPr>
              <w:overflowPunct w:val="0"/>
              <w:spacing w:before="48" w:beforeLines="20" w:after="48" w:afterLines="20"/>
              <w:rPr>
                <w:rFonts w:hint="default" w:ascii="Calibri" w:hAnsi="Calibri" w:eastAsia="楷体_GB2312" w:cs="Calibri"/>
                <w:sz w:val="10"/>
                <w:szCs w:val="10"/>
                <w:lang w:eastAsia="zh-CN"/>
              </w:rPr>
            </w:pPr>
            <w:r>
              <w:rPr>
                <w:rFonts w:hint="default" w:ascii="Calibri" w:hAnsi="Calibri" w:eastAsia="楷体_GB2312" w:cs="Calibri"/>
                <w:i/>
                <w:iCs/>
                <w:lang w:val="zh-CN" w:eastAsia="zh-CN"/>
              </w:rPr>
              <w:t>资料来源：PJM，HFI</w:t>
            </w:r>
          </w:p>
        </w:tc>
      </w:tr>
    </w:tbl>
    <w:p w14:paraId="7EDFB68E">
      <w:pPr>
        <w:overflowPunct w:val="0"/>
        <w:ind w:left="3200" w:leftChars="2000"/>
        <w:jc w:val="both"/>
        <w:rPr>
          <w:rFonts w:hint="default" w:ascii="Calibri" w:hAnsi="Calibri" w:eastAsia="楷体_GB2312" w:cs="Calibri"/>
          <w:sz w:val="20"/>
          <w:szCs w:val="20"/>
          <w:lang w:val="en-US" w:eastAsia="zh-CN"/>
        </w:rPr>
      </w:pPr>
    </w:p>
    <w:p w14:paraId="676B6EB4">
      <w:pPr>
        <w:overflowPunct w:val="0"/>
        <w:ind w:left="3200" w:leftChars="2000"/>
        <w:jc w:val="both"/>
        <w:rPr>
          <w:rFonts w:hint="default" w:ascii="Calibri" w:hAnsi="Calibri" w:eastAsia="楷体_GB2312" w:cs="Calibri"/>
          <w:sz w:val="20"/>
          <w:szCs w:val="20"/>
          <w:lang w:eastAsia="zh-CN"/>
        </w:rPr>
      </w:pPr>
    </w:p>
    <w:p w14:paraId="1F82D8D1">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PJM：</w:t>
      </w:r>
      <w:r>
        <w:rPr>
          <w:rFonts w:hint="default" w:ascii="Calibri" w:hAnsi="Calibri" w:eastAsia="楷体_GB2312" w:cs="Calibri"/>
          <w:sz w:val="20"/>
          <w:szCs w:val="20"/>
          <w:lang w:val="en-US" w:eastAsia="zh-CN"/>
        </w:rPr>
        <w:t>2月初PJM发布多个寒冷天气警报，</w:t>
      </w:r>
      <w:r>
        <w:rPr>
          <w:rFonts w:hint="default" w:ascii="Calibri" w:hAnsi="Calibri" w:eastAsia="楷体_GB2312" w:cs="Calibri"/>
          <w:sz w:val="20"/>
          <w:szCs w:val="20"/>
          <w:lang w:val="en-US" w:eastAsia="zh-CN"/>
        </w:rPr>
        <w:t>旨在提前调度资源、强化防冻，应对供暖与用电需求激增。2月</w:t>
      </w:r>
      <w:r>
        <w:rPr>
          <w:rFonts w:hint="default" w:ascii="Calibri" w:hAnsi="Calibri" w:eastAsia="楷体_GB2312" w:cs="Calibri"/>
          <w:sz w:val="20"/>
          <w:szCs w:val="20"/>
          <w:lang w:val="en-US" w:eastAsia="zh-CN"/>
        </w:rPr>
        <w:t>6日</w:t>
      </w:r>
      <w:r>
        <w:rPr>
          <w:rFonts w:hint="default" w:ascii="Calibri" w:hAnsi="Calibri" w:eastAsia="楷体_GB2312" w:cs="Calibri"/>
          <w:sz w:val="20"/>
          <w:szCs w:val="20"/>
          <w:lang w:val="en-US" w:eastAsia="zh-CN"/>
        </w:rPr>
        <w:t>发布</w:t>
      </w:r>
      <w:r>
        <w:rPr>
          <w:rFonts w:hint="default" w:ascii="Calibri" w:hAnsi="Calibri" w:eastAsia="楷体_GB2312" w:cs="Calibri"/>
          <w:sz w:val="20"/>
          <w:szCs w:val="20"/>
          <w:lang w:val="en-US" w:eastAsia="zh-CN"/>
        </w:rPr>
        <w:t>了</w:t>
      </w:r>
      <w:r>
        <w:rPr>
          <w:rFonts w:hint="default" w:ascii="Calibri" w:hAnsi="Calibri" w:eastAsia="楷体_GB2312" w:cs="Calibri"/>
          <w:sz w:val="20"/>
          <w:szCs w:val="20"/>
          <w:lang w:val="en-US" w:eastAsia="zh-CN"/>
        </w:rPr>
        <w:t>1月寒冷天气运营回顾报告</w:t>
      </w:r>
      <w:r>
        <w:rPr>
          <w:rFonts w:hint="default" w:ascii="Calibri" w:hAnsi="Calibri" w:eastAsia="楷体_GB2312" w:cs="Calibri"/>
          <w:sz w:val="20"/>
          <w:szCs w:val="20"/>
          <w:lang w:val="en-US" w:eastAsia="zh-CN"/>
        </w:rPr>
        <w:t>。</w:t>
      </w:r>
    </w:p>
    <w:p w14:paraId="79C49334">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2月12日，PJM董事会批准了多个输电项目</w:t>
      </w:r>
      <w:r>
        <w:rPr>
          <w:rFonts w:hint="default" w:ascii="Calibri" w:hAnsi="Calibri" w:eastAsia="楷体_GB2312" w:cs="Calibri"/>
          <w:sz w:val="20"/>
          <w:szCs w:val="20"/>
          <w:lang w:val="en-US" w:eastAsia="zh-CN"/>
        </w:rPr>
        <w:t>，其中，俄亥俄州输电项目，基础设施计划包括超过300英里的新建765千伏输电线路和变电站升级，旨在提高哥伦布地区的服务可靠性。一条765千伏线路可为约200万户家庭供电，同时比多条低压替代方案占用更少的土地。</w:t>
      </w:r>
    </w:p>
    <w:p w14:paraId="05502476">
      <w:pPr>
        <w:overflowPunct w:val="0"/>
        <w:ind w:left="3200" w:leftChars="2000"/>
        <w:jc w:val="both"/>
        <w:rPr>
          <w:rFonts w:hint="default" w:ascii="Calibri" w:hAnsi="Calibri" w:eastAsia="楷体_GB2312" w:cs="Calibri"/>
          <w:sz w:val="20"/>
          <w:szCs w:val="20"/>
          <w:lang w:val="en-US" w:eastAsia="zh-CN"/>
        </w:rPr>
      </w:pPr>
    </w:p>
    <w:p w14:paraId="6E936C00">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2月18日，PJM提交了多项市场相关文件</w:t>
      </w:r>
      <w:r>
        <w:rPr>
          <w:rFonts w:hint="default" w:ascii="Calibri" w:hAnsi="Calibri" w:eastAsia="楷体_GB2312" w:cs="Calibri"/>
          <w:sz w:val="20"/>
          <w:szCs w:val="20"/>
          <w:lang w:val="en-US" w:eastAsia="zh-CN"/>
        </w:rPr>
        <w:t>，"前瞻性豁免请求"要求将相关可变资源需求曲线的发布时间延长35天。2月20日，PJM代表AEP东部运营公司提交了退休后福利费用（PBOP）的四年度更新申报</w:t>
      </w:r>
      <w:r>
        <w:rPr>
          <w:rFonts w:hint="default" w:ascii="Calibri" w:hAnsi="Calibri" w:eastAsia="楷体_GB2312" w:cs="Calibri"/>
        </w:rPr>
        <w:fldChar w:fldCharType="begin"/>
      </w:r>
      <w:r>
        <w:rPr>
          <w:rFonts w:hint="default" w:ascii="Calibri" w:hAnsi="Calibri" w:eastAsia="楷体_GB2312" w:cs="Calibri"/>
        </w:rPr>
        <w:instrText xml:space="preserve">HYPERLINK "https://www.pjm.com/?mc_cid=dd7c3db3b0" \t "https://chat.deepseek.com/a/chat/s/_blank"</w:instrText>
      </w:r>
      <w:r>
        <w:rPr>
          <w:rFonts w:hint="default" w:ascii="Calibri" w:hAnsi="Calibri" w:eastAsia="楷体_GB2312" w:cs="Calibri"/>
        </w:rPr>
        <w:fldChar w:fldCharType="separate"/>
      </w:r>
      <w:r>
        <w:rPr>
          <w:rFonts w:hint="default" w:ascii="Calibri" w:hAnsi="Calibri" w:eastAsia="楷体_GB2312" w:cs="Calibri"/>
        </w:rPr>
        <w:fldChar w:fldCharType="end"/>
      </w:r>
      <w:r>
        <w:rPr>
          <w:rFonts w:hint="default" w:ascii="Calibri" w:hAnsi="Calibri" w:eastAsia="楷体_GB2312" w:cs="Calibri"/>
          <w:sz w:val="20"/>
          <w:szCs w:val="20"/>
          <w:lang w:val="en-US" w:eastAsia="zh-CN"/>
        </w:rPr>
        <w:t>。该更新依据FERC批准的公式费率进行，请求生效日期为2026年4月22日。</w:t>
      </w:r>
    </w:p>
    <w:p w14:paraId="28A3317D">
      <w:pPr>
        <w:overflowPunct w:val="0"/>
        <w:jc w:val="both"/>
        <w:rPr>
          <w:rFonts w:hint="default" w:ascii="Calibri" w:hAnsi="Calibri" w:eastAsia="楷体_GB2312" w:cs="Calibri"/>
          <w:sz w:val="20"/>
          <w:szCs w:val="20"/>
          <w:lang w:val="en-US" w:eastAsia="zh-CN"/>
        </w:rPr>
      </w:pPr>
    </w:p>
    <w:p w14:paraId="17AE5B0F">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ERCOT</w:t>
      </w:r>
      <w:r>
        <w:rPr>
          <w:rFonts w:hint="default" w:ascii="Calibri" w:hAnsi="Calibri" w:eastAsia="楷体_GB2312" w:cs="Calibri"/>
          <w:sz w:val="20"/>
          <w:szCs w:val="20"/>
          <w:lang w:val="en-US" w:eastAsia="zh-CN"/>
        </w:rPr>
        <w:t>：为应对CPS Energy Braunig燃气电站（1、2、3号机组，约60年历史）2025年3月退役对南德州电网可靠性的威胁，ERCOT制定临时与长期结合方案。Braunig 3执行RMR协议运行至2027年3月；Braunig 1和2改用15台天然气移动发电机组（总450MW，单台30MW，10分钟满发）替代，由CenterPoint Energy租赁至2027年3月。长期方案加速San Antonio South Reliability II输电项目，原定2028-2029年，提前至2026-2027年完成核心双回路改造，预计2027年6月投运，已获PUCT"关键状态指定"，CPS Energy投资1.75亿美元。</w:t>
      </w:r>
    </w:p>
    <w:p w14:paraId="16E80F57">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移动发电方案费用约5400万美元（ERCOT区域用户分摊），较Braunig 1和2执行RMR（5900万美元）节省500万美元。</w:t>
      </w:r>
    </w:p>
    <w:p w14:paraId="5FA13B9E">
      <w:pPr>
        <w:overflowPunct w:val="0"/>
        <w:ind w:left="3200" w:leftChars="2000"/>
        <w:jc w:val="both"/>
        <w:rPr>
          <w:rFonts w:hint="default" w:ascii="Calibri" w:hAnsi="Calibri" w:eastAsia="楷体_GB2312" w:cs="Calibri"/>
          <w:sz w:val="20"/>
          <w:szCs w:val="20"/>
          <w:lang w:val="en-US" w:eastAsia="zh-CN"/>
        </w:rPr>
      </w:pPr>
    </w:p>
    <w:p w14:paraId="47791362">
      <w:pPr>
        <w:overflowPunct w:val="0"/>
        <w:ind w:left="3200" w:leftChars="2000"/>
        <w:jc w:val="both"/>
        <w:outlineLvl w:val="2"/>
        <w:rPr>
          <w:rFonts w:hint="default" w:ascii="Calibri" w:hAnsi="Calibri" w:eastAsia="楷体_GB2312" w:cs="Calibri"/>
          <w:b/>
          <w:bCs/>
          <w:color w:val="1F497D" w:themeColor="text2"/>
          <w:sz w:val="24"/>
          <w:szCs w:val="24"/>
          <w:lang w:val="en-US" w:eastAsia="zh-CN"/>
          <w14:textFill>
            <w14:solidFill>
              <w14:schemeClr w14:val="tx2"/>
            </w14:solidFill>
          </w14:textFill>
        </w:rPr>
      </w:pPr>
      <w:bookmarkStart w:id="22" w:name="_Toc223082605"/>
      <w:r>
        <w:rPr>
          <w:rFonts w:hint="default" w:ascii="Calibri" w:hAnsi="Calibri" w:eastAsia="楷体_GB2312" w:cs="Calibri"/>
          <w:b/>
          <w:bCs/>
          <w:color w:val="1F497D" w:themeColor="text2"/>
          <w:sz w:val="24"/>
          <w:szCs w:val="24"/>
          <w:lang w:val="en-US" w:eastAsia="zh-CN"/>
          <w14:textFill>
            <w14:solidFill>
              <w14:schemeClr w14:val="tx2"/>
            </w14:solidFill>
          </w14:textFill>
        </w:rPr>
        <w:t>（2）欧洲电力市场</w:t>
      </w:r>
      <w:bookmarkEnd w:id="22"/>
    </w:p>
    <w:p w14:paraId="0AE98187">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欧洲地区电力市场日前交易价格整体走势上升。根据Nordpool数据，英国上周均价为</w:t>
      </w:r>
      <w:r>
        <w:rPr>
          <w:rFonts w:hint="default" w:ascii="Calibri" w:hAnsi="Calibri" w:eastAsia="楷体_GB2312" w:cs="Calibri"/>
          <w:sz w:val="20"/>
          <w:szCs w:val="20"/>
          <w:lang w:val="en-US" w:eastAsia="zh-CN"/>
        </w:rPr>
        <w:t>82</w:t>
      </w:r>
      <w:r>
        <w:rPr>
          <w:rFonts w:hint="default" w:ascii="Calibri" w:hAnsi="Calibri" w:eastAsia="楷体_GB2312" w:cs="Calibri"/>
          <w:sz w:val="20"/>
          <w:szCs w:val="20"/>
          <w:lang w:val="en-US" w:eastAsia="zh-CN"/>
        </w:rPr>
        <w:t>EUR/MWh（+2.</w:t>
      </w:r>
      <w:r>
        <w:rPr>
          <w:rFonts w:hint="default" w:ascii="Calibri" w:hAnsi="Calibri" w:eastAsia="楷体_GB2312" w:cs="Calibri"/>
          <w:sz w:val="20"/>
          <w:szCs w:val="20"/>
          <w:lang w:val="en-US" w:eastAsia="zh-CN"/>
        </w:rPr>
        <w:t>46</w:t>
      </w:r>
      <w:r>
        <w:rPr>
          <w:rFonts w:hint="default" w:ascii="Calibri" w:hAnsi="Calibri" w:eastAsia="楷体_GB2312" w:cs="Calibri"/>
          <w:sz w:val="20"/>
          <w:szCs w:val="20"/>
          <w:lang w:val="en-US" w:eastAsia="zh-CN"/>
        </w:rPr>
        <w:t>%）、德国均价为</w:t>
      </w:r>
      <w:r>
        <w:rPr>
          <w:rFonts w:hint="default" w:ascii="Calibri" w:hAnsi="Calibri" w:eastAsia="楷体_GB2312" w:cs="Calibri"/>
          <w:sz w:val="20"/>
          <w:szCs w:val="20"/>
          <w:lang w:val="en-US" w:eastAsia="zh-CN"/>
        </w:rPr>
        <w:t>86.13</w:t>
      </w:r>
      <w:r>
        <w:rPr>
          <w:rFonts w:hint="default" w:ascii="Calibri" w:hAnsi="Calibri" w:eastAsia="楷体_GB2312" w:cs="Calibri"/>
          <w:sz w:val="20"/>
          <w:szCs w:val="20"/>
          <w:lang w:val="en-US" w:eastAsia="zh-CN"/>
        </w:rPr>
        <w:t>EUR/MWh（+2.</w:t>
      </w:r>
      <w:r>
        <w:rPr>
          <w:rFonts w:hint="default" w:ascii="Calibri" w:hAnsi="Calibri" w:eastAsia="楷体_GB2312" w:cs="Calibri"/>
          <w:sz w:val="20"/>
          <w:szCs w:val="20"/>
          <w:lang w:val="en-US" w:eastAsia="zh-CN"/>
        </w:rPr>
        <w:t>58</w:t>
      </w:r>
      <w:r>
        <w:rPr>
          <w:rFonts w:hint="default" w:ascii="Calibri" w:hAnsi="Calibri" w:eastAsia="楷体_GB2312" w:cs="Calibri"/>
          <w:sz w:val="20"/>
          <w:szCs w:val="20"/>
          <w:lang w:val="en-US" w:eastAsia="zh-CN"/>
        </w:rPr>
        <w:t>%）、芬兰均价为</w:t>
      </w:r>
      <w:r>
        <w:rPr>
          <w:rFonts w:hint="default" w:ascii="Calibri" w:hAnsi="Calibri" w:eastAsia="楷体_GB2312" w:cs="Calibri"/>
          <w:sz w:val="20"/>
          <w:szCs w:val="20"/>
          <w:lang w:val="en-US" w:eastAsia="zh-CN"/>
        </w:rPr>
        <w:t>94.82</w:t>
      </w:r>
      <w:r>
        <w:rPr>
          <w:rFonts w:hint="default" w:ascii="Calibri" w:hAnsi="Calibri" w:eastAsia="楷体_GB2312" w:cs="Calibri"/>
          <w:sz w:val="20"/>
          <w:szCs w:val="20"/>
          <w:lang w:val="en-US" w:eastAsia="zh-CN"/>
        </w:rPr>
        <w:t>EUR/MWh（+</w:t>
      </w:r>
      <w:r>
        <w:rPr>
          <w:rFonts w:hint="default" w:ascii="Calibri" w:hAnsi="Calibri" w:eastAsia="楷体_GB2312" w:cs="Calibri"/>
          <w:sz w:val="20"/>
          <w:szCs w:val="20"/>
          <w:lang w:val="en-US" w:eastAsia="zh-CN"/>
        </w:rPr>
        <w:t>2.67</w:t>
      </w:r>
      <w:r>
        <w:rPr>
          <w:rFonts w:hint="default" w:ascii="Calibri" w:hAnsi="Calibri" w:eastAsia="楷体_GB2312" w:cs="Calibri"/>
          <w:sz w:val="20"/>
          <w:szCs w:val="20"/>
          <w:lang w:val="en-US" w:eastAsia="zh-CN"/>
        </w:rPr>
        <w:t>%）、荷兰均价为</w:t>
      </w:r>
      <w:r>
        <w:rPr>
          <w:rFonts w:hint="default" w:ascii="Calibri" w:hAnsi="Calibri" w:eastAsia="楷体_GB2312" w:cs="Calibri"/>
          <w:sz w:val="20"/>
          <w:szCs w:val="20"/>
          <w:lang w:val="en-US" w:eastAsia="zh-CN"/>
        </w:rPr>
        <w:t>82.71</w:t>
      </w:r>
      <w:r>
        <w:rPr>
          <w:rFonts w:hint="default" w:ascii="Calibri" w:hAnsi="Calibri" w:eastAsia="楷体_GB2312" w:cs="Calibri"/>
          <w:sz w:val="20"/>
          <w:szCs w:val="20"/>
          <w:lang w:val="en-US" w:eastAsia="zh-CN"/>
        </w:rPr>
        <w:t>EUR/MWh（+</w:t>
      </w:r>
      <w:r>
        <w:rPr>
          <w:rFonts w:hint="default" w:ascii="Calibri" w:hAnsi="Calibri" w:eastAsia="楷体_GB2312" w:cs="Calibri"/>
          <w:sz w:val="20"/>
          <w:szCs w:val="20"/>
          <w:lang w:val="en-US" w:eastAsia="zh-CN"/>
        </w:rPr>
        <w:t>1</w:t>
      </w:r>
      <w:r>
        <w:rPr>
          <w:rFonts w:hint="default" w:ascii="Calibri" w:hAnsi="Calibri" w:eastAsia="楷体_GB2312" w:cs="Calibri"/>
          <w:sz w:val="20"/>
          <w:szCs w:val="20"/>
          <w:lang w:val="en-US" w:eastAsia="zh-CN"/>
        </w:rPr>
        <w:t>.</w:t>
      </w:r>
      <w:r>
        <w:rPr>
          <w:rFonts w:hint="default" w:ascii="Calibri" w:hAnsi="Calibri" w:eastAsia="楷体_GB2312" w:cs="Calibri"/>
          <w:sz w:val="20"/>
          <w:szCs w:val="20"/>
          <w:lang w:val="en-US" w:eastAsia="zh-CN"/>
        </w:rPr>
        <w:t>0</w:t>
      </w:r>
      <w:r>
        <w:rPr>
          <w:rFonts w:hint="default" w:ascii="Calibri" w:hAnsi="Calibri" w:eastAsia="楷体_GB2312" w:cs="Calibri"/>
          <w:sz w:val="20"/>
          <w:szCs w:val="20"/>
          <w:lang w:val="en-US" w:eastAsia="zh-CN"/>
        </w:rPr>
        <w:t>6%）、法国均价为</w:t>
      </w:r>
      <w:r>
        <w:rPr>
          <w:rFonts w:hint="default" w:ascii="Calibri" w:hAnsi="Calibri" w:eastAsia="楷体_GB2312" w:cs="Calibri"/>
          <w:sz w:val="20"/>
          <w:szCs w:val="20"/>
          <w:lang w:val="en-US" w:eastAsia="zh-CN"/>
        </w:rPr>
        <w:t>28.32</w:t>
      </w:r>
      <w:r>
        <w:rPr>
          <w:rFonts w:hint="default" w:ascii="Calibri" w:hAnsi="Calibri" w:eastAsia="楷体_GB2312" w:cs="Calibri"/>
          <w:sz w:val="20"/>
          <w:szCs w:val="20"/>
          <w:lang w:val="en-US" w:eastAsia="zh-CN"/>
        </w:rPr>
        <w:t>EUR/MWh（-</w:t>
      </w:r>
      <w:r>
        <w:rPr>
          <w:rFonts w:hint="default" w:ascii="Calibri" w:hAnsi="Calibri" w:eastAsia="楷体_GB2312" w:cs="Calibri"/>
          <w:sz w:val="20"/>
          <w:szCs w:val="20"/>
          <w:lang w:val="en-US" w:eastAsia="zh-CN"/>
        </w:rPr>
        <w:t>3</w:t>
      </w:r>
      <w:r>
        <w:rPr>
          <w:rFonts w:hint="default" w:ascii="Calibri" w:hAnsi="Calibri" w:eastAsia="楷体_GB2312" w:cs="Calibri"/>
          <w:sz w:val="20"/>
          <w:szCs w:val="20"/>
          <w:lang w:val="en-US" w:eastAsia="zh-CN"/>
        </w:rPr>
        <w:t>.</w:t>
      </w:r>
      <w:r>
        <w:rPr>
          <w:rFonts w:hint="default" w:ascii="Calibri" w:hAnsi="Calibri" w:eastAsia="楷体_GB2312" w:cs="Calibri"/>
          <w:sz w:val="20"/>
          <w:szCs w:val="20"/>
          <w:lang w:val="en-US" w:eastAsia="zh-CN"/>
        </w:rPr>
        <w:t>85</w:t>
      </w:r>
      <w:r>
        <w:rPr>
          <w:rFonts w:hint="default" w:ascii="Calibri" w:hAnsi="Calibri" w:eastAsia="楷体_GB2312" w:cs="Calibri"/>
          <w:sz w:val="20"/>
          <w:szCs w:val="20"/>
          <w:lang w:val="en-US" w:eastAsia="zh-CN"/>
        </w:rPr>
        <w:t>%）。</w:t>
      </w:r>
    </w:p>
    <w:p w14:paraId="3B1AD33D">
      <w:pPr>
        <w:overflowPunct w:val="0"/>
        <w:ind w:left="3200" w:leftChars="2000"/>
        <w:jc w:val="both"/>
        <w:rPr>
          <w:rFonts w:hint="default" w:ascii="Calibri" w:hAnsi="Calibri" w:eastAsia="楷体_GB2312" w:cs="Calibri"/>
          <w:sz w:val="20"/>
          <w:szCs w:val="20"/>
          <w:lang w:val="en-US" w:eastAsia="zh-CN"/>
        </w:rPr>
      </w:pPr>
    </w:p>
    <w:p w14:paraId="0F2691AC">
      <w:pPr>
        <w:overflowPunct w:val="0"/>
        <w:jc w:val="both"/>
        <w:rPr>
          <w:rFonts w:hint="default" w:ascii="Calibri" w:hAnsi="Calibri" w:eastAsia="楷体_GB2312" w:cs="Calibri"/>
          <w:sz w:val="20"/>
          <w:szCs w:val="20"/>
          <w:lang w:val="en-US" w:eastAsia="zh-CN"/>
        </w:rPr>
      </w:pPr>
    </w:p>
    <w:p w14:paraId="55AF2409">
      <w:pPr>
        <w:overflowPunct w:val="0"/>
        <w:ind w:left="3200" w:leftChars="2000"/>
        <w:jc w:val="both"/>
        <w:rPr>
          <w:rFonts w:hint="default" w:ascii="Calibri" w:hAnsi="Calibri" w:eastAsia="楷体_GB2312" w:cs="Calibri"/>
          <w:sz w:val="20"/>
          <w:szCs w:val="20"/>
          <w:lang w:val="en-US" w:eastAsia="zh-CN"/>
        </w:rPr>
      </w:pPr>
    </w:p>
    <w:p w14:paraId="3B066215">
      <w:pPr>
        <w:overflowPunct w:val="0"/>
        <w:ind w:left="3200" w:leftChars="2000"/>
        <w:jc w:val="both"/>
        <w:rPr>
          <w:rFonts w:hint="default" w:ascii="Calibri" w:hAnsi="Calibri" w:eastAsia="楷体_GB2312" w:cs="Calibri"/>
          <w:sz w:val="20"/>
          <w:szCs w:val="20"/>
          <w:lang w:val="en-US" w:eastAsia="zh-CN"/>
        </w:rPr>
      </w:pPr>
    </w:p>
    <w:tbl>
      <w:tblPr>
        <w:tblStyle w:val="27"/>
        <w:tblW w:w="9855" w:type="dxa"/>
        <w:jc w:val="right"/>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fixed"/>
        <w:tblCellMar>
          <w:top w:w="0" w:type="dxa"/>
          <w:left w:w="0" w:type="dxa"/>
          <w:bottom w:w="0" w:type="dxa"/>
          <w:right w:w="0" w:type="dxa"/>
        </w:tblCellMar>
      </w:tblPr>
      <w:tblGrid>
        <w:gridCol w:w="9855"/>
      </w:tblGrid>
      <w:tr w14:paraId="7D2AF67E">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PrEx>
        <w:trPr>
          <w:trHeight w:val="104" w:hRule="atLeast"/>
          <w:jc w:val="right"/>
        </w:trPr>
        <w:tc>
          <w:tcPr>
            <w:tcW w:w="9855" w:type="dxa"/>
            <w:tcBorders>
              <w:bottom w:val="single" w:color="auto" w:sz="4" w:space="0"/>
            </w:tcBorders>
          </w:tcPr>
          <w:p w14:paraId="7EEDA048">
            <w:pPr>
              <w:overflowPunct w:val="0"/>
              <w:rPr>
                <w:rFonts w:hint="default" w:ascii="Calibri" w:hAnsi="Calibri" w:eastAsia="楷体_GB2312" w:cs="Calibri"/>
                <w:b/>
                <w:sz w:val="18"/>
                <w:szCs w:val="20"/>
                <w:lang w:eastAsia="zh-CN"/>
              </w:rPr>
            </w:pPr>
            <w:r>
              <w:rPr>
                <w:rFonts w:hint="default" w:ascii="Calibri" w:hAnsi="Calibri" w:eastAsia="楷体_GB2312" w:cs="Calibri"/>
                <w:b/>
                <w:sz w:val="18"/>
                <w:szCs w:val="18"/>
                <w:lang w:eastAsia="zh-CN"/>
              </w:rPr>
              <w:t>表</w:t>
            </w:r>
            <w:r>
              <w:rPr>
                <w:rFonts w:hint="default" w:ascii="Calibri" w:hAnsi="Calibri" w:eastAsia="楷体_GB2312" w:cs="Calibri"/>
                <w:b/>
                <w:sz w:val="18"/>
                <w:szCs w:val="18"/>
                <w:lang w:val="en-US" w:eastAsia="zh-CN"/>
              </w:rPr>
              <w:t>6</w:t>
            </w:r>
            <w:r>
              <w:rPr>
                <w:rFonts w:hint="default" w:ascii="Calibri" w:hAnsi="Calibri" w:eastAsia="楷体_GB2312" w:cs="Calibri"/>
                <w:b/>
                <w:sz w:val="18"/>
                <w:szCs w:val="18"/>
                <w:lang w:eastAsia="zh-CN"/>
              </w:rPr>
              <w:t>：欧洲主要国家（2月1日- 2月7日）电力日前市场成交均价及环比变化</w:t>
            </w:r>
          </w:p>
        </w:tc>
      </w:tr>
      <w:tr w14:paraId="6D280DBA">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2031" w:hRule="atLeast"/>
          <w:jc w:val="right"/>
        </w:trPr>
        <w:tc>
          <w:tcPr>
            <w:tcW w:w="9855" w:type="dxa"/>
            <w:tcBorders>
              <w:top w:val="single" w:color="auto" w:sz="4" w:space="0"/>
              <w:bottom w:val="single" w:color="auto" w:sz="4" w:space="0"/>
            </w:tcBorders>
            <w:vAlign w:val="center"/>
          </w:tcPr>
          <w:tbl>
            <w:tblPr>
              <w:tblStyle w:val="26"/>
              <w:tblW w:w="9882" w:type="dxa"/>
              <w:jc w:val="center"/>
              <w:tblLayout w:type="fixed"/>
              <w:tblCellMar>
                <w:top w:w="0" w:type="dxa"/>
                <w:left w:w="108" w:type="dxa"/>
                <w:bottom w:w="0" w:type="dxa"/>
                <w:right w:w="108" w:type="dxa"/>
              </w:tblCellMar>
            </w:tblPr>
            <w:tblGrid>
              <w:gridCol w:w="1267"/>
              <w:gridCol w:w="4296"/>
              <w:gridCol w:w="4319"/>
            </w:tblGrid>
            <w:tr w14:paraId="51868B8C">
              <w:tblPrEx>
                <w:tblCellMar>
                  <w:top w:w="0" w:type="dxa"/>
                  <w:left w:w="108" w:type="dxa"/>
                  <w:bottom w:w="0" w:type="dxa"/>
                  <w:right w:w="108" w:type="dxa"/>
                </w:tblCellMar>
              </w:tblPrEx>
              <w:trPr>
                <w:trHeight w:val="283" w:hRule="atLeast"/>
                <w:jc w:val="center"/>
              </w:trPr>
              <w:tc>
                <w:tcPr>
                  <w:tcW w:w="1267" w:type="dxa"/>
                  <w:tcBorders>
                    <w:top w:val="single" w:color="auto" w:sz="4" w:space="0"/>
                    <w:left w:val="single" w:color="auto" w:sz="4" w:space="0"/>
                    <w:bottom w:val="nil"/>
                    <w:right w:val="nil"/>
                  </w:tcBorders>
                  <w:shd w:val="clear" w:color="auto" w:fill="0C2060"/>
                  <w:vAlign w:val="center"/>
                </w:tcPr>
                <w:p w14:paraId="743F4837">
                  <w:pPr>
                    <w:overflowPunct w:val="0"/>
                    <w:rPr>
                      <w:rFonts w:hint="default" w:ascii="Calibri" w:hAnsi="Calibri" w:eastAsia="楷体_GB2312" w:cs="Calibri"/>
                      <w:b/>
                      <w:bCs/>
                      <w:color w:val="FFFFFF"/>
                      <w:lang w:eastAsia="zh-CN"/>
                    </w:rPr>
                  </w:pPr>
                </w:p>
              </w:tc>
              <w:tc>
                <w:tcPr>
                  <w:tcW w:w="4296" w:type="dxa"/>
                  <w:tcBorders>
                    <w:top w:val="single" w:color="auto" w:sz="4" w:space="0"/>
                    <w:left w:val="single" w:color="auto" w:sz="4" w:space="0"/>
                    <w:bottom w:val="nil"/>
                    <w:right w:val="nil"/>
                  </w:tcBorders>
                  <w:shd w:val="clear" w:color="auto" w:fill="0C2060"/>
                  <w:vAlign w:val="center"/>
                </w:tcPr>
                <w:p w14:paraId="3AC25D58">
                  <w:pPr>
                    <w:overflowPunct w:val="0"/>
                    <w:jc w:val="center"/>
                    <w:rPr>
                      <w:rFonts w:hint="default" w:ascii="Calibri" w:hAnsi="Calibri" w:eastAsia="楷体_GB2312" w:cs="Calibri"/>
                      <w:b/>
                      <w:bCs/>
                      <w:color w:val="FFFFFF"/>
                    </w:rPr>
                  </w:pPr>
                  <w:r>
                    <w:rPr>
                      <w:rFonts w:hint="default" w:ascii="Calibri" w:hAnsi="Calibri" w:eastAsia="楷体_GB2312" w:cs="Calibri"/>
                      <w:b/>
                      <w:bCs/>
                      <w:color w:val="FFFFFF"/>
                    </w:rPr>
                    <w:t>上周均价（EUR/MWh）</w:t>
                  </w:r>
                </w:p>
              </w:tc>
              <w:tc>
                <w:tcPr>
                  <w:tcW w:w="4319" w:type="dxa"/>
                  <w:tcBorders>
                    <w:top w:val="single" w:color="auto" w:sz="4" w:space="0"/>
                    <w:left w:val="nil"/>
                    <w:bottom w:val="nil"/>
                    <w:right w:val="nil"/>
                  </w:tcBorders>
                  <w:shd w:val="clear" w:color="auto" w:fill="0C2060"/>
                  <w:vAlign w:val="center"/>
                </w:tcPr>
                <w:p w14:paraId="4D83BA15">
                  <w:pPr>
                    <w:overflowPunct w:val="0"/>
                    <w:jc w:val="center"/>
                    <w:rPr>
                      <w:rFonts w:hint="default" w:ascii="Calibri" w:hAnsi="Calibri" w:eastAsia="楷体_GB2312" w:cs="Calibri"/>
                      <w:b/>
                      <w:bCs/>
                      <w:color w:val="FFFFFF"/>
                    </w:rPr>
                  </w:pPr>
                  <w:r>
                    <w:rPr>
                      <w:rFonts w:hint="default" w:ascii="Calibri" w:hAnsi="Calibri" w:eastAsia="楷体_GB2312" w:cs="Calibri"/>
                      <w:b/>
                      <w:bCs/>
                      <w:color w:val="FFFFFF"/>
                    </w:rPr>
                    <w:t>周环比变化</w:t>
                  </w:r>
                </w:p>
              </w:tc>
            </w:tr>
            <w:tr w14:paraId="7315E383">
              <w:tblPrEx>
                <w:tblCellMar>
                  <w:top w:w="0" w:type="dxa"/>
                  <w:left w:w="108" w:type="dxa"/>
                  <w:bottom w:w="0" w:type="dxa"/>
                  <w:right w:w="108" w:type="dxa"/>
                </w:tblCellMar>
              </w:tblPrEx>
              <w:trPr>
                <w:trHeight w:val="283" w:hRule="atLeast"/>
                <w:jc w:val="center"/>
              </w:trPr>
              <w:tc>
                <w:tcPr>
                  <w:tcW w:w="1267" w:type="dxa"/>
                  <w:tcBorders>
                    <w:top w:val="nil"/>
                    <w:left w:val="single" w:color="auto" w:sz="4" w:space="0"/>
                    <w:bottom w:val="single" w:color="000000" w:sz="4" w:space="0"/>
                    <w:right w:val="nil"/>
                  </w:tcBorders>
                  <w:vAlign w:val="center"/>
                </w:tcPr>
                <w:p w14:paraId="31A4647C">
                  <w:pPr>
                    <w:overflowPunct w:val="0"/>
                    <w:jc w:val="center"/>
                    <w:rPr>
                      <w:rFonts w:hint="default" w:ascii="Calibri" w:hAnsi="Calibri" w:eastAsia="楷体_GB2312" w:cs="Calibri"/>
                      <w:color w:val="000000"/>
                      <w:sz w:val="18"/>
                      <w:szCs w:val="18"/>
                    </w:rPr>
                  </w:pPr>
                  <w:r>
                    <w:rPr>
                      <w:rFonts w:hint="default" w:ascii="Calibri" w:hAnsi="Calibri" w:eastAsia="楷体_GB2312" w:cs="Calibri"/>
                      <w:color w:val="000000"/>
                      <w:sz w:val="18"/>
                      <w:szCs w:val="18"/>
                    </w:rPr>
                    <w:t>英国</w:t>
                  </w:r>
                </w:p>
              </w:tc>
              <w:tc>
                <w:tcPr>
                  <w:tcW w:w="4296" w:type="dxa"/>
                  <w:tcBorders>
                    <w:top w:val="nil"/>
                    <w:left w:val="single" w:color="auto" w:sz="4" w:space="0"/>
                    <w:bottom w:val="single" w:color="000000" w:sz="4" w:space="0"/>
                    <w:right w:val="nil"/>
                  </w:tcBorders>
                  <w:noWrap/>
                </w:tcPr>
                <w:p w14:paraId="0AAFAEBC">
                  <w:pPr>
                    <w:overflowPunct w:val="0"/>
                    <w:jc w:val="center"/>
                    <w:rPr>
                      <w:rFonts w:hint="default" w:ascii="Calibri" w:hAnsi="Calibri" w:eastAsia="楷体_GB2312" w:cs="Calibri"/>
                      <w:color w:val="000000"/>
                      <w:highlight w:val="yellow"/>
                    </w:rPr>
                  </w:pPr>
                  <w:r>
                    <w:rPr>
                      <w:rFonts w:hint="default" w:ascii="Calibri" w:hAnsi="Calibri" w:eastAsia="楷体_GB2312" w:cs="Calibri"/>
                      <w:lang w:val="en-US" w:eastAsia="zh-CN"/>
                    </w:rPr>
                    <w:t>109</w:t>
                  </w:r>
                </w:p>
              </w:tc>
              <w:tc>
                <w:tcPr>
                  <w:tcW w:w="4319" w:type="dxa"/>
                  <w:tcBorders>
                    <w:top w:val="nil"/>
                    <w:left w:val="single" w:color="auto" w:sz="4" w:space="0"/>
                    <w:bottom w:val="single" w:color="000000" w:sz="4" w:space="0"/>
                    <w:right w:val="nil"/>
                  </w:tcBorders>
                  <w:noWrap/>
                </w:tcPr>
                <w:p w14:paraId="10CF12EE">
                  <w:pPr>
                    <w:overflowPunct w:val="0"/>
                    <w:jc w:val="center"/>
                    <w:rPr>
                      <w:rFonts w:hint="default" w:ascii="Calibri" w:hAnsi="Calibri" w:eastAsia="楷体_GB2312" w:cs="Calibri"/>
                      <w:color w:val="000000"/>
                      <w:highlight w:val="yellow"/>
                    </w:rPr>
                  </w:pPr>
                  <w:r>
                    <w:rPr>
                      <w:rFonts w:hint="default" w:ascii="Calibri" w:hAnsi="Calibri" w:eastAsia="楷体_GB2312" w:cs="Calibri"/>
                      <w:lang w:val="en-US" w:eastAsia="zh-CN"/>
                    </w:rPr>
                    <w:t>2.38</w:t>
                  </w:r>
                  <w:r>
                    <w:rPr>
                      <w:rFonts w:hint="default" w:ascii="Calibri" w:hAnsi="Calibri" w:eastAsia="楷体_GB2312" w:cs="Calibri"/>
                    </w:rPr>
                    <w:t>%</w:t>
                  </w:r>
                </w:p>
              </w:tc>
            </w:tr>
            <w:tr w14:paraId="42BD00C1">
              <w:tblPrEx>
                <w:tblCellMar>
                  <w:top w:w="0" w:type="dxa"/>
                  <w:left w:w="108" w:type="dxa"/>
                  <w:bottom w:w="0" w:type="dxa"/>
                  <w:right w:w="108" w:type="dxa"/>
                </w:tblCellMar>
              </w:tblPrEx>
              <w:trPr>
                <w:trHeight w:val="283" w:hRule="atLeast"/>
                <w:jc w:val="center"/>
              </w:trPr>
              <w:tc>
                <w:tcPr>
                  <w:tcW w:w="1267" w:type="dxa"/>
                  <w:tcBorders>
                    <w:top w:val="single" w:color="000000" w:sz="4" w:space="0"/>
                    <w:left w:val="single" w:color="auto" w:sz="4" w:space="0"/>
                    <w:bottom w:val="single" w:color="000000" w:sz="4" w:space="0"/>
                    <w:right w:val="nil"/>
                  </w:tcBorders>
                  <w:vAlign w:val="center"/>
                </w:tcPr>
                <w:p w14:paraId="29C61B7E">
                  <w:pPr>
                    <w:overflowPunct w:val="0"/>
                    <w:jc w:val="center"/>
                    <w:rPr>
                      <w:rFonts w:hint="default" w:ascii="Calibri" w:hAnsi="Calibri" w:eastAsia="楷体_GB2312" w:cs="Calibri"/>
                      <w:color w:val="000000"/>
                      <w:sz w:val="18"/>
                      <w:szCs w:val="18"/>
                    </w:rPr>
                  </w:pPr>
                  <w:r>
                    <w:rPr>
                      <w:rFonts w:hint="default" w:ascii="Calibri" w:hAnsi="Calibri" w:eastAsia="楷体_GB2312" w:cs="Calibri"/>
                      <w:color w:val="000000"/>
                      <w:sz w:val="18"/>
                      <w:szCs w:val="18"/>
                    </w:rPr>
                    <w:t>德国</w:t>
                  </w:r>
                </w:p>
              </w:tc>
              <w:tc>
                <w:tcPr>
                  <w:tcW w:w="4296" w:type="dxa"/>
                  <w:tcBorders>
                    <w:top w:val="single" w:color="000000" w:sz="4" w:space="0"/>
                    <w:left w:val="single" w:color="auto" w:sz="4" w:space="0"/>
                    <w:bottom w:val="single" w:color="000000" w:sz="4" w:space="0"/>
                    <w:right w:val="nil"/>
                  </w:tcBorders>
                  <w:noWrap/>
                </w:tcPr>
                <w:p w14:paraId="301970D7">
                  <w:pPr>
                    <w:overflowPunct w:val="0"/>
                    <w:jc w:val="center"/>
                    <w:rPr>
                      <w:rFonts w:hint="default" w:ascii="Calibri" w:hAnsi="Calibri" w:eastAsia="楷体_GB2312" w:cs="Calibri"/>
                      <w:color w:val="000000"/>
                    </w:rPr>
                  </w:pPr>
                  <w:r>
                    <w:rPr>
                      <w:rFonts w:hint="default" w:ascii="Calibri" w:hAnsi="Calibri" w:eastAsia="楷体_GB2312" w:cs="Calibri"/>
                      <w:color w:val="000000"/>
                      <w:lang w:val="en-US" w:eastAsia="zh-CN"/>
                    </w:rPr>
                    <w:t>108.24</w:t>
                  </w:r>
                </w:p>
              </w:tc>
              <w:tc>
                <w:tcPr>
                  <w:tcW w:w="4319" w:type="dxa"/>
                  <w:tcBorders>
                    <w:top w:val="single" w:color="000000" w:sz="4" w:space="0"/>
                    <w:left w:val="single" w:color="auto" w:sz="4" w:space="0"/>
                    <w:bottom w:val="single" w:color="000000" w:sz="4" w:space="0"/>
                    <w:right w:val="nil"/>
                  </w:tcBorders>
                  <w:noWrap/>
                </w:tcPr>
                <w:p w14:paraId="5B0AA732">
                  <w:pPr>
                    <w:overflowPunct w:val="0"/>
                    <w:jc w:val="center"/>
                    <w:rPr>
                      <w:rFonts w:hint="default" w:ascii="Calibri" w:hAnsi="Calibri" w:eastAsia="楷体_GB2312" w:cs="Calibri"/>
                      <w:color w:val="000000"/>
                    </w:rPr>
                  </w:pPr>
                  <w:r>
                    <w:rPr>
                      <w:rFonts w:hint="default" w:ascii="Calibri" w:hAnsi="Calibri" w:eastAsia="楷体_GB2312" w:cs="Calibri"/>
                      <w:lang w:val="en-US" w:eastAsia="zh-CN"/>
                    </w:rPr>
                    <w:t>2.33</w:t>
                  </w:r>
                  <w:r>
                    <w:rPr>
                      <w:rFonts w:hint="default" w:ascii="Calibri" w:hAnsi="Calibri" w:eastAsia="楷体_GB2312" w:cs="Calibri"/>
                    </w:rPr>
                    <w:t>%</w:t>
                  </w:r>
                </w:p>
              </w:tc>
            </w:tr>
            <w:tr w14:paraId="5A9FEC71">
              <w:tblPrEx>
                <w:tblCellMar>
                  <w:top w:w="0" w:type="dxa"/>
                  <w:left w:w="108" w:type="dxa"/>
                  <w:bottom w:w="0" w:type="dxa"/>
                  <w:right w:w="108" w:type="dxa"/>
                </w:tblCellMar>
              </w:tblPrEx>
              <w:trPr>
                <w:trHeight w:val="283" w:hRule="atLeast"/>
                <w:jc w:val="center"/>
              </w:trPr>
              <w:tc>
                <w:tcPr>
                  <w:tcW w:w="1267" w:type="dxa"/>
                  <w:tcBorders>
                    <w:top w:val="single" w:color="000000" w:sz="4" w:space="0"/>
                    <w:left w:val="single" w:color="auto" w:sz="4" w:space="0"/>
                    <w:bottom w:val="single" w:color="000000" w:sz="4" w:space="0"/>
                    <w:right w:val="nil"/>
                  </w:tcBorders>
                  <w:vAlign w:val="center"/>
                </w:tcPr>
                <w:p w14:paraId="67D2D2EA">
                  <w:pPr>
                    <w:overflowPunct w:val="0"/>
                    <w:jc w:val="center"/>
                    <w:rPr>
                      <w:rFonts w:hint="default" w:ascii="Calibri" w:hAnsi="Calibri" w:eastAsia="楷体_GB2312" w:cs="Calibri"/>
                      <w:color w:val="000000"/>
                      <w:sz w:val="18"/>
                      <w:szCs w:val="18"/>
                    </w:rPr>
                  </w:pPr>
                  <w:r>
                    <w:rPr>
                      <w:rFonts w:hint="default" w:ascii="Calibri" w:hAnsi="Calibri" w:eastAsia="楷体_GB2312" w:cs="Calibri"/>
                      <w:color w:val="000000"/>
                      <w:sz w:val="18"/>
                      <w:szCs w:val="18"/>
                    </w:rPr>
                    <w:t>芬兰</w:t>
                  </w:r>
                </w:p>
              </w:tc>
              <w:tc>
                <w:tcPr>
                  <w:tcW w:w="4296" w:type="dxa"/>
                  <w:tcBorders>
                    <w:top w:val="single" w:color="000000" w:sz="4" w:space="0"/>
                    <w:left w:val="single" w:color="auto" w:sz="4" w:space="0"/>
                    <w:bottom w:val="single" w:color="000000" w:sz="4" w:space="0"/>
                    <w:right w:val="nil"/>
                  </w:tcBorders>
                  <w:noWrap/>
                </w:tcPr>
                <w:p w14:paraId="1DF23CF1">
                  <w:pPr>
                    <w:overflowPunct w:val="0"/>
                    <w:jc w:val="center"/>
                    <w:rPr>
                      <w:rFonts w:hint="default" w:ascii="Calibri" w:hAnsi="Calibri" w:eastAsia="楷体_GB2312" w:cs="Calibri"/>
                      <w:color w:val="000000"/>
                    </w:rPr>
                  </w:pPr>
                  <w:r>
                    <w:rPr>
                      <w:rFonts w:hint="default" w:ascii="Calibri" w:hAnsi="Calibri" w:eastAsia="楷体_GB2312" w:cs="Calibri"/>
                      <w:color w:val="000000"/>
                      <w:lang w:val="en-US" w:eastAsia="zh-CN"/>
                    </w:rPr>
                    <w:t>211.36</w:t>
                  </w:r>
                </w:p>
              </w:tc>
              <w:tc>
                <w:tcPr>
                  <w:tcW w:w="4319" w:type="dxa"/>
                  <w:tcBorders>
                    <w:top w:val="single" w:color="000000" w:sz="4" w:space="0"/>
                    <w:left w:val="single" w:color="auto" w:sz="4" w:space="0"/>
                    <w:bottom w:val="single" w:color="000000" w:sz="4" w:space="0"/>
                    <w:right w:val="nil"/>
                  </w:tcBorders>
                  <w:noWrap/>
                </w:tcPr>
                <w:p w14:paraId="7118AC89">
                  <w:pPr>
                    <w:overflowPunct w:val="0"/>
                    <w:jc w:val="center"/>
                    <w:rPr>
                      <w:rFonts w:hint="default" w:ascii="Calibri" w:hAnsi="Calibri" w:eastAsia="楷体_GB2312" w:cs="Calibri"/>
                      <w:color w:val="000000"/>
                    </w:rPr>
                  </w:pPr>
                  <w:r>
                    <w:rPr>
                      <w:rFonts w:hint="default" w:ascii="Calibri" w:hAnsi="Calibri" w:eastAsia="楷体_GB2312" w:cs="Calibri"/>
                      <w:lang w:val="en-US" w:eastAsia="zh-CN"/>
                    </w:rPr>
                    <w:t>101.64</w:t>
                  </w:r>
                  <w:r>
                    <w:rPr>
                      <w:rFonts w:hint="default" w:ascii="Calibri" w:hAnsi="Calibri" w:eastAsia="楷体_GB2312" w:cs="Calibri"/>
                    </w:rPr>
                    <w:t>%</w:t>
                  </w:r>
                </w:p>
              </w:tc>
            </w:tr>
            <w:tr w14:paraId="3434E252">
              <w:tblPrEx>
                <w:tblCellMar>
                  <w:top w:w="0" w:type="dxa"/>
                  <w:left w:w="108" w:type="dxa"/>
                  <w:bottom w:w="0" w:type="dxa"/>
                  <w:right w:w="108" w:type="dxa"/>
                </w:tblCellMar>
              </w:tblPrEx>
              <w:trPr>
                <w:trHeight w:val="283" w:hRule="atLeast"/>
                <w:jc w:val="center"/>
              </w:trPr>
              <w:tc>
                <w:tcPr>
                  <w:tcW w:w="1267" w:type="dxa"/>
                  <w:tcBorders>
                    <w:top w:val="single" w:color="000000" w:sz="4" w:space="0"/>
                    <w:left w:val="single" w:color="auto" w:sz="4" w:space="0"/>
                    <w:bottom w:val="single" w:color="000000" w:sz="4" w:space="0"/>
                    <w:right w:val="nil"/>
                  </w:tcBorders>
                  <w:vAlign w:val="center"/>
                </w:tcPr>
                <w:p w14:paraId="443EA1D0">
                  <w:pPr>
                    <w:overflowPunct w:val="0"/>
                    <w:jc w:val="center"/>
                    <w:rPr>
                      <w:rFonts w:hint="default" w:ascii="Calibri" w:hAnsi="Calibri" w:eastAsia="楷体_GB2312" w:cs="Calibri"/>
                      <w:color w:val="000000"/>
                      <w:sz w:val="18"/>
                      <w:szCs w:val="18"/>
                    </w:rPr>
                  </w:pPr>
                  <w:r>
                    <w:rPr>
                      <w:rFonts w:hint="default" w:ascii="Calibri" w:hAnsi="Calibri" w:eastAsia="楷体_GB2312" w:cs="Calibri"/>
                      <w:color w:val="000000"/>
                      <w:sz w:val="18"/>
                      <w:szCs w:val="18"/>
                    </w:rPr>
                    <w:t>荷兰</w:t>
                  </w:r>
                </w:p>
              </w:tc>
              <w:tc>
                <w:tcPr>
                  <w:tcW w:w="4296" w:type="dxa"/>
                  <w:tcBorders>
                    <w:top w:val="single" w:color="000000" w:sz="4" w:space="0"/>
                    <w:left w:val="single" w:color="auto" w:sz="4" w:space="0"/>
                    <w:bottom w:val="single" w:color="000000" w:sz="4" w:space="0"/>
                    <w:right w:val="nil"/>
                  </w:tcBorders>
                  <w:noWrap/>
                </w:tcPr>
                <w:p w14:paraId="31D27E95">
                  <w:pPr>
                    <w:overflowPunct w:val="0"/>
                    <w:jc w:val="center"/>
                    <w:rPr>
                      <w:rFonts w:hint="default" w:ascii="Calibri" w:hAnsi="Calibri" w:eastAsia="楷体_GB2312" w:cs="Calibri"/>
                      <w:color w:val="000000"/>
                      <w:highlight w:val="yellow"/>
                    </w:rPr>
                  </w:pPr>
                  <w:r>
                    <w:rPr>
                      <w:rFonts w:hint="default" w:ascii="Calibri" w:hAnsi="Calibri" w:eastAsia="楷体_GB2312" w:cs="Calibri"/>
                      <w:lang w:val="en-US" w:eastAsia="zh-CN"/>
                    </w:rPr>
                    <w:t>105.57</w:t>
                  </w:r>
                </w:p>
              </w:tc>
              <w:tc>
                <w:tcPr>
                  <w:tcW w:w="4319" w:type="dxa"/>
                  <w:tcBorders>
                    <w:top w:val="single" w:color="000000" w:sz="4" w:space="0"/>
                    <w:left w:val="single" w:color="auto" w:sz="4" w:space="0"/>
                    <w:bottom w:val="single" w:color="000000" w:sz="4" w:space="0"/>
                    <w:right w:val="nil"/>
                  </w:tcBorders>
                  <w:noWrap/>
                </w:tcPr>
                <w:p w14:paraId="734EE1AF">
                  <w:pPr>
                    <w:overflowPunct w:val="0"/>
                    <w:jc w:val="center"/>
                    <w:rPr>
                      <w:rFonts w:hint="default" w:ascii="Calibri" w:hAnsi="Calibri" w:eastAsia="楷体_GB2312" w:cs="Calibri"/>
                      <w:color w:val="000000"/>
                      <w:highlight w:val="yellow"/>
                    </w:rPr>
                  </w:pPr>
                  <w:r>
                    <w:rPr>
                      <w:rFonts w:hint="default" w:ascii="Calibri" w:hAnsi="Calibri" w:eastAsia="楷体_GB2312" w:cs="Calibri"/>
                      <w:lang w:val="en-US" w:eastAsia="zh-CN"/>
                    </w:rPr>
                    <w:t>3.16</w:t>
                  </w:r>
                  <w:r>
                    <w:rPr>
                      <w:rFonts w:hint="default" w:ascii="Calibri" w:hAnsi="Calibri" w:eastAsia="楷体_GB2312" w:cs="Calibri"/>
                    </w:rPr>
                    <w:t>%</w:t>
                  </w:r>
                </w:p>
              </w:tc>
            </w:tr>
            <w:tr w14:paraId="68548C92">
              <w:tblPrEx>
                <w:tblCellMar>
                  <w:top w:w="0" w:type="dxa"/>
                  <w:left w:w="108" w:type="dxa"/>
                  <w:bottom w:w="0" w:type="dxa"/>
                  <w:right w:w="108" w:type="dxa"/>
                </w:tblCellMar>
              </w:tblPrEx>
              <w:trPr>
                <w:trHeight w:val="283" w:hRule="atLeast"/>
                <w:jc w:val="center"/>
              </w:trPr>
              <w:tc>
                <w:tcPr>
                  <w:tcW w:w="1267" w:type="dxa"/>
                  <w:tcBorders>
                    <w:top w:val="single" w:color="000000" w:sz="4" w:space="0"/>
                    <w:left w:val="single" w:color="auto" w:sz="4" w:space="0"/>
                    <w:bottom w:val="nil"/>
                    <w:right w:val="nil"/>
                  </w:tcBorders>
                  <w:vAlign w:val="center"/>
                </w:tcPr>
                <w:p w14:paraId="6BDB456B">
                  <w:pPr>
                    <w:overflowPunct w:val="0"/>
                    <w:jc w:val="center"/>
                    <w:rPr>
                      <w:rFonts w:hint="default" w:ascii="Calibri" w:hAnsi="Calibri" w:eastAsia="楷体_GB2312" w:cs="Calibri"/>
                      <w:color w:val="000000"/>
                      <w:sz w:val="18"/>
                      <w:szCs w:val="18"/>
                    </w:rPr>
                  </w:pPr>
                  <w:r>
                    <w:rPr>
                      <w:rFonts w:hint="default" w:ascii="Calibri" w:hAnsi="Calibri" w:eastAsia="楷体_GB2312" w:cs="Calibri"/>
                      <w:color w:val="000000"/>
                      <w:sz w:val="18"/>
                      <w:szCs w:val="18"/>
                    </w:rPr>
                    <w:t>法国</w:t>
                  </w:r>
                </w:p>
              </w:tc>
              <w:tc>
                <w:tcPr>
                  <w:tcW w:w="4296" w:type="dxa"/>
                  <w:tcBorders>
                    <w:top w:val="single" w:color="000000" w:sz="4" w:space="0"/>
                    <w:left w:val="single" w:color="auto" w:sz="4" w:space="0"/>
                    <w:bottom w:val="nil"/>
                    <w:right w:val="nil"/>
                  </w:tcBorders>
                  <w:noWrap/>
                </w:tcPr>
                <w:p w14:paraId="56030DB6">
                  <w:pPr>
                    <w:overflowPunct w:val="0"/>
                    <w:jc w:val="center"/>
                    <w:rPr>
                      <w:rFonts w:hint="default" w:ascii="Calibri" w:hAnsi="Calibri" w:eastAsia="楷体_GB2312" w:cs="Calibri"/>
                      <w:color w:val="000000"/>
                      <w:highlight w:val="yellow"/>
                    </w:rPr>
                  </w:pPr>
                  <w:r>
                    <w:rPr>
                      <w:rFonts w:hint="default" w:ascii="Calibri" w:hAnsi="Calibri" w:eastAsia="楷体_GB2312" w:cs="Calibri"/>
                      <w:lang w:val="en-US" w:eastAsia="zh-CN"/>
                    </w:rPr>
                    <w:t>85.4</w:t>
                  </w:r>
                </w:p>
              </w:tc>
              <w:tc>
                <w:tcPr>
                  <w:tcW w:w="4319" w:type="dxa"/>
                  <w:tcBorders>
                    <w:top w:val="single" w:color="000000" w:sz="4" w:space="0"/>
                    <w:left w:val="single" w:color="auto" w:sz="4" w:space="0"/>
                    <w:bottom w:val="nil"/>
                    <w:right w:val="nil"/>
                  </w:tcBorders>
                  <w:noWrap/>
                </w:tcPr>
                <w:p w14:paraId="4E31D210">
                  <w:pPr>
                    <w:overflowPunct w:val="0"/>
                    <w:jc w:val="center"/>
                    <w:rPr>
                      <w:rFonts w:hint="default" w:ascii="Calibri" w:hAnsi="Calibri" w:eastAsia="楷体_GB2312" w:cs="Calibri"/>
                      <w:color w:val="000000"/>
                      <w:highlight w:val="yellow"/>
                    </w:rPr>
                  </w:pPr>
                  <w:r>
                    <w:rPr>
                      <w:rFonts w:hint="default" w:ascii="Calibri" w:hAnsi="Calibri" w:eastAsia="楷体_GB2312" w:cs="Calibri"/>
                      <w:lang w:val="en-US" w:eastAsia="zh-CN"/>
                    </w:rPr>
                    <w:t>-7.32</w:t>
                  </w:r>
                  <w:r>
                    <w:rPr>
                      <w:rFonts w:hint="default" w:ascii="Calibri" w:hAnsi="Calibri" w:eastAsia="楷体_GB2312" w:cs="Calibri"/>
                    </w:rPr>
                    <w:t>%</w:t>
                  </w:r>
                </w:p>
              </w:tc>
            </w:tr>
          </w:tbl>
          <w:p w14:paraId="0EA1B84D">
            <w:pPr>
              <w:overflowPunct w:val="0"/>
              <w:rPr>
                <w:rFonts w:hint="default" w:ascii="Calibri" w:hAnsi="Calibri" w:eastAsia="楷体_GB2312" w:cs="Calibri"/>
                <w:sz w:val="10"/>
                <w:lang w:eastAsia="zh-CN"/>
              </w:rPr>
            </w:pPr>
          </w:p>
        </w:tc>
      </w:tr>
      <w:tr w14:paraId="039BB082">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rPr>
          <w:jc w:val="right"/>
        </w:trPr>
        <w:tc>
          <w:tcPr>
            <w:tcW w:w="9855" w:type="dxa"/>
            <w:tcBorders>
              <w:top w:val="single" w:color="auto" w:sz="4" w:space="0"/>
            </w:tcBorders>
          </w:tcPr>
          <w:p w14:paraId="34A39BC5">
            <w:pPr>
              <w:rPr>
                <w:rFonts w:hint="default" w:ascii="Calibri" w:hAnsi="Calibri" w:eastAsia="楷体_GB2312" w:cs="Calibri"/>
                <w:i/>
                <w:iCs/>
                <w:sz w:val="15"/>
                <w:szCs w:val="15"/>
              </w:rPr>
            </w:pPr>
            <w:r>
              <w:rPr>
                <w:rFonts w:hint="default" w:ascii="Calibri" w:hAnsi="Calibri" w:eastAsia="楷体_GB2312" w:cs="Calibri"/>
                <w:i/>
                <w:iCs/>
              </w:rPr>
              <w:t>资料来源：</w:t>
            </w:r>
            <w:r>
              <w:rPr>
                <w:rFonts w:hint="default" w:ascii="Calibri" w:hAnsi="Calibri" w:eastAsia="楷体_GB2312" w:cs="Calibri"/>
                <w:i/>
                <w:iCs/>
                <w:lang w:eastAsia="zh-CN"/>
              </w:rPr>
              <w:t>NORDPOOL</w:t>
            </w:r>
            <w:r>
              <w:rPr>
                <w:rFonts w:hint="default" w:ascii="Calibri" w:hAnsi="Calibri" w:eastAsia="楷体_GB2312" w:cs="Calibri"/>
                <w:i/>
                <w:iCs/>
              </w:rPr>
              <w:t>，</w:t>
            </w:r>
            <w:r>
              <w:rPr>
                <w:rFonts w:hint="default" w:ascii="Calibri" w:hAnsi="Calibri" w:eastAsia="楷体_GB2312" w:cs="Calibri"/>
                <w:i/>
                <w:iCs/>
                <w:lang w:eastAsia="zh-CN"/>
              </w:rPr>
              <w:t>HFI</w:t>
            </w:r>
          </w:p>
        </w:tc>
      </w:tr>
    </w:tbl>
    <w:p w14:paraId="06CF19D6">
      <w:pPr>
        <w:overflowPunct w:val="0"/>
        <w:ind w:left="3200" w:leftChars="2000"/>
        <w:jc w:val="both"/>
        <w:rPr>
          <w:rFonts w:hint="default" w:ascii="Calibri" w:hAnsi="Calibri" w:eastAsia="楷体_GB2312" w:cs="Calibri"/>
          <w:sz w:val="20"/>
          <w:szCs w:val="20"/>
          <w:lang w:val="en-US" w:eastAsia="zh-CN"/>
        </w:rPr>
      </w:pPr>
    </w:p>
    <w:p w14:paraId="521ED978">
      <w:pPr>
        <w:overflowPunct w:val="0"/>
        <w:jc w:val="both"/>
        <w:rPr>
          <w:rFonts w:hint="default" w:ascii="Calibri" w:hAnsi="Calibri" w:eastAsia="楷体_GB2312" w:cs="Calibri"/>
          <w:sz w:val="20"/>
          <w:szCs w:val="20"/>
          <w:lang w:val="en-US" w:eastAsia="zh-CN"/>
        </w:rPr>
      </w:pPr>
    </w:p>
    <w:p w14:paraId="0489A950">
      <w:pPr>
        <w:overflowPunct w:val="0"/>
        <w:ind w:left="3200" w:leftChars="2000"/>
        <w:jc w:val="both"/>
        <w:outlineLvl w:val="2"/>
        <w:rPr>
          <w:rFonts w:hint="default" w:ascii="Calibri" w:hAnsi="Calibri" w:eastAsia="楷体_GB2312" w:cs="Calibri"/>
          <w:b/>
          <w:bCs/>
          <w:color w:val="1F497D" w:themeColor="text2"/>
          <w:sz w:val="24"/>
          <w:szCs w:val="24"/>
          <w:lang w:val="en-US" w:eastAsia="zh-CN"/>
          <w14:textFill>
            <w14:solidFill>
              <w14:schemeClr w14:val="tx2"/>
            </w14:solidFill>
          </w14:textFill>
        </w:rPr>
      </w:pPr>
      <w:bookmarkStart w:id="23" w:name="_Toc223082606"/>
      <w:r>
        <w:rPr>
          <w:rFonts w:hint="default" w:ascii="Calibri" w:hAnsi="Calibri" w:eastAsia="楷体_GB2312" w:cs="Calibri"/>
          <w:b/>
          <w:bCs/>
          <w:color w:val="1F497D" w:themeColor="text2"/>
          <w:sz w:val="24"/>
          <w:szCs w:val="24"/>
          <w:lang w:val="en-US" w:eastAsia="zh-CN"/>
          <w14:textFill>
            <w14:solidFill>
              <w14:schemeClr w14:val="tx2"/>
            </w14:solidFill>
          </w14:textFill>
        </w:rPr>
        <w:t>（3）石油天然气</w:t>
      </w:r>
      <w:bookmarkEnd w:id="23"/>
      <w:r>
        <w:rPr>
          <w:rFonts w:hint="default" w:ascii="Calibri" w:hAnsi="Calibri" w:eastAsia="楷体_GB2312" w:cs="Calibri"/>
          <w:b/>
          <w:bCs/>
          <w:color w:val="1F497D" w:themeColor="text2"/>
          <w:sz w:val="24"/>
          <w:szCs w:val="24"/>
          <w:lang w:val="en-US" w:eastAsia="zh-CN"/>
          <w14:textFill>
            <w14:solidFill>
              <w14:schemeClr w14:val="tx2"/>
            </w14:solidFill>
          </w14:textFill>
        </w:rPr>
        <w:tab/>
      </w:r>
    </w:p>
    <w:p w14:paraId="303117F0">
      <w:pPr>
        <w:overflowPunct w:val="0"/>
        <w:ind w:left="3200" w:leftChars="2000"/>
        <w:jc w:val="both"/>
        <w:rPr>
          <w:rFonts w:hint="default" w:ascii="Calibri" w:hAnsi="Calibri" w:eastAsia="楷体_GB2312" w:cs="Calibri"/>
          <w:sz w:val="20"/>
          <w:szCs w:val="20"/>
          <w:lang w:val="en-US" w:eastAsia="zh-CN"/>
        </w:rPr>
      </w:pPr>
    </w:p>
    <w:p w14:paraId="66701CAA">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美国天然气期现价格周环比明显下行，总持仓小幅回落。截至</w:t>
      </w:r>
      <w:r>
        <w:rPr>
          <w:rFonts w:hint="default" w:ascii="Calibri" w:hAnsi="Calibri" w:eastAsia="楷体_GB2312" w:cs="Calibri"/>
          <w:sz w:val="20"/>
          <w:szCs w:val="20"/>
          <w:lang w:val="en-US" w:eastAsia="zh-CN"/>
        </w:rPr>
        <w:t>2026</w:t>
      </w:r>
      <w:r>
        <w:rPr>
          <w:rFonts w:hint="default" w:ascii="Calibri" w:hAnsi="Calibri" w:eastAsia="楷体_GB2312" w:cs="Calibri"/>
          <w:sz w:val="20"/>
          <w:szCs w:val="20"/>
          <w:lang w:val="en-US" w:eastAsia="zh-CN"/>
        </w:rPr>
        <w:t>年</w:t>
      </w:r>
      <w:r>
        <w:rPr>
          <w:rFonts w:hint="default" w:ascii="Calibri" w:hAnsi="Calibri" w:eastAsia="楷体_GB2312" w:cs="Calibri"/>
          <w:sz w:val="20"/>
          <w:szCs w:val="20"/>
          <w:lang w:val="en-US" w:eastAsia="zh-CN"/>
        </w:rPr>
        <w:t>2</w:t>
      </w:r>
      <w:r>
        <w:rPr>
          <w:rFonts w:hint="default" w:ascii="Calibri" w:hAnsi="Calibri" w:eastAsia="楷体_GB2312" w:cs="Calibri"/>
          <w:sz w:val="20"/>
          <w:szCs w:val="20"/>
          <w:lang w:val="en-US" w:eastAsia="zh-CN"/>
        </w:rPr>
        <w:t>月</w:t>
      </w:r>
      <w:r>
        <w:rPr>
          <w:rFonts w:hint="default" w:ascii="Calibri" w:hAnsi="Calibri" w:eastAsia="楷体_GB2312" w:cs="Calibri"/>
          <w:sz w:val="20"/>
          <w:szCs w:val="20"/>
          <w:lang w:val="en-US" w:eastAsia="zh-CN"/>
        </w:rPr>
        <w:t>23</w:t>
      </w:r>
      <w:r>
        <w:rPr>
          <w:rFonts w:hint="default" w:ascii="Calibri" w:hAnsi="Calibri" w:eastAsia="楷体_GB2312" w:cs="Calibri"/>
          <w:sz w:val="20"/>
          <w:szCs w:val="20"/>
          <w:lang w:val="en-US" w:eastAsia="zh-CN"/>
        </w:rPr>
        <w:t>日，亨利枢纽现货价格报</w:t>
      </w:r>
      <w:r>
        <w:rPr>
          <w:rFonts w:hint="default" w:ascii="Calibri" w:hAnsi="Calibri" w:eastAsia="楷体_GB2312" w:cs="Calibri"/>
          <w:sz w:val="20"/>
          <w:szCs w:val="20"/>
          <w:lang w:val="en-US" w:eastAsia="zh-CN"/>
        </w:rPr>
        <w:t>3.13</w:t>
      </w:r>
      <w:r>
        <w:rPr>
          <w:rFonts w:hint="default" w:ascii="Calibri" w:hAnsi="Calibri" w:eastAsia="楷体_GB2312" w:cs="Calibri"/>
          <w:sz w:val="20"/>
          <w:szCs w:val="20"/>
          <w:lang w:val="en-US" w:eastAsia="zh-CN"/>
        </w:rPr>
        <w:t>美元</w:t>
      </w:r>
      <w:r>
        <w:rPr>
          <w:rFonts w:hint="default" w:ascii="Calibri" w:hAnsi="Calibri" w:eastAsia="楷体_GB2312" w:cs="Calibri"/>
          <w:sz w:val="20"/>
          <w:szCs w:val="20"/>
          <w:lang w:val="en-US" w:eastAsia="zh-CN"/>
        </w:rPr>
        <w:t>/</w:t>
      </w:r>
      <w:r>
        <w:rPr>
          <w:rFonts w:hint="default" w:ascii="Calibri" w:hAnsi="Calibri" w:eastAsia="楷体_GB2312" w:cs="Calibri"/>
          <w:sz w:val="20"/>
          <w:szCs w:val="20"/>
          <w:lang w:val="en-US" w:eastAsia="zh-CN"/>
        </w:rPr>
        <w:t>百万英热，周环比小幅下降；截至</w:t>
      </w:r>
      <w:r>
        <w:rPr>
          <w:rFonts w:hint="default" w:ascii="Calibri" w:hAnsi="Calibri" w:eastAsia="楷体_GB2312" w:cs="Calibri"/>
          <w:sz w:val="20"/>
          <w:szCs w:val="20"/>
          <w:lang w:val="en-US" w:eastAsia="zh-CN"/>
        </w:rPr>
        <w:t>2</w:t>
      </w:r>
      <w:r>
        <w:rPr>
          <w:rFonts w:hint="default" w:ascii="Calibri" w:hAnsi="Calibri" w:eastAsia="楷体_GB2312" w:cs="Calibri"/>
          <w:sz w:val="20"/>
          <w:szCs w:val="20"/>
          <w:lang w:val="en-US" w:eastAsia="zh-CN"/>
        </w:rPr>
        <w:t>月</w:t>
      </w:r>
      <w:r>
        <w:rPr>
          <w:rFonts w:hint="default" w:ascii="Calibri" w:hAnsi="Calibri" w:eastAsia="楷体_GB2312" w:cs="Calibri"/>
          <w:sz w:val="20"/>
          <w:szCs w:val="20"/>
          <w:lang w:val="en-US" w:eastAsia="zh-CN"/>
        </w:rPr>
        <w:t>26</w:t>
      </w:r>
      <w:r>
        <w:rPr>
          <w:rFonts w:hint="default" w:ascii="Calibri" w:hAnsi="Calibri" w:eastAsia="楷体_GB2312" w:cs="Calibri"/>
          <w:sz w:val="20"/>
          <w:szCs w:val="20"/>
          <w:lang w:val="en-US" w:eastAsia="zh-CN"/>
        </w:rPr>
        <w:t>日，</w:t>
      </w:r>
      <w:r>
        <w:rPr>
          <w:rFonts w:hint="default" w:ascii="Calibri" w:hAnsi="Calibri" w:eastAsia="楷体_GB2312" w:cs="Calibri"/>
          <w:sz w:val="20"/>
          <w:szCs w:val="20"/>
          <w:lang w:val="en-US" w:eastAsia="zh-CN"/>
        </w:rPr>
        <w:t>NYMEX HH</w:t>
      </w:r>
      <w:r>
        <w:rPr>
          <w:rFonts w:hint="default" w:ascii="Calibri" w:hAnsi="Calibri" w:eastAsia="楷体_GB2312" w:cs="Calibri"/>
          <w:sz w:val="20"/>
          <w:szCs w:val="20"/>
          <w:lang w:val="en-US" w:eastAsia="zh-CN"/>
        </w:rPr>
        <w:t>近月期货价格报约</w:t>
      </w:r>
      <w:r>
        <w:rPr>
          <w:rFonts w:hint="default" w:ascii="Calibri" w:hAnsi="Calibri" w:eastAsia="楷体_GB2312" w:cs="Calibri"/>
          <w:sz w:val="20"/>
          <w:szCs w:val="20"/>
          <w:lang w:val="en-US" w:eastAsia="zh-CN"/>
        </w:rPr>
        <w:t>2.85</w:t>
      </w:r>
      <w:r>
        <w:rPr>
          <w:rFonts w:hint="default" w:ascii="Calibri" w:hAnsi="Calibri" w:eastAsia="楷体_GB2312" w:cs="Calibri"/>
          <w:sz w:val="20"/>
          <w:szCs w:val="20"/>
          <w:lang w:val="en-US" w:eastAsia="zh-CN"/>
        </w:rPr>
        <w:t>美元</w:t>
      </w:r>
      <w:r>
        <w:rPr>
          <w:rFonts w:hint="default" w:ascii="Calibri" w:hAnsi="Calibri" w:eastAsia="楷体_GB2312" w:cs="Calibri"/>
          <w:sz w:val="20"/>
          <w:szCs w:val="20"/>
          <w:lang w:val="en-US" w:eastAsia="zh-CN"/>
        </w:rPr>
        <w:t>/</w:t>
      </w:r>
      <w:r>
        <w:rPr>
          <w:rFonts w:hint="default" w:ascii="Calibri" w:hAnsi="Calibri" w:eastAsia="楷体_GB2312" w:cs="Calibri"/>
          <w:sz w:val="20"/>
          <w:szCs w:val="20"/>
          <w:lang w:val="en-US" w:eastAsia="zh-CN"/>
        </w:rPr>
        <w:t>百万英热，周环比下降约</w:t>
      </w:r>
      <w:r>
        <w:rPr>
          <w:rFonts w:hint="default" w:ascii="Calibri" w:hAnsi="Calibri" w:eastAsia="楷体_GB2312" w:cs="Calibri"/>
          <w:sz w:val="20"/>
          <w:szCs w:val="20"/>
          <w:lang w:val="en-US" w:eastAsia="zh-CN"/>
        </w:rPr>
        <w:t>9%</w:t>
      </w:r>
      <w:r>
        <w:rPr>
          <w:rFonts w:hint="default" w:ascii="Calibri" w:hAnsi="Calibri" w:eastAsia="楷体_GB2312" w:cs="Calibri"/>
          <w:sz w:val="20"/>
          <w:szCs w:val="20"/>
          <w:lang w:val="en-US" w:eastAsia="zh-CN"/>
        </w:rPr>
        <w:t>。截至</w:t>
      </w:r>
      <w:r>
        <w:rPr>
          <w:rFonts w:hint="default" w:ascii="Calibri" w:hAnsi="Calibri" w:eastAsia="楷体_GB2312" w:cs="Calibri"/>
          <w:sz w:val="20"/>
          <w:szCs w:val="20"/>
          <w:lang w:val="en-US" w:eastAsia="zh-CN"/>
        </w:rPr>
        <w:t>2</w:t>
      </w:r>
      <w:r>
        <w:rPr>
          <w:rFonts w:hint="default" w:ascii="Calibri" w:hAnsi="Calibri" w:eastAsia="楷体_GB2312" w:cs="Calibri"/>
          <w:sz w:val="20"/>
          <w:szCs w:val="20"/>
          <w:lang w:val="en-US" w:eastAsia="zh-CN"/>
        </w:rPr>
        <w:t>月</w:t>
      </w:r>
      <w:r>
        <w:rPr>
          <w:rFonts w:hint="default" w:ascii="Calibri" w:hAnsi="Calibri" w:eastAsia="楷体_GB2312" w:cs="Calibri"/>
          <w:sz w:val="20"/>
          <w:szCs w:val="20"/>
          <w:lang w:val="en-US" w:eastAsia="zh-CN"/>
        </w:rPr>
        <w:t>17</w:t>
      </w:r>
      <w:r>
        <w:rPr>
          <w:rFonts w:hint="default" w:ascii="Calibri" w:hAnsi="Calibri" w:eastAsia="楷体_GB2312" w:cs="Calibri"/>
          <w:sz w:val="20"/>
          <w:szCs w:val="20"/>
          <w:lang w:val="en-US" w:eastAsia="zh-CN"/>
        </w:rPr>
        <w:t>日（最新</w:t>
      </w:r>
      <w:r>
        <w:rPr>
          <w:rFonts w:hint="default" w:ascii="Calibri" w:hAnsi="Calibri" w:eastAsia="楷体_GB2312" w:cs="Calibri"/>
          <w:sz w:val="20"/>
          <w:szCs w:val="20"/>
          <w:lang w:val="en-US" w:eastAsia="zh-CN"/>
        </w:rPr>
        <w:t>CFTC</w:t>
      </w:r>
      <w:r>
        <w:rPr>
          <w:rFonts w:hint="default" w:ascii="Calibri" w:hAnsi="Calibri" w:eastAsia="楷体_GB2312" w:cs="Calibri"/>
          <w:sz w:val="20"/>
          <w:szCs w:val="20"/>
          <w:lang w:val="en-US" w:eastAsia="zh-CN"/>
        </w:rPr>
        <w:t>报告），纽约商品交易所（</w:t>
      </w:r>
      <w:r>
        <w:rPr>
          <w:rFonts w:hint="default" w:ascii="Calibri" w:hAnsi="Calibri" w:eastAsia="楷体_GB2312" w:cs="Calibri"/>
          <w:sz w:val="20"/>
          <w:szCs w:val="20"/>
          <w:lang w:val="en-US" w:eastAsia="zh-CN"/>
        </w:rPr>
        <w:t>NYMEX</w:t>
      </w:r>
      <w:r>
        <w:rPr>
          <w:rFonts w:hint="default" w:ascii="Calibri" w:hAnsi="Calibri" w:eastAsia="楷体_GB2312" w:cs="Calibri"/>
          <w:sz w:val="20"/>
          <w:szCs w:val="20"/>
          <w:lang w:val="en-US" w:eastAsia="zh-CN"/>
        </w:rPr>
        <w:t>）</w:t>
      </w:r>
      <w:r>
        <w:rPr>
          <w:rFonts w:hint="default" w:ascii="Calibri" w:hAnsi="Calibri" w:eastAsia="楷体_GB2312" w:cs="Calibri"/>
          <w:sz w:val="20"/>
          <w:szCs w:val="20"/>
          <w:lang w:val="en-US" w:eastAsia="zh-CN"/>
        </w:rPr>
        <w:t>Henry Hub</w:t>
      </w:r>
      <w:r>
        <w:rPr>
          <w:rFonts w:hint="default" w:ascii="Calibri" w:hAnsi="Calibri" w:eastAsia="楷体_GB2312" w:cs="Calibri"/>
          <w:sz w:val="20"/>
          <w:szCs w:val="20"/>
          <w:lang w:val="en-US" w:eastAsia="zh-CN"/>
        </w:rPr>
        <w:t>天然气期货合约总持仓量为</w:t>
      </w:r>
      <w:r>
        <w:rPr>
          <w:rFonts w:hint="default" w:ascii="Calibri" w:hAnsi="Calibri" w:eastAsia="楷体_GB2312" w:cs="Calibri"/>
          <w:sz w:val="20"/>
          <w:szCs w:val="20"/>
          <w:lang w:val="en-US" w:eastAsia="zh-CN"/>
        </w:rPr>
        <w:t>163.4</w:t>
      </w:r>
      <w:r>
        <w:rPr>
          <w:rFonts w:hint="default" w:ascii="Calibri" w:hAnsi="Calibri" w:eastAsia="楷体_GB2312" w:cs="Calibri"/>
          <w:sz w:val="20"/>
          <w:szCs w:val="20"/>
          <w:lang w:val="en-US" w:eastAsia="zh-CN"/>
        </w:rPr>
        <w:t>万张，周环比小幅下降。根据最新持仓数据，非商业多头持仓量约为</w:t>
      </w:r>
      <w:r>
        <w:rPr>
          <w:rFonts w:hint="default" w:ascii="Calibri" w:hAnsi="Calibri" w:eastAsia="楷体_GB2312" w:cs="Calibri"/>
          <w:sz w:val="20"/>
          <w:szCs w:val="20"/>
          <w:lang w:val="en-US" w:eastAsia="zh-CN"/>
        </w:rPr>
        <w:t>16.31</w:t>
      </w:r>
      <w:r>
        <w:rPr>
          <w:rFonts w:hint="default" w:ascii="Calibri" w:hAnsi="Calibri" w:eastAsia="楷体_GB2312" w:cs="Calibri"/>
          <w:sz w:val="20"/>
          <w:szCs w:val="20"/>
          <w:lang w:val="en-US" w:eastAsia="zh-CN"/>
        </w:rPr>
        <w:t>万张，周环比小幅减少；非商业空头持仓量约为</w:t>
      </w:r>
      <w:r>
        <w:rPr>
          <w:rFonts w:hint="default" w:ascii="Calibri" w:hAnsi="Calibri" w:eastAsia="楷体_GB2312" w:cs="Calibri"/>
          <w:sz w:val="20"/>
          <w:szCs w:val="20"/>
          <w:lang w:val="en-US" w:eastAsia="zh-CN"/>
        </w:rPr>
        <w:t>18.99</w:t>
      </w:r>
      <w:r>
        <w:rPr>
          <w:rFonts w:hint="default" w:ascii="Calibri" w:hAnsi="Calibri" w:eastAsia="楷体_GB2312" w:cs="Calibri"/>
          <w:sz w:val="20"/>
          <w:szCs w:val="20"/>
          <w:lang w:val="en-US" w:eastAsia="zh-CN"/>
        </w:rPr>
        <w:t>万张，周环比增加，投机者净空头仓位进一步扩大。</w:t>
      </w:r>
    </w:p>
    <w:p w14:paraId="760894B9">
      <w:pPr>
        <w:overflowPunct w:val="0"/>
        <w:ind w:left="3200" w:leftChars="2000"/>
        <w:jc w:val="both"/>
        <w:rPr>
          <w:rFonts w:hint="default" w:ascii="Calibri" w:hAnsi="Calibri" w:eastAsia="楷体_GB2312" w:cs="Calibri"/>
          <w:sz w:val="20"/>
          <w:szCs w:val="20"/>
          <w:lang w:val="en-US" w:eastAsia="zh-CN"/>
        </w:rPr>
      </w:pPr>
    </w:p>
    <w:p w14:paraId="423E7DC9">
      <w:pPr>
        <w:overflowPunct w:val="0"/>
        <w:jc w:val="both"/>
        <w:rPr>
          <w:rFonts w:hint="default" w:ascii="Calibri" w:hAnsi="Calibri" w:eastAsia="楷体_GB2312" w:cs="Calibri"/>
          <w:sz w:val="20"/>
          <w:szCs w:val="20"/>
          <w:lang w:val="en-US" w:eastAsia="zh-CN"/>
        </w:rPr>
      </w:pPr>
    </w:p>
    <w:tbl>
      <w:tblPr>
        <w:tblStyle w:val="26"/>
        <w:tblW w:w="10490" w:type="dxa"/>
        <w:tblInd w:w="384" w:type="dxa"/>
        <w:tblLayout w:type="fixed"/>
        <w:tblCellMar>
          <w:top w:w="0" w:type="dxa"/>
          <w:left w:w="108" w:type="dxa"/>
          <w:bottom w:w="0" w:type="dxa"/>
          <w:right w:w="108" w:type="dxa"/>
        </w:tblCellMar>
      </w:tblPr>
      <w:tblGrid>
        <w:gridCol w:w="5103"/>
        <w:gridCol w:w="238"/>
        <w:gridCol w:w="5149"/>
      </w:tblGrid>
      <w:tr w14:paraId="3497E502">
        <w:tblPrEx>
          <w:tblCellMar>
            <w:top w:w="0" w:type="dxa"/>
            <w:left w:w="108" w:type="dxa"/>
            <w:bottom w:w="0" w:type="dxa"/>
            <w:right w:w="108" w:type="dxa"/>
          </w:tblCellMar>
        </w:tblPrEx>
        <w:trPr>
          <w:trHeight w:val="227" w:hRule="atLeast"/>
        </w:trPr>
        <w:tc>
          <w:tcPr>
            <w:tcW w:w="5103" w:type="dxa"/>
            <w:tcBorders>
              <w:top w:val="nil"/>
              <w:left w:val="nil"/>
              <w:bottom w:val="single" w:color="auto" w:sz="4" w:space="0"/>
              <w:right w:val="nil"/>
            </w:tcBorders>
            <w:tcMar>
              <w:top w:w="0" w:type="dxa"/>
              <w:left w:w="0" w:type="dxa"/>
              <w:bottom w:w="0" w:type="dxa"/>
              <w:right w:w="28" w:type="dxa"/>
            </w:tcMar>
          </w:tcPr>
          <w:p w14:paraId="726C562B">
            <w:pPr>
              <w:overflowPunct w:val="0"/>
              <w:rPr>
                <w:rFonts w:hint="default" w:ascii="Calibri" w:hAnsi="Calibri" w:eastAsia="楷体_GB2312" w:cs="Calibri"/>
                <w:b/>
                <w:sz w:val="18"/>
                <w:szCs w:val="18"/>
                <w:lang w:val="zh-CN" w:eastAsia="zh-CN"/>
              </w:rPr>
            </w:pPr>
            <w:r>
              <w:rPr>
                <w:rFonts w:hint="default" w:ascii="Calibri" w:hAnsi="Calibri" w:eastAsia="楷体_GB2312" w:cs="Calibri"/>
                <w:b/>
                <w:sz w:val="18"/>
                <w:szCs w:val="18"/>
                <w:lang w:val="zh-CN" w:eastAsia="zh-CN"/>
              </w:rPr>
              <w:t>图</w:t>
            </w:r>
            <w:r>
              <w:rPr>
                <w:rFonts w:hint="default" w:ascii="Calibri" w:hAnsi="Calibri" w:eastAsia="楷体_GB2312" w:cs="Calibri"/>
                <w:b/>
                <w:sz w:val="18"/>
                <w:szCs w:val="18"/>
                <w:lang w:val="en-US" w:eastAsia="zh-CN"/>
              </w:rPr>
              <w:t>30</w:t>
            </w:r>
            <w:r>
              <w:rPr>
                <w:rFonts w:hint="default" w:ascii="Calibri" w:hAnsi="Calibri" w:eastAsia="楷体_GB2312" w:cs="Calibri"/>
                <w:b/>
                <w:sz w:val="18"/>
                <w:szCs w:val="18"/>
                <w:lang w:val="zh-CN" w:eastAsia="zh-CN"/>
              </w:rPr>
              <w:t>：亨利港天然气现货价格（美元/百万英热）</w:t>
            </w:r>
          </w:p>
        </w:tc>
        <w:tc>
          <w:tcPr>
            <w:tcW w:w="238" w:type="dxa"/>
            <w:tcBorders>
              <w:top w:val="nil"/>
              <w:left w:val="nil"/>
              <w:bottom w:val="nil"/>
              <w:right w:val="nil"/>
            </w:tcBorders>
            <w:tcMar>
              <w:top w:w="0" w:type="dxa"/>
              <w:left w:w="0" w:type="dxa"/>
              <w:bottom w:w="0" w:type="dxa"/>
              <w:right w:w="28" w:type="dxa"/>
            </w:tcMar>
          </w:tcPr>
          <w:p w14:paraId="41329AC5">
            <w:pPr>
              <w:overflowPunct w:val="0"/>
              <w:rPr>
                <w:rFonts w:hint="default" w:ascii="Calibri" w:hAnsi="Calibri" w:eastAsia="楷体_GB2312" w:cs="Calibri"/>
                <w:b/>
                <w:sz w:val="18"/>
                <w:szCs w:val="18"/>
                <w:lang w:val="zh-CN" w:eastAsia="zh-CN"/>
              </w:rPr>
            </w:pPr>
            <w:r>
              <w:rPr>
                <w:rFonts w:hint="default" w:ascii="Calibri" w:hAnsi="Calibri" w:eastAsia="楷体_GB2312" w:cs="Calibri"/>
                <w:b/>
                <w:sz w:val="18"/>
                <w:szCs w:val="18"/>
                <w:lang w:val="zh-CN" w:eastAsia="zh-CN"/>
              </w:rPr>
              <w:t xml:space="preserve">         </w:t>
            </w:r>
          </w:p>
        </w:tc>
        <w:tc>
          <w:tcPr>
            <w:tcW w:w="5149" w:type="dxa"/>
            <w:tcBorders>
              <w:top w:val="nil"/>
              <w:left w:val="nil"/>
              <w:bottom w:val="single" w:color="auto" w:sz="4" w:space="0"/>
              <w:right w:val="nil"/>
            </w:tcBorders>
            <w:tcMar>
              <w:top w:w="0" w:type="dxa"/>
              <w:left w:w="0" w:type="dxa"/>
              <w:bottom w:w="0" w:type="dxa"/>
              <w:right w:w="28" w:type="dxa"/>
            </w:tcMar>
          </w:tcPr>
          <w:p w14:paraId="4D6847D0">
            <w:pPr>
              <w:overflowPunct w:val="0"/>
              <w:rPr>
                <w:rFonts w:hint="default" w:ascii="Calibri" w:hAnsi="Calibri" w:eastAsia="楷体_GB2312" w:cs="Calibri"/>
                <w:b/>
                <w:sz w:val="18"/>
                <w:szCs w:val="18"/>
                <w:lang w:val="zh-CN"/>
              </w:rPr>
            </w:pPr>
            <w:r>
              <w:rPr>
                <w:rFonts w:hint="default" w:ascii="Calibri" w:hAnsi="Calibri" w:eastAsia="楷体_GB2312" w:cs="Calibri"/>
                <w:b/>
                <w:sz w:val="18"/>
                <w:szCs w:val="18"/>
                <w:lang w:val="zh-CN"/>
              </w:rPr>
              <w:t>图</w:t>
            </w:r>
            <w:r>
              <w:rPr>
                <w:rFonts w:hint="default" w:ascii="Calibri" w:hAnsi="Calibri" w:eastAsia="楷体_GB2312" w:cs="Calibri"/>
                <w:b/>
                <w:sz w:val="18"/>
                <w:szCs w:val="18"/>
                <w:lang w:val="en-US" w:eastAsia="zh-CN"/>
              </w:rPr>
              <w:t>31</w:t>
            </w:r>
            <w:r>
              <w:rPr>
                <w:rFonts w:hint="default" w:ascii="Calibri" w:hAnsi="Calibri" w:eastAsia="楷体_GB2312" w:cs="Calibri"/>
                <w:b/>
                <w:sz w:val="18"/>
                <w:szCs w:val="18"/>
                <w:lang w:val="zh-CN"/>
              </w:rPr>
              <w:t>：美国气温预期</w:t>
            </w:r>
          </w:p>
        </w:tc>
      </w:tr>
      <w:tr w14:paraId="1DCF67A2">
        <w:tblPrEx>
          <w:tblCellMar>
            <w:top w:w="0" w:type="dxa"/>
            <w:left w:w="108" w:type="dxa"/>
            <w:bottom w:w="0" w:type="dxa"/>
            <w:right w:w="108" w:type="dxa"/>
          </w:tblCellMar>
        </w:tblPrEx>
        <w:trPr>
          <w:trHeight w:val="2902" w:hRule="atLeast"/>
        </w:trPr>
        <w:tc>
          <w:tcPr>
            <w:tcW w:w="5103" w:type="dxa"/>
            <w:tcBorders>
              <w:top w:val="single" w:color="auto" w:sz="4" w:space="0"/>
              <w:left w:val="nil"/>
              <w:bottom w:val="single" w:color="auto" w:sz="4" w:space="0"/>
              <w:right w:val="nil"/>
            </w:tcBorders>
            <w:vAlign w:val="center"/>
          </w:tcPr>
          <w:p w14:paraId="42394D86">
            <w:pPr>
              <w:overflowPunct w:val="0"/>
              <w:spacing w:before="48" w:beforeLines="20" w:after="48" w:afterLines="20"/>
              <w:jc w:val="center"/>
              <w:textAlignment w:val="center"/>
              <w:rPr>
                <w:rFonts w:hint="default" w:ascii="Calibri" w:hAnsi="Calibri" w:eastAsia="楷体_GB2312" w:cs="Calibri"/>
                <w:b/>
                <w:color w:val="000000"/>
                <w:sz w:val="15"/>
                <w:szCs w:val="15"/>
              </w:rPr>
            </w:pPr>
            <w:r>
              <w:rPr>
                <w:rFonts w:hint="default" w:ascii="Calibri" w:hAnsi="Calibri" w:eastAsia="楷体_GB2312" w:cs="Calibri"/>
                <w:b/>
                <w:color w:val="000000"/>
                <w:sz w:val="15"/>
                <w:szCs w:val="15"/>
              </w:rPr>
              <w:drawing>
                <wp:inline distT="0" distB="0" distL="0" distR="0">
                  <wp:extent cx="3103245" cy="2278380"/>
                  <wp:effectExtent l="0" t="0" r="1905" b="7620"/>
                  <wp:docPr id="20061806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80620" name="图片 1"/>
                          <pic:cNvPicPr>
                            <a:picLocks noChangeAspect="1"/>
                          </pic:cNvPicPr>
                        </pic:nvPicPr>
                        <pic:blipFill>
                          <a:blip r:embed="rId43"/>
                          <a:stretch>
                            <a:fillRect/>
                          </a:stretch>
                        </pic:blipFill>
                        <pic:spPr>
                          <a:xfrm>
                            <a:off x="0" y="0"/>
                            <a:ext cx="3103245" cy="2278380"/>
                          </a:xfrm>
                          <a:prstGeom prst="rect">
                            <a:avLst/>
                          </a:prstGeom>
                        </pic:spPr>
                      </pic:pic>
                    </a:graphicData>
                  </a:graphic>
                </wp:inline>
              </w:drawing>
            </w:r>
          </w:p>
        </w:tc>
        <w:tc>
          <w:tcPr>
            <w:tcW w:w="238" w:type="dxa"/>
            <w:tcBorders>
              <w:top w:val="nil"/>
              <w:left w:val="nil"/>
              <w:bottom w:val="nil"/>
              <w:right w:val="nil"/>
            </w:tcBorders>
          </w:tcPr>
          <w:p w14:paraId="2B5FF8AE">
            <w:pPr>
              <w:overflowPunct w:val="0"/>
              <w:spacing w:before="48" w:beforeLines="20" w:after="48" w:afterLines="20"/>
              <w:rPr>
                <w:rFonts w:hint="default" w:ascii="Calibri" w:hAnsi="Calibri" w:eastAsia="楷体_GB2312" w:cs="Calibri"/>
                <w:sz w:val="15"/>
                <w:szCs w:val="15"/>
              </w:rPr>
            </w:pPr>
          </w:p>
        </w:tc>
        <w:tc>
          <w:tcPr>
            <w:tcW w:w="5149" w:type="dxa"/>
            <w:tcBorders>
              <w:top w:val="single" w:color="auto" w:sz="4" w:space="0"/>
              <w:left w:val="nil"/>
              <w:bottom w:val="single" w:color="auto" w:sz="4" w:space="0"/>
              <w:right w:val="nil"/>
            </w:tcBorders>
          </w:tcPr>
          <w:p w14:paraId="1BD3ED60">
            <w:pPr>
              <w:overflowPunct w:val="0"/>
              <w:spacing w:before="48" w:beforeLines="20" w:after="48" w:afterLines="20"/>
              <w:rPr>
                <w:rFonts w:hint="default" w:ascii="Calibri" w:hAnsi="Calibri" w:eastAsia="楷体_GB2312" w:cs="Calibri"/>
                <w:b/>
                <w:sz w:val="15"/>
                <w:szCs w:val="15"/>
              </w:rPr>
            </w:pPr>
          </w:p>
          <w:p w14:paraId="2C463E43">
            <w:pPr>
              <w:overflowPunct w:val="0"/>
              <w:spacing w:before="48" w:beforeLines="20" w:after="48" w:afterLines="20"/>
              <w:jc w:val="center"/>
              <w:rPr>
                <w:rFonts w:hint="default" w:ascii="Calibri" w:hAnsi="Calibri" w:eastAsia="楷体_GB2312" w:cs="Calibri"/>
                <w:b/>
                <w:sz w:val="15"/>
                <w:szCs w:val="15"/>
                <w:lang w:eastAsia="zh-CN"/>
              </w:rPr>
            </w:pPr>
            <w:r>
              <w:rPr>
                <w:rFonts w:hint="default" w:ascii="Calibri" w:hAnsi="Calibri" w:eastAsia="楷体_GB2312" w:cs="Calibri"/>
              </w:rPr>
              <w:drawing>
                <wp:inline distT="0" distB="0" distL="0" distR="0">
                  <wp:extent cx="3132455" cy="2015490"/>
                  <wp:effectExtent l="0" t="0" r="0" b="3810"/>
                  <wp:docPr id="41417434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174341" name="图片 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3132455" cy="2015490"/>
                          </a:xfrm>
                          <a:prstGeom prst="rect">
                            <a:avLst/>
                          </a:prstGeom>
                          <a:noFill/>
                          <a:ln>
                            <a:noFill/>
                          </a:ln>
                        </pic:spPr>
                      </pic:pic>
                    </a:graphicData>
                  </a:graphic>
                </wp:inline>
              </w:drawing>
            </w:r>
          </w:p>
        </w:tc>
      </w:tr>
      <w:tr w14:paraId="35C5E5B5">
        <w:tblPrEx>
          <w:tblCellMar>
            <w:top w:w="0" w:type="dxa"/>
            <w:left w:w="108" w:type="dxa"/>
            <w:bottom w:w="0" w:type="dxa"/>
            <w:right w:w="108" w:type="dxa"/>
          </w:tblCellMar>
        </w:tblPrEx>
        <w:tc>
          <w:tcPr>
            <w:tcW w:w="5103" w:type="dxa"/>
            <w:tcBorders>
              <w:top w:val="single" w:color="auto" w:sz="4" w:space="0"/>
              <w:left w:val="nil"/>
              <w:bottom w:val="nil"/>
              <w:right w:val="nil"/>
            </w:tcBorders>
            <w:tcMar>
              <w:top w:w="0" w:type="dxa"/>
              <w:left w:w="0" w:type="dxa"/>
              <w:bottom w:w="0" w:type="dxa"/>
              <w:right w:w="28" w:type="dxa"/>
            </w:tcMar>
            <w:vAlign w:val="center"/>
          </w:tcPr>
          <w:p w14:paraId="38C77CC8">
            <w:pPr>
              <w:overflowPunct w:val="0"/>
              <w:spacing w:before="48" w:beforeLines="20" w:after="48" w:afterLines="20"/>
              <w:textAlignment w:val="center"/>
              <w:rPr>
                <w:rFonts w:hint="default" w:ascii="Calibri" w:hAnsi="Calibri" w:eastAsia="楷体_GB2312" w:cs="Calibri"/>
                <w:sz w:val="10"/>
                <w:szCs w:val="10"/>
              </w:rPr>
            </w:pPr>
            <w:r>
              <w:rPr>
                <w:rFonts w:hint="default" w:ascii="Calibri" w:hAnsi="Calibri" w:eastAsia="楷体_GB2312" w:cs="Calibri"/>
                <w:i/>
                <w:iCs/>
                <w:lang w:val="zh-CN"/>
              </w:rPr>
              <w:t>资料来源：</w:t>
            </w:r>
            <w:r>
              <w:rPr>
                <w:rFonts w:hint="default" w:ascii="Calibri" w:hAnsi="Calibri" w:eastAsia="楷体_GB2312" w:cs="Calibri"/>
                <w:i/>
                <w:iCs/>
              </w:rPr>
              <w:t>Wind</w:t>
            </w:r>
            <w:r>
              <w:rPr>
                <w:rFonts w:hint="default" w:ascii="Calibri" w:hAnsi="Calibri" w:eastAsia="楷体_GB2312" w:cs="Calibri"/>
                <w:i/>
                <w:iCs/>
                <w:lang w:val="zh-CN"/>
              </w:rPr>
              <w:t>，HFI</w:t>
            </w:r>
          </w:p>
        </w:tc>
        <w:tc>
          <w:tcPr>
            <w:tcW w:w="238" w:type="dxa"/>
            <w:tcBorders>
              <w:top w:val="nil"/>
              <w:left w:val="nil"/>
              <w:bottom w:val="nil"/>
              <w:right w:val="nil"/>
            </w:tcBorders>
            <w:tcMar>
              <w:top w:w="0" w:type="dxa"/>
              <w:left w:w="0" w:type="dxa"/>
              <w:bottom w:w="0" w:type="dxa"/>
              <w:right w:w="28" w:type="dxa"/>
            </w:tcMar>
          </w:tcPr>
          <w:p w14:paraId="580AD0B5">
            <w:pPr>
              <w:overflowPunct w:val="0"/>
              <w:spacing w:before="48" w:beforeLines="20" w:after="48" w:afterLines="20"/>
              <w:rPr>
                <w:rFonts w:hint="default" w:ascii="Calibri" w:hAnsi="Calibri" w:eastAsia="楷体_GB2312" w:cs="Calibri"/>
                <w:sz w:val="15"/>
                <w:szCs w:val="15"/>
              </w:rPr>
            </w:pPr>
          </w:p>
        </w:tc>
        <w:tc>
          <w:tcPr>
            <w:tcW w:w="5149" w:type="dxa"/>
            <w:tcBorders>
              <w:top w:val="single" w:color="auto" w:sz="4" w:space="0"/>
              <w:left w:val="nil"/>
              <w:bottom w:val="nil"/>
              <w:right w:val="nil"/>
            </w:tcBorders>
            <w:tcMar>
              <w:top w:w="0" w:type="dxa"/>
              <w:left w:w="0" w:type="dxa"/>
              <w:bottom w:w="0" w:type="dxa"/>
              <w:right w:w="28" w:type="dxa"/>
            </w:tcMar>
          </w:tcPr>
          <w:p w14:paraId="31F5979B">
            <w:pPr>
              <w:overflowPunct w:val="0"/>
              <w:spacing w:before="48" w:beforeLines="20" w:after="48" w:afterLines="20"/>
              <w:rPr>
                <w:rFonts w:hint="default" w:ascii="Calibri" w:hAnsi="Calibri" w:eastAsia="楷体_GB2312" w:cs="Calibri"/>
                <w:sz w:val="10"/>
                <w:szCs w:val="10"/>
                <w:lang w:eastAsia="zh-CN"/>
              </w:rPr>
            </w:pPr>
            <w:r>
              <w:rPr>
                <w:rFonts w:hint="default" w:ascii="Calibri" w:hAnsi="Calibri" w:eastAsia="楷体_GB2312" w:cs="Calibri"/>
                <w:i/>
                <w:iCs/>
                <w:lang w:val="zh-CN" w:eastAsia="zh-CN"/>
              </w:rPr>
              <w:t>资料来源：</w:t>
            </w:r>
            <w:r>
              <w:rPr>
                <w:rFonts w:hint="default" w:ascii="Calibri" w:hAnsi="Calibri" w:eastAsia="楷体_GB2312" w:cs="Calibri"/>
                <w:i/>
                <w:iCs/>
                <w:lang w:eastAsia="zh-CN"/>
              </w:rPr>
              <w:t>NDFD</w:t>
            </w:r>
            <w:r>
              <w:rPr>
                <w:rFonts w:hint="default" w:ascii="Calibri" w:hAnsi="Calibri" w:eastAsia="楷体_GB2312" w:cs="Calibri"/>
                <w:i/>
                <w:iCs/>
                <w:lang w:val="zh-CN" w:eastAsia="zh-CN"/>
              </w:rPr>
              <w:t>，HFI</w:t>
            </w:r>
          </w:p>
        </w:tc>
      </w:tr>
    </w:tbl>
    <w:p w14:paraId="040A26C7">
      <w:pPr>
        <w:overflowPunct w:val="0"/>
        <w:rPr>
          <w:rFonts w:hint="default" w:ascii="Calibri" w:hAnsi="Calibri" w:eastAsia="楷体_GB2312" w:cs="Calibri"/>
          <w:b/>
          <w:sz w:val="18"/>
          <w:szCs w:val="18"/>
          <w:lang w:val="zh-CN" w:eastAsia="zh-CN"/>
        </w:rPr>
      </w:pPr>
    </w:p>
    <w:p w14:paraId="147E417D">
      <w:pPr>
        <w:overflowPunct w:val="0"/>
        <w:rPr>
          <w:rFonts w:hint="default" w:ascii="Calibri" w:hAnsi="Calibri" w:eastAsia="楷体_GB2312" w:cs="Calibri"/>
          <w:b/>
          <w:sz w:val="18"/>
          <w:szCs w:val="18"/>
          <w:lang w:val="zh-CN" w:eastAsia="zh-CN"/>
        </w:rPr>
      </w:pPr>
    </w:p>
    <w:p w14:paraId="4AA31DCB">
      <w:pPr>
        <w:overflowPunct w:val="0"/>
        <w:rPr>
          <w:rFonts w:hint="default" w:ascii="Calibri" w:hAnsi="Calibri" w:eastAsia="楷体_GB2312" w:cs="Calibri"/>
          <w:b/>
          <w:sz w:val="18"/>
          <w:szCs w:val="18"/>
          <w:lang w:val="zh-CN" w:eastAsia="zh-CN"/>
        </w:rPr>
      </w:pPr>
    </w:p>
    <w:tbl>
      <w:tblPr>
        <w:tblStyle w:val="26"/>
        <w:tblW w:w="10490" w:type="dxa"/>
        <w:tblInd w:w="384" w:type="dxa"/>
        <w:tblLayout w:type="fixed"/>
        <w:tblCellMar>
          <w:top w:w="0" w:type="dxa"/>
          <w:left w:w="108" w:type="dxa"/>
          <w:bottom w:w="0" w:type="dxa"/>
          <w:right w:w="108" w:type="dxa"/>
        </w:tblCellMar>
      </w:tblPr>
      <w:tblGrid>
        <w:gridCol w:w="5103"/>
        <w:gridCol w:w="238"/>
        <w:gridCol w:w="5149"/>
      </w:tblGrid>
      <w:tr w14:paraId="0F426937">
        <w:tblPrEx>
          <w:tblCellMar>
            <w:top w:w="0" w:type="dxa"/>
            <w:left w:w="108" w:type="dxa"/>
            <w:bottom w:w="0" w:type="dxa"/>
            <w:right w:w="108" w:type="dxa"/>
          </w:tblCellMar>
        </w:tblPrEx>
        <w:trPr>
          <w:trHeight w:val="227" w:hRule="atLeast"/>
        </w:trPr>
        <w:tc>
          <w:tcPr>
            <w:tcW w:w="5103" w:type="dxa"/>
            <w:tcBorders>
              <w:top w:val="nil"/>
              <w:left w:val="nil"/>
              <w:bottom w:val="single" w:color="auto" w:sz="4" w:space="0"/>
              <w:right w:val="nil"/>
            </w:tcBorders>
            <w:tcMar>
              <w:top w:w="0" w:type="dxa"/>
              <w:left w:w="0" w:type="dxa"/>
              <w:bottom w:w="0" w:type="dxa"/>
              <w:right w:w="28" w:type="dxa"/>
            </w:tcMar>
          </w:tcPr>
          <w:p w14:paraId="6EBAD63A">
            <w:pPr>
              <w:overflowPunct w:val="0"/>
              <w:rPr>
                <w:rFonts w:hint="default" w:ascii="Calibri" w:hAnsi="Calibri" w:eastAsia="楷体_GB2312" w:cs="Calibri"/>
                <w:b/>
                <w:sz w:val="18"/>
                <w:szCs w:val="18"/>
                <w:lang w:val="zh-CN" w:eastAsia="zh-CN"/>
              </w:rPr>
            </w:pPr>
            <w:r>
              <w:rPr>
                <w:rFonts w:hint="default" w:ascii="Calibri" w:hAnsi="Calibri" w:eastAsia="楷体_GB2312" w:cs="Calibri"/>
                <w:b/>
                <w:sz w:val="18"/>
                <w:szCs w:val="18"/>
                <w:lang w:val="zh-CN" w:eastAsia="zh-CN"/>
              </w:rPr>
              <w:t>图</w:t>
            </w:r>
            <w:r>
              <w:rPr>
                <w:rFonts w:hint="default" w:ascii="Calibri" w:hAnsi="Calibri" w:eastAsia="楷体_GB2312" w:cs="Calibri"/>
                <w:b/>
                <w:sz w:val="18"/>
                <w:szCs w:val="18"/>
                <w:lang w:val="en-US" w:eastAsia="zh-CN"/>
              </w:rPr>
              <w:t>32</w:t>
            </w:r>
            <w:r>
              <w:rPr>
                <w:rFonts w:hint="default" w:ascii="Calibri" w:hAnsi="Calibri" w:eastAsia="楷体_GB2312" w:cs="Calibri"/>
                <w:b/>
                <w:sz w:val="18"/>
                <w:szCs w:val="18"/>
                <w:lang w:val="zh-CN" w:eastAsia="zh-CN"/>
              </w:rPr>
              <w:t>：美国天然气亨利港期货价格 （美元/百万英热）</w:t>
            </w:r>
          </w:p>
        </w:tc>
        <w:tc>
          <w:tcPr>
            <w:tcW w:w="238" w:type="dxa"/>
            <w:tcBorders>
              <w:top w:val="nil"/>
              <w:left w:val="nil"/>
              <w:bottom w:val="nil"/>
              <w:right w:val="nil"/>
            </w:tcBorders>
            <w:tcMar>
              <w:top w:w="0" w:type="dxa"/>
              <w:left w:w="0" w:type="dxa"/>
              <w:bottom w:w="0" w:type="dxa"/>
              <w:right w:w="28" w:type="dxa"/>
            </w:tcMar>
          </w:tcPr>
          <w:p w14:paraId="10B954FA">
            <w:pPr>
              <w:overflowPunct w:val="0"/>
              <w:rPr>
                <w:rFonts w:hint="default" w:ascii="Calibri" w:hAnsi="Calibri" w:eastAsia="楷体_GB2312" w:cs="Calibri"/>
                <w:b/>
                <w:sz w:val="18"/>
                <w:szCs w:val="18"/>
                <w:lang w:val="zh-CN" w:eastAsia="zh-CN"/>
              </w:rPr>
            </w:pPr>
            <w:r>
              <w:rPr>
                <w:rFonts w:hint="default" w:ascii="Calibri" w:hAnsi="Calibri" w:eastAsia="楷体_GB2312" w:cs="Calibri"/>
                <w:b/>
                <w:sz w:val="18"/>
                <w:szCs w:val="18"/>
                <w:lang w:val="zh-CN" w:eastAsia="zh-CN"/>
              </w:rPr>
              <w:t xml:space="preserve">         </w:t>
            </w:r>
          </w:p>
        </w:tc>
        <w:tc>
          <w:tcPr>
            <w:tcW w:w="5149" w:type="dxa"/>
            <w:tcBorders>
              <w:top w:val="nil"/>
              <w:left w:val="nil"/>
              <w:bottom w:val="single" w:color="auto" w:sz="4" w:space="0"/>
              <w:right w:val="nil"/>
            </w:tcBorders>
            <w:tcMar>
              <w:top w:w="0" w:type="dxa"/>
              <w:left w:w="0" w:type="dxa"/>
              <w:bottom w:w="0" w:type="dxa"/>
              <w:right w:w="28" w:type="dxa"/>
            </w:tcMar>
          </w:tcPr>
          <w:p w14:paraId="30FDAF7F">
            <w:pPr>
              <w:overflowPunct w:val="0"/>
              <w:rPr>
                <w:rFonts w:hint="default" w:ascii="Calibri" w:hAnsi="Calibri" w:eastAsia="楷体_GB2312" w:cs="Calibri"/>
                <w:b/>
                <w:sz w:val="18"/>
                <w:szCs w:val="18"/>
                <w:lang w:val="zh-CN" w:eastAsia="zh-CN"/>
              </w:rPr>
            </w:pPr>
            <w:r>
              <w:rPr>
                <w:rFonts w:hint="default" w:ascii="Calibri" w:hAnsi="Calibri" w:eastAsia="楷体_GB2312" w:cs="Calibri"/>
                <w:b/>
                <w:sz w:val="18"/>
                <w:szCs w:val="18"/>
                <w:lang w:val="zh-CN" w:eastAsia="zh-CN"/>
              </w:rPr>
              <w:t>图</w:t>
            </w:r>
            <w:r>
              <w:rPr>
                <w:rFonts w:hint="default" w:ascii="Calibri" w:hAnsi="Calibri" w:eastAsia="楷体_GB2312" w:cs="Calibri"/>
                <w:b/>
                <w:sz w:val="18"/>
                <w:szCs w:val="18"/>
                <w:lang w:val="en-US" w:eastAsia="zh-CN"/>
              </w:rPr>
              <w:t>33</w:t>
            </w:r>
            <w:r>
              <w:rPr>
                <w:rFonts w:hint="default" w:ascii="Calibri" w:hAnsi="Calibri" w:eastAsia="楷体_GB2312" w:cs="Calibri"/>
                <w:b/>
                <w:sz w:val="18"/>
                <w:szCs w:val="18"/>
                <w:lang w:val="zh-CN" w:eastAsia="zh-CN"/>
              </w:rPr>
              <w:t>：美国天然气期货合约成交量</w:t>
            </w:r>
          </w:p>
        </w:tc>
      </w:tr>
      <w:tr w14:paraId="6471486F">
        <w:tblPrEx>
          <w:tblCellMar>
            <w:top w:w="0" w:type="dxa"/>
            <w:left w:w="108" w:type="dxa"/>
            <w:bottom w:w="0" w:type="dxa"/>
            <w:right w:w="108" w:type="dxa"/>
          </w:tblCellMar>
        </w:tblPrEx>
        <w:trPr>
          <w:trHeight w:val="90" w:hRule="atLeast"/>
        </w:trPr>
        <w:tc>
          <w:tcPr>
            <w:tcW w:w="5103" w:type="dxa"/>
            <w:tcBorders>
              <w:top w:val="single" w:color="auto" w:sz="4" w:space="0"/>
              <w:left w:val="nil"/>
              <w:bottom w:val="single" w:color="auto" w:sz="4" w:space="0"/>
              <w:right w:val="nil"/>
            </w:tcBorders>
            <w:vAlign w:val="center"/>
          </w:tcPr>
          <w:p w14:paraId="01CB20CD">
            <w:pPr>
              <w:overflowPunct w:val="0"/>
              <w:spacing w:before="48" w:beforeLines="20" w:after="48" w:afterLines="20"/>
              <w:jc w:val="center"/>
              <w:textAlignment w:val="center"/>
              <w:rPr>
                <w:rFonts w:hint="default" w:ascii="Calibri" w:hAnsi="Calibri" w:eastAsia="楷体_GB2312" w:cs="Calibri"/>
                <w:b/>
                <w:color w:val="000000"/>
                <w:sz w:val="15"/>
                <w:szCs w:val="15"/>
              </w:rPr>
            </w:pPr>
            <w:r>
              <w:rPr>
                <w:rFonts w:hint="default" w:ascii="Calibri" w:hAnsi="Calibri" w:eastAsia="楷体_GB2312" w:cs="Calibri"/>
                <w:b/>
                <w:color w:val="000000"/>
                <w:sz w:val="15"/>
                <w:szCs w:val="15"/>
              </w:rPr>
              <w:drawing>
                <wp:inline distT="0" distB="0" distL="0" distR="0">
                  <wp:extent cx="3103245" cy="1473200"/>
                  <wp:effectExtent l="0" t="0" r="1905" b="0"/>
                  <wp:docPr id="168566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613" name="图片 1"/>
                          <pic:cNvPicPr>
                            <a:picLocks noChangeAspect="1"/>
                          </pic:cNvPicPr>
                        </pic:nvPicPr>
                        <pic:blipFill>
                          <a:blip r:embed="rId45"/>
                          <a:stretch>
                            <a:fillRect/>
                          </a:stretch>
                        </pic:blipFill>
                        <pic:spPr>
                          <a:xfrm>
                            <a:off x="0" y="0"/>
                            <a:ext cx="3103245" cy="1473200"/>
                          </a:xfrm>
                          <a:prstGeom prst="rect">
                            <a:avLst/>
                          </a:prstGeom>
                        </pic:spPr>
                      </pic:pic>
                    </a:graphicData>
                  </a:graphic>
                </wp:inline>
              </w:drawing>
            </w:r>
          </w:p>
        </w:tc>
        <w:tc>
          <w:tcPr>
            <w:tcW w:w="238" w:type="dxa"/>
            <w:tcBorders>
              <w:top w:val="nil"/>
              <w:left w:val="nil"/>
              <w:bottom w:val="nil"/>
              <w:right w:val="nil"/>
            </w:tcBorders>
          </w:tcPr>
          <w:p w14:paraId="68B60654">
            <w:pPr>
              <w:overflowPunct w:val="0"/>
              <w:spacing w:before="48" w:beforeLines="20" w:after="48" w:afterLines="20"/>
              <w:rPr>
                <w:rFonts w:hint="default" w:ascii="Calibri" w:hAnsi="Calibri" w:eastAsia="楷体_GB2312" w:cs="Calibri"/>
                <w:sz w:val="15"/>
                <w:szCs w:val="15"/>
              </w:rPr>
            </w:pPr>
          </w:p>
        </w:tc>
        <w:tc>
          <w:tcPr>
            <w:tcW w:w="5149" w:type="dxa"/>
            <w:tcBorders>
              <w:top w:val="single" w:color="auto" w:sz="4" w:space="0"/>
              <w:left w:val="nil"/>
              <w:bottom w:val="single" w:color="auto" w:sz="4" w:space="0"/>
              <w:right w:val="nil"/>
            </w:tcBorders>
          </w:tcPr>
          <w:p w14:paraId="2A1DA4A7">
            <w:pPr>
              <w:overflowPunct w:val="0"/>
              <w:spacing w:before="48" w:beforeLines="20" w:after="48" w:afterLines="20"/>
              <w:rPr>
                <w:rFonts w:hint="default" w:ascii="Calibri" w:hAnsi="Calibri" w:eastAsia="楷体_GB2312" w:cs="Calibri"/>
                <w:b/>
                <w:sz w:val="15"/>
                <w:szCs w:val="15"/>
              </w:rPr>
            </w:pPr>
          </w:p>
          <w:p w14:paraId="4E4266DF">
            <w:pPr>
              <w:overflowPunct w:val="0"/>
              <w:spacing w:before="48" w:beforeLines="20" w:after="48" w:afterLines="20"/>
              <w:jc w:val="center"/>
              <w:rPr>
                <w:rFonts w:hint="default" w:ascii="Calibri" w:hAnsi="Calibri" w:eastAsia="楷体_GB2312" w:cs="Calibri"/>
                <w:b/>
                <w:sz w:val="15"/>
                <w:szCs w:val="15"/>
              </w:rPr>
            </w:pPr>
            <w:r>
              <w:rPr>
                <w:rFonts w:hint="default" w:ascii="Calibri" w:hAnsi="Calibri" w:eastAsia="楷体_GB2312" w:cs="Calibri"/>
                <w:b/>
                <w:sz w:val="15"/>
                <w:szCs w:val="15"/>
              </w:rPr>
              <w:drawing>
                <wp:inline distT="0" distB="0" distL="0" distR="0">
                  <wp:extent cx="3132455" cy="1088390"/>
                  <wp:effectExtent l="0" t="0" r="0" b="0"/>
                  <wp:docPr id="2323392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339236" name="图片 1"/>
                          <pic:cNvPicPr>
                            <a:picLocks noChangeAspect="1"/>
                          </pic:cNvPicPr>
                        </pic:nvPicPr>
                        <pic:blipFill>
                          <a:blip r:embed="rId46"/>
                          <a:stretch>
                            <a:fillRect/>
                          </a:stretch>
                        </pic:blipFill>
                        <pic:spPr>
                          <a:xfrm>
                            <a:off x="0" y="0"/>
                            <a:ext cx="3132455" cy="1088390"/>
                          </a:xfrm>
                          <a:prstGeom prst="rect">
                            <a:avLst/>
                          </a:prstGeom>
                        </pic:spPr>
                      </pic:pic>
                    </a:graphicData>
                  </a:graphic>
                </wp:inline>
              </w:drawing>
            </w:r>
          </w:p>
        </w:tc>
      </w:tr>
      <w:tr w14:paraId="5819B862">
        <w:tblPrEx>
          <w:tblCellMar>
            <w:top w:w="0" w:type="dxa"/>
            <w:left w:w="108" w:type="dxa"/>
            <w:bottom w:w="0" w:type="dxa"/>
            <w:right w:w="108" w:type="dxa"/>
          </w:tblCellMar>
        </w:tblPrEx>
        <w:tc>
          <w:tcPr>
            <w:tcW w:w="5103" w:type="dxa"/>
            <w:tcBorders>
              <w:top w:val="single" w:color="auto" w:sz="4" w:space="0"/>
              <w:left w:val="nil"/>
              <w:bottom w:val="nil"/>
              <w:right w:val="nil"/>
            </w:tcBorders>
            <w:tcMar>
              <w:top w:w="0" w:type="dxa"/>
              <w:left w:w="0" w:type="dxa"/>
              <w:bottom w:w="0" w:type="dxa"/>
              <w:right w:w="28" w:type="dxa"/>
            </w:tcMar>
            <w:vAlign w:val="center"/>
          </w:tcPr>
          <w:p w14:paraId="68F4B8D7">
            <w:pPr>
              <w:overflowPunct w:val="0"/>
              <w:spacing w:before="48" w:beforeLines="20" w:after="48" w:afterLines="20"/>
              <w:textAlignment w:val="center"/>
              <w:rPr>
                <w:rFonts w:hint="default" w:ascii="Calibri" w:hAnsi="Calibri" w:eastAsia="楷体_GB2312" w:cs="Calibri"/>
                <w:sz w:val="10"/>
                <w:szCs w:val="10"/>
              </w:rPr>
            </w:pPr>
            <w:r>
              <w:rPr>
                <w:rFonts w:hint="default" w:ascii="Calibri" w:hAnsi="Calibri" w:eastAsia="楷体_GB2312" w:cs="Calibri"/>
                <w:i/>
                <w:iCs/>
                <w:lang w:val="zh-CN"/>
              </w:rPr>
              <w:t>资料来源：</w:t>
            </w:r>
            <w:r>
              <w:rPr>
                <w:rFonts w:hint="default" w:ascii="Calibri" w:hAnsi="Calibri" w:eastAsia="楷体_GB2312" w:cs="Calibri"/>
                <w:i/>
                <w:iCs/>
              </w:rPr>
              <w:t>Wind</w:t>
            </w:r>
            <w:r>
              <w:rPr>
                <w:rFonts w:hint="default" w:ascii="Calibri" w:hAnsi="Calibri" w:eastAsia="楷体_GB2312" w:cs="Calibri"/>
                <w:i/>
                <w:iCs/>
                <w:lang w:val="zh-CN"/>
              </w:rPr>
              <w:t>，HFI</w:t>
            </w:r>
          </w:p>
        </w:tc>
        <w:tc>
          <w:tcPr>
            <w:tcW w:w="238" w:type="dxa"/>
            <w:tcBorders>
              <w:top w:val="nil"/>
              <w:left w:val="nil"/>
              <w:bottom w:val="nil"/>
              <w:right w:val="nil"/>
            </w:tcBorders>
            <w:tcMar>
              <w:top w:w="0" w:type="dxa"/>
              <w:left w:w="0" w:type="dxa"/>
              <w:bottom w:w="0" w:type="dxa"/>
              <w:right w:w="28" w:type="dxa"/>
            </w:tcMar>
          </w:tcPr>
          <w:p w14:paraId="0F640D3D">
            <w:pPr>
              <w:overflowPunct w:val="0"/>
              <w:spacing w:before="48" w:beforeLines="20" w:after="48" w:afterLines="20"/>
              <w:rPr>
                <w:rFonts w:hint="default" w:ascii="Calibri" w:hAnsi="Calibri" w:eastAsia="楷体_GB2312" w:cs="Calibri"/>
                <w:sz w:val="15"/>
                <w:szCs w:val="15"/>
              </w:rPr>
            </w:pPr>
          </w:p>
        </w:tc>
        <w:tc>
          <w:tcPr>
            <w:tcW w:w="5149" w:type="dxa"/>
            <w:tcBorders>
              <w:top w:val="single" w:color="auto" w:sz="4" w:space="0"/>
              <w:left w:val="nil"/>
              <w:bottom w:val="nil"/>
              <w:right w:val="nil"/>
            </w:tcBorders>
            <w:tcMar>
              <w:top w:w="0" w:type="dxa"/>
              <w:left w:w="0" w:type="dxa"/>
              <w:bottom w:w="0" w:type="dxa"/>
              <w:right w:w="28" w:type="dxa"/>
            </w:tcMar>
          </w:tcPr>
          <w:p w14:paraId="0C5C9DAD">
            <w:pPr>
              <w:overflowPunct w:val="0"/>
              <w:spacing w:before="48" w:beforeLines="20" w:after="48" w:afterLines="20"/>
              <w:rPr>
                <w:rFonts w:hint="default" w:ascii="Calibri" w:hAnsi="Calibri" w:eastAsia="楷体_GB2312" w:cs="Calibri"/>
                <w:sz w:val="10"/>
                <w:szCs w:val="10"/>
              </w:rPr>
            </w:pPr>
            <w:r>
              <w:rPr>
                <w:rFonts w:hint="default" w:ascii="Calibri" w:hAnsi="Calibri" w:eastAsia="楷体_GB2312" w:cs="Calibri"/>
                <w:i/>
                <w:iCs/>
                <w:lang w:val="zh-CN"/>
              </w:rPr>
              <w:t>资料来源：</w:t>
            </w:r>
            <w:r>
              <w:rPr>
                <w:rFonts w:hint="default" w:ascii="Calibri" w:hAnsi="Calibri" w:eastAsia="楷体_GB2312" w:cs="Calibri"/>
                <w:i/>
                <w:iCs/>
              </w:rPr>
              <w:t>Wind</w:t>
            </w:r>
            <w:r>
              <w:rPr>
                <w:rFonts w:hint="default" w:ascii="Calibri" w:hAnsi="Calibri" w:eastAsia="楷体_GB2312" w:cs="Calibri"/>
                <w:i/>
                <w:iCs/>
                <w:lang w:val="zh-CN"/>
              </w:rPr>
              <w:t>，HFI</w:t>
            </w:r>
          </w:p>
        </w:tc>
      </w:tr>
    </w:tbl>
    <w:p w14:paraId="6DC36CD4">
      <w:pPr>
        <w:overflowPunct w:val="0"/>
        <w:ind w:left="3200" w:leftChars="2000"/>
        <w:jc w:val="both"/>
        <w:rPr>
          <w:rFonts w:hint="default" w:ascii="Calibri" w:hAnsi="Calibri" w:eastAsia="楷体_GB2312" w:cs="Calibri"/>
          <w:sz w:val="20"/>
          <w:szCs w:val="20"/>
          <w:lang w:val="en-US" w:eastAsia="zh-CN"/>
        </w:rPr>
      </w:pPr>
    </w:p>
    <w:p w14:paraId="7D32EA10">
      <w:pPr>
        <w:overflowPunct w:val="0"/>
        <w:ind w:left="3200" w:leftChars="2000"/>
        <w:jc w:val="both"/>
        <w:rPr>
          <w:rFonts w:hint="default" w:ascii="Calibri" w:hAnsi="Calibri" w:eastAsia="楷体_GB2312" w:cs="Calibri"/>
          <w:sz w:val="20"/>
          <w:szCs w:val="20"/>
          <w:lang w:val="en-US" w:eastAsia="zh-CN"/>
        </w:rPr>
      </w:pPr>
    </w:p>
    <w:p w14:paraId="254A5B21">
      <w:pPr>
        <w:overflowPunct w:val="0"/>
        <w:ind w:left="3200" w:leftChars="2000"/>
        <w:jc w:val="both"/>
        <w:rPr>
          <w:rFonts w:hint="default" w:ascii="Calibri" w:hAnsi="Calibri" w:eastAsia="楷体_GB2312" w:cs="Calibri"/>
          <w:sz w:val="20"/>
          <w:szCs w:val="20"/>
          <w:lang w:val="en-US" w:eastAsia="zh-CN"/>
        </w:rPr>
      </w:pPr>
    </w:p>
    <w:p w14:paraId="3096C972">
      <w:pPr>
        <w:overflowPunct w:val="0"/>
        <w:ind w:left="3200" w:leftChars="2000"/>
        <w:jc w:val="both"/>
        <w:rPr>
          <w:rFonts w:hint="default" w:ascii="Calibri" w:hAnsi="Calibri" w:eastAsia="楷体_GB2312" w:cs="Calibri"/>
          <w:sz w:val="20"/>
          <w:szCs w:val="20"/>
          <w:lang w:val="en-US" w:eastAsia="zh-CN"/>
        </w:rPr>
      </w:pPr>
    </w:p>
    <w:p w14:paraId="23BAE6B1">
      <w:pPr>
        <w:overflowPunct w:val="0"/>
        <w:ind w:left="3200" w:leftChars="2000"/>
        <w:jc w:val="both"/>
        <w:rPr>
          <w:rFonts w:hint="default" w:ascii="Calibri" w:hAnsi="Calibri" w:eastAsia="楷体_GB2312" w:cs="Calibri"/>
          <w:sz w:val="20"/>
          <w:szCs w:val="20"/>
          <w:lang w:val="en-US" w:eastAsia="zh-CN"/>
        </w:rPr>
      </w:pPr>
    </w:p>
    <w:tbl>
      <w:tblPr>
        <w:tblStyle w:val="27"/>
        <w:tblW w:w="7555" w:type="dxa"/>
        <w:tblInd w:w="2935"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7555"/>
      </w:tblGrid>
      <w:tr w14:paraId="73A872B2">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7555" w:type="dxa"/>
            <w:tcBorders>
              <w:bottom w:val="single" w:color="auto" w:sz="4" w:space="0"/>
            </w:tcBorders>
          </w:tcPr>
          <w:p w14:paraId="5430EAB1">
            <w:pPr>
              <w:overflowPunct w:val="0"/>
              <w:rPr>
                <w:rFonts w:hint="default" w:ascii="Calibri" w:hAnsi="Calibri" w:eastAsia="楷体_GB2312" w:cs="Calibri"/>
                <w:b/>
                <w:szCs w:val="20"/>
                <w:lang w:eastAsia="zh-CN"/>
              </w:rPr>
            </w:pPr>
            <w:r>
              <w:rPr>
                <w:rFonts w:hint="default" w:ascii="Calibri" w:hAnsi="Calibri" w:eastAsia="楷体_GB2312" w:cs="Calibri"/>
                <w:b/>
                <w:sz w:val="18"/>
                <w:szCs w:val="18"/>
                <w:lang w:val="zh-CN" w:eastAsia="zh-CN"/>
              </w:rPr>
              <w:t>图</w:t>
            </w:r>
            <w:r>
              <w:rPr>
                <w:rFonts w:hint="default" w:ascii="Calibri" w:hAnsi="Calibri" w:eastAsia="楷体_GB2312" w:cs="Calibri"/>
                <w:b/>
                <w:sz w:val="18"/>
                <w:szCs w:val="18"/>
                <w:lang w:val="en-US" w:eastAsia="zh-CN"/>
              </w:rPr>
              <w:t>34</w:t>
            </w:r>
            <w:r>
              <w:rPr>
                <w:rFonts w:hint="default" w:ascii="Calibri" w:hAnsi="Calibri" w:eastAsia="楷体_GB2312" w:cs="Calibri"/>
                <w:b/>
                <w:sz w:val="18"/>
                <w:szCs w:val="18"/>
                <w:lang w:val="zh-CN" w:eastAsia="zh-CN"/>
              </w:rPr>
              <w:t>：全球市场天然气期货价格</w:t>
            </w:r>
          </w:p>
        </w:tc>
      </w:tr>
      <w:tr w14:paraId="1523990E">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2526" w:hRule="atLeast"/>
        </w:trPr>
        <w:tc>
          <w:tcPr>
            <w:tcW w:w="7555" w:type="dxa"/>
            <w:tcBorders>
              <w:top w:val="single" w:color="auto" w:sz="4" w:space="0"/>
              <w:bottom w:val="single" w:color="auto" w:sz="4" w:space="0"/>
            </w:tcBorders>
            <w:vAlign w:val="center"/>
          </w:tcPr>
          <w:p w14:paraId="2045142C">
            <w:pPr>
              <w:overflowPunct w:val="0"/>
              <w:jc w:val="center"/>
              <w:rPr>
                <w:rFonts w:hint="default" w:ascii="Calibri" w:hAnsi="Calibri" w:eastAsia="楷体_GB2312" w:cs="Calibri"/>
                <w:sz w:val="10"/>
                <w:lang w:eastAsia="zh-CN"/>
              </w:rPr>
            </w:pPr>
            <w:r>
              <w:rPr>
                <w:rFonts w:hint="default" w:ascii="Calibri" w:hAnsi="Calibri" w:eastAsia="楷体_GB2312" w:cs="Calibri"/>
                <w:sz w:val="10"/>
                <w:lang w:eastAsia="zh-CN"/>
              </w:rPr>
              <w:drawing>
                <wp:inline distT="0" distB="0" distL="0" distR="0">
                  <wp:extent cx="4629150" cy="1496695"/>
                  <wp:effectExtent l="0" t="0" r="0" b="0"/>
                  <wp:docPr id="158432915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329150" name="图片 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4651391" cy="1504280"/>
                          </a:xfrm>
                          <a:prstGeom prst="rect">
                            <a:avLst/>
                          </a:prstGeom>
                          <a:noFill/>
                          <a:ln>
                            <a:noFill/>
                          </a:ln>
                        </pic:spPr>
                      </pic:pic>
                    </a:graphicData>
                  </a:graphic>
                </wp:inline>
              </w:drawing>
            </w:r>
          </w:p>
        </w:tc>
      </w:tr>
      <w:tr w14:paraId="29E94087">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7555" w:type="dxa"/>
            <w:tcBorders>
              <w:top w:val="single" w:color="auto" w:sz="4" w:space="0"/>
            </w:tcBorders>
          </w:tcPr>
          <w:p w14:paraId="11B362FD">
            <w:pPr>
              <w:overflowPunct w:val="0"/>
              <w:rPr>
                <w:rFonts w:hint="default" w:ascii="Calibri" w:hAnsi="Calibri" w:eastAsia="楷体_GB2312" w:cs="Calibri"/>
                <w:i/>
                <w:iCs/>
                <w:sz w:val="15"/>
                <w:szCs w:val="15"/>
                <w:lang w:eastAsia="zh-CN"/>
              </w:rPr>
            </w:pPr>
            <w:r>
              <w:rPr>
                <w:rFonts w:hint="default" w:ascii="Calibri" w:hAnsi="Calibri" w:eastAsia="楷体_GB2312" w:cs="Calibri"/>
                <w:i/>
                <w:iCs/>
                <w:sz w:val="15"/>
                <w:szCs w:val="15"/>
              </w:rPr>
              <w:t>资料来源：</w:t>
            </w:r>
            <w:r>
              <w:rPr>
                <w:rFonts w:hint="default" w:ascii="Calibri" w:hAnsi="Calibri" w:eastAsia="楷体_GB2312" w:cs="Calibri"/>
                <w:i/>
                <w:iCs/>
              </w:rPr>
              <w:t>Wind</w:t>
            </w:r>
            <w:r>
              <w:rPr>
                <w:rFonts w:hint="default" w:ascii="Calibri" w:hAnsi="Calibri" w:eastAsia="楷体_GB2312" w:cs="Calibri"/>
                <w:i/>
                <w:iCs/>
                <w:sz w:val="15"/>
                <w:szCs w:val="15"/>
              </w:rPr>
              <w:t>，</w:t>
            </w:r>
            <w:r>
              <w:rPr>
                <w:rFonts w:hint="default" w:ascii="Calibri" w:hAnsi="Calibri" w:eastAsia="楷体_GB2312" w:cs="Calibri"/>
                <w:i/>
                <w:iCs/>
                <w:sz w:val="15"/>
                <w:szCs w:val="15"/>
                <w:lang w:eastAsia="zh-CN"/>
              </w:rPr>
              <w:t>HFI</w:t>
            </w:r>
          </w:p>
        </w:tc>
      </w:tr>
    </w:tbl>
    <w:p w14:paraId="745D52DB">
      <w:pPr>
        <w:overflowPunct w:val="0"/>
        <w:ind w:left="3200" w:leftChars="2000"/>
        <w:jc w:val="both"/>
        <w:rPr>
          <w:rFonts w:hint="default" w:ascii="Calibri" w:hAnsi="Calibri" w:eastAsia="楷体_GB2312" w:cs="Calibri"/>
          <w:sz w:val="20"/>
          <w:szCs w:val="20"/>
          <w:lang w:val="en-US" w:eastAsia="zh-CN"/>
        </w:rPr>
      </w:pPr>
    </w:p>
    <w:p w14:paraId="3B409744">
      <w:pPr>
        <w:overflowPunct w:val="0"/>
        <w:jc w:val="both"/>
        <w:rPr>
          <w:rFonts w:hint="default" w:ascii="Calibri" w:hAnsi="Calibri" w:eastAsia="楷体_GB2312" w:cs="Calibri"/>
          <w:sz w:val="20"/>
          <w:szCs w:val="20"/>
          <w:lang w:val="en-US" w:eastAsia="zh-CN"/>
        </w:rPr>
      </w:pPr>
    </w:p>
    <w:p w14:paraId="37F7E159">
      <w:pPr>
        <w:overflowPunct w:val="0"/>
        <w:ind w:left="3200" w:leftChars="2000"/>
        <w:jc w:val="both"/>
        <w:rPr>
          <w:rFonts w:hint="default" w:ascii="Calibri" w:hAnsi="Calibri" w:eastAsia="楷体_GB2312" w:cs="Calibri"/>
          <w:sz w:val="20"/>
          <w:szCs w:val="20"/>
          <w:lang w:val="en-US" w:eastAsia="zh-CN"/>
        </w:rPr>
      </w:pPr>
    </w:p>
    <w:p w14:paraId="3B8CDE69">
      <w:pPr>
        <w:overflowPunct w:val="0"/>
        <w:ind w:left="3200" w:leftChars="2000"/>
        <w:jc w:val="both"/>
        <w:outlineLvl w:val="0"/>
        <w:rPr>
          <w:rFonts w:hint="default" w:ascii="Calibri" w:hAnsi="Calibri" w:eastAsia="楷体_GB2312" w:cs="Calibri"/>
          <w:b/>
          <w:bCs/>
          <w:color w:val="1F497D" w:themeColor="text2"/>
          <w:sz w:val="24"/>
          <w:szCs w:val="24"/>
          <w:lang w:val="en-US" w:eastAsia="zh-CN"/>
          <w14:textFill>
            <w14:solidFill>
              <w14:schemeClr w14:val="tx2"/>
            </w14:solidFill>
          </w14:textFill>
        </w:rPr>
      </w:pPr>
      <w:bookmarkStart w:id="24" w:name="_Toc223082607"/>
      <w:r>
        <w:rPr>
          <w:rFonts w:hint="default" w:ascii="Calibri" w:hAnsi="Calibri" w:eastAsia="楷体_GB2312" w:cs="Calibri"/>
          <w:b/>
          <w:bCs/>
          <w:color w:val="1F497D" w:themeColor="text2"/>
          <w:sz w:val="24"/>
          <w:szCs w:val="24"/>
          <w:lang w:val="en-US" w:eastAsia="zh-CN"/>
          <w14:textFill>
            <w14:solidFill>
              <w14:schemeClr w14:val="tx2"/>
            </w14:solidFill>
          </w14:textFill>
        </w:rPr>
        <w:t>五、 全球新材料</w:t>
      </w:r>
      <w:bookmarkEnd w:id="24"/>
    </w:p>
    <w:p w14:paraId="263D3C23">
      <w:pPr>
        <w:overflowPunct w:val="0"/>
        <w:ind w:left="3200" w:leftChars="2000"/>
        <w:jc w:val="both"/>
        <w:outlineLvl w:val="1"/>
        <w:rPr>
          <w:rFonts w:hint="default" w:ascii="Calibri" w:hAnsi="Calibri" w:eastAsia="楷体_GB2312" w:cs="Calibri"/>
          <w:b/>
          <w:bCs/>
          <w:color w:val="1F497D" w:themeColor="text2"/>
          <w:sz w:val="24"/>
          <w:szCs w:val="24"/>
          <w:lang w:val="en-US" w:eastAsia="zh-CN"/>
          <w14:textFill>
            <w14:solidFill>
              <w14:schemeClr w14:val="tx2"/>
            </w14:solidFill>
          </w14:textFill>
        </w:rPr>
      </w:pPr>
      <w:bookmarkStart w:id="25" w:name="_Toc223082608"/>
      <w:bookmarkStart w:id="26" w:name="_Toc80654777"/>
      <w:r>
        <w:rPr>
          <w:rFonts w:hint="default" w:ascii="Calibri" w:hAnsi="Calibri" w:eastAsia="楷体_GB2312" w:cs="Calibri"/>
          <w:b/>
          <w:bCs/>
          <w:color w:val="1F497D" w:themeColor="text2"/>
          <w:sz w:val="24"/>
          <w:szCs w:val="24"/>
          <w:lang w:val="en-US" w:eastAsia="zh-CN"/>
          <w14:textFill>
            <w14:solidFill>
              <w14:schemeClr w14:val="tx2"/>
            </w14:solidFill>
          </w14:textFill>
        </w:rPr>
        <w:t>（一）天然铀</w:t>
      </w:r>
      <w:bookmarkEnd w:id="25"/>
      <w:bookmarkEnd w:id="26"/>
    </w:p>
    <w:p w14:paraId="1638C3F7">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12月全球铀实际市场价格稳中微增。根据国际货币基金组织统计，2025年12月全球铀实际市场价格为63.51美元/磅，环比+2.0%，同比+5.5%。根据Global Electricity预测，全球铀需求预计在2026年增长27%，主要受能源安全需求和核能扩张驱动，全球范围内新反应堆建设规划加速，以及现有反应堆延寿带来的需求增加都将成为推动铀价的积极因素。</w:t>
      </w:r>
    </w:p>
    <w:p w14:paraId="1AC28584">
      <w:pPr>
        <w:overflowPunct w:val="0"/>
        <w:ind w:left="3200" w:leftChars="2000"/>
        <w:jc w:val="both"/>
        <w:rPr>
          <w:rFonts w:hint="default" w:ascii="Calibri" w:hAnsi="Calibri" w:eastAsia="楷体_GB2312" w:cs="Calibri"/>
          <w:sz w:val="20"/>
          <w:szCs w:val="20"/>
          <w:lang w:val="en-US" w:eastAsia="zh-CN"/>
        </w:rPr>
      </w:pPr>
    </w:p>
    <w:p w14:paraId="3388E7EE">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全球约90%的反应堆铀需求和地缘政治因素交织，供应链安全的复杂性凸显，而产业链自主可控将是美国核电全产业链中长期发展的核心主题。根据世界核能协会WNA统计，目前全球有20余个国家从事铀矿开采，CR5超过90%，其中哈萨克斯坦铀产量占全球供应的39%，占比第一。俄罗斯拥有全球约5%的铀产量和约44%的核浓缩能力，美国三分之一的浓缩铀来自俄罗斯，复杂的地缘政治因素或将推动美国政府加速发展核电产业链自主可控。</w:t>
      </w:r>
    </w:p>
    <w:p w14:paraId="26365A2C">
      <w:pPr>
        <w:overflowPunct w:val="0"/>
        <w:jc w:val="both"/>
        <w:rPr>
          <w:rFonts w:hint="default" w:ascii="Calibri" w:hAnsi="Calibri" w:eastAsia="楷体_GB2312" w:cs="Calibri"/>
          <w:b/>
          <w:bCs/>
          <w:color w:val="1F497D" w:themeColor="text2"/>
          <w:sz w:val="24"/>
          <w:szCs w:val="24"/>
          <w:lang w:val="en-US" w:eastAsia="zh-CN"/>
          <w14:textFill>
            <w14:solidFill>
              <w14:schemeClr w14:val="tx2"/>
            </w14:solidFill>
          </w14:textFill>
        </w:rPr>
      </w:pPr>
    </w:p>
    <w:tbl>
      <w:tblPr>
        <w:tblStyle w:val="26"/>
        <w:tblW w:w="10490" w:type="dxa"/>
        <w:tblInd w:w="0" w:type="dxa"/>
        <w:tblLayout w:type="fixed"/>
        <w:tblCellMar>
          <w:top w:w="0" w:type="dxa"/>
          <w:left w:w="108" w:type="dxa"/>
          <w:bottom w:w="0" w:type="dxa"/>
          <w:right w:w="108" w:type="dxa"/>
        </w:tblCellMar>
      </w:tblPr>
      <w:tblGrid>
        <w:gridCol w:w="5103"/>
        <w:gridCol w:w="238"/>
        <w:gridCol w:w="5149"/>
      </w:tblGrid>
      <w:tr w14:paraId="347FE981">
        <w:tblPrEx>
          <w:tblCellMar>
            <w:top w:w="0" w:type="dxa"/>
            <w:left w:w="108" w:type="dxa"/>
            <w:bottom w:w="0" w:type="dxa"/>
            <w:right w:w="108" w:type="dxa"/>
          </w:tblCellMar>
        </w:tblPrEx>
        <w:trPr>
          <w:trHeight w:val="227" w:hRule="atLeast"/>
        </w:trPr>
        <w:tc>
          <w:tcPr>
            <w:tcW w:w="5103" w:type="dxa"/>
            <w:tcBorders>
              <w:top w:val="nil"/>
              <w:left w:val="nil"/>
              <w:bottom w:val="single" w:color="auto" w:sz="4" w:space="0"/>
              <w:right w:val="nil"/>
            </w:tcBorders>
            <w:tcMar>
              <w:top w:w="0" w:type="dxa"/>
              <w:left w:w="0" w:type="dxa"/>
              <w:bottom w:w="0" w:type="dxa"/>
              <w:right w:w="28" w:type="dxa"/>
            </w:tcMar>
          </w:tcPr>
          <w:p w14:paraId="0E2E131E">
            <w:pPr>
              <w:overflowPunct w:val="0"/>
              <w:rPr>
                <w:rFonts w:hint="default" w:ascii="Calibri" w:hAnsi="Calibri" w:eastAsia="楷体_GB2312" w:cs="Calibri"/>
                <w:b/>
                <w:sz w:val="18"/>
                <w:szCs w:val="18"/>
                <w:lang w:val="zh-CN" w:eastAsia="zh-CN"/>
              </w:rPr>
            </w:pPr>
            <w:r>
              <w:rPr>
                <w:rFonts w:hint="default" w:ascii="Calibri" w:hAnsi="Calibri" w:eastAsia="楷体_GB2312" w:cs="Calibri"/>
                <w:b/>
                <w:sz w:val="18"/>
                <w:szCs w:val="18"/>
                <w:lang w:val="zh-CN" w:eastAsia="zh-CN"/>
              </w:rPr>
              <w:t>图</w:t>
            </w:r>
            <w:r>
              <w:rPr>
                <w:rFonts w:hint="default" w:ascii="Calibri" w:hAnsi="Calibri" w:eastAsia="楷体_GB2312" w:cs="Calibri"/>
                <w:b/>
                <w:sz w:val="18"/>
                <w:szCs w:val="18"/>
                <w:lang w:val="en-US" w:eastAsia="zh-CN"/>
              </w:rPr>
              <w:t>3</w:t>
            </w:r>
            <w:r>
              <w:rPr>
                <w:rFonts w:hint="default" w:ascii="Calibri" w:hAnsi="Calibri" w:eastAsia="楷体_GB2312" w:cs="Calibri"/>
                <w:b/>
                <w:sz w:val="18"/>
                <w:szCs w:val="18"/>
                <w:lang w:val="en-US" w:eastAsia="zh-CN"/>
              </w:rPr>
              <w:t>5</w:t>
            </w:r>
            <w:r>
              <w:rPr>
                <w:rFonts w:hint="default" w:ascii="Calibri" w:hAnsi="Calibri" w:eastAsia="楷体_GB2312" w:cs="Calibri"/>
                <w:b/>
                <w:sz w:val="18"/>
                <w:szCs w:val="18"/>
                <w:lang w:val="zh-CN" w:eastAsia="zh-CN"/>
              </w:rPr>
              <w:t>： 全球铀实际市场价格（美元/磅）</w:t>
            </w:r>
          </w:p>
        </w:tc>
        <w:tc>
          <w:tcPr>
            <w:tcW w:w="238" w:type="dxa"/>
            <w:tcBorders>
              <w:top w:val="nil"/>
              <w:left w:val="nil"/>
              <w:bottom w:val="nil"/>
              <w:right w:val="nil"/>
            </w:tcBorders>
            <w:tcMar>
              <w:top w:w="0" w:type="dxa"/>
              <w:left w:w="0" w:type="dxa"/>
              <w:bottom w:w="0" w:type="dxa"/>
              <w:right w:w="28" w:type="dxa"/>
            </w:tcMar>
          </w:tcPr>
          <w:p w14:paraId="18A0242B">
            <w:pPr>
              <w:overflowPunct w:val="0"/>
              <w:rPr>
                <w:rFonts w:hint="default" w:ascii="Calibri" w:hAnsi="Calibri" w:eastAsia="楷体_GB2312" w:cs="Calibri"/>
                <w:b/>
                <w:sz w:val="18"/>
                <w:szCs w:val="18"/>
                <w:lang w:val="zh-CN" w:eastAsia="zh-CN"/>
              </w:rPr>
            </w:pPr>
            <w:r>
              <w:rPr>
                <w:rFonts w:hint="default" w:ascii="Calibri" w:hAnsi="Calibri" w:eastAsia="楷体_GB2312" w:cs="Calibri"/>
                <w:b/>
                <w:sz w:val="18"/>
                <w:szCs w:val="18"/>
                <w:lang w:val="zh-CN" w:eastAsia="zh-CN"/>
              </w:rPr>
              <w:t xml:space="preserve">         </w:t>
            </w:r>
          </w:p>
        </w:tc>
        <w:tc>
          <w:tcPr>
            <w:tcW w:w="5149" w:type="dxa"/>
            <w:tcBorders>
              <w:top w:val="nil"/>
              <w:left w:val="nil"/>
              <w:bottom w:val="single" w:color="auto" w:sz="4" w:space="0"/>
              <w:right w:val="nil"/>
            </w:tcBorders>
            <w:tcMar>
              <w:top w:w="0" w:type="dxa"/>
              <w:left w:w="0" w:type="dxa"/>
              <w:bottom w:w="0" w:type="dxa"/>
              <w:right w:w="28" w:type="dxa"/>
            </w:tcMar>
          </w:tcPr>
          <w:p w14:paraId="529836EC">
            <w:pPr>
              <w:overflowPunct w:val="0"/>
              <w:rPr>
                <w:rFonts w:hint="default" w:ascii="Calibri" w:hAnsi="Calibri" w:eastAsia="楷体_GB2312" w:cs="Calibri"/>
                <w:b/>
                <w:sz w:val="18"/>
                <w:szCs w:val="18"/>
                <w:lang w:val="zh-CN" w:eastAsia="zh-CN"/>
              </w:rPr>
            </w:pPr>
            <w:r>
              <w:rPr>
                <w:rFonts w:hint="default" w:ascii="Calibri" w:hAnsi="Calibri" w:eastAsia="楷体_GB2312" w:cs="Calibri"/>
                <w:b/>
                <w:sz w:val="18"/>
                <w:szCs w:val="18"/>
                <w:lang w:val="zh-CN" w:eastAsia="zh-CN"/>
              </w:rPr>
              <w:t>图</w:t>
            </w:r>
            <w:r>
              <w:rPr>
                <w:rFonts w:hint="default" w:ascii="Calibri" w:hAnsi="Calibri" w:eastAsia="楷体_GB2312" w:cs="Calibri"/>
                <w:b/>
                <w:sz w:val="18"/>
                <w:szCs w:val="18"/>
                <w:lang w:val="en-US" w:eastAsia="zh-CN"/>
              </w:rPr>
              <w:t>3</w:t>
            </w:r>
            <w:r>
              <w:rPr>
                <w:rFonts w:hint="default" w:ascii="Calibri" w:hAnsi="Calibri" w:eastAsia="楷体_GB2312" w:cs="Calibri"/>
                <w:b/>
                <w:sz w:val="18"/>
                <w:szCs w:val="18"/>
                <w:lang w:val="en-US" w:eastAsia="zh-CN"/>
              </w:rPr>
              <w:t>6</w:t>
            </w:r>
            <w:r>
              <w:rPr>
                <w:rFonts w:hint="default" w:ascii="Calibri" w:hAnsi="Calibri" w:eastAsia="楷体_GB2312" w:cs="Calibri"/>
                <w:b/>
                <w:sz w:val="18"/>
                <w:szCs w:val="18"/>
                <w:lang w:val="zh-CN" w:eastAsia="zh-CN"/>
              </w:rPr>
              <w:t>：</w:t>
            </w:r>
            <w:r>
              <w:rPr>
                <w:rFonts w:hint="default" w:ascii="Calibri" w:hAnsi="Calibri" w:eastAsia="楷体_GB2312" w:cs="Calibri"/>
                <w:b/>
                <w:sz w:val="18"/>
                <w:szCs w:val="18"/>
                <w:lang w:val="en-US" w:eastAsia="zh-CN"/>
              </w:rPr>
              <w:t>2024年全球铀产量分布</w:t>
            </w:r>
            <w:r>
              <w:rPr>
                <w:rFonts w:hint="default" w:ascii="Calibri" w:hAnsi="Calibri" w:eastAsia="楷体_GB2312" w:cs="Calibri"/>
                <w:b/>
                <w:sz w:val="18"/>
                <w:szCs w:val="18"/>
                <w:lang w:val="zh-CN" w:eastAsia="zh-CN"/>
              </w:rPr>
              <w:t>（%）</w:t>
            </w:r>
          </w:p>
        </w:tc>
      </w:tr>
      <w:tr w14:paraId="129F98DE">
        <w:tblPrEx>
          <w:tblCellMar>
            <w:top w:w="0" w:type="dxa"/>
            <w:left w:w="108" w:type="dxa"/>
            <w:bottom w:w="0" w:type="dxa"/>
            <w:right w:w="108" w:type="dxa"/>
          </w:tblCellMar>
        </w:tblPrEx>
        <w:trPr>
          <w:trHeight w:val="2219" w:hRule="atLeast"/>
        </w:trPr>
        <w:tc>
          <w:tcPr>
            <w:tcW w:w="5103" w:type="dxa"/>
            <w:tcBorders>
              <w:top w:val="single" w:color="auto" w:sz="4" w:space="0"/>
              <w:left w:val="nil"/>
              <w:bottom w:val="single" w:color="auto" w:sz="4" w:space="0"/>
              <w:right w:val="nil"/>
            </w:tcBorders>
            <w:tcMar>
              <w:top w:w="0" w:type="dxa"/>
              <w:left w:w="0" w:type="dxa"/>
              <w:bottom w:w="0" w:type="dxa"/>
              <w:right w:w="28" w:type="dxa"/>
            </w:tcMar>
            <w:vAlign w:val="center"/>
          </w:tcPr>
          <w:p w14:paraId="2A2DD7AD">
            <w:pPr>
              <w:overflowPunct w:val="0"/>
              <w:spacing w:before="48" w:beforeLines="20" w:after="48" w:afterLines="20"/>
              <w:jc w:val="center"/>
              <w:textAlignment w:val="center"/>
              <w:rPr>
                <w:rFonts w:hint="default" w:ascii="Calibri" w:hAnsi="Calibri" w:eastAsia="楷体_GB2312" w:cs="Calibri"/>
                <w:b/>
                <w:color w:val="000000"/>
                <w:sz w:val="15"/>
                <w:szCs w:val="15"/>
              </w:rPr>
            </w:pPr>
            <w:r>
              <w:rPr>
                <w:rFonts w:hint="default" w:ascii="Calibri" w:hAnsi="Calibri" w:eastAsia="楷体_GB2312" w:cs="Calibri"/>
              </w:rPr>
              <w:drawing>
                <wp:inline distT="0" distB="0" distL="114300" distR="114300">
                  <wp:extent cx="3220085" cy="1819275"/>
                  <wp:effectExtent l="0" t="0" r="8890" b="0"/>
                  <wp:docPr id="25595623" name="图片 25595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95623" name="图片 25595623"/>
                          <pic:cNvPicPr>
                            <a:picLocks noChangeAspect="1"/>
                          </pic:cNvPicPr>
                        </pic:nvPicPr>
                        <pic:blipFill>
                          <a:blip r:embed="rId48"/>
                          <a:stretch>
                            <a:fillRect/>
                          </a:stretch>
                        </pic:blipFill>
                        <pic:spPr>
                          <a:xfrm>
                            <a:off x="0" y="0"/>
                            <a:ext cx="3220085" cy="1819275"/>
                          </a:xfrm>
                          <a:prstGeom prst="rect">
                            <a:avLst/>
                          </a:prstGeom>
                          <a:noFill/>
                          <a:ln>
                            <a:noFill/>
                          </a:ln>
                        </pic:spPr>
                      </pic:pic>
                    </a:graphicData>
                  </a:graphic>
                </wp:inline>
              </w:drawing>
            </w:r>
          </w:p>
        </w:tc>
        <w:tc>
          <w:tcPr>
            <w:tcW w:w="238" w:type="dxa"/>
            <w:tcBorders>
              <w:top w:val="nil"/>
              <w:left w:val="nil"/>
              <w:bottom w:val="nil"/>
              <w:right w:val="nil"/>
            </w:tcBorders>
            <w:tcMar>
              <w:top w:w="0" w:type="dxa"/>
              <w:left w:w="0" w:type="dxa"/>
              <w:bottom w:w="0" w:type="dxa"/>
              <w:right w:w="28" w:type="dxa"/>
            </w:tcMar>
          </w:tcPr>
          <w:p w14:paraId="3BB7CB35">
            <w:pPr>
              <w:overflowPunct w:val="0"/>
              <w:spacing w:before="48" w:beforeLines="20" w:after="48" w:afterLines="20"/>
              <w:rPr>
                <w:rFonts w:hint="default" w:ascii="Calibri" w:hAnsi="Calibri" w:eastAsia="楷体_GB2312" w:cs="Calibri"/>
                <w:sz w:val="15"/>
                <w:szCs w:val="15"/>
              </w:rPr>
            </w:pPr>
          </w:p>
        </w:tc>
        <w:tc>
          <w:tcPr>
            <w:tcW w:w="5149" w:type="dxa"/>
            <w:tcBorders>
              <w:top w:val="single" w:color="auto" w:sz="4" w:space="0"/>
              <w:left w:val="nil"/>
              <w:bottom w:val="single" w:color="auto" w:sz="4" w:space="0"/>
              <w:right w:val="nil"/>
            </w:tcBorders>
            <w:tcMar>
              <w:top w:w="0" w:type="dxa"/>
              <w:left w:w="0" w:type="dxa"/>
              <w:bottom w:w="0" w:type="dxa"/>
              <w:right w:w="28" w:type="dxa"/>
            </w:tcMar>
          </w:tcPr>
          <w:p w14:paraId="14FB9569">
            <w:pPr>
              <w:overflowPunct w:val="0"/>
              <w:spacing w:before="48" w:beforeLines="20" w:after="48" w:afterLines="20"/>
              <w:jc w:val="center"/>
              <w:rPr>
                <w:rFonts w:hint="default" w:ascii="Calibri" w:hAnsi="Calibri" w:eastAsia="楷体_GB2312" w:cs="Calibri"/>
                <w:b/>
                <w:sz w:val="15"/>
                <w:szCs w:val="15"/>
              </w:rPr>
            </w:pPr>
            <w:r>
              <w:rPr>
                <w:rFonts w:hint="default" w:ascii="Calibri" w:hAnsi="Calibri" w:eastAsia="楷体_GB2312" w:cs="Calibri"/>
              </w:rPr>
              <w:drawing>
                <wp:inline distT="0" distB="0" distL="114300" distR="114300">
                  <wp:extent cx="2986405" cy="1941830"/>
                  <wp:effectExtent l="0" t="0" r="4445" b="127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49"/>
                          <a:stretch>
                            <a:fillRect/>
                          </a:stretch>
                        </pic:blipFill>
                        <pic:spPr>
                          <a:xfrm>
                            <a:off x="0" y="0"/>
                            <a:ext cx="2986405" cy="1941830"/>
                          </a:xfrm>
                          <a:prstGeom prst="rect">
                            <a:avLst/>
                          </a:prstGeom>
                          <a:noFill/>
                          <a:ln>
                            <a:noFill/>
                          </a:ln>
                        </pic:spPr>
                      </pic:pic>
                    </a:graphicData>
                  </a:graphic>
                </wp:inline>
              </w:drawing>
            </w:r>
          </w:p>
        </w:tc>
      </w:tr>
      <w:tr w14:paraId="2C45E419">
        <w:tblPrEx>
          <w:tblCellMar>
            <w:top w:w="0" w:type="dxa"/>
            <w:left w:w="108" w:type="dxa"/>
            <w:bottom w:w="0" w:type="dxa"/>
            <w:right w:w="108" w:type="dxa"/>
          </w:tblCellMar>
        </w:tblPrEx>
        <w:tc>
          <w:tcPr>
            <w:tcW w:w="5103" w:type="dxa"/>
            <w:tcBorders>
              <w:top w:val="single" w:color="auto" w:sz="4" w:space="0"/>
              <w:left w:val="nil"/>
              <w:bottom w:val="nil"/>
              <w:right w:val="nil"/>
            </w:tcBorders>
            <w:tcMar>
              <w:top w:w="0" w:type="dxa"/>
              <w:left w:w="0" w:type="dxa"/>
              <w:bottom w:w="0" w:type="dxa"/>
              <w:right w:w="28" w:type="dxa"/>
            </w:tcMar>
            <w:vAlign w:val="center"/>
          </w:tcPr>
          <w:p w14:paraId="0FB82736">
            <w:pPr>
              <w:overflowPunct w:val="0"/>
              <w:spacing w:before="48" w:beforeLines="20" w:after="48" w:afterLines="20"/>
              <w:textAlignment w:val="center"/>
              <w:rPr>
                <w:rFonts w:hint="default" w:ascii="Calibri" w:hAnsi="Calibri" w:eastAsia="楷体_GB2312" w:cs="Calibri"/>
                <w:sz w:val="10"/>
                <w:szCs w:val="10"/>
              </w:rPr>
            </w:pPr>
            <w:r>
              <w:rPr>
                <w:rFonts w:hint="default" w:ascii="Calibri" w:hAnsi="Calibri" w:eastAsia="楷体_GB2312" w:cs="Calibri"/>
                <w:i/>
                <w:iCs/>
                <w:lang w:val="zh-CN"/>
              </w:rPr>
              <w:t>资料来源：</w:t>
            </w:r>
            <w:r>
              <w:rPr>
                <w:rFonts w:hint="default" w:ascii="Calibri" w:hAnsi="Calibri" w:eastAsia="楷体_GB2312" w:cs="Calibri"/>
                <w:i/>
                <w:iCs/>
                <w:lang w:val="en-US" w:eastAsia="zh-CN"/>
              </w:rPr>
              <w:t>iFinD</w:t>
            </w:r>
            <w:r>
              <w:rPr>
                <w:rFonts w:hint="default" w:ascii="Calibri" w:hAnsi="Calibri" w:eastAsia="楷体_GB2312" w:cs="Calibri"/>
                <w:i/>
                <w:iCs/>
                <w:lang w:val="zh-CN"/>
              </w:rPr>
              <w:t>，HFI</w:t>
            </w:r>
          </w:p>
        </w:tc>
        <w:tc>
          <w:tcPr>
            <w:tcW w:w="238" w:type="dxa"/>
            <w:tcBorders>
              <w:top w:val="nil"/>
              <w:left w:val="nil"/>
              <w:bottom w:val="nil"/>
              <w:right w:val="nil"/>
            </w:tcBorders>
            <w:tcMar>
              <w:top w:w="0" w:type="dxa"/>
              <w:left w:w="0" w:type="dxa"/>
              <w:bottom w:w="0" w:type="dxa"/>
              <w:right w:w="28" w:type="dxa"/>
            </w:tcMar>
          </w:tcPr>
          <w:p w14:paraId="26C4FCB0">
            <w:pPr>
              <w:overflowPunct w:val="0"/>
              <w:spacing w:before="48" w:beforeLines="20" w:after="48" w:afterLines="20"/>
              <w:rPr>
                <w:rFonts w:hint="default" w:ascii="Calibri" w:hAnsi="Calibri" w:eastAsia="楷体_GB2312" w:cs="Calibri"/>
                <w:sz w:val="15"/>
                <w:szCs w:val="15"/>
              </w:rPr>
            </w:pPr>
          </w:p>
        </w:tc>
        <w:tc>
          <w:tcPr>
            <w:tcW w:w="5149" w:type="dxa"/>
            <w:tcBorders>
              <w:top w:val="single" w:color="auto" w:sz="4" w:space="0"/>
              <w:left w:val="nil"/>
              <w:bottom w:val="nil"/>
              <w:right w:val="nil"/>
            </w:tcBorders>
            <w:tcMar>
              <w:top w:w="0" w:type="dxa"/>
              <w:left w:w="0" w:type="dxa"/>
              <w:bottom w:w="0" w:type="dxa"/>
              <w:right w:w="28" w:type="dxa"/>
            </w:tcMar>
          </w:tcPr>
          <w:p w14:paraId="6E1EBD02">
            <w:pPr>
              <w:overflowPunct w:val="0"/>
              <w:spacing w:before="48" w:beforeLines="20" w:after="48" w:afterLines="20"/>
              <w:rPr>
                <w:rFonts w:hint="default" w:ascii="Calibri" w:hAnsi="Calibri" w:eastAsia="楷体_GB2312" w:cs="Calibri"/>
                <w:sz w:val="10"/>
                <w:szCs w:val="10"/>
                <w:lang w:eastAsia="zh-CN"/>
              </w:rPr>
            </w:pPr>
            <w:r>
              <w:rPr>
                <w:rFonts w:hint="default" w:ascii="Calibri" w:hAnsi="Calibri" w:eastAsia="楷体_GB2312" w:cs="Calibri"/>
                <w:i/>
                <w:iCs/>
                <w:lang w:val="zh-CN" w:eastAsia="zh-CN"/>
              </w:rPr>
              <w:t>资料来源：</w:t>
            </w:r>
            <w:r>
              <w:rPr>
                <w:rFonts w:hint="default" w:ascii="Calibri" w:hAnsi="Calibri" w:eastAsia="楷体_GB2312" w:cs="Calibri"/>
                <w:i/>
                <w:iCs/>
                <w:lang w:val="en-US" w:eastAsia="zh-CN"/>
              </w:rPr>
              <w:t>WNA</w:t>
            </w:r>
            <w:r>
              <w:rPr>
                <w:rFonts w:hint="default" w:ascii="Calibri" w:hAnsi="Calibri" w:eastAsia="楷体_GB2312" w:cs="Calibri"/>
                <w:i/>
                <w:iCs/>
                <w:lang w:val="zh-CN" w:eastAsia="zh-CN"/>
              </w:rPr>
              <w:t>，HFI</w:t>
            </w:r>
          </w:p>
        </w:tc>
      </w:tr>
    </w:tbl>
    <w:p w14:paraId="104C5BFE">
      <w:pPr>
        <w:overflowPunct w:val="0"/>
        <w:ind w:left="3200" w:leftChars="2000"/>
        <w:jc w:val="both"/>
        <w:rPr>
          <w:rFonts w:hint="default" w:ascii="Calibri" w:hAnsi="Calibri" w:eastAsia="楷体_GB2312" w:cs="Calibri"/>
          <w:b/>
          <w:bCs/>
          <w:color w:val="1F497D" w:themeColor="text2"/>
          <w:sz w:val="24"/>
          <w:szCs w:val="24"/>
          <w:lang w:eastAsia="zh-CN"/>
          <w14:textFill>
            <w14:solidFill>
              <w14:schemeClr w14:val="tx2"/>
            </w14:solidFill>
          </w14:textFill>
        </w:rPr>
      </w:pPr>
    </w:p>
    <w:p w14:paraId="5C71C8A2">
      <w:pPr>
        <w:overflowPunct w:val="0"/>
        <w:jc w:val="both"/>
        <w:rPr>
          <w:rFonts w:hint="default" w:ascii="Calibri" w:hAnsi="Calibri" w:eastAsia="楷体_GB2312" w:cs="Calibri"/>
          <w:b/>
          <w:bCs/>
          <w:color w:val="1F497D" w:themeColor="text2"/>
          <w:sz w:val="24"/>
          <w:szCs w:val="24"/>
          <w:lang w:val="en-US" w:eastAsia="zh-CN"/>
          <w14:textFill>
            <w14:solidFill>
              <w14:schemeClr w14:val="tx2"/>
            </w14:solidFill>
          </w14:textFill>
        </w:rPr>
      </w:pPr>
    </w:p>
    <w:p w14:paraId="142AD2E2">
      <w:pPr>
        <w:overflowPunct w:val="0"/>
        <w:ind w:left="3200" w:leftChars="2000"/>
        <w:jc w:val="both"/>
        <w:outlineLvl w:val="1"/>
        <w:rPr>
          <w:rFonts w:hint="default" w:ascii="Calibri" w:hAnsi="Calibri" w:eastAsia="楷体_GB2312" w:cs="Calibri"/>
          <w:b/>
          <w:bCs/>
          <w:color w:val="1F497D" w:themeColor="text2"/>
          <w:sz w:val="24"/>
          <w:szCs w:val="24"/>
          <w:lang w:val="en-US" w:eastAsia="zh-CN"/>
          <w14:textFill>
            <w14:solidFill>
              <w14:schemeClr w14:val="tx2"/>
            </w14:solidFill>
          </w14:textFill>
        </w:rPr>
      </w:pPr>
      <w:bookmarkStart w:id="27" w:name="_Toc223082609"/>
      <w:r>
        <w:rPr>
          <w:rFonts w:hint="default" w:ascii="Calibri" w:hAnsi="Calibri" w:eastAsia="楷体_GB2312" w:cs="Calibri"/>
          <w:b/>
          <w:bCs/>
          <w:color w:val="1F497D" w:themeColor="text2"/>
          <w:sz w:val="24"/>
          <w:szCs w:val="24"/>
          <w:lang w:val="en-US" w:eastAsia="zh-CN"/>
          <w14:textFill>
            <w14:solidFill>
              <w14:schemeClr w14:val="tx2"/>
            </w14:solidFill>
          </w14:textFill>
        </w:rPr>
        <w:t>（二）全球稀土市场动态追踪</w:t>
      </w:r>
      <w:bookmarkEnd w:id="27"/>
    </w:p>
    <w:p w14:paraId="49E8EE62">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本周稀土市场价格持续走强。</w:t>
      </w:r>
      <w:r>
        <w:rPr>
          <w:rFonts w:hint="default" w:ascii="Calibri" w:hAnsi="Calibri" w:eastAsia="楷体_GB2312" w:cs="Calibri"/>
          <w:sz w:val="20"/>
          <w:szCs w:val="20"/>
          <w:lang w:val="en-US" w:eastAsia="zh-CN"/>
        </w:rPr>
        <w:t>缅甸局势导致稀土出口持续收紧，越南亦修订法律，禁止稀土原矿出口，这些因素共同加剧了全球市场，尤其是中重稀土品种的供应紧张局面。本周氧化镨钕（850,000元/吨）涨幅领先，周度环比+13.8%，月度环比+33.4%，其余品种周度环比涨幅在2-5%区间。我们预计航空航天与国防（A&amp;D）领域在发动机、制导及雷达系统等关键组件中，对掺杂镝、铽元素的高性能耐高温永磁材料具有不可替代的刚性需求，该领域持续稳定的采购需求将成为支撑重稀土价格中枢的基石，预计其价格表现将优于轻稀土品种。</w:t>
      </w:r>
    </w:p>
    <w:p w14:paraId="080E0DFB">
      <w:pPr>
        <w:overflowPunct w:val="0"/>
        <w:ind w:left="3200" w:leftChars="2000"/>
        <w:jc w:val="both"/>
        <w:rPr>
          <w:rFonts w:hint="default" w:ascii="Calibri" w:hAnsi="Calibri" w:eastAsia="楷体_GB2312" w:cs="Calibri"/>
          <w:b/>
          <w:bCs/>
          <w:color w:val="1F497D" w:themeColor="text2"/>
          <w:sz w:val="24"/>
          <w:szCs w:val="24"/>
          <w:lang w:val="en-US" w:eastAsia="zh-CN"/>
          <w14:textFill>
            <w14:solidFill>
              <w14:schemeClr w14:val="tx2"/>
            </w14:solidFill>
          </w14:textFill>
        </w:rPr>
      </w:pPr>
    </w:p>
    <w:p w14:paraId="1E3B0AA3">
      <w:pPr>
        <w:rPr>
          <w:rFonts w:hint="default" w:ascii="Calibri" w:hAnsi="Calibri" w:eastAsia="楷体_GB2312" w:cs="Calibri"/>
          <w:b/>
          <w:bCs/>
          <w:color w:val="1F497D" w:themeColor="text2"/>
          <w:sz w:val="24"/>
          <w:szCs w:val="24"/>
          <w:lang w:val="en-US" w:eastAsia="zh-CN"/>
          <w14:textFill>
            <w14:solidFill>
              <w14:schemeClr w14:val="tx2"/>
            </w14:solidFill>
          </w14:textFill>
        </w:rPr>
      </w:pPr>
      <w:r>
        <w:rPr>
          <w:rFonts w:hint="default" w:ascii="Calibri" w:hAnsi="Calibri" w:eastAsia="楷体_GB2312" w:cs="Calibri"/>
          <w:b/>
          <w:bCs/>
          <w:color w:val="1F497D" w:themeColor="text2"/>
          <w:sz w:val="24"/>
          <w:szCs w:val="24"/>
          <w:lang w:val="en-US" w:eastAsia="zh-CN"/>
          <w14:textFill>
            <w14:solidFill>
              <w14:schemeClr w14:val="tx2"/>
            </w14:solidFill>
          </w14:textFill>
        </w:rPr>
        <w:br w:type="page"/>
      </w:r>
    </w:p>
    <w:tbl>
      <w:tblPr>
        <w:tblStyle w:val="27"/>
        <w:tblW w:w="7555" w:type="dxa"/>
        <w:tblInd w:w="2935"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7555"/>
      </w:tblGrid>
      <w:tr w14:paraId="43FB4825">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PrEx>
        <w:tc>
          <w:tcPr>
            <w:tcW w:w="7555" w:type="dxa"/>
            <w:tcBorders>
              <w:bottom w:val="single" w:color="auto" w:sz="4" w:space="0"/>
            </w:tcBorders>
          </w:tcPr>
          <w:p w14:paraId="5A13C862">
            <w:pPr>
              <w:overflowPunct w:val="0"/>
              <w:rPr>
                <w:rFonts w:hint="default" w:ascii="Calibri" w:hAnsi="Calibri" w:eastAsia="楷体_GB2312" w:cs="Calibri"/>
                <w:b/>
                <w:szCs w:val="20"/>
                <w:lang w:eastAsia="zh-CN"/>
              </w:rPr>
            </w:pPr>
            <w:r>
              <w:rPr>
                <w:rFonts w:hint="default" w:ascii="Calibri" w:hAnsi="Calibri" w:eastAsia="楷体_GB2312" w:cs="Calibri"/>
                <w:b/>
                <w:sz w:val="18"/>
                <w:szCs w:val="18"/>
                <w:lang w:val="zh-CN" w:eastAsia="zh-CN"/>
              </w:rPr>
              <w:t>图</w:t>
            </w:r>
            <w:r>
              <w:rPr>
                <w:rFonts w:hint="default" w:ascii="Calibri" w:hAnsi="Calibri" w:eastAsia="楷体_GB2312" w:cs="Calibri"/>
                <w:b/>
                <w:sz w:val="18"/>
                <w:szCs w:val="18"/>
                <w:lang w:val="en-US" w:eastAsia="zh-CN"/>
              </w:rPr>
              <w:t>37</w:t>
            </w:r>
            <w:r>
              <w:rPr>
                <w:rFonts w:hint="default" w:ascii="Calibri" w:hAnsi="Calibri" w:eastAsia="楷体_GB2312" w:cs="Calibri"/>
                <w:b/>
                <w:sz w:val="18"/>
                <w:szCs w:val="18"/>
                <w:lang w:val="zh-CN" w:eastAsia="zh-CN"/>
              </w:rPr>
              <w:t>: 核心追踪指标（截止于</w:t>
            </w:r>
            <w:r>
              <w:rPr>
                <w:rFonts w:hint="default" w:ascii="Calibri" w:hAnsi="Calibri" w:eastAsia="楷体_GB2312" w:cs="Calibri"/>
                <w:b/>
                <w:sz w:val="18"/>
                <w:szCs w:val="18"/>
                <w:lang w:val="en-US" w:eastAsia="zh-CN"/>
              </w:rPr>
              <w:t>02/11</w:t>
            </w:r>
            <w:r>
              <w:rPr>
                <w:rFonts w:hint="default" w:ascii="Calibri" w:hAnsi="Calibri" w:eastAsia="楷体_GB2312" w:cs="Calibri"/>
                <w:b/>
                <w:sz w:val="18"/>
                <w:szCs w:val="18"/>
                <w:lang w:val="zh-CN" w:eastAsia="zh-CN"/>
              </w:rPr>
              <w:t>/2</w:t>
            </w:r>
            <w:r>
              <w:rPr>
                <w:rFonts w:hint="default" w:ascii="Calibri" w:hAnsi="Calibri" w:eastAsia="楷体_GB2312" w:cs="Calibri"/>
                <w:b/>
                <w:sz w:val="18"/>
                <w:szCs w:val="18"/>
                <w:lang w:val="en-US" w:eastAsia="zh-CN"/>
              </w:rPr>
              <w:t>6</w:t>
            </w:r>
            <w:r>
              <w:rPr>
                <w:rFonts w:hint="default" w:ascii="Calibri" w:hAnsi="Calibri" w:eastAsia="楷体_GB2312" w:cs="Calibri"/>
                <w:b/>
                <w:sz w:val="18"/>
                <w:szCs w:val="18"/>
                <w:lang w:val="zh-CN" w:eastAsia="zh-CN"/>
              </w:rPr>
              <w:t>）</w:t>
            </w:r>
          </w:p>
        </w:tc>
      </w:tr>
      <w:tr w14:paraId="6C070D44">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2526" w:hRule="atLeast"/>
        </w:trPr>
        <w:tc>
          <w:tcPr>
            <w:tcW w:w="7555" w:type="dxa"/>
            <w:tcBorders>
              <w:top w:val="single" w:color="auto" w:sz="4" w:space="0"/>
              <w:bottom w:val="single" w:color="auto" w:sz="4" w:space="0"/>
            </w:tcBorders>
            <w:vAlign w:val="center"/>
          </w:tcPr>
          <w:tbl>
            <w:tblPr>
              <w:tblStyle w:val="27"/>
              <w:tblW w:w="73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2"/>
              <w:gridCol w:w="1832"/>
              <w:gridCol w:w="1832"/>
              <w:gridCol w:w="1833"/>
            </w:tblGrid>
            <w:tr w14:paraId="420EE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1832" w:type="dxa"/>
                  <w:shd w:val="clear" w:color="auto" w:fill="002060"/>
                </w:tcPr>
                <w:p w14:paraId="1A0B868A">
                  <w:pPr>
                    <w:overflowPunct w:val="0"/>
                    <w:jc w:val="center"/>
                    <w:rPr>
                      <w:rFonts w:hint="default" w:ascii="Calibri" w:hAnsi="Calibri" w:eastAsia="楷体_GB2312" w:cs="Calibri"/>
                      <w:b/>
                      <w:bCs/>
                      <w:sz w:val="18"/>
                      <w:szCs w:val="18"/>
                    </w:rPr>
                  </w:pPr>
                  <w:r>
                    <w:rPr>
                      <w:rFonts w:hint="default" w:ascii="Calibri" w:hAnsi="Calibri" w:eastAsia="楷体_GB2312" w:cs="Calibri"/>
                      <w:b/>
                      <w:bCs/>
                      <w:sz w:val="18"/>
                      <w:szCs w:val="18"/>
                    </w:rPr>
                    <w:t>产品</w:t>
                  </w:r>
                </w:p>
              </w:tc>
              <w:tc>
                <w:tcPr>
                  <w:tcW w:w="1832" w:type="dxa"/>
                  <w:shd w:val="clear" w:color="auto" w:fill="002060"/>
                </w:tcPr>
                <w:p w14:paraId="47352078">
                  <w:pPr>
                    <w:overflowPunct w:val="0"/>
                    <w:jc w:val="center"/>
                    <w:rPr>
                      <w:rFonts w:hint="default" w:ascii="Calibri" w:hAnsi="Calibri" w:eastAsia="楷体_GB2312" w:cs="Calibri"/>
                      <w:b/>
                      <w:bCs/>
                      <w:sz w:val="8"/>
                      <w:szCs w:val="22"/>
                    </w:rPr>
                  </w:pPr>
                  <w:r>
                    <w:rPr>
                      <w:rFonts w:hint="default" w:ascii="Calibri" w:hAnsi="Calibri" w:eastAsia="楷体_GB2312" w:cs="Calibri"/>
                      <w:b/>
                      <w:bCs/>
                      <w:sz w:val="18"/>
                      <w:szCs w:val="18"/>
                    </w:rPr>
                    <w:t>本周均价</w:t>
                  </w:r>
                </w:p>
              </w:tc>
              <w:tc>
                <w:tcPr>
                  <w:tcW w:w="1832" w:type="dxa"/>
                  <w:shd w:val="clear" w:color="auto" w:fill="002060"/>
                </w:tcPr>
                <w:p w14:paraId="5C2B683E">
                  <w:pPr>
                    <w:overflowPunct w:val="0"/>
                    <w:jc w:val="center"/>
                    <w:rPr>
                      <w:rFonts w:hint="default" w:ascii="Calibri" w:hAnsi="Calibri" w:eastAsia="楷体_GB2312" w:cs="Calibri"/>
                      <w:b/>
                      <w:bCs/>
                      <w:sz w:val="8"/>
                      <w:szCs w:val="22"/>
                    </w:rPr>
                  </w:pPr>
                  <w:r>
                    <w:rPr>
                      <w:rFonts w:hint="default" w:ascii="Calibri" w:hAnsi="Calibri" w:eastAsia="楷体_GB2312" w:cs="Calibri"/>
                      <w:b/>
                      <w:bCs/>
                      <w:sz w:val="18"/>
                      <w:szCs w:val="18"/>
                    </w:rPr>
                    <w:t>周度环比（%）</w:t>
                  </w:r>
                </w:p>
              </w:tc>
              <w:tc>
                <w:tcPr>
                  <w:tcW w:w="1833" w:type="dxa"/>
                  <w:shd w:val="clear" w:color="auto" w:fill="002060"/>
                </w:tcPr>
                <w:p w14:paraId="084B0BC3">
                  <w:pPr>
                    <w:overflowPunct w:val="0"/>
                    <w:jc w:val="center"/>
                    <w:rPr>
                      <w:rFonts w:hint="default" w:ascii="Calibri" w:hAnsi="Calibri" w:eastAsia="楷体_GB2312" w:cs="Calibri"/>
                      <w:b/>
                      <w:bCs/>
                      <w:sz w:val="8"/>
                      <w:szCs w:val="22"/>
                    </w:rPr>
                  </w:pPr>
                  <w:r>
                    <w:rPr>
                      <w:rFonts w:hint="default" w:ascii="Calibri" w:hAnsi="Calibri" w:eastAsia="楷体_GB2312" w:cs="Calibri"/>
                      <w:b/>
                      <w:bCs/>
                      <w:sz w:val="18"/>
                      <w:szCs w:val="18"/>
                    </w:rPr>
                    <w:t>月度环比（%）</w:t>
                  </w:r>
                </w:p>
              </w:tc>
            </w:tr>
            <w:tr w14:paraId="36772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1832" w:type="dxa"/>
                  <w:shd w:val="clear" w:color="auto" w:fill="C6D9F0" w:themeFill="text2" w:themeFillTint="33"/>
                </w:tcPr>
                <w:p w14:paraId="50CB1B15">
                  <w:pPr>
                    <w:overflowPunct w:val="0"/>
                    <w:jc w:val="center"/>
                    <w:rPr>
                      <w:rFonts w:hint="default" w:ascii="Calibri" w:hAnsi="Calibri" w:eastAsia="楷体_GB2312" w:cs="Calibri"/>
                      <w:b/>
                      <w:bCs/>
                      <w:sz w:val="18"/>
                      <w:szCs w:val="18"/>
                    </w:rPr>
                  </w:pPr>
                  <w:r>
                    <w:rPr>
                      <w:rFonts w:hint="default" w:ascii="Calibri" w:hAnsi="Calibri" w:eastAsia="楷体_GB2312" w:cs="Calibri"/>
                      <w:b/>
                      <w:bCs/>
                      <w:sz w:val="18"/>
                      <w:szCs w:val="18"/>
                    </w:rPr>
                    <w:t xml:space="preserve">氧化镨钕 </w:t>
                  </w:r>
                </w:p>
              </w:tc>
              <w:tc>
                <w:tcPr>
                  <w:tcW w:w="1832" w:type="dxa"/>
                </w:tcPr>
                <w:p w14:paraId="1ADAC661">
                  <w:pPr>
                    <w:overflowPunct w:val="0"/>
                    <w:jc w:val="center"/>
                    <w:rPr>
                      <w:rFonts w:hint="default" w:ascii="Calibri" w:hAnsi="Calibri" w:eastAsia="楷体_GB2312" w:cs="Calibri"/>
                      <w:sz w:val="18"/>
                      <w:szCs w:val="18"/>
                    </w:rPr>
                  </w:pPr>
                  <w:r>
                    <w:rPr>
                      <w:rFonts w:hint="default" w:ascii="Calibri" w:hAnsi="Calibri" w:eastAsia="楷体_GB2312" w:cs="Calibri"/>
                      <w:sz w:val="18"/>
                      <w:szCs w:val="18"/>
                      <w:lang w:val="en-US" w:eastAsia="zh-CN"/>
                    </w:rPr>
                    <w:t>850</w:t>
                  </w:r>
                  <w:r>
                    <w:rPr>
                      <w:rFonts w:hint="default" w:ascii="Calibri" w:hAnsi="Calibri" w:eastAsia="楷体_GB2312" w:cs="Calibri"/>
                      <w:sz w:val="18"/>
                      <w:szCs w:val="18"/>
                    </w:rPr>
                    <w:t>,</w:t>
                  </w:r>
                  <w:r>
                    <w:rPr>
                      <w:rFonts w:hint="default" w:ascii="Calibri" w:hAnsi="Calibri" w:eastAsia="楷体_GB2312" w:cs="Calibri"/>
                      <w:sz w:val="18"/>
                      <w:szCs w:val="18"/>
                      <w:lang w:val="en-US" w:eastAsia="zh-CN"/>
                    </w:rPr>
                    <w:t>0</w:t>
                  </w:r>
                  <w:r>
                    <w:rPr>
                      <w:rFonts w:hint="default" w:ascii="Calibri" w:hAnsi="Calibri" w:eastAsia="楷体_GB2312" w:cs="Calibri"/>
                      <w:sz w:val="18"/>
                      <w:szCs w:val="18"/>
                    </w:rPr>
                    <w:t>00元/吨</w:t>
                  </w:r>
                </w:p>
              </w:tc>
              <w:tc>
                <w:tcPr>
                  <w:tcW w:w="1832" w:type="dxa"/>
                </w:tcPr>
                <w:p w14:paraId="55F9313B">
                  <w:pPr>
                    <w:overflowPunct w:val="0"/>
                    <w:jc w:val="center"/>
                    <w:rPr>
                      <w:rFonts w:hint="default" w:ascii="Calibri" w:hAnsi="Calibri" w:eastAsia="楷体_GB2312" w:cs="Calibri"/>
                      <w:sz w:val="18"/>
                      <w:szCs w:val="18"/>
                    </w:rPr>
                  </w:pPr>
                  <w:r>
                    <w:rPr>
                      <w:rFonts w:hint="default" w:ascii="Calibri" w:hAnsi="Calibri" w:eastAsia="楷体_GB2312" w:cs="Calibri"/>
                      <w:sz w:val="18"/>
                      <w:szCs w:val="18"/>
                      <w:lang w:val="en-US" w:eastAsia="zh-CN"/>
                    </w:rPr>
                    <w:t>13.8</w:t>
                  </w:r>
                  <w:r>
                    <w:rPr>
                      <w:rFonts w:hint="default" w:ascii="Calibri" w:hAnsi="Calibri" w:eastAsia="楷体_GB2312" w:cs="Calibri"/>
                      <w:sz w:val="18"/>
                      <w:szCs w:val="18"/>
                    </w:rPr>
                    <w:t>%</w:t>
                  </w:r>
                </w:p>
              </w:tc>
              <w:tc>
                <w:tcPr>
                  <w:tcW w:w="1833" w:type="dxa"/>
                </w:tcPr>
                <w:p w14:paraId="53E294E6">
                  <w:pPr>
                    <w:overflowPunct w:val="0"/>
                    <w:jc w:val="center"/>
                    <w:rPr>
                      <w:rFonts w:hint="default" w:ascii="Calibri" w:hAnsi="Calibri" w:eastAsia="楷体_GB2312" w:cs="Calibri"/>
                      <w:sz w:val="18"/>
                      <w:szCs w:val="18"/>
                    </w:rPr>
                  </w:pPr>
                  <w:r>
                    <w:rPr>
                      <w:rFonts w:hint="default" w:ascii="Calibri" w:hAnsi="Calibri" w:eastAsia="楷体_GB2312" w:cs="Calibri"/>
                      <w:sz w:val="18"/>
                      <w:szCs w:val="18"/>
                      <w:lang w:val="en-US" w:eastAsia="zh-CN"/>
                    </w:rPr>
                    <w:t>33.4</w:t>
                  </w:r>
                  <w:r>
                    <w:rPr>
                      <w:rFonts w:hint="default" w:ascii="Calibri" w:hAnsi="Calibri" w:eastAsia="楷体_GB2312" w:cs="Calibri"/>
                      <w:sz w:val="18"/>
                      <w:szCs w:val="18"/>
                    </w:rPr>
                    <w:t>%</w:t>
                  </w:r>
                </w:p>
              </w:tc>
            </w:tr>
            <w:tr w14:paraId="7862E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1832" w:type="dxa"/>
                  <w:shd w:val="clear" w:color="auto" w:fill="C6D9F0" w:themeFill="text2" w:themeFillTint="33"/>
                </w:tcPr>
                <w:p w14:paraId="152E4AD1">
                  <w:pPr>
                    <w:overflowPunct w:val="0"/>
                    <w:jc w:val="center"/>
                    <w:rPr>
                      <w:rFonts w:hint="default" w:ascii="Calibri" w:hAnsi="Calibri" w:eastAsia="楷体_GB2312" w:cs="Calibri"/>
                      <w:b/>
                      <w:bCs/>
                      <w:sz w:val="18"/>
                      <w:szCs w:val="18"/>
                    </w:rPr>
                  </w:pPr>
                  <w:r>
                    <w:rPr>
                      <w:rFonts w:hint="default" w:ascii="Calibri" w:hAnsi="Calibri" w:eastAsia="楷体_GB2312" w:cs="Calibri"/>
                      <w:b/>
                      <w:bCs/>
                      <w:sz w:val="18"/>
                      <w:szCs w:val="18"/>
                    </w:rPr>
                    <w:t>氧化镝</w:t>
                  </w:r>
                </w:p>
              </w:tc>
              <w:tc>
                <w:tcPr>
                  <w:tcW w:w="1832" w:type="dxa"/>
                </w:tcPr>
                <w:p w14:paraId="2BF90034">
                  <w:pPr>
                    <w:overflowPunct w:val="0"/>
                    <w:jc w:val="center"/>
                    <w:rPr>
                      <w:rFonts w:hint="default" w:ascii="Calibri" w:hAnsi="Calibri" w:eastAsia="楷体_GB2312" w:cs="Calibri"/>
                      <w:sz w:val="18"/>
                      <w:szCs w:val="18"/>
                    </w:rPr>
                  </w:pPr>
                  <w:r>
                    <w:rPr>
                      <w:rFonts w:hint="default" w:ascii="Calibri" w:hAnsi="Calibri" w:eastAsia="楷体_GB2312" w:cs="Calibri"/>
                      <w:sz w:val="18"/>
                      <w:szCs w:val="18"/>
                    </w:rPr>
                    <w:t>1</w:t>
                  </w:r>
                  <w:r>
                    <w:rPr>
                      <w:rFonts w:hint="default" w:ascii="Calibri" w:hAnsi="Calibri" w:eastAsia="楷体_GB2312" w:cs="Calibri"/>
                      <w:sz w:val="18"/>
                      <w:szCs w:val="18"/>
                      <w:lang w:val="en-US" w:eastAsia="zh-CN"/>
                    </w:rPr>
                    <w:t>,470</w:t>
                  </w:r>
                  <w:r>
                    <w:rPr>
                      <w:rFonts w:hint="default" w:ascii="Calibri" w:hAnsi="Calibri" w:eastAsia="楷体_GB2312" w:cs="Calibri"/>
                      <w:sz w:val="18"/>
                      <w:szCs w:val="18"/>
                    </w:rPr>
                    <w:t>,000元/吨</w:t>
                  </w:r>
                </w:p>
              </w:tc>
              <w:tc>
                <w:tcPr>
                  <w:tcW w:w="1832" w:type="dxa"/>
                </w:tcPr>
                <w:p w14:paraId="0A89A149">
                  <w:pPr>
                    <w:overflowPunct w:val="0"/>
                    <w:jc w:val="center"/>
                    <w:rPr>
                      <w:rFonts w:hint="default" w:ascii="Calibri" w:hAnsi="Calibri" w:eastAsia="楷体_GB2312" w:cs="Calibri"/>
                      <w:sz w:val="18"/>
                      <w:szCs w:val="18"/>
                    </w:rPr>
                  </w:pPr>
                  <w:r>
                    <w:rPr>
                      <w:rFonts w:hint="default" w:ascii="Calibri" w:hAnsi="Calibri" w:eastAsia="楷体_GB2312" w:cs="Calibri"/>
                      <w:sz w:val="18"/>
                      <w:szCs w:val="18"/>
                      <w:lang w:val="en-US" w:eastAsia="zh-CN"/>
                    </w:rPr>
                    <w:t>5.4</w:t>
                  </w:r>
                  <w:r>
                    <w:rPr>
                      <w:rFonts w:hint="default" w:ascii="Calibri" w:hAnsi="Calibri" w:eastAsia="楷体_GB2312" w:cs="Calibri"/>
                      <w:sz w:val="18"/>
                      <w:szCs w:val="18"/>
                    </w:rPr>
                    <w:t>%</w:t>
                  </w:r>
                </w:p>
              </w:tc>
              <w:tc>
                <w:tcPr>
                  <w:tcW w:w="1833" w:type="dxa"/>
                </w:tcPr>
                <w:p w14:paraId="5CFD318E">
                  <w:pPr>
                    <w:overflowPunct w:val="0"/>
                    <w:jc w:val="center"/>
                    <w:rPr>
                      <w:rFonts w:hint="default" w:ascii="Calibri" w:hAnsi="Calibri" w:eastAsia="楷体_GB2312" w:cs="Calibri"/>
                      <w:sz w:val="18"/>
                      <w:szCs w:val="18"/>
                    </w:rPr>
                  </w:pPr>
                  <w:r>
                    <w:rPr>
                      <w:rFonts w:hint="default" w:ascii="Calibri" w:hAnsi="Calibri" w:eastAsia="楷体_GB2312" w:cs="Calibri"/>
                      <w:sz w:val="18"/>
                      <w:szCs w:val="18"/>
                      <w:lang w:val="en-US" w:eastAsia="zh-CN"/>
                    </w:rPr>
                    <w:t>2.1</w:t>
                  </w:r>
                  <w:r>
                    <w:rPr>
                      <w:rFonts w:hint="default" w:ascii="Calibri" w:hAnsi="Calibri" w:eastAsia="楷体_GB2312" w:cs="Calibri"/>
                      <w:sz w:val="18"/>
                      <w:szCs w:val="18"/>
                    </w:rPr>
                    <w:t>%</w:t>
                  </w:r>
                </w:p>
              </w:tc>
            </w:tr>
            <w:tr w14:paraId="0B57F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1832" w:type="dxa"/>
                  <w:shd w:val="clear" w:color="auto" w:fill="C6D9F0" w:themeFill="text2" w:themeFillTint="33"/>
                </w:tcPr>
                <w:p w14:paraId="05FA21EE">
                  <w:pPr>
                    <w:overflowPunct w:val="0"/>
                    <w:jc w:val="center"/>
                    <w:rPr>
                      <w:rFonts w:hint="default" w:ascii="Calibri" w:hAnsi="Calibri" w:eastAsia="楷体_GB2312" w:cs="Calibri"/>
                      <w:b/>
                      <w:bCs/>
                      <w:sz w:val="18"/>
                      <w:szCs w:val="18"/>
                    </w:rPr>
                  </w:pPr>
                  <w:r>
                    <w:rPr>
                      <w:rFonts w:hint="default" w:ascii="Calibri" w:hAnsi="Calibri" w:eastAsia="楷体_GB2312" w:cs="Calibri"/>
                      <w:b/>
                      <w:bCs/>
                      <w:sz w:val="18"/>
                      <w:szCs w:val="18"/>
                    </w:rPr>
                    <w:t>镝铁合金</w:t>
                  </w:r>
                </w:p>
              </w:tc>
              <w:tc>
                <w:tcPr>
                  <w:tcW w:w="1832" w:type="dxa"/>
                </w:tcPr>
                <w:p w14:paraId="67F4558A">
                  <w:pPr>
                    <w:overflowPunct w:val="0"/>
                    <w:jc w:val="center"/>
                    <w:rPr>
                      <w:rFonts w:hint="default" w:ascii="Calibri" w:hAnsi="Calibri" w:eastAsia="楷体_GB2312" w:cs="Calibri"/>
                      <w:sz w:val="18"/>
                      <w:szCs w:val="18"/>
                    </w:rPr>
                  </w:pPr>
                  <w:r>
                    <w:rPr>
                      <w:rFonts w:hint="default" w:ascii="Calibri" w:hAnsi="Calibri" w:eastAsia="楷体_GB2312" w:cs="Calibri"/>
                      <w:sz w:val="18"/>
                      <w:szCs w:val="18"/>
                    </w:rPr>
                    <w:t>1,</w:t>
                  </w:r>
                  <w:r>
                    <w:rPr>
                      <w:rFonts w:hint="default" w:ascii="Calibri" w:hAnsi="Calibri" w:eastAsia="楷体_GB2312" w:cs="Calibri"/>
                      <w:sz w:val="18"/>
                      <w:szCs w:val="18"/>
                      <w:lang w:val="en-US" w:eastAsia="zh-CN"/>
                    </w:rPr>
                    <w:t>401</w:t>
                  </w:r>
                  <w:r>
                    <w:rPr>
                      <w:rFonts w:hint="default" w:ascii="Calibri" w:hAnsi="Calibri" w:eastAsia="楷体_GB2312" w:cs="Calibri"/>
                      <w:sz w:val="18"/>
                      <w:szCs w:val="18"/>
                    </w:rPr>
                    <w:t>,</w:t>
                  </w:r>
                  <w:r>
                    <w:rPr>
                      <w:rFonts w:hint="default" w:ascii="Calibri" w:hAnsi="Calibri" w:eastAsia="楷体_GB2312" w:cs="Calibri"/>
                      <w:sz w:val="18"/>
                      <w:szCs w:val="18"/>
                      <w:lang w:val="en-US" w:eastAsia="zh-CN"/>
                    </w:rPr>
                    <w:t>000</w:t>
                  </w:r>
                  <w:r>
                    <w:rPr>
                      <w:rFonts w:hint="default" w:ascii="Calibri" w:hAnsi="Calibri" w:eastAsia="楷体_GB2312" w:cs="Calibri"/>
                      <w:sz w:val="18"/>
                      <w:szCs w:val="18"/>
                    </w:rPr>
                    <w:t>元/吨</w:t>
                  </w:r>
                </w:p>
              </w:tc>
              <w:tc>
                <w:tcPr>
                  <w:tcW w:w="1832" w:type="dxa"/>
                </w:tcPr>
                <w:p w14:paraId="2382842C">
                  <w:pPr>
                    <w:overflowPunct w:val="0"/>
                    <w:jc w:val="center"/>
                    <w:rPr>
                      <w:rFonts w:hint="default" w:ascii="Calibri" w:hAnsi="Calibri" w:eastAsia="楷体_GB2312" w:cs="Calibri"/>
                      <w:sz w:val="18"/>
                      <w:szCs w:val="18"/>
                    </w:rPr>
                  </w:pPr>
                  <w:r>
                    <w:rPr>
                      <w:rFonts w:hint="default" w:ascii="Calibri" w:hAnsi="Calibri" w:eastAsia="楷体_GB2312" w:cs="Calibri"/>
                      <w:sz w:val="18"/>
                      <w:szCs w:val="18"/>
                      <w:lang w:val="en-US" w:eastAsia="zh-CN"/>
                    </w:rPr>
                    <w:t>4.0</w:t>
                  </w:r>
                  <w:r>
                    <w:rPr>
                      <w:rFonts w:hint="default" w:ascii="Calibri" w:hAnsi="Calibri" w:eastAsia="楷体_GB2312" w:cs="Calibri"/>
                      <w:sz w:val="18"/>
                      <w:szCs w:val="18"/>
                    </w:rPr>
                    <w:t>%</w:t>
                  </w:r>
                </w:p>
              </w:tc>
              <w:tc>
                <w:tcPr>
                  <w:tcW w:w="1833" w:type="dxa"/>
                </w:tcPr>
                <w:p w14:paraId="61155B2F">
                  <w:pPr>
                    <w:overflowPunct w:val="0"/>
                    <w:jc w:val="center"/>
                    <w:rPr>
                      <w:rFonts w:hint="default" w:ascii="Calibri" w:hAnsi="Calibri" w:eastAsia="楷体_GB2312" w:cs="Calibri"/>
                      <w:sz w:val="18"/>
                      <w:szCs w:val="18"/>
                    </w:rPr>
                  </w:pPr>
                  <w:r>
                    <w:rPr>
                      <w:rFonts w:hint="default" w:ascii="Calibri" w:hAnsi="Calibri" w:eastAsia="楷体_GB2312" w:cs="Calibri"/>
                      <w:sz w:val="18"/>
                      <w:szCs w:val="18"/>
                    </w:rPr>
                    <w:t>-</w:t>
                  </w:r>
                  <w:r>
                    <w:rPr>
                      <w:rFonts w:hint="default" w:ascii="Calibri" w:hAnsi="Calibri" w:eastAsia="楷体_GB2312" w:cs="Calibri"/>
                      <w:sz w:val="18"/>
                      <w:szCs w:val="18"/>
                      <w:lang w:val="en-US" w:eastAsia="zh-CN"/>
                    </w:rPr>
                    <w:t>2.0</w:t>
                  </w:r>
                  <w:r>
                    <w:rPr>
                      <w:rFonts w:hint="default" w:ascii="Calibri" w:hAnsi="Calibri" w:eastAsia="楷体_GB2312" w:cs="Calibri"/>
                      <w:sz w:val="18"/>
                      <w:szCs w:val="18"/>
                    </w:rPr>
                    <w:t>%</w:t>
                  </w:r>
                </w:p>
              </w:tc>
            </w:tr>
            <w:tr w14:paraId="4EC4B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1832" w:type="dxa"/>
                  <w:shd w:val="clear" w:color="auto" w:fill="C6D9F0" w:themeFill="text2" w:themeFillTint="33"/>
                </w:tcPr>
                <w:p w14:paraId="482C8A11">
                  <w:pPr>
                    <w:overflowPunct w:val="0"/>
                    <w:jc w:val="center"/>
                    <w:rPr>
                      <w:rFonts w:hint="default" w:ascii="Calibri" w:hAnsi="Calibri" w:eastAsia="楷体_GB2312" w:cs="Calibri"/>
                      <w:b/>
                      <w:bCs/>
                      <w:sz w:val="18"/>
                      <w:szCs w:val="18"/>
                    </w:rPr>
                  </w:pPr>
                  <w:r>
                    <w:rPr>
                      <w:rFonts w:hint="default" w:ascii="Calibri" w:hAnsi="Calibri" w:eastAsia="楷体_GB2312" w:cs="Calibri"/>
                      <w:b/>
                      <w:bCs/>
                      <w:sz w:val="18"/>
                      <w:szCs w:val="18"/>
                    </w:rPr>
                    <w:t>氧化铽</w:t>
                  </w:r>
                </w:p>
              </w:tc>
              <w:tc>
                <w:tcPr>
                  <w:tcW w:w="1832" w:type="dxa"/>
                </w:tcPr>
                <w:p w14:paraId="6FB993ED">
                  <w:pPr>
                    <w:overflowPunct w:val="0"/>
                    <w:jc w:val="center"/>
                    <w:rPr>
                      <w:rFonts w:hint="default" w:ascii="Calibri" w:hAnsi="Calibri" w:eastAsia="楷体_GB2312" w:cs="Calibri"/>
                      <w:sz w:val="18"/>
                      <w:szCs w:val="18"/>
                    </w:rPr>
                  </w:pPr>
                  <w:r>
                    <w:rPr>
                      <w:rFonts w:hint="default" w:ascii="Calibri" w:hAnsi="Calibri" w:eastAsia="楷体_GB2312" w:cs="Calibri"/>
                      <w:sz w:val="18"/>
                      <w:szCs w:val="18"/>
                      <w:lang w:val="en-US" w:eastAsia="zh-CN"/>
                    </w:rPr>
                    <w:t>6</w:t>
                  </w:r>
                  <w:r>
                    <w:rPr>
                      <w:rFonts w:hint="default" w:ascii="Calibri" w:hAnsi="Calibri" w:eastAsia="楷体_GB2312" w:cs="Calibri"/>
                      <w:sz w:val="18"/>
                      <w:szCs w:val="18"/>
                    </w:rPr>
                    <w:t>,</w:t>
                  </w:r>
                  <w:r>
                    <w:rPr>
                      <w:rFonts w:hint="default" w:ascii="Calibri" w:hAnsi="Calibri" w:eastAsia="楷体_GB2312" w:cs="Calibri"/>
                      <w:sz w:val="18"/>
                      <w:szCs w:val="18"/>
                      <w:lang w:val="en-US" w:eastAsia="zh-CN"/>
                    </w:rPr>
                    <w:t>370</w:t>
                  </w:r>
                  <w:r>
                    <w:rPr>
                      <w:rFonts w:hint="default" w:ascii="Calibri" w:hAnsi="Calibri" w:eastAsia="楷体_GB2312" w:cs="Calibri"/>
                      <w:sz w:val="18"/>
                      <w:szCs w:val="18"/>
                    </w:rPr>
                    <w:t xml:space="preserve"> 元/千克</w:t>
                  </w:r>
                </w:p>
              </w:tc>
              <w:tc>
                <w:tcPr>
                  <w:tcW w:w="1832" w:type="dxa"/>
                </w:tcPr>
                <w:p w14:paraId="3D6CDE90">
                  <w:pPr>
                    <w:overflowPunct w:val="0"/>
                    <w:jc w:val="center"/>
                    <w:rPr>
                      <w:rFonts w:hint="default" w:ascii="Calibri" w:hAnsi="Calibri" w:eastAsia="楷体_GB2312" w:cs="Calibri"/>
                      <w:sz w:val="18"/>
                      <w:szCs w:val="18"/>
                    </w:rPr>
                  </w:pPr>
                  <w:r>
                    <w:rPr>
                      <w:rFonts w:hint="default" w:ascii="Calibri" w:hAnsi="Calibri" w:eastAsia="楷体_GB2312" w:cs="Calibri"/>
                      <w:sz w:val="18"/>
                      <w:szCs w:val="18"/>
                      <w:lang w:val="en-US" w:eastAsia="zh-CN"/>
                    </w:rPr>
                    <w:t>3.6</w:t>
                  </w:r>
                  <w:r>
                    <w:rPr>
                      <w:rFonts w:hint="default" w:ascii="Calibri" w:hAnsi="Calibri" w:eastAsia="楷体_GB2312" w:cs="Calibri"/>
                      <w:sz w:val="18"/>
                      <w:szCs w:val="18"/>
                    </w:rPr>
                    <w:t>%</w:t>
                  </w:r>
                </w:p>
              </w:tc>
              <w:tc>
                <w:tcPr>
                  <w:tcW w:w="1833" w:type="dxa"/>
                </w:tcPr>
                <w:p w14:paraId="14A310B5">
                  <w:pPr>
                    <w:overflowPunct w:val="0"/>
                    <w:jc w:val="center"/>
                    <w:rPr>
                      <w:rFonts w:hint="default" w:ascii="Calibri" w:hAnsi="Calibri" w:eastAsia="楷体_GB2312" w:cs="Calibri"/>
                      <w:sz w:val="18"/>
                      <w:szCs w:val="18"/>
                    </w:rPr>
                  </w:pPr>
                  <w:r>
                    <w:rPr>
                      <w:rFonts w:hint="default" w:ascii="Calibri" w:hAnsi="Calibri" w:eastAsia="楷体_GB2312" w:cs="Calibri"/>
                      <w:sz w:val="18"/>
                      <w:szCs w:val="18"/>
                      <w:lang w:val="en-US" w:eastAsia="zh-CN"/>
                    </w:rPr>
                    <w:t>2.2</w:t>
                  </w:r>
                  <w:r>
                    <w:rPr>
                      <w:rFonts w:hint="default" w:ascii="Calibri" w:hAnsi="Calibri" w:eastAsia="楷体_GB2312" w:cs="Calibri"/>
                      <w:sz w:val="18"/>
                      <w:szCs w:val="18"/>
                    </w:rPr>
                    <w:t>%</w:t>
                  </w:r>
                </w:p>
              </w:tc>
            </w:tr>
            <w:tr w14:paraId="7B37D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1832" w:type="dxa"/>
                  <w:shd w:val="clear" w:color="auto" w:fill="C6D9F0" w:themeFill="text2" w:themeFillTint="33"/>
                </w:tcPr>
                <w:p w14:paraId="6B322386">
                  <w:pPr>
                    <w:overflowPunct w:val="0"/>
                    <w:jc w:val="center"/>
                    <w:rPr>
                      <w:rFonts w:hint="default" w:ascii="Calibri" w:hAnsi="Calibri" w:eastAsia="楷体_GB2312" w:cs="Calibri"/>
                      <w:b/>
                      <w:bCs/>
                      <w:sz w:val="18"/>
                      <w:szCs w:val="18"/>
                    </w:rPr>
                  </w:pPr>
                  <w:r>
                    <w:rPr>
                      <w:rFonts w:hint="default" w:ascii="Calibri" w:hAnsi="Calibri" w:eastAsia="楷体_GB2312" w:cs="Calibri"/>
                      <w:b/>
                      <w:bCs/>
                      <w:sz w:val="18"/>
                      <w:szCs w:val="18"/>
                    </w:rPr>
                    <w:t>金属铽</w:t>
                  </w:r>
                </w:p>
              </w:tc>
              <w:tc>
                <w:tcPr>
                  <w:tcW w:w="1832" w:type="dxa"/>
                </w:tcPr>
                <w:p w14:paraId="7D89AF08">
                  <w:pPr>
                    <w:overflowPunct w:val="0"/>
                    <w:jc w:val="center"/>
                    <w:rPr>
                      <w:rFonts w:hint="default" w:ascii="Calibri" w:hAnsi="Calibri" w:eastAsia="楷体_GB2312" w:cs="Calibri"/>
                      <w:sz w:val="18"/>
                      <w:szCs w:val="18"/>
                    </w:rPr>
                  </w:pPr>
                  <w:r>
                    <w:rPr>
                      <w:rFonts w:hint="default" w:ascii="Calibri" w:hAnsi="Calibri" w:eastAsia="楷体_GB2312" w:cs="Calibri"/>
                      <w:sz w:val="18"/>
                      <w:szCs w:val="18"/>
                      <w:lang w:val="en-US" w:eastAsia="zh-CN"/>
                    </w:rPr>
                    <w:t>7</w:t>
                  </w:r>
                  <w:r>
                    <w:rPr>
                      <w:rFonts w:hint="default" w:ascii="Calibri" w:hAnsi="Calibri" w:eastAsia="楷体_GB2312" w:cs="Calibri"/>
                      <w:sz w:val="18"/>
                      <w:szCs w:val="18"/>
                    </w:rPr>
                    <w:t>,7</w:t>
                  </w:r>
                  <w:r>
                    <w:rPr>
                      <w:rFonts w:hint="default" w:ascii="Calibri" w:hAnsi="Calibri" w:eastAsia="楷体_GB2312" w:cs="Calibri"/>
                      <w:sz w:val="18"/>
                      <w:szCs w:val="18"/>
                      <w:lang w:val="en-US" w:eastAsia="zh-CN"/>
                    </w:rPr>
                    <w:t>13</w:t>
                  </w:r>
                  <w:r>
                    <w:rPr>
                      <w:rFonts w:hint="default" w:ascii="Calibri" w:hAnsi="Calibri" w:eastAsia="楷体_GB2312" w:cs="Calibri"/>
                      <w:sz w:val="18"/>
                      <w:szCs w:val="18"/>
                    </w:rPr>
                    <w:t xml:space="preserve"> 元/千克</w:t>
                  </w:r>
                </w:p>
              </w:tc>
              <w:tc>
                <w:tcPr>
                  <w:tcW w:w="1832" w:type="dxa"/>
                </w:tcPr>
                <w:p w14:paraId="260CC0B7">
                  <w:pPr>
                    <w:overflowPunct w:val="0"/>
                    <w:jc w:val="center"/>
                    <w:rPr>
                      <w:rFonts w:hint="default" w:ascii="Calibri" w:hAnsi="Calibri" w:eastAsia="楷体_GB2312" w:cs="Calibri"/>
                      <w:sz w:val="18"/>
                      <w:szCs w:val="18"/>
                    </w:rPr>
                  </w:pPr>
                  <w:r>
                    <w:rPr>
                      <w:rFonts w:hint="default" w:ascii="Calibri" w:hAnsi="Calibri" w:eastAsia="楷体_GB2312" w:cs="Calibri"/>
                      <w:sz w:val="18"/>
                      <w:szCs w:val="18"/>
                      <w:lang w:val="en-US" w:eastAsia="zh-CN"/>
                    </w:rPr>
                    <w:t>2.2</w:t>
                  </w:r>
                  <w:r>
                    <w:rPr>
                      <w:rFonts w:hint="default" w:ascii="Calibri" w:hAnsi="Calibri" w:eastAsia="楷体_GB2312" w:cs="Calibri"/>
                      <w:sz w:val="18"/>
                      <w:szCs w:val="18"/>
                    </w:rPr>
                    <w:t>%</w:t>
                  </w:r>
                </w:p>
              </w:tc>
              <w:tc>
                <w:tcPr>
                  <w:tcW w:w="1833" w:type="dxa"/>
                </w:tcPr>
                <w:p w14:paraId="5249FB3B">
                  <w:pPr>
                    <w:overflowPunct w:val="0"/>
                    <w:jc w:val="center"/>
                    <w:rPr>
                      <w:rFonts w:hint="default" w:ascii="Calibri" w:hAnsi="Calibri" w:eastAsia="楷体_GB2312" w:cs="Calibri"/>
                      <w:sz w:val="18"/>
                      <w:szCs w:val="18"/>
                    </w:rPr>
                  </w:pPr>
                  <w:r>
                    <w:rPr>
                      <w:rFonts w:hint="default" w:ascii="Calibri" w:hAnsi="Calibri" w:eastAsia="楷体_GB2312" w:cs="Calibri"/>
                      <w:sz w:val="18"/>
                      <w:szCs w:val="18"/>
                      <w:lang w:val="en-US" w:eastAsia="zh-CN"/>
                    </w:rPr>
                    <w:t>2.2</w:t>
                  </w:r>
                  <w:r>
                    <w:rPr>
                      <w:rFonts w:hint="default" w:ascii="Calibri" w:hAnsi="Calibri" w:eastAsia="楷体_GB2312" w:cs="Calibri"/>
                      <w:sz w:val="18"/>
                      <w:szCs w:val="18"/>
                    </w:rPr>
                    <w:t>%</w:t>
                  </w:r>
                </w:p>
              </w:tc>
            </w:tr>
          </w:tbl>
          <w:p w14:paraId="2916D571">
            <w:pPr>
              <w:overflowPunct w:val="0"/>
              <w:jc w:val="center"/>
              <w:rPr>
                <w:rFonts w:hint="default" w:ascii="Calibri" w:hAnsi="Calibri" w:eastAsia="楷体_GB2312" w:cs="Calibri"/>
                <w:sz w:val="10"/>
              </w:rPr>
            </w:pPr>
          </w:p>
        </w:tc>
      </w:tr>
      <w:tr w14:paraId="196BC2A9">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PrEx>
        <w:tc>
          <w:tcPr>
            <w:tcW w:w="7555" w:type="dxa"/>
            <w:tcBorders>
              <w:top w:val="single" w:color="auto" w:sz="4" w:space="0"/>
            </w:tcBorders>
          </w:tcPr>
          <w:p w14:paraId="6594D2E7">
            <w:pPr>
              <w:overflowPunct w:val="0"/>
              <w:rPr>
                <w:rFonts w:hint="default" w:ascii="Calibri" w:hAnsi="Calibri" w:eastAsia="楷体_GB2312" w:cs="Calibri"/>
                <w:i/>
                <w:iCs/>
                <w:sz w:val="15"/>
                <w:szCs w:val="15"/>
                <w:lang w:eastAsia="zh-CN"/>
              </w:rPr>
            </w:pPr>
            <w:r>
              <w:rPr>
                <w:rFonts w:hint="default" w:ascii="Calibri" w:hAnsi="Calibri" w:eastAsia="楷体_GB2312" w:cs="Calibri"/>
                <w:i/>
                <w:iCs/>
                <w:sz w:val="15"/>
                <w:szCs w:val="15"/>
              </w:rPr>
              <w:t>资料来源：Wind，</w:t>
            </w:r>
            <w:r>
              <w:rPr>
                <w:rFonts w:hint="default" w:ascii="Calibri" w:hAnsi="Calibri" w:eastAsia="楷体_GB2312" w:cs="Calibri"/>
                <w:i/>
                <w:iCs/>
                <w:sz w:val="15"/>
                <w:szCs w:val="15"/>
                <w:lang w:eastAsia="zh-CN"/>
              </w:rPr>
              <w:t>HFI</w:t>
            </w:r>
          </w:p>
        </w:tc>
      </w:tr>
    </w:tbl>
    <w:p w14:paraId="56177F98">
      <w:pPr>
        <w:overflowPunct w:val="0"/>
        <w:ind w:left="3200" w:leftChars="2000"/>
        <w:jc w:val="both"/>
        <w:rPr>
          <w:rFonts w:hint="default" w:ascii="Calibri" w:hAnsi="Calibri" w:eastAsia="楷体_GB2312" w:cs="Calibri"/>
          <w:b/>
          <w:bCs/>
          <w:color w:val="1F497D" w:themeColor="text2"/>
          <w:sz w:val="24"/>
          <w:szCs w:val="24"/>
          <w:lang w:val="en-US" w:eastAsia="zh-CN"/>
          <w14:textFill>
            <w14:solidFill>
              <w14:schemeClr w14:val="tx2"/>
            </w14:solidFill>
          </w14:textFill>
        </w:rPr>
      </w:pPr>
    </w:p>
    <w:p w14:paraId="5E86DEE1">
      <w:pPr>
        <w:overflowPunct w:val="0"/>
        <w:ind w:left="3200" w:leftChars="2000"/>
        <w:jc w:val="both"/>
        <w:rPr>
          <w:rFonts w:hint="default" w:ascii="Calibri" w:hAnsi="Calibri" w:eastAsia="楷体_GB2312" w:cs="Calibri"/>
          <w:b/>
          <w:bCs/>
          <w:color w:val="1F497D" w:themeColor="text2"/>
          <w:sz w:val="24"/>
          <w:szCs w:val="24"/>
          <w:lang w:val="en-US" w:eastAsia="zh-CN"/>
          <w14:textFill>
            <w14:solidFill>
              <w14:schemeClr w14:val="tx2"/>
            </w14:solidFill>
          </w14:textFill>
        </w:rPr>
      </w:pPr>
    </w:p>
    <w:p w14:paraId="772156D2">
      <w:pPr>
        <w:overflowPunct w:val="0"/>
        <w:ind w:left="3200" w:leftChars="2000"/>
        <w:jc w:val="both"/>
        <w:outlineLvl w:val="0"/>
        <w:rPr>
          <w:rFonts w:hint="default" w:ascii="Calibri" w:hAnsi="Calibri" w:eastAsia="楷体_GB2312" w:cs="Calibri"/>
          <w:b/>
          <w:bCs/>
          <w:color w:val="1F497D" w:themeColor="text2"/>
          <w:sz w:val="24"/>
          <w:szCs w:val="24"/>
          <w:lang w:val="en-US" w:eastAsia="zh-CN"/>
          <w14:textFill>
            <w14:solidFill>
              <w14:schemeClr w14:val="tx2"/>
            </w14:solidFill>
          </w14:textFill>
        </w:rPr>
      </w:pPr>
      <w:r>
        <w:rPr>
          <w:rFonts w:hint="default" w:ascii="Calibri" w:hAnsi="Calibri" w:eastAsia="楷体_GB2312" w:cs="Calibri"/>
        </w:rPr>
        <w:fldChar w:fldCharType="begin"/>
      </w:r>
      <w:r>
        <w:rPr>
          <w:rFonts w:hint="default" w:ascii="Calibri" w:hAnsi="Calibri" w:eastAsia="楷体_GB2312" w:cs="Calibri"/>
        </w:rPr>
        <w:instrText xml:space="preserve"> HYPERLINK \l "_Toc192787055" </w:instrText>
      </w:r>
      <w:r>
        <w:rPr>
          <w:rFonts w:hint="default" w:ascii="Calibri" w:hAnsi="Calibri" w:eastAsia="楷体_GB2312" w:cs="Calibri"/>
        </w:rPr>
        <w:fldChar w:fldCharType="separate"/>
      </w:r>
      <w:bookmarkStart w:id="28" w:name="_Toc223082610"/>
      <w:bookmarkStart w:id="29" w:name="_Toc2082544423"/>
      <w:r>
        <w:rPr>
          <w:rFonts w:hint="default" w:ascii="Calibri" w:hAnsi="Calibri" w:eastAsia="楷体_GB2312" w:cs="Calibri"/>
          <w:b/>
          <w:bCs/>
          <w:color w:val="1F497D" w:themeColor="text2"/>
          <w:sz w:val="24"/>
          <w:szCs w:val="24"/>
          <w:lang w:val="en-US" w:eastAsia="zh-CN"/>
          <w14:textFill>
            <w14:solidFill>
              <w14:schemeClr w14:val="tx2"/>
            </w14:solidFill>
          </w14:textFill>
        </w:rPr>
        <w:t>六、全球国防与航空航天</w:t>
      </w:r>
      <w:bookmarkEnd w:id="28"/>
      <w:bookmarkEnd w:id="29"/>
      <w:r>
        <w:rPr>
          <w:rFonts w:hint="default" w:ascii="Calibri" w:hAnsi="Calibri" w:eastAsia="楷体_GB2312" w:cs="Calibri"/>
          <w:b/>
          <w:bCs/>
          <w:color w:val="1F497D" w:themeColor="text2"/>
          <w:sz w:val="24"/>
          <w:szCs w:val="24"/>
          <w:lang w:val="en-US" w:eastAsia="zh-CN"/>
          <w14:textFill>
            <w14:solidFill>
              <w14:schemeClr w14:val="tx2"/>
            </w14:solidFill>
          </w14:textFill>
        </w:rPr>
        <w:fldChar w:fldCharType="end"/>
      </w:r>
      <w:bookmarkStart w:id="30" w:name="_Toc1635638555"/>
    </w:p>
    <w:p w14:paraId="550CA482">
      <w:pPr>
        <w:overflowPunct w:val="0"/>
        <w:ind w:left="3200" w:leftChars="2000"/>
        <w:jc w:val="both"/>
        <w:outlineLvl w:val="1"/>
        <w:rPr>
          <w:rFonts w:hint="default" w:ascii="Calibri" w:hAnsi="Calibri" w:eastAsia="楷体_GB2312" w:cs="Calibri"/>
          <w:b/>
          <w:bCs/>
          <w:color w:val="1F497D" w:themeColor="text2"/>
          <w:sz w:val="24"/>
          <w:szCs w:val="24"/>
          <w:lang w:val="en-US" w:eastAsia="zh-CN"/>
          <w14:textFill>
            <w14:solidFill>
              <w14:schemeClr w14:val="tx2"/>
            </w14:solidFill>
          </w14:textFill>
        </w:rPr>
      </w:pPr>
      <w:bookmarkStart w:id="31" w:name="_Toc223082611"/>
      <w:r>
        <w:rPr>
          <w:rFonts w:hint="default" w:ascii="Calibri" w:hAnsi="Calibri" w:eastAsia="楷体_GB2312" w:cs="Calibri"/>
          <w:b/>
          <w:bCs/>
          <w:color w:val="1F497D" w:themeColor="text2"/>
          <w:sz w:val="24"/>
          <w:szCs w:val="24"/>
          <w:lang w:val="en-US" w:eastAsia="zh-CN"/>
          <w14:textFill>
            <w14:solidFill>
              <w14:schemeClr w14:val="tx2"/>
            </w14:solidFill>
          </w14:textFill>
        </w:rPr>
        <w:t>（一</w:t>
      </w:r>
      <w:r>
        <w:rPr>
          <w:rFonts w:hint="default" w:ascii="Calibri" w:hAnsi="Calibri" w:eastAsia="楷体_GB2312" w:cs="Calibri"/>
        </w:rPr>
        <w:fldChar w:fldCharType="begin"/>
      </w:r>
      <w:r>
        <w:rPr>
          <w:rFonts w:hint="default" w:ascii="Calibri" w:hAnsi="Calibri" w:eastAsia="楷体_GB2312" w:cs="Calibri"/>
        </w:rPr>
        <w:instrText xml:space="preserve">HYPERLINK \l "_Toc192787048"</w:instrText>
      </w:r>
      <w:r>
        <w:rPr>
          <w:rFonts w:hint="default" w:ascii="Calibri" w:hAnsi="Calibri" w:eastAsia="楷体_GB2312" w:cs="Calibri"/>
        </w:rPr>
        <w:fldChar w:fldCharType="separate"/>
      </w:r>
      <w:r>
        <w:rPr>
          <w:rFonts w:hint="default" w:ascii="Calibri" w:hAnsi="Calibri" w:eastAsia="楷体_GB2312" w:cs="Calibri"/>
          <w:b/>
          <w:bCs/>
          <w:color w:val="1F497D" w:themeColor="text2"/>
          <w:sz w:val="24"/>
          <w:szCs w:val="24"/>
          <w:lang w:val="en-US" w:eastAsia="zh-CN"/>
          <w14:textFill>
            <w14:solidFill>
              <w14:schemeClr w14:val="tx2"/>
            </w14:solidFill>
          </w14:textFill>
        </w:rPr>
        <w:t>）航空航天</w:t>
      </w:r>
      <w:bookmarkEnd w:id="31"/>
      <w:r>
        <w:rPr>
          <w:rFonts w:hint="default" w:ascii="Calibri" w:hAnsi="Calibri" w:eastAsia="楷体_GB2312" w:cs="Calibri"/>
        </w:rPr>
        <w:fldChar w:fldCharType="end"/>
      </w:r>
      <w:bookmarkEnd w:id="30"/>
      <w:bookmarkStart w:id="32" w:name="_Toc239028638"/>
    </w:p>
    <w:p w14:paraId="610FF08F">
      <w:pPr>
        <w:pStyle w:val="45"/>
        <w:numPr>
          <w:ilvl w:val="0"/>
          <w:numId w:val="14"/>
        </w:numPr>
        <w:overflowPunct w:val="0"/>
        <w:jc w:val="both"/>
        <w:outlineLvl w:val="2"/>
        <w:rPr>
          <w:rFonts w:hint="default" w:ascii="Calibri" w:hAnsi="Calibri" w:eastAsia="楷体_GB2312" w:cs="Calibri"/>
          <w:b/>
          <w:bCs/>
          <w:color w:val="1F497D" w:themeColor="text2"/>
          <w:sz w:val="24"/>
          <w:szCs w:val="24"/>
          <w:lang w:val="en-US" w:eastAsia="zh-CN"/>
          <w14:textFill>
            <w14:solidFill>
              <w14:schemeClr w14:val="tx2"/>
            </w14:solidFill>
          </w14:textFill>
        </w:rPr>
      </w:pPr>
      <w:bookmarkStart w:id="33" w:name="_Toc223082612"/>
      <w:r>
        <w:rPr>
          <w:rFonts w:hint="default" w:ascii="Calibri" w:hAnsi="Calibri" w:eastAsia="楷体_GB2312" w:cs="Calibri"/>
          <w:b/>
          <w:bCs/>
          <w:color w:val="1F497D" w:themeColor="text2"/>
          <w:sz w:val="24"/>
          <w:szCs w:val="24"/>
          <w:lang w:val="en-US" w:eastAsia="zh-CN"/>
          <w14:textFill>
            <w14:solidFill>
              <w14:schemeClr w14:val="tx2"/>
            </w14:solidFill>
          </w14:textFill>
        </w:rPr>
        <w:t>航空航天行业动态</w:t>
      </w:r>
      <w:bookmarkEnd w:id="32"/>
      <w:bookmarkEnd w:id="33"/>
    </w:p>
    <w:p w14:paraId="3B8C75EA">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2月11日，FAA突然短暂关闭得克萨斯州埃尔帕索空域</w:t>
      </w:r>
      <w:r>
        <w:rPr>
          <w:rFonts w:hint="default" w:ascii="Calibri" w:hAnsi="Calibri" w:eastAsia="楷体_GB2312" w:cs="Calibri"/>
          <w:sz w:val="20"/>
          <w:szCs w:val="20"/>
          <w:lang w:val="en-US" w:eastAsia="zh-CN"/>
        </w:rPr>
        <w:t>。</w:t>
      </w:r>
      <w:r>
        <w:rPr>
          <w:rFonts w:hint="default" w:ascii="Calibri" w:hAnsi="Calibri" w:eastAsia="楷体_GB2312" w:cs="Calibri"/>
          <w:sz w:val="20"/>
          <w:szCs w:val="20"/>
          <w:lang w:val="en-US" w:eastAsia="zh-CN"/>
        </w:rPr>
        <w:t>2月12日的详细报道揭开了事件真相：这起事件是美国海关与边境保护局（CBP）在未与FAA协调的情况下，使用军方提供的反无人机激光设备，误将数只派对气球当作目标击落所致。</w:t>
      </w:r>
    </w:p>
    <w:p w14:paraId="1694754A">
      <w:pPr>
        <w:overflowPunct w:val="0"/>
        <w:ind w:left="3200" w:leftChars="2000"/>
        <w:jc w:val="both"/>
        <w:rPr>
          <w:rFonts w:hint="default" w:ascii="Calibri" w:hAnsi="Calibri" w:eastAsia="楷体_GB2312" w:cs="Calibri"/>
          <w:sz w:val="20"/>
          <w:szCs w:val="20"/>
          <w:lang w:val="en-US" w:eastAsia="zh-CN"/>
        </w:rPr>
      </w:pPr>
    </w:p>
    <w:p w14:paraId="58646535">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2月12日</w:t>
      </w:r>
      <w:r>
        <w:rPr>
          <w:rFonts w:hint="default" w:ascii="Calibri" w:hAnsi="Calibri" w:eastAsia="楷体_GB2312" w:cs="Calibri"/>
          <w:sz w:val="20"/>
          <w:szCs w:val="20"/>
          <w:lang w:val="en-US" w:eastAsia="zh-CN"/>
        </w:rPr>
        <w:t>，</w:t>
      </w:r>
      <w:r>
        <w:rPr>
          <w:rFonts w:hint="default" w:ascii="Calibri" w:hAnsi="Calibri" w:eastAsia="楷体_GB2312" w:cs="Calibri"/>
          <w:sz w:val="20"/>
          <w:szCs w:val="20"/>
          <w:lang w:val="en-US" w:eastAsia="zh-CN"/>
        </w:rPr>
        <w:t>Arianespace阿里安6号火箭和俄罗斯质子-M火箭原计划有发射任务，后续无确切结果公开报道。</w:t>
      </w:r>
    </w:p>
    <w:p w14:paraId="1E8B8D7B">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2月24日</w:t>
      </w:r>
      <w:r>
        <w:rPr>
          <w:rFonts w:hint="default" w:ascii="Calibri" w:hAnsi="Calibri" w:eastAsia="楷体_GB2312" w:cs="Calibri"/>
          <w:sz w:val="20"/>
          <w:szCs w:val="20"/>
          <w:lang w:val="en-US" w:eastAsia="zh-CN"/>
        </w:rPr>
        <w:t>，</w:t>
      </w:r>
      <w:r>
        <w:rPr>
          <w:rFonts w:hint="default" w:ascii="Calibri" w:hAnsi="Calibri" w:eastAsia="楷体_GB2312" w:cs="Calibri"/>
          <w:sz w:val="20"/>
          <w:szCs w:val="20"/>
          <w:lang w:val="en-US" w:eastAsia="zh-CN"/>
        </w:rPr>
        <w:t>NASA因氦气加压系统故障，将SLS火箭从发射台撤回总装大楼（VAB）进行维修，此举是为了对火箭的氦气加压系统故障进行更多维修。此前，该火箭已因氢气泄漏问题推迟了一个月。此次最新故障导致原本瞄准3月的发射窗口再次延后，搭载四名宇航员进行绕月飞行的Artemis II任务现在被推迟到至少4月</w:t>
      </w:r>
      <w:r>
        <w:rPr>
          <w:rFonts w:hint="default" w:ascii="Calibri" w:hAnsi="Calibri" w:eastAsia="楷体_GB2312" w:cs="Calibri"/>
          <w:sz w:val="20"/>
          <w:szCs w:val="20"/>
          <w:lang w:val="en-US" w:eastAsia="zh-CN"/>
        </w:rPr>
        <w:t>。</w:t>
      </w:r>
    </w:p>
    <w:p w14:paraId="6ABF5862">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2月25日</w:t>
      </w:r>
      <w:r>
        <w:rPr>
          <w:rFonts w:hint="default" w:ascii="Calibri" w:hAnsi="Calibri" w:eastAsia="楷体_GB2312" w:cs="Calibri"/>
          <w:sz w:val="20"/>
          <w:szCs w:val="20"/>
          <w:lang w:val="en-US" w:eastAsia="zh-CN"/>
        </w:rPr>
        <w:t>，</w:t>
      </w:r>
      <w:r>
        <w:rPr>
          <w:rFonts w:hint="default" w:ascii="Calibri" w:hAnsi="Calibri" w:eastAsia="楷体_GB2312" w:cs="Calibri"/>
          <w:sz w:val="20"/>
          <w:szCs w:val="20"/>
          <w:lang w:val="en-US" w:eastAsia="zh-CN"/>
        </w:rPr>
        <w:t>Firefly Aerospace Alpha火箭第7次任务（Flight 7）旨在验证Block II升级技术，包括加长箭体、自主航电和热防护系统。尽管此前已完成静态点火测试并计划不早于2月18日发射</w:t>
      </w:r>
      <w:r>
        <w:rPr>
          <w:rFonts w:hint="default" w:ascii="Calibri" w:hAnsi="Calibri" w:eastAsia="楷体_GB2312" w:cs="Calibri"/>
          <w:sz w:val="20"/>
          <w:szCs w:val="20"/>
          <w:lang w:val="en-US" w:eastAsia="zh-CN"/>
        </w:rPr>
        <w:t>，但截至2月25日，该任务仍在待命状态</w:t>
      </w:r>
      <w:r>
        <w:rPr>
          <w:rFonts w:hint="default" w:ascii="Calibri" w:hAnsi="Calibri" w:eastAsia="楷体_GB2312" w:cs="Calibri"/>
          <w:sz w:val="20"/>
          <w:szCs w:val="20"/>
          <w:lang w:val="en-US" w:eastAsia="zh-CN"/>
        </w:rPr>
        <w:t>新的发射窗口调整为2月27日。</w:t>
      </w:r>
    </w:p>
    <w:p w14:paraId="49AEAA5A">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2月27日</w:t>
      </w:r>
      <w:r>
        <w:rPr>
          <w:rFonts w:hint="default" w:ascii="Calibri" w:hAnsi="Calibri" w:eastAsia="楷体_GB2312" w:cs="Calibri"/>
          <w:sz w:val="20"/>
          <w:szCs w:val="20"/>
          <w:lang w:val="en-US" w:eastAsia="zh-CN"/>
        </w:rPr>
        <w:t>，</w:t>
      </w:r>
      <w:r>
        <w:rPr>
          <w:rFonts w:hint="default" w:ascii="Calibri" w:hAnsi="Calibri" w:eastAsia="楷体_GB2312" w:cs="Calibri"/>
          <w:sz w:val="20"/>
          <w:szCs w:val="20"/>
          <w:lang w:val="en-US" w:eastAsia="zh-CN"/>
        </w:rPr>
        <w:t>SpaceX计划执行Starlink 6-108任务，从佛州卡纳维拉尔角发射29颗星链卫星。</w:t>
      </w:r>
    </w:p>
    <w:p w14:paraId="4CCA171C">
      <w:pPr>
        <w:overflowPunct w:val="0"/>
        <w:ind w:left="3200" w:leftChars="2000"/>
        <w:jc w:val="both"/>
        <w:rPr>
          <w:rFonts w:hint="default" w:ascii="Calibri" w:hAnsi="Calibri" w:eastAsia="楷体_GB2312" w:cs="Calibri"/>
          <w:sz w:val="20"/>
          <w:szCs w:val="20"/>
          <w:lang w:val="en-US" w:eastAsia="zh-CN"/>
        </w:rPr>
      </w:pPr>
    </w:p>
    <w:p w14:paraId="7FE573E5">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总体而言，</w:t>
      </w:r>
      <w:r>
        <w:rPr>
          <w:rFonts w:hint="default" w:ascii="Calibri" w:hAnsi="Calibri" w:eastAsia="楷体_GB2312" w:cs="Calibri"/>
          <w:sz w:val="20"/>
          <w:szCs w:val="20"/>
          <w:lang w:val="en-US" w:eastAsia="zh-CN"/>
        </w:rPr>
        <w:t>商业航天快速迭代和地缘政治影响两大特点，在本周期内依然显著。SpaceX和Firefly正按计划推进下一次发射，而NASA的载人登月计划则再次显示出大型太空探索项目所面临的巨大工程挑战。</w:t>
      </w:r>
    </w:p>
    <w:p w14:paraId="209C1985">
      <w:pPr>
        <w:overflowPunct w:val="0"/>
        <w:ind w:left="3200" w:leftChars="2000"/>
        <w:jc w:val="both"/>
        <w:rPr>
          <w:rFonts w:hint="default" w:ascii="Calibri" w:hAnsi="Calibri" w:eastAsia="楷体_GB2312" w:cs="Calibri"/>
          <w:b/>
          <w:bCs/>
          <w:color w:val="1F497D" w:themeColor="text2"/>
          <w:sz w:val="24"/>
          <w:szCs w:val="24"/>
          <w:lang w:eastAsia="zh-CN"/>
          <w14:textFill>
            <w14:solidFill>
              <w14:schemeClr w14:val="tx2"/>
            </w14:solidFill>
          </w14:textFill>
        </w:rPr>
      </w:pPr>
    </w:p>
    <w:p w14:paraId="1F8BCA93">
      <w:pPr>
        <w:overflowPunct w:val="0"/>
        <w:ind w:left="3200" w:leftChars="2000"/>
        <w:jc w:val="both"/>
        <w:outlineLvl w:val="2"/>
        <w:rPr>
          <w:rFonts w:hint="default" w:ascii="Calibri" w:hAnsi="Calibri" w:eastAsia="楷体_GB2312" w:cs="Calibri"/>
          <w:b/>
          <w:bCs/>
          <w:color w:val="1F497D" w:themeColor="text2"/>
          <w:sz w:val="24"/>
          <w:szCs w:val="24"/>
          <w:lang w:val="en-US" w:eastAsia="zh-CN"/>
          <w14:textFill>
            <w14:solidFill>
              <w14:schemeClr w14:val="tx2"/>
            </w14:solidFill>
          </w14:textFill>
        </w:rPr>
      </w:pPr>
      <w:bookmarkStart w:id="34" w:name="_Toc1559898976"/>
      <w:bookmarkStart w:id="35" w:name="_Toc223082613"/>
      <w:r>
        <w:rPr>
          <w:rFonts w:hint="default" w:ascii="Calibri" w:hAnsi="Calibri" w:eastAsia="楷体_GB2312" w:cs="Calibri"/>
          <w:b/>
          <w:bCs/>
          <w:color w:val="1F497D" w:themeColor="text2"/>
          <w:sz w:val="24"/>
          <w:szCs w:val="24"/>
          <w:lang w:val="en-US" w:eastAsia="zh-CN"/>
          <w14:textFill>
            <w14:solidFill>
              <w14:schemeClr w14:val="tx2"/>
            </w14:solidFill>
          </w14:textFill>
        </w:rPr>
        <w:t>（2）</w:t>
      </w:r>
      <w:bookmarkEnd w:id="34"/>
      <w:r>
        <w:rPr>
          <w:rFonts w:hint="default" w:ascii="Calibri" w:hAnsi="Calibri" w:eastAsia="楷体_GB2312" w:cs="Calibri"/>
          <w:b/>
          <w:bCs/>
          <w:color w:val="1F497D" w:themeColor="text2"/>
          <w:sz w:val="24"/>
          <w:szCs w:val="24"/>
          <w:lang w:val="en-US" w:eastAsia="zh-CN"/>
          <w14:textFill>
            <w14:solidFill>
              <w14:schemeClr w14:val="tx2"/>
            </w14:solidFill>
          </w14:textFill>
        </w:rPr>
        <w:t>航空航天价格指数</w:t>
      </w:r>
      <w:bookmarkEnd w:id="35"/>
    </w:p>
    <w:p w14:paraId="50E73946">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美国飞机发动机和发动机部件制造价格指数月环比稳定。</w:t>
      </w:r>
      <w:r>
        <w:rPr>
          <w:rFonts w:hint="default" w:ascii="Calibri" w:hAnsi="Calibri" w:eastAsia="楷体_GB2312" w:cs="Calibri"/>
          <w:sz w:val="20"/>
          <w:szCs w:val="20"/>
          <w:lang w:val="en-US" w:eastAsia="zh-CN"/>
        </w:rPr>
        <w:t>飞机发动机和发动机部件制造价格指数2025年12月为275.942，环比+0.35%，同比增长1.44%。</w:t>
      </w:r>
    </w:p>
    <w:p w14:paraId="518D2465">
      <w:pPr>
        <w:overflowPunct w:val="0"/>
        <w:jc w:val="both"/>
        <w:rPr>
          <w:rFonts w:hint="default" w:ascii="Calibri" w:hAnsi="Calibri" w:eastAsia="楷体_GB2312" w:cs="Calibri"/>
          <w:sz w:val="20"/>
          <w:szCs w:val="20"/>
          <w:lang w:val="en-US" w:eastAsia="zh-CN"/>
        </w:rPr>
      </w:pPr>
    </w:p>
    <w:p w14:paraId="2EBA1B19">
      <w:pPr>
        <w:overflowPunct w:val="0"/>
        <w:ind w:left="3200" w:leftChars="2000"/>
        <w:jc w:val="both"/>
        <w:rPr>
          <w:rFonts w:hint="default" w:ascii="Calibri" w:hAnsi="Calibri" w:eastAsia="楷体_GB2312" w:cs="Calibri"/>
          <w:sz w:val="20"/>
          <w:szCs w:val="20"/>
          <w:lang w:val="en-US" w:eastAsia="zh-CN"/>
        </w:rPr>
      </w:pPr>
    </w:p>
    <w:tbl>
      <w:tblPr>
        <w:tblStyle w:val="27"/>
        <w:tblW w:w="7555" w:type="dxa"/>
        <w:tblInd w:w="2935"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7555"/>
      </w:tblGrid>
      <w:tr w14:paraId="1E60423E">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7555" w:type="dxa"/>
            <w:tcBorders>
              <w:bottom w:val="single" w:color="auto" w:sz="4" w:space="0"/>
            </w:tcBorders>
          </w:tcPr>
          <w:p w14:paraId="34AE50D8">
            <w:pPr>
              <w:overflowPunct w:val="0"/>
              <w:rPr>
                <w:rFonts w:hint="default" w:ascii="Calibri" w:hAnsi="Calibri" w:eastAsia="楷体_GB2312" w:cs="Calibri"/>
                <w:b/>
                <w:szCs w:val="20"/>
                <w:lang w:eastAsia="zh-CN"/>
              </w:rPr>
            </w:pPr>
            <w:r>
              <w:rPr>
                <w:rFonts w:hint="default" w:ascii="Calibri" w:hAnsi="Calibri" w:eastAsia="楷体_GB2312" w:cs="Calibri"/>
                <w:b/>
                <w:sz w:val="18"/>
                <w:szCs w:val="18"/>
                <w:lang w:val="zh-CN" w:eastAsia="zh-CN"/>
              </w:rPr>
              <w:t>图</w:t>
            </w:r>
            <w:r>
              <w:rPr>
                <w:rFonts w:hint="default" w:ascii="Calibri" w:hAnsi="Calibri" w:eastAsia="楷体_GB2312" w:cs="Calibri"/>
                <w:b/>
                <w:sz w:val="18"/>
                <w:szCs w:val="18"/>
                <w:lang w:val="en-US" w:eastAsia="zh-CN"/>
              </w:rPr>
              <w:t>38</w:t>
            </w:r>
            <w:r>
              <w:rPr>
                <w:rFonts w:hint="default" w:ascii="Calibri" w:hAnsi="Calibri" w:eastAsia="楷体_GB2312" w:cs="Calibri"/>
                <w:b/>
                <w:sz w:val="18"/>
                <w:szCs w:val="18"/>
                <w:lang w:val="zh-CN" w:eastAsia="zh-CN"/>
              </w:rPr>
              <w:t>:美国飞机发动机和发动机部件制造价格指数</w:t>
            </w:r>
          </w:p>
        </w:tc>
      </w:tr>
      <w:tr w14:paraId="5E7924C2">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2526" w:hRule="atLeast"/>
        </w:trPr>
        <w:tc>
          <w:tcPr>
            <w:tcW w:w="7555" w:type="dxa"/>
            <w:tcBorders>
              <w:top w:val="single" w:color="auto" w:sz="4" w:space="0"/>
              <w:bottom w:val="single" w:color="auto" w:sz="4" w:space="0"/>
            </w:tcBorders>
            <w:vAlign w:val="center"/>
          </w:tcPr>
          <w:p w14:paraId="6DD9FAD8">
            <w:pPr>
              <w:overflowPunct w:val="0"/>
              <w:jc w:val="center"/>
              <w:rPr>
                <w:rFonts w:hint="default" w:ascii="Calibri" w:hAnsi="Calibri" w:eastAsia="楷体_GB2312" w:cs="Calibri"/>
                <w:sz w:val="10"/>
              </w:rPr>
            </w:pPr>
            <w:r>
              <w:rPr>
                <w:rFonts w:hint="default" w:ascii="Calibri" w:hAnsi="Calibri" w:eastAsia="楷体_GB2312" w:cs="Calibri"/>
              </w:rPr>
              <w:drawing>
                <wp:inline distT="0" distB="0" distL="114300" distR="114300">
                  <wp:extent cx="4596765" cy="1851025"/>
                  <wp:effectExtent l="0" t="0" r="635" b="3175"/>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50"/>
                          <a:stretch>
                            <a:fillRect/>
                          </a:stretch>
                        </pic:blipFill>
                        <pic:spPr>
                          <a:xfrm>
                            <a:off x="0" y="0"/>
                            <a:ext cx="4596765" cy="1851025"/>
                          </a:xfrm>
                          <a:prstGeom prst="rect">
                            <a:avLst/>
                          </a:prstGeom>
                          <a:noFill/>
                          <a:ln>
                            <a:noFill/>
                          </a:ln>
                        </pic:spPr>
                      </pic:pic>
                    </a:graphicData>
                  </a:graphic>
                </wp:inline>
              </w:drawing>
            </w:r>
          </w:p>
        </w:tc>
      </w:tr>
      <w:tr w14:paraId="2A82FB4F">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7555" w:type="dxa"/>
            <w:tcBorders>
              <w:top w:val="single" w:color="auto" w:sz="4" w:space="0"/>
            </w:tcBorders>
          </w:tcPr>
          <w:p w14:paraId="6883FCB8">
            <w:pPr>
              <w:overflowPunct w:val="0"/>
              <w:rPr>
                <w:rFonts w:hint="default" w:ascii="Calibri" w:hAnsi="Calibri" w:eastAsia="楷体_GB2312" w:cs="Calibri"/>
                <w:i/>
                <w:iCs/>
                <w:sz w:val="15"/>
                <w:szCs w:val="15"/>
                <w:lang w:eastAsia="zh-CN"/>
              </w:rPr>
            </w:pPr>
            <w:r>
              <w:rPr>
                <w:rFonts w:hint="default" w:ascii="Calibri" w:hAnsi="Calibri" w:eastAsia="楷体_GB2312" w:cs="Calibri"/>
                <w:i/>
                <w:iCs/>
                <w:sz w:val="15"/>
                <w:szCs w:val="15"/>
              </w:rPr>
              <w:t>资料来源：U.S. Bureau of Labor Statistics，</w:t>
            </w:r>
            <w:r>
              <w:rPr>
                <w:rFonts w:hint="default" w:ascii="Calibri" w:hAnsi="Calibri" w:eastAsia="楷体_GB2312" w:cs="Calibri"/>
                <w:i/>
                <w:iCs/>
                <w:sz w:val="15"/>
                <w:szCs w:val="15"/>
                <w:lang w:eastAsia="zh-CN"/>
              </w:rPr>
              <w:t>HFI</w:t>
            </w:r>
          </w:p>
        </w:tc>
      </w:tr>
    </w:tbl>
    <w:p w14:paraId="7DEFBEB7">
      <w:pPr>
        <w:overflowPunct w:val="0"/>
        <w:ind w:left="3200" w:leftChars="2000"/>
        <w:jc w:val="both"/>
        <w:rPr>
          <w:rFonts w:hint="default" w:ascii="Calibri" w:hAnsi="Calibri" w:eastAsia="楷体_GB2312" w:cs="Calibri"/>
          <w:b/>
          <w:bCs/>
          <w:sz w:val="20"/>
          <w:szCs w:val="20"/>
          <w:lang w:val="en-US" w:eastAsia="zh-CN"/>
        </w:rPr>
      </w:pPr>
    </w:p>
    <w:p w14:paraId="71747B72">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美国飞机发动机和发动机零部件制造：飞机发动机零部件价格指数月环比稳定。</w:t>
      </w:r>
      <w:r>
        <w:rPr>
          <w:rFonts w:hint="default" w:ascii="Calibri" w:hAnsi="Calibri" w:eastAsia="楷体_GB2312" w:cs="Calibri"/>
          <w:sz w:val="20"/>
          <w:szCs w:val="20"/>
          <w:lang w:val="en-US" w:eastAsia="zh-CN"/>
        </w:rPr>
        <w:t>飞机发动机和发动机零部件制造：飞机发动机零部件价格指数2025年12月为292.545，环比+0.7%，同比增长3.7%。</w:t>
      </w:r>
    </w:p>
    <w:p w14:paraId="1CB0C61E">
      <w:pPr>
        <w:overflowPunct w:val="0"/>
        <w:ind w:left="3200" w:leftChars="2000"/>
        <w:jc w:val="both"/>
        <w:rPr>
          <w:rFonts w:hint="default" w:ascii="Calibri" w:hAnsi="Calibri" w:eastAsia="楷体_GB2312" w:cs="Calibri"/>
          <w:sz w:val="20"/>
          <w:szCs w:val="20"/>
          <w:lang w:val="en-US" w:eastAsia="zh-CN"/>
        </w:rPr>
      </w:pPr>
    </w:p>
    <w:tbl>
      <w:tblPr>
        <w:tblStyle w:val="27"/>
        <w:tblW w:w="7555" w:type="dxa"/>
        <w:tblInd w:w="2935"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7555"/>
      </w:tblGrid>
      <w:tr w14:paraId="432CB89D">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PrEx>
        <w:tc>
          <w:tcPr>
            <w:tcW w:w="7555" w:type="dxa"/>
            <w:tcBorders>
              <w:bottom w:val="single" w:color="auto" w:sz="4" w:space="0"/>
            </w:tcBorders>
          </w:tcPr>
          <w:p w14:paraId="44AD308F">
            <w:pPr>
              <w:overflowPunct w:val="0"/>
              <w:rPr>
                <w:rFonts w:hint="default" w:ascii="Calibri" w:hAnsi="Calibri" w:eastAsia="楷体_GB2312" w:cs="Calibri"/>
                <w:b/>
                <w:szCs w:val="20"/>
                <w:lang w:eastAsia="zh-CN"/>
              </w:rPr>
            </w:pPr>
            <w:r>
              <w:rPr>
                <w:rFonts w:hint="default" w:ascii="Calibri" w:hAnsi="Calibri" w:eastAsia="楷体_GB2312" w:cs="Calibri"/>
                <w:b/>
                <w:sz w:val="18"/>
                <w:szCs w:val="18"/>
                <w:lang w:val="zh-CN" w:eastAsia="zh-CN"/>
              </w:rPr>
              <w:t>图</w:t>
            </w:r>
            <w:r>
              <w:rPr>
                <w:rFonts w:hint="default" w:ascii="Calibri" w:hAnsi="Calibri" w:eastAsia="楷体_GB2312" w:cs="Calibri"/>
                <w:b/>
                <w:sz w:val="18"/>
                <w:szCs w:val="18"/>
                <w:lang w:val="en-US" w:eastAsia="zh-CN"/>
              </w:rPr>
              <w:t>39</w:t>
            </w:r>
            <w:r>
              <w:rPr>
                <w:rFonts w:hint="default" w:ascii="Calibri" w:hAnsi="Calibri" w:eastAsia="楷体_GB2312" w:cs="Calibri"/>
                <w:b/>
                <w:sz w:val="18"/>
                <w:szCs w:val="18"/>
                <w:lang w:val="zh-CN" w:eastAsia="zh-CN"/>
              </w:rPr>
              <w:t>: 美国飞机发动机和发动机零部件制造： 飞机发动机零部件价格指数</w:t>
            </w:r>
          </w:p>
        </w:tc>
      </w:tr>
      <w:tr w14:paraId="665D8945">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2526" w:hRule="atLeast"/>
        </w:trPr>
        <w:tc>
          <w:tcPr>
            <w:tcW w:w="7555" w:type="dxa"/>
            <w:tcBorders>
              <w:top w:val="single" w:color="auto" w:sz="4" w:space="0"/>
              <w:bottom w:val="single" w:color="auto" w:sz="4" w:space="0"/>
            </w:tcBorders>
            <w:vAlign w:val="center"/>
          </w:tcPr>
          <w:p w14:paraId="25B330A2">
            <w:pPr>
              <w:overflowPunct w:val="0"/>
              <w:jc w:val="center"/>
              <w:rPr>
                <w:rFonts w:hint="default" w:ascii="Calibri" w:hAnsi="Calibri" w:eastAsia="楷体_GB2312" w:cs="Calibri"/>
                <w:sz w:val="10"/>
              </w:rPr>
            </w:pPr>
            <w:r>
              <w:rPr>
                <w:rFonts w:hint="default" w:ascii="Calibri" w:hAnsi="Calibri" w:eastAsia="楷体_GB2312" w:cs="Calibri"/>
              </w:rPr>
              <w:drawing>
                <wp:inline distT="0" distB="0" distL="114300" distR="114300">
                  <wp:extent cx="4596765" cy="1851025"/>
                  <wp:effectExtent l="0" t="0" r="635" b="3175"/>
                  <wp:docPr id="102239230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92309" name="图片 2"/>
                          <pic:cNvPicPr>
                            <a:picLocks noChangeAspect="1"/>
                          </pic:cNvPicPr>
                        </pic:nvPicPr>
                        <pic:blipFill>
                          <a:blip r:embed="rId50"/>
                          <a:stretch>
                            <a:fillRect/>
                          </a:stretch>
                        </pic:blipFill>
                        <pic:spPr>
                          <a:xfrm>
                            <a:off x="0" y="0"/>
                            <a:ext cx="4596765" cy="1851025"/>
                          </a:xfrm>
                          <a:prstGeom prst="rect">
                            <a:avLst/>
                          </a:prstGeom>
                          <a:noFill/>
                          <a:ln>
                            <a:noFill/>
                          </a:ln>
                        </pic:spPr>
                      </pic:pic>
                    </a:graphicData>
                  </a:graphic>
                </wp:inline>
              </w:drawing>
            </w:r>
          </w:p>
        </w:tc>
      </w:tr>
      <w:tr w14:paraId="0CF1E1AD">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7555" w:type="dxa"/>
            <w:tcBorders>
              <w:top w:val="single" w:color="auto" w:sz="4" w:space="0"/>
            </w:tcBorders>
          </w:tcPr>
          <w:p w14:paraId="2D6814C7">
            <w:pPr>
              <w:overflowPunct w:val="0"/>
              <w:rPr>
                <w:rFonts w:hint="default" w:ascii="Calibri" w:hAnsi="Calibri" w:eastAsia="楷体_GB2312" w:cs="Calibri"/>
                <w:i/>
                <w:iCs/>
                <w:sz w:val="15"/>
                <w:szCs w:val="15"/>
                <w:lang w:eastAsia="zh-CN"/>
              </w:rPr>
            </w:pPr>
            <w:r>
              <w:rPr>
                <w:rFonts w:hint="default" w:ascii="Calibri" w:hAnsi="Calibri" w:eastAsia="楷体_GB2312" w:cs="Calibri"/>
                <w:i/>
                <w:iCs/>
                <w:sz w:val="15"/>
                <w:szCs w:val="15"/>
              </w:rPr>
              <w:t>资料来源：U.S. Bureau of Labor Statistics，</w:t>
            </w:r>
            <w:r>
              <w:rPr>
                <w:rFonts w:hint="default" w:ascii="Calibri" w:hAnsi="Calibri" w:eastAsia="楷体_GB2312" w:cs="Calibri"/>
                <w:i/>
                <w:iCs/>
                <w:sz w:val="15"/>
                <w:szCs w:val="15"/>
                <w:lang w:eastAsia="zh-CN"/>
              </w:rPr>
              <w:t>HFI</w:t>
            </w:r>
          </w:p>
        </w:tc>
      </w:tr>
    </w:tbl>
    <w:p w14:paraId="366B52FC">
      <w:pPr>
        <w:overflowPunct w:val="0"/>
        <w:ind w:left="3200" w:leftChars="2000"/>
        <w:jc w:val="both"/>
        <w:rPr>
          <w:rFonts w:hint="default" w:ascii="Calibri" w:hAnsi="Calibri" w:eastAsia="楷体_GB2312" w:cs="Calibri"/>
          <w:sz w:val="20"/>
          <w:szCs w:val="20"/>
          <w:lang w:val="en-US" w:eastAsia="zh-CN"/>
        </w:rPr>
      </w:pPr>
    </w:p>
    <w:p w14:paraId="4E5B5CAC">
      <w:pPr>
        <w:overflowPunct w:val="0"/>
        <w:ind w:left="3200" w:leftChars="2000"/>
        <w:jc w:val="both"/>
        <w:outlineLvl w:val="2"/>
        <w:rPr>
          <w:rFonts w:hint="default" w:ascii="Calibri" w:hAnsi="Calibri" w:eastAsia="楷体_GB2312" w:cs="Calibri"/>
          <w:b/>
          <w:bCs/>
          <w:color w:val="1F497D" w:themeColor="text2"/>
          <w:sz w:val="24"/>
          <w:szCs w:val="24"/>
          <w:lang w:val="en-US" w:eastAsia="zh-CN"/>
          <w14:textFill>
            <w14:solidFill>
              <w14:schemeClr w14:val="tx2"/>
            </w14:solidFill>
          </w14:textFill>
        </w:rPr>
      </w:pPr>
      <w:bookmarkStart w:id="36" w:name="_Toc223082614"/>
      <w:r>
        <w:rPr>
          <w:rFonts w:hint="default" w:ascii="Calibri" w:hAnsi="Calibri" w:eastAsia="楷体_GB2312" w:cs="Calibri"/>
          <w:b/>
          <w:bCs/>
          <w:color w:val="1F497D" w:themeColor="text2"/>
          <w:sz w:val="24"/>
          <w:szCs w:val="24"/>
          <w:lang w:val="en-US" w:eastAsia="zh-CN"/>
          <w14:textFill>
            <w14:solidFill>
              <w14:schemeClr w14:val="tx2"/>
            </w14:solidFill>
          </w14:textFill>
        </w:rPr>
        <w:t>（3）航空航天空中流量</w:t>
      </w:r>
      <w:bookmarkEnd w:id="36"/>
    </w:p>
    <w:p w14:paraId="21FF0522">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2025年12月全球总收益客公里（RPK）同比增长5.6%，可用座位公里（ASK）同比增长5.9%。</w:t>
      </w:r>
    </w:p>
    <w:p w14:paraId="4F74AA3D">
      <w:pPr>
        <w:overflowPunct w:val="0"/>
        <w:ind w:left="3200" w:leftChars="2000"/>
        <w:jc w:val="both"/>
        <w:rPr>
          <w:rFonts w:hint="default" w:ascii="Calibri" w:hAnsi="Calibri" w:eastAsia="楷体_GB2312" w:cs="Calibri"/>
          <w:sz w:val="20"/>
          <w:szCs w:val="20"/>
          <w:lang w:val="en-US" w:eastAsia="zh-CN"/>
        </w:rPr>
      </w:pPr>
    </w:p>
    <w:tbl>
      <w:tblPr>
        <w:tblStyle w:val="27"/>
        <w:tblW w:w="7555" w:type="dxa"/>
        <w:tblInd w:w="2935"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7555"/>
      </w:tblGrid>
      <w:tr w14:paraId="11943DC2">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PrEx>
        <w:tc>
          <w:tcPr>
            <w:tcW w:w="7555" w:type="dxa"/>
            <w:tcBorders>
              <w:bottom w:val="single" w:color="auto" w:sz="4" w:space="0"/>
            </w:tcBorders>
          </w:tcPr>
          <w:p w14:paraId="49B3CB8A">
            <w:pPr>
              <w:overflowPunct w:val="0"/>
              <w:rPr>
                <w:rFonts w:hint="default" w:ascii="Calibri" w:hAnsi="Calibri" w:eastAsia="楷体_GB2312" w:cs="Calibri"/>
                <w:b/>
                <w:szCs w:val="20"/>
                <w:lang w:eastAsia="zh-CN"/>
              </w:rPr>
            </w:pPr>
            <w:r>
              <w:rPr>
                <w:rFonts w:hint="default" w:ascii="Calibri" w:hAnsi="Calibri" w:eastAsia="楷体_GB2312" w:cs="Calibri"/>
                <w:b/>
                <w:sz w:val="18"/>
                <w:szCs w:val="18"/>
                <w:lang w:val="zh-CN" w:eastAsia="zh-CN"/>
              </w:rPr>
              <w:t>图</w:t>
            </w:r>
            <w:r>
              <w:rPr>
                <w:rFonts w:hint="default" w:ascii="Calibri" w:hAnsi="Calibri" w:eastAsia="楷体_GB2312" w:cs="Calibri"/>
                <w:b/>
                <w:sz w:val="18"/>
                <w:szCs w:val="18"/>
                <w:lang w:val="en-US" w:eastAsia="zh-CN"/>
              </w:rPr>
              <w:t>4</w:t>
            </w:r>
            <w:r>
              <w:rPr>
                <w:rFonts w:hint="default" w:ascii="Calibri" w:hAnsi="Calibri" w:eastAsia="楷体_GB2312" w:cs="Calibri"/>
                <w:b/>
                <w:sz w:val="18"/>
                <w:szCs w:val="18"/>
                <w:lang w:val="en-US" w:eastAsia="zh-CN"/>
              </w:rPr>
              <w:t>0</w:t>
            </w:r>
            <w:r>
              <w:rPr>
                <w:rFonts w:hint="default" w:ascii="Calibri" w:hAnsi="Calibri" w:eastAsia="楷体_GB2312" w:cs="Calibri"/>
                <w:b/>
                <w:sz w:val="18"/>
                <w:szCs w:val="18"/>
                <w:lang w:val="zh-CN" w:eastAsia="zh-CN"/>
              </w:rPr>
              <w:t>:</w:t>
            </w:r>
            <w:r>
              <w:rPr>
                <w:rFonts w:hint="default" w:ascii="Calibri" w:hAnsi="Calibri" w:eastAsia="楷体_GB2312" w:cs="Calibri"/>
                <w:lang w:eastAsia="zh-CN"/>
              </w:rPr>
              <w:t xml:space="preserve"> </w:t>
            </w:r>
            <w:r>
              <w:rPr>
                <w:rFonts w:hint="default" w:ascii="Calibri" w:hAnsi="Calibri" w:eastAsia="楷体_GB2312" w:cs="Calibri"/>
                <w:b/>
                <w:sz w:val="18"/>
                <w:szCs w:val="18"/>
                <w:lang w:val="zh-CN" w:eastAsia="zh-CN"/>
              </w:rPr>
              <w:t xml:space="preserve">全球空中流量（2025年12月） </w:t>
            </w:r>
          </w:p>
        </w:tc>
      </w:tr>
      <w:tr w14:paraId="70983AD3">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2526" w:hRule="atLeast"/>
        </w:trPr>
        <w:tc>
          <w:tcPr>
            <w:tcW w:w="7555" w:type="dxa"/>
            <w:tcBorders>
              <w:top w:val="single" w:color="auto" w:sz="4" w:space="0"/>
              <w:bottom w:val="single" w:color="auto" w:sz="4" w:space="0"/>
            </w:tcBorders>
            <w:vAlign w:val="center"/>
          </w:tcPr>
          <w:p w14:paraId="7F120008">
            <w:pPr>
              <w:overflowPunct w:val="0"/>
              <w:jc w:val="center"/>
              <w:rPr>
                <w:rFonts w:hint="default" w:ascii="Calibri" w:hAnsi="Calibri" w:eastAsia="楷体_GB2312" w:cs="Calibri"/>
                <w:sz w:val="10"/>
              </w:rPr>
            </w:pPr>
            <w:r>
              <w:rPr>
                <w:rFonts w:hint="default" w:ascii="Calibri" w:hAnsi="Calibri" w:eastAsia="楷体_GB2312" w:cs="Calibri"/>
              </w:rPr>
              <w:drawing>
                <wp:inline distT="0" distB="0" distL="114300" distR="114300">
                  <wp:extent cx="4603750" cy="3943350"/>
                  <wp:effectExtent l="0" t="0" r="6350" b="635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51"/>
                          <a:stretch>
                            <a:fillRect/>
                          </a:stretch>
                        </pic:blipFill>
                        <pic:spPr>
                          <a:xfrm>
                            <a:off x="0" y="0"/>
                            <a:ext cx="4603750" cy="3943350"/>
                          </a:xfrm>
                          <a:prstGeom prst="rect">
                            <a:avLst/>
                          </a:prstGeom>
                          <a:noFill/>
                          <a:ln>
                            <a:noFill/>
                          </a:ln>
                        </pic:spPr>
                      </pic:pic>
                    </a:graphicData>
                  </a:graphic>
                </wp:inline>
              </w:drawing>
            </w:r>
          </w:p>
        </w:tc>
      </w:tr>
      <w:tr w14:paraId="274EB46A">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PrEx>
        <w:tc>
          <w:tcPr>
            <w:tcW w:w="7555" w:type="dxa"/>
            <w:tcBorders>
              <w:top w:val="single" w:color="auto" w:sz="4" w:space="0"/>
            </w:tcBorders>
          </w:tcPr>
          <w:p w14:paraId="1B159DAD">
            <w:pPr>
              <w:overflowPunct w:val="0"/>
              <w:rPr>
                <w:rFonts w:hint="default" w:ascii="Calibri" w:hAnsi="Calibri" w:eastAsia="楷体_GB2312" w:cs="Calibri"/>
                <w:i/>
                <w:iCs/>
                <w:sz w:val="15"/>
                <w:szCs w:val="15"/>
                <w:lang w:eastAsia="zh-CN"/>
              </w:rPr>
            </w:pPr>
            <w:r>
              <w:rPr>
                <w:rFonts w:hint="default" w:ascii="Calibri" w:hAnsi="Calibri" w:eastAsia="楷体_GB2312" w:cs="Calibri"/>
                <w:i/>
                <w:iCs/>
                <w:sz w:val="15"/>
                <w:szCs w:val="15"/>
              </w:rPr>
              <w:t>资料来源：</w:t>
            </w:r>
            <w:r>
              <w:rPr>
                <w:rFonts w:hint="default" w:ascii="Calibri" w:hAnsi="Calibri" w:eastAsia="楷体_GB2312" w:cs="Calibri"/>
                <w:i/>
                <w:iCs/>
                <w:sz w:val="15"/>
                <w:szCs w:val="15"/>
                <w:lang w:eastAsia="zh-CN"/>
              </w:rPr>
              <w:t>AITA</w:t>
            </w:r>
            <w:r>
              <w:rPr>
                <w:rFonts w:hint="default" w:ascii="Calibri" w:hAnsi="Calibri" w:eastAsia="楷体_GB2312" w:cs="Calibri"/>
                <w:i/>
                <w:iCs/>
                <w:sz w:val="15"/>
                <w:szCs w:val="15"/>
              </w:rPr>
              <w:t>，</w:t>
            </w:r>
            <w:r>
              <w:rPr>
                <w:rFonts w:hint="default" w:ascii="Calibri" w:hAnsi="Calibri" w:eastAsia="楷体_GB2312" w:cs="Calibri"/>
                <w:i/>
                <w:iCs/>
                <w:sz w:val="15"/>
                <w:szCs w:val="15"/>
                <w:lang w:eastAsia="zh-CN"/>
              </w:rPr>
              <w:t>HFI</w:t>
            </w:r>
          </w:p>
        </w:tc>
      </w:tr>
    </w:tbl>
    <w:p w14:paraId="116C13B0">
      <w:pPr>
        <w:overflowPunct w:val="0"/>
        <w:ind w:left="3200" w:leftChars="2000"/>
        <w:jc w:val="both"/>
        <w:rPr>
          <w:rFonts w:hint="default" w:ascii="Calibri" w:hAnsi="Calibri" w:eastAsia="楷体_GB2312" w:cs="Calibri"/>
          <w:sz w:val="20"/>
          <w:szCs w:val="20"/>
          <w:lang w:val="en-US" w:eastAsia="zh-CN"/>
        </w:rPr>
      </w:pPr>
    </w:p>
    <w:p w14:paraId="7A3BFDDB">
      <w:pPr>
        <w:overflowPunct w:val="0"/>
        <w:ind w:left="3200" w:leftChars="2000"/>
        <w:jc w:val="both"/>
        <w:rPr>
          <w:rFonts w:hint="default" w:ascii="Calibri" w:hAnsi="Calibri" w:eastAsia="楷体_GB2312" w:cs="Calibri"/>
          <w:sz w:val="20"/>
          <w:szCs w:val="20"/>
          <w:lang w:val="en-US" w:eastAsia="zh-CN"/>
        </w:rPr>
      </w:pPr>
    </w:p>
    <w:p w14:paraId="6A86C03A">
      <w:pPr>
        <w:overflowPunct w:val="0"/>
        <w:ind w:left="3200" w:leftChars="2000"/>
        <w:jc w:val="both"/>
        <w:rPr>
          <w:rFonts w:hint="default" w:ascii="Calibri" w:hAnsi="Calibri" w:eastAsia="楷体_GB2312" w:cs="Calibri"/>
          <w:sz w:val="20"/>
          <w:szCs w:val="20"/>
          <w:lang w:val="en-US" w:eastAsia="zh-CN"/>
        </w:rPr>
      </w:pPr>
    </w:p>
    <w:tbl>
      <w:tblPr>
        <w:tblStyle w:val="27"/>
        <w:tblW w:w="7706" w:type="dxa"/>
        <w:tblInd w:w="2935"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7706"/>
      </w:tblGrid>
      <w:tr w14:paraId="0A105900">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PrEx>
        <w:tc>
          <w:tcPr>
            <w:tcW w:w="7706" w:type="dxa"/>
            <w:tcBorders>
              <w:bottom w:val="single" w:color="auto" w:sz="4" w:space="0"/>
            </w:tcBorders>
          </w:tcPr>
          <w:p w14:paraId="4E897312">
            <w:pPr>
              <w:overflowPunct w:val="0"/>
              <w:rPr>
                <w:rFonts w:hint="default" w:ascii="Calibri" w:hAnsi="Calibri" w:eastAsia="楷体_GB2312" w:cs="Calibri"/>
                <w:b/>
                <w:szCs w:val="20"/>
                <w:lang w:eastAsia="zh-CN"/>
              </w:rPr>
            </w:pPr>
            <w:r>
              <w:rPr>
                <w:rFonts w:hint="default" w:ascii="Calibri" w:hAnsi="Calibri" w:eastAsia="楷体_GB2312" w:cs="Calibri"/>
                <w:b/>
                <w:sz w:val="18"/>
                <w:szCs w:val="18"/>
                <w:lang w:val="zh-CN" w:eastAsia="zh-CN"/>
              </w:rPr>
              <w:t>图</w:t>
            </w:r>
            <w:r>
              <w:rPr>
                <w:rFonts w:hint="default" w:ascii="Calibri" w:hAnsi="Calibri" w:eastAsia="楷体_GB2312" w:cs="Calibri"/>
                <w:b/>
                <w:sz w:val="18"/>
                <w:szCs w:val="18"/>
                <w:lang w:val="en-US" w:eastAsia="zh-CN"/>
              </w:rPr>
              <w:t>4</w:t>
            </w:r>
            <w:r>
              <w:rPr>
                <w:rFonts w:hint="default" w:ascii="Calibri" w:hAnsi="Calibri" w:eastAsia="楷体_GB2312" w:cs="Calibri"/>
                <w:b/>
                <w:sz w:val="18"/>
                <w:szCs w:val="18"/>
                <w:lang w:val="en-US" w:eastAsia="zh-CN"/>
              </w:rPr>
              <w:t>1</w:t>
            </w:r>
            <w:r>
              <w:rPr>
                <w:rFonts w:hint="default" w:ascii="Calibri" w:hAnsi="Calibri" w:eastAsia="楷体_GB2312" w:cs="Calibri"/>
                <w:b/>
                <w:sz w:val="18"/>
                <w:szCs w:val="18"/>
                <w:lang w:val="zh-CN" w:eastAsia="zh-CN"/>
              </w:rPr>
              <w:t>:</w:t>
            </w:r>
            <w:r>
              <w:rPr>
                <w:rFonts w:hint="default" w:ascii="Calibri" w:hAnsi="Calibri" w:eastAsia="楷体_GB2312" w:cs="Calibri"/>
                <w:lang w:eastAsia="zh-CN"/>
              </w:rPr>
              <w:t xml:space="preserve"> </w:t>
            </w:r>
            <w:r>
              <w:rPr>
                <w:rFonts w:hint="default" w:ascii="Calibri" w:hAnsi="Calibri" w:eastAsia="楷体_GB2312" w:cs="Calibri"/>
                <w:b/>
                <w:sz w:val="18"/>
                <w:szCs w:val="18"/>
                <w:lang w:val="zh-CN" w:eastAsia="zh-CN"/>
              </w:rPr>
              <w:t xml:space="preserve">本周主要公司情况更新 </w:t>
            </w:r>
          </w:p>
        </w:tc>
      </w:tr>
      <w:tr w14:paraId="55B969F3">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1074" w:hRule="atLeast"/>
        </w:trPr>
        <w:tc>
          <w:tcPr>
            <w:tcW w:w="7706" w:type="dxa"/>
            <w:tcBorders>
              <w:top w:val="single" w:color="auto" w:sz="4" w:space="0"/>
              <w:bottom w:val="single" w:color="auto" w:sz="4" w:space="0"/>
            </w:tcBorders>
            <w:vAlign w:val="center"/>
          </w:tcPr>
          <w:tbl>
            <w:tblPr>
              <w:tblStyle w:val="26"/>
              <w:tblW w:w="5177" w:type="pct"/>
              <w:jc w:val="center"/>
              <w:tblLayout w:type="autofit"/>
              <w:tblCellMar>
                <w:top w:w="0" w:type="dxa"/>
                <w:left w:w="108" w:type="dxa"/>
                <w:bottom w:w="0" w:type="dxa"/>
                <w:right w:w="108" w:type="dxa"/>
              </w:tblCellMar>
            </w:tblPr>
            <w:tblGrid>
              <w:gridCol w:w="991"/>
              <w:gridCol w:w="816"/>
              <w:gridCol w:w="5948"/>
            </w:tblGrid>
            <w:tr w14:paraId="0EF38091">
              <w:tblPrEx>
                <w:tblCellMar>
                  <w:top w:w="0" w:type="dxa"/>
                  <w:left w:w="108" w:type="dxa"/>
                  <w:bottom w:w="0" w:type="dxa"/>
                  <w:right w:w="108" w:type="dxa"/>
                </w:tblCellMar>
              </w:tblPrEx>
              <w:trPr>
                <w:trHeight w:val="269" w:hRule="atLeast"/>
                <w:jc w:val="center"/>
              </w:trPr>
              <w:tc>
                <w:tcPr>
                  <w:tcW w:w="715" w:type="pct"/>
                  <w:tcBorders>
                    <w:top w:val="single" w:color="auto" w:sz="4" w:space="0"/>
                    <w:left w:val="single" w:color="auto" w:sz="4" w:space="0"/>
                    <w:bottom w:val="single" w:color="auto" w:sz="4" w:space="0"/>
                    <w:right w:val="nil"/>
                  </w:tcBorders>
                  <w:shd w:val="clear" w:color="000000" w:fill="0C2060"/>
                  <w:vAlign w:val="center"/>
                </w:tcPr>
                <w:p w14:paraId="30331836">
                  <w:pPr>
                    <w:overflowPunct w:val="0"/>
                    <w:jc w:val="center"/>
                    <w:rPr>
                      <w:rFonts w:hint="default" w:ascii="Calibri" w:hAnsi="Calibri" w:eastAsia="楷体_GB2312" w:cs="Calibri"/>
                      <w:b/>
                      <w:bCs/>
                      <w:color w:val="FFFFFF"/>
                    </w:rPr>
                  </w:pPr>
                  <w:r>
                    <w:rPr>
                      <w:rFonts w:hint="default" w:ascii="Calibri" w:hAnsi="Calibri" w:eastAsia="楷体_GB2312" w:cs="Calibri"/>
                      <w:b/>
                      <w:bCs/>
                      <w:color w:val="FFFFFF"/>
                    </w:rPr>
                    <w:t>公司名称</w:t>
                  </w:r>
                </w:p>
              </w:tc>
              <w:tc>
                <w:tcPr>
                  <w:tcW w:w="602" w:type="pct"/>
                  <w:tcBorders>
                    <w:top w:val="single" w:color="auto" w:sz="4" w:space="0"/>
                    <w:left w:val="single" w:color="auto" w:sz="4" w:space="0"/>
                    <w:bottom w:val="single" w:color="auto" w:sz="4" w:space="0"/>
                    <w:right w:val="nil"/>
                  </w:tcBorders>
                  <w:shd w:val="clear" w:color="000000" w:fill="0C2060"/>
                  <w:vAlign w:val="center"/>
                </w:tcPr>
                <w:p w14:paraId="3334A6D6">
                  <w:pPr>
                    <w:overflowPunct w:val="0"/>
                    <w:jc w:val="center"/>
                    <w:rPr>
                      <w:rFonts w:hint="default" w:ascii="Calibri" w:hAnsi="Calibri" w:eastAsia="楷体_GB2312" w:cs="Calibri"/>
                      <w:b/>
                      <w:bCs/>
                      <w:color w:val="FFFFFF"/>
                    </w:rPr>
                  </w:pPr>
                  <w:r>
                    <w:rPr>
                      <w:rFonts w:hint="default" w:ascii="Calibri" w:hAnsi="Calibri" w:eastAsia="楷体_GB2312" w:cs="Calibri"/>
                      <w:b/>
                      <w:bCs/>
                      <w:color w:val="FFFFFF"/>
                    </w:rPr>
                    <w:t>时间</w:t>
                  </w:r>
                </w:p>
              </w:tc>
              <w:tc>
                <w:tcPr>
                  <w:tcW w:w="3682" w:type="pct"/>
                  <w:tcBorders>
                    <w:top w:val="single" w:color="auto" w:sz="4" w:space="0"/>
                    <w:left w:val="nil"/>
                    <w:bottom w:val="single" w:color="auto" w:sz="4" w:space="0"/>
                    <w:right w:val="single" w:color="auto" w:sz="4" w:space="0"/>
                  </w:tcBorders>
                  <w:shd w:val="clear" w:color="000000" w:fill="0C2060"/>
                  <w:vAlign w:val="center"/>
                </w:tcPr>
                <w:p w14:paraId="05F123B5">
                  <w:pPr>
                    <w:overflowPunct w:val="0"/>
                    <w:jc w:val="center"/>
                    <w:rPr>
                      <w:rFonts w:hint="default" w:ascii="Calibri" w:hAnsi="Calibri" w:eastAsia="楷体_GB2312" w:cs="Calibri"/>
                      <w:b/>
                      <w:bCs/>
                      <w:color w:val="FFFFFF"/>
                    </w:rPr>
                  </w:pPr>
                  <w:r>
                    <w:rPr>
                      <w:rFonts w:hint="default" w:ascii="Calibri" w:hAnsi="Calibri" w:eastAsia="楷体_GB2312" w:cs="Calibri"/>
                      <w:b/>
                      <w:bCs/>
                      <w:color w:val="FFFFFF"/>
                    </w:rPr>
                    <w:t>主要内容</w:t>
                  </w:r>
                </w:p>
              </w:tc>
            </w:tr>
            <w:tr w14:paraId="01E88AD9">
              <w:tblPrEx>
                <w:tblCellMar>
                  <w:top w:w="0" w:type="dxa"/>
                  <w:left w:w="108" w:type="dxa"/>
                  <w:bottom w:w="0" w:type="dxa"/>
                  <w:right w:w="108" w:type="dxa"/>
                </w:tblCellMar>
              </w:tblPrEx>
              <w:trPr>
                <w:trHeight w:val="416" w:hRule="atLeast"/>
                <w:jc w:val="center"/>
              </w:trPr>
              <w:tc>
                <w:tcPr>
                  <w:tcW w:w="715" w:type="pct"/>
                  <w:tcBorders>
                    <w:top w:val="single" w:color="auto" w:sz="4" w:space="0"/>
                    <w:left w:val="single" w:color="auto" w:sz="4" w:space="0"/>
                    <w:bottom w:val="single" w:color="auto" w:sz="4" w:space="0"/>
                    <w:right w:val="nil"/>
                  </w:tcBorders>
                  <w:vAlign w:val="center"/>
                </w:tcPr>
                <w:p w14:paraId="2E97FBCA">
                  <w:pPr>
                    <w:overflowPunct w:val="0"/>
                    <w:jc w:val="center"/>
                    <w:rPr>
                      <w:rFonts w:hint="default" w:ascii="Calibri" w:hAnsi="Calibri" w:eastAsia="楷体_GB2312" w:cs="Calibri"/>
                      <w:color w:val="000000"/>
                    </w:rPr>
                  </w:pPr>
                  <w:r>
                    <w:rPr>
                      <w:rFonts w:hint="default" w:ascii="Calibri" w:hAnsi="Calibri" w:eastAsia="楷体_GB2312" w:cs="Calibri"/>
                      <w:color w:val="000000"/>
                    </w:rPr>
                    <w:t>Howmet Aerospace</w:t>
                  </w:r>
                </w:p>
              </w:tc>
              <w:tc>
                <w:tcPr>
                  <w:tcW w:w="602" w:type="pct"/>
                  <w:tcBorders>
                    <w:top w:val="single" w:color="auto" w:sz="4" w:space="0"/>
                    <w:left w:val="single" w:color="auto" w:sz="4" w:space="0"/>
                    <w:bottom w:val="single" w:color="auto" w:sz="4" w:space="0"/>
                    <w:right w:val="nil"/>
                  </w:tcBorders>
                  <w:vAlign w:val="center"/>
                </w:tcPr>
                <w:p w14:paraId="17A3484E">
                  <w:pPr>
                    <w:overflowPunct w:val="0"/>
                    <w:rPr>
                      <w:rFonts w:hint="default" w:ascii="Calibri" w:hAnsi="Calibri" w:eastAsia="楷体_GB2312" w:cs="Calibri"/>
                      <w:color w:val="000000"/>
                      <w:lang w:eastAsia="zh-CN"/>
                    </w:rPr>
                  </w:pPr>
                  <w:r>
                    <w:rPr>
                      <w:rFonts w:hint="default" w:ascii="Calibri" w:hAnsi="Calibri" w:eastAsia="楷体_GB2312" w:cs="Calibri"/>
                      <w:color w:val="000000"/>
                      <w:lang w:eastAsia="zh-CN"/>
                    </w:rPr>
                    <w:t>2月12日</w:t>
                  </w:r>
                </w:p>
              </w:tc>
              <w:tc>
                <w:tcPr>
                  <w:tcW w:w="3682" w:type="pct"/>
                  <w:tcBorders>
                    <w:top w:val="single" w:color="auto" w:sz="4" w:space="0"/>
                    <w:left w:val="single" w:color="auto" w:sz="4" w:space="0"/>
                    <w:bottom w:val="single" w:color="auto" w:sz="4" w:space="0"/>
                    <w:right w:val="single" w:color="auto" w:sz="4" w:space="0"/>
                  </w:tcBorders>
                  <w:noWrap/>
                  <w:vAlign w:val="center"/>
                </w:tcPr>
                <w:p w14:paraId="6E199C98">
                  <w:pPr>
                    <w:overflowPunct w:val="0"/>
                    <w:rPr>
                      <w:rFonts w:hint="default" w:ascii="Calibri" w:hAnsi="Calibri" w:eastAsia="楷体_GB2312" w:cs="Calibri"/>
                      <w:color w:val="000000"/>
                      <w:lang w:eastAsia="zh-CN"/>
                    </w:rPr>
                  </w:pPr>
                  <w:r>
                    <w:rPr>
                      <w:rFonts w:hint="default" w:ascii="Calibri" w:hAnsi="Calibri" w:eastAsia="楷体_GB2312" w:cs="Calibri"/>
                      <w:color w:val="000000"/>
                      <w:lang w:eastAsia="zh-CN"/>
                    </w:rPr>
                    <w:t xml:space="preserve">发布了2025年第四季度及全年业绩。第四季度净利润达3.72亿美元，或每股收益 </w:t>
                  </w:r>
                </w:p>
                <w:p w14:paraId="67995F43">
                  <w:pPr>
                    <w:overflowPunct w:val="0"/>
                    <w:rPr>
                      <w:rFonts w:hint="default" w:ascii="Calibri" w:hAnsi="Calibri" w:eastAsia="楷体_GB2312" w:cs="Calibri"/>
                      <w:color w:val="000000"/>
                    </w:rPr>
                  </w:pPr>
                  <w:r>
                    <w:rPr>
                      <w:rFonts w:hint="default" w:ascii="Calibri" w:hAnsi="Calibri" w:eastAsia="楷体_GB2312" w:cs="Calibri"/>
                      <w:color w:val="000000"/>
                      <w:lang w:eastAsia="zh-CN"/>
                    </w:rPr>
                    <w:t xml:space="preserve"> </w:t>
                  </w:r>
                  <w:r>
                    <w:rPr>
                      <w:rFonts w:hint="default" w:ascii="Calibri" w:hAnsi="Calibri" w:eastAsia="楷体_GB2312" w:cs="Calibri"/>
                      <w:color w:val="000000"/>
                    </w:rPr>
                    <w:t>美元。</w:t>
                  </w:r>
                </w:p>
              </w:tc>
            </w:tr>
          </w:tbl>
          <w:p w14:paraId="512363D3">
            <w:pPr>
              <w:overflowPunct w:val="0"/>
              <w:jc w:val="center"/>
              <w:rPr>
                <w:rFonts w:hint="default" w:ascii="Calibri" w:hAnsi="Calibri" w:eastAsia="楷体_GB2312" w:cs="Calibri"/>
                <w:sz w:val="10"/>
              </w:rPr>
            </w:pPr>
          </w:p>
        </w:tc>
      </w:tr>
      <w:tr w14:paraId="53D6F931">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7706" w:type="dxa"/>
            <w:tcBorders>
              <w:top w:val="single" w:color="auto" w:sz="4" w:space="0"/>
            </w:tcBorders>
          </w:tcPr>
          <w:p w14:paraId="45226705">
            <w:pPr>
              <w:overflowPunct w:val="0"/>
              <w:rPr>
                <w:rFonts w:hint="default" w:ascii="Calibri" w:hAnsi="Calibri" w:eastAsia="楷体_GB2312" w:cs="Calibri"/>
                <w:i/>
                <w:iCs/>
                <w:sz w:val="15"/>
                <w:szCs w:val="15"/>
                <w:lang w:eastAsia="zh-CN"/>
              </w:rPr>
            </w:pPr>
            <w:r>
              <w:rPr>
                <w:rFonts w:hint="default" w:ascii="Calibri" w:hAnsi="Calibri" w:eastAsia="楷体_GB2312" w:cs="Calibri"/>
                <w:i/>
                <w:iCs/>
                <w:sz w:val="15"/>
                <w:szCs w:val="15"/>
                <w:lang w:eastAsia="zh-CN"/>
              </w:rPr>
              <w:t>资料来源：公司公告，HFI</w:t>
            </w:r>
          </w:p>
        </w:tc>
      </w:tr>
    </w:tbl>
    <w:p w14:paraId="7922A67D">
      <w:pPr>
        <w:overflowPunct w:val="0"/>
        <w:jc w:val="both"/>
        <w:rPr>
          <w:rFonts w:hint="default" w:ascii="Calibri" w:hAnsi="Calibri" w:eastAsia="楷体_GB2312" w:cs="Calibri"/>
          <w:b/>
          <w:bCs/>
          <w:color w:val="1F497D" w:themeColor="text2"/>
          <w:sz w:val="24"/>
          <w:szCs w:val="24"/>
          <w:lang w:val="en-US" w:eastAsia="zh-CN"/>
          <w14:textFill>
            <w14:solidFill>
              <w14:schemeClr w14:val="tx2"/>
            </w14:solidFill>
          </w14:textFill>
        </w:rPr>
      </w:pPr>
    </w:p>
    <w:p w14:paraId="4159F382">
      <w:pPr>
        <w:overflowPunct w:val="0"/>
        <w:ind w:left="3200" w:leftChars="2000"/>
        <w:jc w:val="both"/>
        <w:outlineLvl w:val="1"/>
        <w:rPr>
          <w:rFonts w:hint="default" w:ascii="Calibri" w:hAnsi="Calibri" w:eastAsia="楷体_GB2312" w:cs="Calibri"/>
          <w:b/>
          <w:bCs/>
          <w:color w:val="1F497D" w:themeColor="text2"/>
          <w:sz w:val="24"/>
          <w:szCs w:val="24"/>
          <w:lang w:val="en-US" w:eastAsia="zh-CN"/>
          <w14:textFill>
            <w14:solidFill>
              <w14:schemeClr w14:val="tx2"/>
            </w14:solidFill>
          </w14:textFill>
        </w:rPr>
      </w:pPr>
      <w:r>
        <w:rPr>
          <w:rFonts w:hint="default" w:ascii="Calibri" w:hAnsi="Calibri" w:eastAsia="楷体_GB2312" w:cs="Calibri"/>
        </w:rPr>
        <w:fldChar w:fldCharType="begin"/>
      </w:r>
      <w:r>
        <w:rPr>
          <w:rFonts w:hint="default" w:ascii="Calibri" w:hAnsi="Calibri" w:eastAsia="楷体_GB2312" w:cs="Calibri"/>
        </w:rPr>
        <w:instrText xml:space="preserve"> HYPERLINK \l "_Toc192787049" </w:instrText>
      </w:r>
      <w:r>
        <w:rPr>
          <w:rFonts w:hint="default" w:ascii="Calibri" w:hAnsi="Calibri" w:eastAsia="楷体_GB2312" w:cs="Calibri"/>
        </w:rPr>
        <w:fldChar w:fldCharType="separate"/>
      </w:r>
      <w:r>
        <w:rPr>
          <w:rFonts w:hint="default" w:ascii="Calibri" w:hAnsi="Calibri" w:eastAsia="楷体_GB2312" w:cs="Calibri"/>
        </w:rPr>
        <w:fldChar w:fldCharType="end"/>
      </w:r>
      <w:bookmarkStart w:id="37" w:name="_Toc64059357"/>
      <w:r>
        <w:rPr>
          <w:rFonts w:hint="default" w:ascii="Calibri" w:hAnsi="Calibri" w:eastAsia="楷体_GB2312" w:cs="Calibri"/>
          <w:b/>
          <w:bCs/>
          <w:color w:val="1F497D" w:themeColor="text2"/>
          <w:sz w:val="24"/>
          <w:szCs w:val="24"/>
          <w:lang w:val="en-US" w:eastAsia="zh-CN"/>
          <w14:textFill>
            <w14:solidFill>
              <w14:schemeClr w14:val="tx2"/>
            </w14:solidFill>
          </w14:textFill>
        </w:rPr>
        <w:fldChar w:fldCharType="begin"/>
      </w:r>
      <w:r>
        <w:rPr>
          <w:rFonts w:hint="default" w:ascii="Calibri" w:hAnsi="Calibri" w:eastAsia="楷体_GB2312" w:cs="Calibri"/>
          <w:b/>
          <w:bCs/>
          <w:color w:val="1F497D" w:themeColor="text2"/>
          <w:sz w:val="24"/>
          <w:szCs w:val="24"/>
          <w:lang w:val="en-US" w:eastAsia="zh-CN"/>
          <w14:textFill>
            <w14:solidFill>
              <w14:schemeClr w14:val="tx2"/>
            </w14:solidFill>
          </w14:textFill>
        </w:rPr>
        <w:instrText xml:space="preserve"> HYPERLINK \l "_Toc192787049" </w:instrText>
      </w:r>
      <w:r>
        <w:rPr>
          <w:rFonts w:hint="default" w:ascii="Calibri" w:hAnsi="Calibri" w:eastAsia="楷体_GB2312" w:cs="Calibri"/>
          <w:b/>
          <w:bCs/>
          <w:color w:val="1F497D" w:themeColor="text2"/>
          <w:sz w:val="24"/>
          <w:szCs w:val="24"/>
          <w:lang w:val="en-US" w:eastAsia="zh-CN"/>
          <w14:textFill>
            <w14:solidFill>
              <w14:schemeClr w14:val="tx2"/>
            </w14:solidFill>
          </w14:textFill>
        </w:rPr>
        <w:fldChar w:fldCharType="separate"/>
      </w:r>
      <w:bookmarkStart w:id="38" w:name="_Toc223082615"/>
      <w:r>
        <w:rPr>
          <w:rFonts w:hint="default" w:ascii="Calibri" w:hAnsi="Calibri" w:eastAsia="楷体_GB2312" w:cs="Calibri"/>
          <w:b/>
          <w:bCs/>
          <w:color w:val="1F497D" w:themeColor="text2"/>
          <w:sz w:val="24"/>
          <w:szCs w:val="24"/>
          <w:lang w:val="en-US" w:eastAsia="zh-CN"/>
          <w14:textFill>
            <w14:solidFill>
              <w14:schemeClr w14:val="tx2"/>
            </w14:solidFill>
          </w14:textFill>
        </w:rPr>
        <w:t>（二）国防</w:t>
      </w:r>
      <w:bookmarkEnd w:id="38"/>
      <w:r>
        <w:rPr>
          <w:rFonts w:hint="default" w:ascii="Calibri" w:hAnsi="Calibri" w:eastAsia="楷体_GB2312" w:cs="Calibri"/>
          <w:b/>
          <w:bCs/>
          <w:color w:val="1F497D" w:themeColor="text2"/>
          <w:sz w:val="24"/>
          <w:szCs w:val="24"/>
          <w:lang w:val="en-US" w:eastAsia="zh-CN"/>
          <w14:textFill>
            <w14:solidFill>
              <w14:schemeClr w14:val="tx2"/>
            </w14:solidFill>
          </w14:textFill>
        </w:rPr>
        <w:fldChar w:fldCharType="end"/>
      </w:r>
      <w:bookmarkEnd w:id="37"/>
    </w:p>
    <w:p w14:paraId="32DFA3DC">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2月16日、18日</w:t>
      </w:r>
      <w:r>
        <w:rPr>
          <w:rFonts w:hint="default" w:ascii="Calibri" w:hAnsi="Calibri" w:eastAsia="楷体_GB2312" w:cs="Calibri"/>
          <w:sz w:val="20"/>
          <w:szCs w:val="20"/>
          <w:lang w:val="en-US" w:eastAsia="zh-CN"/>
        </w:rPr>
        <w:t>，</w:t>
      </w:r>
      <w:r>
        <w:rPr>
          <w:rFonts w:hint="default" w:ascii="Calibri" w:hAnsi="Calibri" w:eastAsia="楷体_GB2312" w:cs="Calibri"/>
          <w:sz w:val="20"/>
          <w:szCs w:val="20"/>
          <w:lang w:val="en-US" w:eastAsia="zh-CN"/>
        </w:rPr>
        <w:t>美日两国在日本海、东海及台湾方向举行联合空中演习，美军从关岛出动4架B-52战略轰炸机，日本航空自卫队出动6架F-2和5架F-15战斗机参演</w:t>
      </w:r>
      <w:r>
        <w:rPr>
          <w:rFonts w:hint="default" w:ascii="Calibri" w:hAnsi="Calibri" w:eastAsia="楷体_GB2312" w:cs="Calibri"/>
        </w:rPr>
        <w:fldChar w:fldCharType="begin"/>
      </w:r>
      <w:r>
        <w:rPr>
          <w:rFonts w:hint="default" w:ascii="Calibri" w:hAnsi="Calibri" w:eastAsia="楷体_GB2312" w:cs="Calibri"/>
        </w:rPr>
        <w:instrText xml:space="preserve">HYPERLINK "https://gfjy.ahnews.com.cn/ywzx/con/2026-02/25/3607_1686366.html" \t "https://chat.deepseek.com/a/chat/s/_blank"</w:instrText>
      </w:r>
      <w:r>
        <w:rPr>
          <w:rFonts w:hint="default" w:ascii="Calibri" w:hAnsi="Calibri" w:eastAsia="楷体_GB2312" w:cs="Calibri"/>
        </w:rPr>
        <w:fldChar w:fldCharType="separate"/>
      </w:r>
      <w:r>
        <w:rPr>
          <w:rFonts w:hint="default" w:ascii="Calibri" w:hAnsi="Calibri" w:eastAsia="楷体_GB2312" w:cs="Calibri"/>
        </w:rPr>
        <w:fldChar w:fldCharType="end"/>
      </w:r>
      <w:r>
        <w:rPr>
          <w:rFonts w:hint="default" w:ascii="Calibri" w:hAnsi="Calibri" w:eastAsia="楷体_GB2312" w:cs="Calibri"/>
          <w:sz w:val="20"/>
          <w:szCs w:val="20"/>
          <w:lang w:val="en-US" w:eastAsia="zh-CN"/>
        </w:rPr>
        <w:t>。</w:t>
      </w:r>
    </w:p>
    <w:p w14:paraId="489DFC66">
      <w:pPr>
        <w:overflowPunct w:val="0"/>
        <w:ind w:left="3200" w:leftChars="2000"/>
        <w:jc w:val="both"/>
        <w:rPr>
          <w:rFonts w:hint="default" w:ascii="Calibri" w:hAnsi="Calibri" w:eastAsia="楷体_GB2312" w:cs="Calibri"/>
          <w:sz w:val="20"/>
          <w:szCs w:val="20"/>
          <w:lang w:val="en-US" w:eastAsia="zh-CN"/>
        </w:rPr>
      </w:pPr>
    </w:p>
    <w:p w14:paraId="6FE8A7D9">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2月18日</w:t>
      </w:r>
      <w:r>
        <w:rPr>
          <w:rFonts w:hint="default" w:ascii="Calibri" w:hAnsi="Calibri" w:eastAsia="楷体_GB2312" w:cs="Calibri"/>
          <w:sz w:val="20"/>
          <w:szCs w:val="20"/>
          <w:lang w:val="en-US" w:eastAsia="zh-CN"/>
        </w:rPr>
        <w:t>，</w:t>
      </w:r>
      <w:r>
        <w:rPr>
          <w:rFonts w:hint="default" w:ascii="Calibri" w:hAnsi="Calibri" w:eastAsia="楷体_GB2312" w:cs="Calibri"/>
          <w:sz w:val="20"/>
          <w:szCs w:val="20"/>
          <w:lang w:val="en-US" w:eastAsia="zh-CN"/>
        </w:rPr>
        <w:t>驻韩美军从乌山基地出动10余架F-16战斗机，在黄海公海上空举行"前所未有的大规模演习"，并接近中国防空识别区边缘，引发中美战机短暂对峙。中方战机依法依规进行查证、跟踪和驱离</w:t>
      </w:r>
      <w:r>
        <w:rPr>
          <w:rFonts w:hint="default" w:ascii="Calibri" w:hAnsi="Calibri" w:eastAsia="楷体_GB2312" w:cs="Calibri"/>
        </w:rPr>
        <w:fldChar w:fldCharType="begin"/>
      </w:r>
      <w:r>
        <w:rPr>
          <w:rFonts w:hint="default" w:ascii="Calibri" w:hAnsi="Calibri" w:eastAsia="楷体_GB2312" w:cs="Calibri"/>
        </w:rPr>
        <w:instrText xml:space="preserve">HYPERLINK "https://gfjy.ahnews.com.cn/ywzx/con/2026-02/25/3607_1686366.html" \t "https://chat.deepseek.com/a/chat/s/_blank"</w:instrText>
      </w:r>
      <w:r>
        <w:rPr>
          <w:rFonts w:hint="default" w:ascii="Calibri" w:hAnsi="Calibri" w:eastAsia="楷体_GB2312" w:cs="Calibri"/>
        </w:rPr>
        <w:fldChar w:fldCharType="separate"/>
      </w:r>
      <w:r>
        <w:rPr>
          <w:rFonts w:hint="default" w:ascii="Calibri" w:hAnsi="Calibri" w:eastAsia="楷体_GB2312" w:cs="Calibri"/>
        </w:rPr>
        <w:fldChar w:fldCharType="end"/>
      </w:r>
      <w:r>
        <w:rPr>
          <w:rFonts w:hint="default" w:ascii="Calibri" w:hAnsi="Calibri" w:eastAsia="楷体_GB2312" w:cs="Calibri"/>
        </w:rPr>
        <w:fldChar w:fldCharType="begin"/>
      </w:r>
      <w:r>
        <w:rPr>
          <w:rFonts w:hint="default" w:ascii="Calibri" w:hAnsi="Calibri" w:eastAsia="楷体_GB2312" w:cs="Calibri"/>
        </w:rPr>
        <w:instrText xml:space="preserve"> HYPERLINK "https://www.sohu.com/a/989830405_121629194?scm=10001.325_13-325_13.0.0-0-0-0-0.5_1334&amp;spm=smpc.channel_248.block3_308_NDdFbm_1_fd.2.1771997325640QnlGwss_324" \t "https://chat.deepseek.com/a/chat/s/_blank" </w:instrText>
      </w:r>
      <w:r>
        <w:rPr>
          <w:rFonts w:hint="default" w:ascii="Calibri" w:hAnsi="Calibri" w:eastAsia="楷体_GB2312" w:cs="Calibri"/>
        </w:rPr>
        <w:fldChar w:fldCharType="separate"/>
      </w:r>
      <w:r>
        <w:rPr>
          <w:rFonts w:hint="default" w:ascii="Calibri" w:hAnsi="Calibri" w:eastAsia="楷体_GB2312" w:cs="Calibri"/>
        </w:rPr>
        <w:fldChar w:fldCharType="end"/>
      </w:r>
      <w:r>
        <w:rPr>
          <w:rFonts w:hint="default" w:ascii="Calibri" w:hAnsi="Calibri" w:eastAsia="楷体_GB2312" w:cs="Calibri"/>
          <w:sz w:val="20"/>
          <w:szCs w:val="20"/>
          <w:lang w:val="en-US" w:eastAsia="zh-CN"/>
        </w:rPr>
        <w:t>。美日在四国本岛南部举行电磁机动战演习，日本海上自卫队"春雨"号驱逐舰、OP-3C侦察机与美军EA-18G"咆哮者"电子攻击机、E-2D"鹰眼"预警机、F/A-18E"超级大黄蜂"战斗机首次联合参演</w:t>
      </w:r>
      <w:r>
        <w:rPr>
          <w:rFonts w:hint="default" w:ascii="Calibri" w:hAnsi="Calibri" w:eastAsia="楷体_GB2312" w:cs="Calibri"/>
        </w:rPr>
        <w:fldChar w:fldCharType="begin"/>
      </w:r>
      <w:r>
        <w:rPr>
          <w:rFonts w:hint="default" w:ascii="Calibri" w:hAnsi="Calibri" w:eastAsia="楷体_GB2312" w:cs="Calibri"/>
        </w:rPr>
        <w:instrText xml:space="preserve">HYPERLINK "https://gfjy.ahnews.com.cn/ywzx/con/2026-02/25/3607_1686366.html" \t "https://chat.deepseek.com/a/chat/s/_blank"</w:instrText>
      </w:r>
      <w:r>
        <w:rPr>
          <w:rFonts w:hint="default" w:ascii="Calibri" w:hAnsi="Calibri" w:eastAsia="楷体_GB2312" w:cs="Calibri"/>
        </w:rPr>
        <w:fldChar w:fldCharType="separate"/>
      </w:r>
      <w:r>
        <w:rPr>
          <w:rFonts w:hint="default" w:ascii="Calibri" w:hAnsi="Calibri" w:eastAsia="楷体_GB2312" w:cs="Calibri"/>
        </w:rPr>
        <w:fldChar w:fldCharType="end"/>
      </w:r>
      <w:r>
        <w:rPr>
          <w:rFonts w:hint="default" w:ascii="Calibri" w:hAnsi="Calibri" w:eastAsia="楷体_GB2312" w:cs="Calibri"/>
          <w:sz w:val="20"/>
          <w:szCs w:val="20"/>
          <w:lang w:val="en-US" w:eastAsia="zh-CN"/>
        </w:rPr>
        <w:t>。</w:t>
      </w:r>
    </w:p>
    <w:p w14:paraId="4B7C2505">
      <w:pPr>
        <w:overflowPunct w:val="0"/>
        <w:ind w:left="3200" w:leftChars="2000"/>
        <w:jc w:val="both"/>
        <w:rPr>
          <w:rFonts w:hint="default" w:ascii="Calibri" w:hAnsi="Calibri" w:eastAsia="楷体_GB2312" w:cs="Calibri"/>
          <w:sz w:val="20"/>
          <w:szCs w:val="20"/>
          <w:lang w:val="en-US" w:eastAsia="zh-CN"/>
        </w:rPr>
      </w:pPr>
    </w:p>
    <w:p w14:paraId="74A50DF3">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2月19日：韩国国防部长安圭伯和联合参谋本部议长陈永承分别致电驻韩美军司令泽维尔·布伦森，就美军在黄海单方面演习引发中美战机对峙一事表示抗议</w:t>
      </w:r>
      <w:r>
        <w:rPr>
          <w:rFonts w:hint="default" w:ascii="Calibri" w:hAnsi="Calibri" w:eastAsia="楷体_GB2312" w:cs="Calibri"/>
        </w:rPr>
        <w:fldChar w:fldCharType="begin"/>
      </w:r>
      <w:r>
        <w:rPr>
          <w:rFonts w:hint="default" w:ascii="Calibri" w:hAnsi="Calibri" w:eastAsia="楷体_GB2312" w:cs="Calibri"/>
        </w:rPr>
        <w:instrText xml:space="preserve">HYPERLINK "https://gfjy.ahnews.com.cn/ywzx/con/2026-02/25/3607_1686366.html" \t "https://chat.deepseek.com/a/chat/s/_blank"</w:instrText>
      </w:r>
      <w:r>
        <w:rPr>
          <w:rFonts w:hint="default" w:ascii="Calibri" w:hAnsi="Calibri" w:eastAsia="楷体_GB2312" w:cs="Calibri"/>
        </w:rPr>
        <w:fldChar w:fldCharType="separate"/>
      </w:r>
      <w:r>
        <w:rPr>
          <w:rFonts w:hint="default" w:ascii="Calibri" w:hAnsi="Calibri" w:eastAsia="楷体_GB2312" w:cs="Calibri"/>
        </w:rPr>
        <w:fldChar w:fldCharType="end"/>
      </w:r>
      <w:r>
        <w:rPr>
          <w:rFonts w:hint="default" w:ascii="Calibri" w:hAnsi="Calibri" w:eastAsia="楷体_GB2312" w:cs="Calibri"/>
          <w:sz w:val="20"/>
          <w:szCs w:val="20"/>
          <w:lang w:val="en-US" w:eastAsia="zh-CN"/>
        </w:rPr>
        <w:t>。</w:t>
      </w:r>
    </w:p>
    <w:p w14:paraId="7B151B02">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rPr>
        <w:fldChar w:fldCharType="begin"/>
      </w:r>
      <w:r>
        <w:rPr>
          <w:rFonts w:hint="default" w:ascii="Calibri" w:hAnsi="Calibri" w:eastAsia="楷体_GB2312" w:cs="Calibri"/>
        </w:rPr>
        <w:instrText xml:space="preserve"> HYPERLINK "https://cbgc.scol.com.cn/news/7316804" \t "https://chat.deepseek.com/a/chat/s/_blank" </w:instrText>
      </w:r>
      <w:r>
        <w:rPr>
          <w:rFonts w:hint="default" w:ascii="Calibri" w:hAnsi="Calibri" w:eastAsia="楷体_GB2312" w:cs="Calibri"/>
        </w:rPr>
        <w:fldChar w:fldCharType="separate"/>
      </w:r>
      <w:r>
        <w:rPr>
          <w:rFonts w:hint="default" w:ascii="Calibri" w:hAnsi="Calibri" w:eastAsia="楷体_GB2312" w:cs="Calibri"/>
        </w:rPr>
        <w:fldChar w:fldCharType="end"/>
      </w:r>
      <w:r>
        <w:rPr>
          <w:rFonts w:hint="default" w:ascii="Calibri" w:hAnsi="Calibri" w:eastAsia="楷体_GB2312" w:cs="Calibri"/>
        </w:rPr>
        <w:fldChar w:fldCharType="begin"/>
      </w:r>
      <w:r>
        <w:rPr>
          <w:rFonts w:hint="default" w:ascii="Calibri" w:hAnsi="Calibri" w:eastAsia="楷体_GB2312" w:cs="Calibri"/>
        </w:rPr>
        <w:instrText xml:space="preserve"> HYPERLINK "https://cbgc.scol.com.cn/news/7317274" \t "https://chat.deepseek.com/a/chat/s/_blank" </w:instrText>
      </w:r>
      <w:r>
        <w:rPr>
          <w:rFonts w:hint="default" w:ascii="Calibri" w:hAnsi="Calibri" w:eastAsia="楷体_GB2312" w:cs="Calibri"/>
        </w:rPr>
        <w:fldChar w:fldCharType="separate"/>
      </w:r>
      <w:r>
        <w:rPr>
          <w:rFonts w:hint="default" w:ascii="Calibri" w:hAnsi="Calibri" w:eastAsia="楷体_GB2312" w:cs="Calibri"/>
        </w:rPr>
        <w:fldChar w:fldCharType="end"/>
      </w:r>
      <w:r>
        <w:rPr>
          <w:rFonts w:hint="default" w:ascii="Calibri" w:hAnsi="Calibri" w:eastAsia="楷体_GB2312" w:cs="Calibri"/>
        </w:rPr>
        <w:fldChar w:fldCharType="begin"/>
      </w:r>
      <w:r>
        <w:rPr>
          <w:rFonts w:hint="default" w:ascii="Calibri" w:hAnsi="Calibri" w:eastAsia="楷体_GB2312" w:cs="Calibri"/>
        </w:rPr>
        <w:instrText xml:space="preserve"> HYPERLINK "https://cbgc.scol.com.cn/news/7316571" \t "https://chat.deepseek.com/a/chat/s/_blank" </w:instrText>
      </w:r>
      <w:r>
        <w:rPr>
          <w:rFonts w:hint="default" w:ascii="Calibri" w:hAnsi="Calibri" w:eastAsia="楷体_GB2312" w:cs="Calibri"/>
        </w:rPr>
        <w:fldChar w:fldCharType="separate"/>
      </w:r>
      <w:r>
        <w:rPr>
          <w:rFonts w:hint="default" w:ascii="Calibri" w:hAnsi="Calibri" w:eastAsia="楷体_GB2312" w:cs="Calibri"/>
        </w:rPr>
        <w:fldChar w:fldCharType="end"/>
      </w:r>
    </w:p>
    <w:p w14:paraId="73BA261E">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2月24日：12架美军F-22"猛禽"隐形战斗机降落在以色列南部空军基地，这是美国在中东地区针对伊朗的军事集结的一部分。以色列同日更新了国家紧急状态下的"关键行业"界定范围</w:t>
      </w:r>
      <w:r>
        <w:rPr>
          <w:rFonts w:hint="default" w:ascii="Calibri" w:hAnsi="Calibri" w:eastAsia="楷体_GB2312" w:cs="Calibri"/>
        </w:rPr>
        <w:fldChar w:fldCharType="begin"/>
      </w:r>
      <w:r>
        <w:rPr>
          <w:rFonts w:hint="default" w:ascii="Calibri" w:hAnsi="Calibri" w:eastAsia="楷体_GB2312" w:cs="Calibri"/>
        </w:rPr>
        <w:instrText xml:space="preserve">HYPERLINK "https://english.news.cn/20260225/df16328dd45c424db3be5b05cc390e04/c.html" \t "https://chat.deepseek.com/a/chat/s/_blank"</w:instrText>
      </w:r>
      <w:r>
        <w:rPr>
          <w:rFonts w:hint="default" w:ascii="Calibri" w:hAnsi="Calibri" w:eastAsia="楷体_GB2312" w:cs="Calibri"/>
        </w:rPr>
        <w:fldChar w:fldCharType="separate"/>
      </w:r>
      <w:r>
        <w:rPr>
          <w:rFonts w:hint="default" w:ascii="Calibri" w:hAnsi="Calibri" w:eastAsia="楷体_GB2312" w:cs="Calibri"/>
        </w:rPr>
        <w:fldChar w:fldCharType="end"/>
      </w:r>
      <w:r>
        <w:rPr>
          <w:rFonts w:hint="default" w:ascii="Calibri" w:hAnsi="Calibri" w:eastAsia="楷体_GB2312" w:cs="Calibri"/>
          <w:sz w:val="20"/>
          <w:szCs w:val="20"/>
          <w:lang w:val="en-US" w:eastAsia="zh-CN"/>
        </w:rPr>
        <w:t>。</w:t>
      </w:r>
    </w:p>
    <w:p w14:paraId="4755399F">
      <w:pPr>
        <w:overflowPunct w:val="0"/>
        <w:ind w:left="3200" w:leftChars="2000"/>
        <w:jc w:val="both"/>
        <w:rPr>
          <w:rFonts w:hint="default" w:ascii="Calibri" w:hAnsi="Calibri" w:eastAsia="楷体_GB2312" w:cs="Calibri"/>
          <w:sz w:val="20"/>
          <w:szCs w:val="20"/>
          <w:lang w:val="en-US" w:eastAsia="zh-CN"/>
        </w:rPr>
      </w:pPr>
    </w:p>
    <w:p w14:paraId="2B9051D2">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2月24</w:t>
      </w:r>
      <w:r>
        <w:rPr>
          <w:rFonts w:hint="default" w:ascii="Calibri" w:hAnsi="Calibri" w:eastAsia="楷体_GB2312" w:cs="Calibri"/>
          <w:sz w:val="20"/>
          <w:szCs w:val="20"/>
          <w:lang w:val="en-US" w:eastAsia="zh-CN"/>
        </w:rPr>
        <w:t>、</w:t>
      </w:r>
      <w:r>
        <w:rPr>
          <w:rFonts w:hint="default" w:ascii="Calibri" w:hAnsi="Calibri" w:eastAsia="楷体_GB2312" w:cs="Calibri"/>
          <w:sz w:val="20"/>
          <w:szCs w:val="20"/>
          <w:lang w:val="en-US" w:eastAsia="zh-CN"/>
        </w:rPr>
        <w:t>25日：中国第24批赴黎巴嫩维和官兵成功销毁未爆弹</w:t>
      </w:r>
      <w:r>
        <w:rPr>
          <w:rFonts w:hint="default" w:ascii="Calibri" w:hAnsi="Calibri" w:eastAsia="楷体_GB2312" w:cs="Calibri"/>
        </w:rPr>
        <w:fldChar w:fldCharType="begin"/>
      </w:r>
      <w:r>
        <w:rPr>
          <w:rFonts w:hint="default" w:ascii="Calibri" w:hAnsi="Calibri" w:eastAsia="楷体_GB2312" w:cs="Calibri"/>
        </w:rPr>
        <w:instrText xml:space="preserve">HYPERLINK "https://tv.cctv.cn/2026/02/25/VIDEVWA2VHpvGGOeP6h3tceZ260225.shtml" \t "https://chat.deepseek.com/a/chat/s/_blank"</w:instrText>
      </w:r>
      <w:r>
        <w:rPr>
          <w:rFonts w:hint="default" w:ascii="Calibri" w:hAnsi="Calibri" w:eastAsia="楷体_GB2312" w:cs="Calibri"/>
        </w:rPr>
        <w:fldChar w:fldCharType="separate"/>
      </w:r>
      <w:r>
        <w:rPr>
          <w:rFonts w:hint="default" w:ascii="Calibri" w:hAnsi="Calibri" w:eastAsia="楷体_GB2312" w:cs="Calibri"/>
        </w:rPr>
        <w:fldChar w:fldCharType="end"/>
      </w:r>
      <w:r>
        <w:rPr>
          <w:rFonts w:hint="default" w:ascii="Calibri" w:hAnsi="Calibri" w:eastAsia="楷体_GB2312" w:cs="Calibri"/>
          <w:sz w:val="20"/>
          <w:szCs w:val="20"/>
          <w:lang w:val="en-US" w:eastAsia="zh-CN"/>
        </w:rPr>
        <w:t>。</w:t>
      </w:r>
    </w:p>
    <w:p w14:paraId="5A9F9C96">
      <w:pPr>
        <w:overflowPunct w:val="0"/>
        <w:ind w:left="3200" w:leftChars="2000"/>
        <w:jc w:val="both"/>
        <w:rPr>
          <w:rFonts w:hint="default" w:ascii="Calibri" w:hAnsi="Calibri" w:eastAsia="楷体_GB2312" w:cs="Calibri"/>
          <w:sz w:val="20"/>
          <w:szCs w:val="20"/>
          <w:lang w:val="en-US" w:eastAsia="zh-CN"/>
        </w:rPr>
      </w:pPr>
    </w:p>
    <w:p w14:paraId="38470248">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2025年Q</w:t>
      </w:r>
      <w:r>
        <w:rPr>
          <w:rFonts w:hint="default" w:ascii="Calibri" w:hAnsi="Calibri" w:eastAsia="楷体_GB2312" w:cs="Calibri"/>
          <w:sz w:val="20"/>
          <w:szCs w:val="20"/>
          <w:lang w:val="en-US" w:eastAsia="zh-CN"/>
        </w:rPr>
        <w:t>4</w:t>
      </w:r>
      <w:r>
        <w:rPr>
          <w:rFonts w:hint="default" w:ascii="Calibri" w:hAnsi="Calibri" w:eastAsia="楷体_GB2312" w:cs="Calibri"/>
          <w:sz w:val="20"/>
          <w:szCs w:val="20"/>
          <w:lang w:val="en-US" w:eastAsia="zh-CN"/>
        </w:rPr>
        <w:t>美国政府支出国防价格指数</w:t>
      </w:r>
      <w:r>
        <w:rPr>
          <w:rFonts w:hint="default" w:ascii="Calibri" w:hAnsi="Calibri" w:eastAsia="楷体_GB2312" w:cs="Calibri"/>
          <w:sz w:val="20"/>
          <w:szCs w:val="20"/>
          <w:lang w:val="en-US" w:eastAsia="zh-CN"/>
        </w:rPr>
        <w:t>120.187</w:t>
      </w:r>
      <w:r>
        <w:rPr>
          <w:rFonts w:hint="default" w:ascii="Calibri" w:hAnsi="Calibri" w:eastAsia="楷体_GB2312" w:cs="Calibri"/>
          <w:sz w:val="20"/>
          <w:szCs w:val="20"/>
          <w:lang w:val="en-US" w:eastAsia="zh-CN"/>
        </w:rPr>
        <w:t>，环比+0.</w:t>
      </w:r>
      <w:r>
        <w:rPr>
          <w:rFonts w:hint="default" w:ascii="Calibri" w:hAnsi="Calibri" w:eastAsia="楷体_GB2312" w:cs="Calibri"/>
          <w:sz w:val="20"/>
          <w:szCs w:val="20"/>
          <w:lang w:val="en-US" w:eastAsia="zh-CN"/>
        </w:rPr>
        <w:t>9</w:t>
      </w:r>
      <w:r>
        <w:rPr>
          <w:rFonts w:hint="default" w:ascii="Calibri" w:hAnsi="Calibri" w:eastAsia="楷体_GB2312" w:cs="Calibri"/>
          <w:sz w:val="20"/>
          <w:szCs w:val="20"/>
          <w:lang w:val="en-US" w:eastAsia="zh-CN"/>
        </w:rPr>
        <w:t>%，同比+</w:t>
      </w:r>
      <w:r>
        <w:rPr>
          <w:rFonts w:hint="default" w:ascii="Calibri" w:hAnsi="Calibri" w:eastAsia="楷体_GB2312" w:cs="Calibri"/>
          <w:sz w:val="20"/>
          <w:szCs w:val="20"/>
          <w:lang w:val="en-US" w:eastAsia="zh-CN"/>
        </w:rPr>
        <w:t>2.95</w:t>
      </w:r>
      <w:r>
        <w:rPr>
          <w:rFonts w:hint="default" w:ascii="Calibri" w:hAnsi="Calibri" w:eastAsia="楷体_GB2312" w:cs="Calibri"/>
          <w:sz w:val="20"/>
          <w:szCs w:val="20"/>
          <w:lang w:val="en-US" w:eastAsia="zh-CN"/>
        </w:rPr>
        <w:t>%。</w:t>
      </w:r>
    </w:p>
    <w:p w14:paraId="172F4B31">
      <w:pPr>
        <w:overflowPunct w:val="0"/>
        <w:ind w:left="3200" w:leftChars="2000"/>
        <w:jc w:val="both"/>
        <w:rPr>
          <w:rFonts w:hint="default" w:ascii="Calibri" w:hAnsi="Calibri" w:eastAsia="楷体_GB2312" w:cs="Calibri"/>
          <w:b/>
          <w:bCs/>
          <w:color w:val="1F497D" w:themeColor="text2"/>
          <w:sz w:val="24"/>
          <w:szCs w:val="24"/>
          <w:lang w:eastAsia="zh-CN"/>
          <w14:textFill>
            <w14:solidFill>
              <w14:schemeClr w14:val="tx2"/>
            </w14:solidFill>
          </w14:textFill>
        </w:rPr>
      </w:pPr>
    </w:p>
    <w:tbl>
      <w:tblPr>
        <w:tblStyle w:val="27"/>
        <w:tblW w:w="7459" w:type="dxa"/>
        <w:tblInd w:w="2868"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7459"/>
      </w:tblGrid>
      <w:tr w14:paraId="7FA1CA87">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7459" w:type="dxa"/>
            <w:tcBorders>
              <w:bottom w:val="single" w:color="auto" w:sz="4" w:space="0"/>
            </w:tcBorders>
          </w:tcPr>
          <w:p w14:paraId="0C6451C6">
            <w:pPr>
              <w:overflowPunct w:val="0"/>
              <w:rPr>
                <w:rFonts w:hint="default" w:ascii="Calibri" w:hAnsi="Calibri" w:eastAsia="楷体_GB2312" w:cs="Calibri"/>
                <w:b/>
                <w:szCs w:val="20"/>
                <w:lang w:eastAsia="zh-CN"/>
              </w:rPr>
            </w:pPr>
            <w:r>
              <w:rPr>
                <w:rFonts w:hint="default" w:ascii="Calibri" w:hAnsi="Calibri" w:eastAsia="楷体_GB2312" w:cs="Calibri"/>
                <w:b/>
                <w:sz w:val="18"/>
                <w:szCs w:val="18"/>
                <w:lang w:val="zh-CN" w:eastAsia="zh-CN"/>
              </w:rPr>
              <w:t>图</w:t>
            </w:r>
            <w:r>
              <w:rPr>
                <w:rFonts w:hint="default" w:ascii="Calibri" w:hAnsi="Calibri" w:eastAsia="楷体_GB2312" w:cs="Calibri"/>
                <w:b/>
                <w:sz w:val="18"/>
                <w:szCs w:val="18"/>
                <w:lang w:eastAsia="zh-CN"/>
              </w:rPr>
              <w:t>4</w:t>
            </w:r>
            <w:r>
              <w:rPr>
                <w:rFonts w:hint="default" w:ascii="Calibri" w:hAnsi="Calibri" w:eastAsia="楷体_GB2312" w:cs="Calibri"/>
                <w:b/>
                <w:sz w:val="18"/>
                <w:szCs w:val="18"/>
                <w:lang w:val="en-US" w:eastAsia="zh-CN"/>
              </w:rPr>
              <w:t>2</w:t>
            </w:r>
            <w:r>
              <w:rPr>
                <w:rFonts w:hint="default" w:ascii="Calibri" w:hAnsi="Calibri" w:eastAsia="楷体_GB2312" w:cs="Calibri"/>
                <w:b/>
                <w:sz w:val="18"/>
                <w:szCs w:val="18"/>
                <w:lang w:eastAsia="zh-CN"/>
              </w:rPr>
              <w:t>:</w:t>
            </w:r>
            <w:r>
              <w:rPr>
                <w:rFonts w:hint="default" w:ascii="Calibri" w:hAnsi="Calibri" w:eastAsia="楷体_GB2312" w:cs="Calibri"/>
                <w:b/>
                <w:sz w:val="18"/>
                <w:szCs w:val="18"/>
                <w:lang w:val="zh-CN" w:eastAsia="zh-CN"/>
              </w:rPr>
              <w:t xml:space="preserve"> 美国政府支出国防价格指数</w:t>
            </w:r>
          </w:p>
        </w:tc>
      </w:tr>
      <w:tr w14:paraId="447E7B57">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3222" w:hRule="atLeast"/>
        </w:trPr>
        <w:tc>
          <w:tcPr>
            <w:tcW w:w="7459" w:type="dxa"/>
            <w:tcBorders>
              <w:top w:val="single" w:color="auto" w:sz="4" w:space="0"/>
              <w:bottom w:val="single" w:color="auto" w:sz="4" w:space="0"/>
            </w:tcBorders>
            <w:vAlign w:val="center"/>
          </w:tcPr>
          <w:p w14:paraId="7CE3A6AF">
            <w:pPr>
              <w:overflowPunct w:val="0"/>
              <w:jc w:val="center"/>
              <w:rPr>
                <w:rFonts w:hint="default" w:ascii="Calibri" w:hAnsi="Calibri" w:eastAsia="楷体_GB2312" w:cs="Calibri"/>
                <w:sz w:val="10"/>
              </w:rPr>
            </w:pPr>
            <w:r>
              <w:rPr>
                <w:rFonts w:hint="default" w:ascii="Calibri" w:hAnsi="Calibri" w:eastAsia="楷体_GB2312" w:cs="Calibri"/>
                <w:sz w:val="10"/>
                <w:lang w:eastAsia="zh-CN"/>
              </w:rPr>
              <w:drawing>
                <wp:inline distT="0" distB="0" distL="114300" distR="114300">
                  <wp:extent cx="4592955" cy="1812925"/>
                  <wp:effectExtent l="0" t="0" r="4445" b="15875"/>
                  <wp:docPr id="6" name="图片 6" descr="fred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redgraph"/>
                          <pic:cNvPicPr>
                            <a:picLocks noChangeAspect="1"/>
                          </pic:cNvPicPr>
                        </pic:nvPicPr>
                        <pic:blipFill>
                          <a:blip r:embed="rId52"/>
                          <a:stretch>
                            <a:fillRect/>
                          </a:stretch>
                        </pic:blipFill>
                        <pic:spPr>
                          <a:xfrm>
                            <a:off x="0" y="0"/>
                            <a:ext cx="4592955" cy="1812925"/>
                          </a:xfrm>
                          <a:prstGeom prst="rect">
                            <a:avLst/>
                          </a:prstGeom>
                        </pic:spPr>
                      </pic:pic>
                    </a:graphicData>
                  </a:graphic>
                </wp:inline>
              </w:drawing>
            </w:r>
          </w:p>
        </w:tc>
      </w:tr>
      <w:tr w14:paraId="363E4924">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7459" w:type="dxa"/>
            <w:tcBorders>
              <w:top w:val="single" w:color="auto" w:sz="4" w:space="0"/>
            </w:tcBorders>
          </w:tcPr>
          <w:p w14:paraId="434E8482">
            <w:pPr>
              <w:overflowPunct w:val="0"/>
              <w:rPr>
                <w:rFonts w:hint="default" w:ascii="Calibri" w:hAnsi="Calibri" w:eastAsia="楷体_GB2312" w:cs="Calibri"/>
                <w:i/>
                <w:iCs/>
                <w:sz w:val="15"/>
                <w:szCs w:val="15"/>
                <w:lang w:eastAsia="zh-CN"/>
              </w:rPr>
            </w:pPr>
            <w:r>
              <w:rPr>
                <w:rFonts w:hint="default" w:ascii="Calibri" w:hAnsi="Calibri" w:eastAsia="楷体_GB2312" w:cs="Calibri"/>
                <w:i/>
                <w:iCs/>
                <w:sz w:val="15"/>
                <w:szCs w:val="15"/>
              </w:rPr>
              <w:t>资料来源：U.S. Bureau of Economic Analysis，</w:t>
            </w:r>
            <w:r>
              <w:rPr>
                <w:rFonts w:hint="default" w:ascii="Calibri" w:hAnsi="Calibri" w:eastAsia="楷体_GB2312" w:cs="Calibri"/>
                <w:i/>
                <w:iCs/>
                <w:sz w:val="15"/>
                <w:szCs w:val="15"/>
                <w:lang w:eastAsia="zh-CN"/>
              </w:rPr>
              <w:t>HFI</w:t>
            </w:r>
          </w:p>
        </w:tc>
      </w:tr>
    </w:tbl>
    <w:p w14:paraId="0E88C2B9">
      <w:pPr>
        <w:overflowPunct w:val="0"/>
        <w:ind w:left="3200" w:leftChars="2000"/>
        <w:jc w:val="both"/>
        <w:rPr>
          <w:rFonts w:hint="default" w:ascii="Calibri" w:hAnsi="Calibri" w:eastAsia="楷体_GB2312" w:cs="Calibri"/>
          <w:b/>
          <w:bCs/>
          <w:color w:val="1F497D" w:themeColor="text2"/>
          <w:sz w:val="24"/>
          <w:szCs w:val="24"/>
          <w:lang w:val="en-US" w:eastAsia="zh-CN"/>
          <w14:textFill>
            <w14:solidFill>
              <w14:schemeClr w14:val="tx2"/>
            </w14:solidFill>
          </w14:textFill>
        </w:rPr>
      </w:pPr>
    </w:p>
    <w:p w14:paraId="2FA2E21D">
      <w:pPr>
        <w:overflowPunct w:val="0"/>
        <w:ind w:left="3200" w:leftChars="2000"/>
        <w:jc w:val="both"/>
        <w:rPr>
          <w:rFonts w:hint="default" w:ascii="Calibri" w:hAnsi="Calibri" w:eastAsia="楷体_GB2312" w:cs="Calibri"/>
          <w:b/>
          <w:bCs/>
          <w:color w:val="1F497D" w:themeColor="text2"/>
          <w:sz w:val="24"/>
          <w:szCs w:val="24"/>
          <w:lang w:val="en-US" w:eastAsia="zh-CN"/>
          <w14:textFill>
            <w14:solidFill>
              <w14:schemeClr w14:val="tx2"/>
            </w14:solidFill>
          </w14:textFill>
        </w:rPr>
      </w:pPr>
      <w:r>
        <w:rPr>
          <w:rFonts w:hint="default" w:ascii="Calibri" w:hAnsi="Calibri" w:eastAsia="楷体_GB2312" w:cs="Calibri"/>
        </w:rPr>
        <w:fldChar w:fldCharType="begin"/>
      </w:r>
      <w:r>
        <w:rPr>
          <w:rFonts w:hint="default" w:ascii="Calibri" w:hAnsi="Calibri" w:eastAsia="楷体_GB2312" w:cs="Calibri"/>
        </w:rPr>
        <w:instrText xml:space="preserve"> HYPERLINK \l "_Toc192787049" </w:instrText>
      </w:r>
      <w:r>
        <w:rPr>
          <w:rFonts w:hint="default" w:ascii="Calibri" w:hAnsi="Calibri" w:eastAsia="楷体_GB2312" w:cs="Calibri"/>
        </w:rPr>
        <w:fldChar w:fldCharType="separate"/>
      </w:r>
      <w:r>
        <w:rPr>
          <w:rFonts w:hint="default" w:ascii="Calibri" w:hAnsi="Calibri" w:eastAsia="楷体_GB2312" w:cs="Calibri"/>
        </w:rPr>
        <w:fldChar w:fldCharType="end"/>
      </w:r>
    </w:p>
    <w:p w14:paraId="16C94123">
      <w:pPr>
        <w:overflowPunct w:val="0"/>
        <w:ind w:left="3200" w:leftChars="2000"/>
        <w:jc w:val="both"/>
        <w:outlineLvl w:val="1"/>
        <w:rPr>
          <w:rFonts w:hint="default" w:ascii="Calibri" w:hAnsi="Calibri" w:eastAsia="楷体_GB2312" w:cs="Calibri"/>
          <w:b/>
          <w:bCs/>
          <w:color w:val="1F497D" w:themeColor="text2"/>
          <w:sz w:val="24"/>
          <w:szCs w:val="24"/>
          <w:lang w:val="en-US" w:eastAsia="zh-CN"/>
          <w14:textFill>
            <w14:solidFill>
              <w14:schemeClr w14:val="tx2"/>
            </w14:solidFill>
          </w14:textFill>
        </w:rPr>
      </w:pPr>
      <w:bookmarkStart w:id="39" w:name="_Toc223082616"/>
      <w:r>
        <w:rPr>
          <w:rFonts w:hint="default" w:ascii="Calibri" w:hAnsi="Calibri" w:eastAsia="楷体_GB2312" w:cs="Calibri"/>
          <w:b/>
          <w:bCs/>
          <w:color w:val="1F497D" w:themeColor="text2"/>
          <w:sz w:val="24"/>
          <w:szCs w:val="24"/>
          <w:lang w:val="en-US" w:eastAsia="zh-CN"/>
          <w14:textFill>
            <w14:solidFill>
              <w14:schemeClr w14:val="tx2"/>
            </w14:solidFill>
          </w14:textFill>
        </w:rPr>
        <w:t>（三）通用航空</w:t>
      </w:r>
      <w:bookmarkEnd w:id="39"/>
    </w:p>
    <w:p w14:paraId="41D4A3F2">
      <w:pPr>
        <w:overflowPunct w:val="0"/>
        <w:ind w:left="3200" w:leftChars="2000"/>
        <w:jc w:val="both"/>
        <w:rPr>
          <w:rFonts w:hint="default" w:ascii="Calibri" w:hAnsi="Calibri" w:eastAsia="楷体_GB2312" w:cs="Calibri"/>
          <w:sz w:val="20"/>
          <w:szCs w:val="20"/>
          <w:lang w:val="en-US" w:eastAsia="zh-CN"/>
        </w:rPr>
      </w:pPr>
    </w:p>
    <w:p w14:paraId="15A258A7">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全球通用航空器交付量呈现稳步增长态势。2024 年全球通用航空器交付量达到 3,126 架，同比增长 2.</w:t>
      </w:r>
      <w:r>
        <w:rPr>
          <w:rFonts w:hint="default" w:ascii="Calibri" w:hAnsi="Calibri" w:eastAsia="楷体_GB2312" w:cs="Calibri"/>
          <w:sz w:val="20"/>
          <w:szCs w:val="20"/>
          <w:lang w:val="en-US" w:eastAsia="zh-CN"/>
        </w:rPr>
        <w:t>5</w:t>
      </w:r>
      <w:r>
        <w:rPr>
          <w:rFonts w:hint="default" w:ascii="Calibri" w:hAnsi="Calibri" w:eastAsia="楷体_GB2312" w:cs="Calibri"/>
          <w:sz w:val="20"/>
          <w:szCs w:val="20"/>
          <w:lang w:val="en-US" w:eastAsia="zh-CN"/>
        </w:rPr>
        <w:t>%。2025</w:t>
      </w:r>
      <w:r>
        <w:rPr>
          <w:rFonts w:hint="default" w:ascii="Calibri" w:hAnsi="Calibri" w:eastAsia="楷体_GB2312" w:cs="Calibri"/>
          <w:sz w:val="20"/>
          <w:szCs w:val="20"/>
          <w:lang w:val="en-US" w:eastAsia="zh-CN"/>
        </w:rPr>
        <w:t>年实际交付量已达到</w:t>
      </w:r>
      <w:r>
        <w:rPr>
          <w:rFonts w:hint="default" w:ascii="Calibri" w:hAnsi="Calibri" w:eastAsia="楷体_GB2312" w:cs="Calibri"/>
          <w:sz w:val="20"/>
          <w:szCs w:val="20"/>
          <w:lang w:val="en-US" w:eastAsia="zh-CN"/>
        </w:rPr>
        <w:t>3,230</w:t>
      </w:r>
      <w:r>
        <w:rPr>
          <w:rFonts w:hint="default" w:ascii="Calibri" w:hAnsi="Calibri" w:eastAsia="楷体_GB2312" w:cs="Calibri"/>
          <w:sz w:val="20"/>
          <w:szCs w:val="20"/>
          <w:lang w:val="en-US" w:eastAsia="zh-CN"/>
        </w:rPr>
        <w:t>架，同比增长3.3</w:t>
      </w:r>
      <w:r>
        <w:rPr>
          <w:rFonts w:hint="default" w:ascii="Calibri" w:hAnsi="Calibri" w:eastAsia="楷体_GB2312" w:cs="Calibri"/>
          <w:sz w:val="20"/>
          <w:szCs w:val="20"/>
          <w:lang w:val="en-US" w:eastAsia="zh-CN"/>
        </w:rPr>
        <w:t>%</w:t>
      </w:r>
      <w:r>
        <w:rPr>
          <w:rFonts w:hint="default" w:ascii="Calibri" w:hAnsi="Calibri" w:eastAsia="楷体_GB2312" w:cs="Calibri"/>
          <w:sz w:val="20"/>
          <w:szCs w:val="20"/>
          <w:lang w:val="en-US" w:eastAsia="zh-CN"/>
        </w:rPr>
        <w:t>；</w:t>
      </w:r>
      <w:r>
        <w:rPr>
          <w:rFonts w:hint="default" w:ascii="Calibri" w:hAnsi="Calibri" w:eastAsia="楷体_GB2312" w:cs="Calibri"/>
          <w:sz w:val="20"/>
          <w:szCs w:val="20"/>
          <w:lang w:val="en-US" w:eastAsia="zh-CN"/>
        </w:rPr>
        <w:t>2026 年将进一步上升至 3,410 架，增幅 5.</w:t>
      </w:r>
      <w:r>
        <w:rPr>
          <w:rFonts w:hint="default" w:ascii="Calibri" w:hAnsi="Calibri" w:eastAsia="楷体_GB2312" w:cs="Calibri"/>
          <w:sz w:val="20"/>
          <w:szCs w:val="20"/>
          <w:lang w:val="en-US" w:eastAsia="zh-CN"/>
        </w:rPr>
        <w:t>6</w:t>
      </w:r>
      <w:r>
        <w:rPr>
          <w:rFonts w:hint="default" w:ascii="Calibri" w:hAnsi="Calibri" w:eastAsia="楷体_GB2312" w:cs="Calibri"/>
          <w:sz w:val="20"/>
          <w:szCs w:val="20"/>
          <w:lang w:val="en-US" w:eastAsia="zh-CN"/>
        </w:rPr>
        <w:t>%；2027 年和 2028 年预计分别达到 3,520 架和 3,650 架，对应增速 3.2% 和 3.5%。这一趋势表明，全球通用航空制造业在经历疫情后已实现全面恢复，市场需求持续释放，行业进入稳定增长的新阶段。</w:t>
      </w:r>
    </w:p>
    <w:p w14:paraId="102FBB10">
      <w:pPr>
        <w:overflowPunct w:val="0"/>
        <w:jc w:val="both"/>
        <w:rPr>
          <w:rFonts w:hint="default" w:ascii="Calibri" w:hAnsi="Calibri" w:eastAsia="楷体_GB2312" w:cs="Calibri"/>
          <w:b/>
          <w:bCs/>
          <w:color w:val="1F497D" w:themeColor="text2"/>
          <w:sz w:val="24"/>
          <w:szCs w:val="24"/>
          <w:lang w:eastAsia="zh-CN"/>
          <w14:textFill>
            <w14:solidFill>
              <w14:schemeClr w14:val="tx2"/>
            </w14:solidFill>
          </w14:textFill>
        </w:rPr>
      </w:pPr>
    </w:p>
    <w:tbl>
      <w:tblPr>
        <w:tblStyle w:val="26"/>
        <w:tblW w:w="10743" w:type="dxa"/>
        <w:tblInd w:w="0" w:type="dxa"/>
        <w:tblLayout w:type="fixed"/>
        <w:tblCellMar>
          <w:top w:w="0" w:type="dxa"/>
          <w:left w:w="108" w:type="dxa"/>
          <w:bottom w:w="0" w:type="dxa"/>
          <w:right w:w="108" w:type="dxa"/>
        </w:tblCellMar>
      </w:tblPr>
      <w:tblGrid>
        <w:gridCol w:w="5306"/>
        <w:gridCol w:w="240"/>
        <w:gridCol w:w="5197"/>
      </w:tblGrid>
      <w:tr w14:paraId="6BD5BED0">
        <w:tblPrEx>
          <w:tblCellMar>
            <w:top w:w="0" w:type="dxa"/>
            <w:left w:w="108" w:type="dxa"/>
            <w:bottom w:w="0" w:type="dxa"/>
            <w:right w:w="108" w:type="dxa"/>
          </w:tblCellMar>
        </w:tblPrEx>
        <w:trPr>
          <w:trHeight w:val="227" w:hRule="atLeast"/>
        </w:trPr>
        <w:tc>
          <w:tcPr>
            <w:tcW w:w="5306" w:type="dxa"/>
            <w:tcBorders>
              <w:bottom w:val="single" w:color="auto" w:sz="4" w:space="0"/>
            </w:tcBorders>
            <w:tcMar>
              <w:left w:w="0" w:type="dxa"/>
              <w:right w:w="28" w:type="dxa"/>
            </w:tcMar>
          </w:tcPr>
          <w:p w14:paraId="122817BA">
            <w:pPr>
              <w:spacing w:before="48" w:beforeLines="20" w:after="48" w:afterLines="20"/>
              <w:textAlignment w:val="center"/>
              <w:rPr>
                <w:rFonts w:hint="default" w:ascii="Calibri" w:hAnsi="Calibri" w:eastAsia="楷体_GB2312" w:cs="Calibri"/>
                <w:b/>
                <w:szCs w:val="20"/>
                <w:highlight w:val="yellow"/>
                <w:lang w:eastAsia="zh-CN"/>
              </w:rPr>
            </w:pPr>
            <w:r>
              <w:rPr>
                <w:rFonts w:hint="default" w:ascii="Calibri" w:hAnsi="Calibri" w:eastAsia="楷体_GB2312" w:cs="Calibri"/>
                <w:b/>
                <w:sz w:val="18"/>
                <w:szCs w:val="18"/>
                <w:lang w:val="zh-CN" w:eastAsia="zh-CN"/>
              </w:rPr>
              <w:t>图</w:t>
            </w:r>
            <w:r>
              <w:rPr>
                <w:rFonts w:hint="default" w:ascii="Calibri" w:hAnsi="Calibri" w:eastAsia="楷体_GB2312" w:cs="Calibri"/>
                <w:b/>
                <w:sz w:val="18"/>
                <w:szCs w:val="18"/>
                <w:lang w:val="zh-CN" w:eastAsia="zh-CN"/>
              </w:rPr>
              <w:t>4</w:t>
            </w:r>
            <w:r>
              <w:rPr>
                <w:rFonts w:hint="default" w:ascii="Calibri" w:hAnsi="Calibri" w:eastAsia="楷体_GB2312" w:cs="Calibri"/>
                <w:b/>
                <w:sz w:val="18"/>
                <w:szCs w:val="18"/>
                <w:lang w:val="en-US" w:eastAsia="zh-CN"/>
              </w:rPr>
              <w:t>3</w:t>
            </w:r>
            <w:r>
              <w:rPr>
                <w:rFonts w:hint="default" w:ascii="Calibri" w:hAnsi="Calibri" w:eastAsia="楷体_GB2312" w:cs="Calibri"/>
                <w:b/>
                <w:sz w:val="18"/>
                <w:szCs w:val="18"/>
                <w:lang w:val="zh-CN" w:eastAsia="zh-CN"/>
              </w:rPr>
              <w:t>：全球通用航空器交付量（架）</w:t>
            </w:r>
          </w:p>
        </w:tc>
        <w:tc>
          <w:tcPr>
            <w:tcW w:w="240" w:type="dxa"/>
            <w:tcMar>
              <w:left w:w="0" w:type="dxa"/>
              <w:right w:w="28" w:type="dxa"/>
            </w:tcMar>
          </w:tcPr>
          <w:p w14:paraId="2722F5EA">
            <w:pPr>
              <w:spacing w:before="48" w:beforeLines="20" w:after="48" w:afterLines="20"/>
              <w:textAlignment w:val="center"/>
              <w:rPr>
                <w:rFonts w:hint="default" w:ascii="Calibri" w:hAnsi="Calibri" w:eastAsia="楷体_GB2312" w:cs="Calibri"/>
                <w:b/>
                <w:sz w:val="18"/>
                <w:szCs w:val="18"/>
                <w:lang w:val="zh-CN" w:eastAsia="zh-CN"/>
              </w:rPr>
            </w:pPr>
          </w:p>
        </w:tc>
        <w:tc>
          <w:tcPr>
            <w:tcW w:w="5197" w:type="dxa"/>
            <w:tcBorders>
              <w:bottom w:val="single" w:color="auto" w:sz="4" w:space="0"/>
            </w:tcBorders>
            <w:tcMar>
              <w:left w:w="0" w:type="dxa"/>
              <w:right w:w="28" w:type="dxa"/>
            </w:tcMar>
          </w:tcPr>
          <w:p w14:paraId="0340E675">
            <w:pPr>
              <w:spacing w:before="48" w:beforeLines="20" w:after="48" w:afterLines="20"/>
              <w:textAlignment w:val="center"/>
              <w:rPr>
                <w:rFonts w:hint="default" w:ascii="Calibri" w:hAnsi="Calibri" w:eastAsia="楷体_GB2312" w:cs="Calibri"/>
                <w:b/>
                <w:sz w:val="18"/>
                <w:szCs w:val="18"/>
                <w:lang w:val="zh-CN" w:eastAsia="zh-CN"/>
              </w:rPr>
            </w:pPr>
            <w:r>
              <w:rPr>
                <w:rFonts w:hint="default" w:ascii="Calibri" w:hAnsi="Calibri" w:eastAsia="楷体_GB2312" w:cs="Calibri"/>
                <w:b/>
                <w:sz w:val="18"/>
                <w:szCs w:val="18"/>
                <w:lang w:val="zh-CN" w:eastAsia="zh-CN"/>
              </w:rPr>
              <w:t>图</w:t>
            </w:r>
            <w:r>
              <w:rPr>
                <w:rFonts w:hint="default" w:ascii="Calibri" w:hAnsi="Calibri" w:eastAsia="楷体_GB2312" w:cs="Calibri"/>
                <w:b/>
                <w:sz w:val="18"/>
                <w:szCs w:val="18"/>
                <w:lang w:val="zh-CN" w:eastAsia="zh-CN"/>
              </w:rPr>
              <w:t>4</w:t>
            </w:r>
            <w:r>
              <w:rPr>
                <w:rFonts w:hint="default" w:ascii="Calibri" w:hAnsi="Calibri" w:eastAsia="楷体_GB2312" w:cs="Calibri"/>
                <w:b/>
                <w:sz w:val="18"/>
                <w:szCs w:val="18"/>
                <w:lang w:val="en-US" w:eastAsia="zh-CN"/>
              </w:rPr>
              <w:t>4</w:t>
            </w:r>
            <w:r>
              <w:rPr>
                <w:rFonts w:hint="default" w:ascii="Calibri" w:hAnsi="Calibri" w:eastAsia="楷体_GB2312" w:cs="Calibri"/>
                <w:b/>
                <w:sz w:val="18"/>
                <w:szCs w:val="18"/>
                <w:lang w:val="zh-CN" w:eastAsia="zh-CN"/>
              </w:rPr>
              <w:t>：全球通用航空器交付量（美元）</w:t>
            </w:r>
          </w:p>
        </w:tc>
      </w:tr>
      <w:tr w14:paraId="55D5EB12">
        <w:tblPrEx>
          <w:tblCellMar>
            <w:top w:w="0" w:type="dxa"/>
            <w:left w:w="108" w:type="dxa"/>
            <w:bottom w:w="0" w:type="dxa"/>
            <w:right w:w="108" w:type="dxa"/>
          </w:tblCellMar>
        </w:tblPrEx>
        <w:trPr>
          <w:trHeight w:val="2300" w:hRule="atLeast"/>
        </w:trPr>
        <w:tc>
          <w:tcPr>
            <w:tcW w:w="5306" w:type="dxa"/>
            <w:tcBorders>
              <w:top w:val="single" w:color="auto" w:sz="4" w:space="0"/>
              <w:bottom w:val="single" w:color="auto" w:sz="4" w:space="0"/>
            </w:tcBorders>
            <w:vAlign w:val="center"/>
          </w:tcPr>
          <w:p w14:paraId="02062722">
            <w:pPr>
              <w:spacing w:before="48" w:beforeLines="20" w:after="48" w:afterLines="20"/>
              <w:textAlignment w:val="center"/>
              <w:rPr>
                <w:rFonts w:hint="default" w:ascii="Calibri" w:hAnsi="Calibri" w:eastAsia="楷体_GB2312" w:cs="Calibri"/>
                <w:b/>
                <w:color w:val="000000"/>
                <w:szCs w:val="20"/>
                <w:lang w:bidi="ar"/>
              </w:rPr>
            </w:pPr>
            <w:r>
              <w:rPr>
                <w:rFonts w:hint="default" w:ascii="Calibri" w:hAnsi="Calibri" w:eastAsia="楷体_GB2312" w:cs="Calibri"/>
                <w:snapToGrid/>
              </w:rPr>
              <w:drawing>
                <wp:inline distT="0" distB="0" distL="0" distR="0">
                  <wp:extent cx="3232150" cy="2190750"/>
                  <wp:effectExtent l="0" t="0" r="6350" b="0"/>
                  <wp:docPr id="174678017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p>
        </w:tc>
        <w:tc>
          <w:tcPr>
            <w:tcW w:w="240" w:type="dxa"/>
          </w:tcPr>
          <w:p w14:paraId="4117E73E">
            <w:pPr>
              <w:spacing w:before="48" w:beforeLines="20" w:after="48" w:afterLines="20"/>
              <w:rPr>
                <w:rFonts w:hint="default" w:ascii="Calibri" w:hAnsi="Calibri" w:eastAsia="楷体_GB2312" w:cs="Calibri"/>
                <w:szCs w:val="20"/>
              </w:rPr>
            </w:pPr>
          </w:p>
        </w:tc>
        <w:tc>
          <w:tcPr>
            <w:tcW w:w="5197" w:type="dxa"/>
            <w:tcBorders>
              <w:top w:val="single" w:color="auto" w:sz="4" w:space="0"/>
              <w:bottom w:val="single" w:color="auto" w:sz="4" w:space="0"/>
            </w:tcBorders>
          </w:tcPr>
          <w:p w14:paraId="4D0F0F97">
            <w:pPr>
              <w:spacing w:before="48" w:beforeLines="20" w:after="48" w:afterLines="20"/>
              <w:rPr>
                <w:rFonts w:hint="default" w:ascii="Calibri" w:hAnsi="Calibri" w:eastAsia="楷体_GB2312" w:cs="Calibri"/>
                <w:b/>
                <w:szCs w:val="20"/>
              </w:rPr>
            </w:pPr>
            <w:r>
              <w:rPr>
                <w:rFonts w:hint="default" w:ascii="Calibri" w:hAnsi="Calibri" w:eastAsia="楷体_GB2312" w:cs="Calibri"/>
                <w:snapToGrid/>
              </w:rPr>
              <w:drawing>
                <wp:inline distT="0" distB="0" distL="0" distR="0">
                  <wp:extent cx="3162935" cy="2015490"/>
                  <wp:effectExtent l="0" t="0" r="0" b="3810"/>
                  <wp:docPr id="22162554"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inline>
              </w:drawing>
            </w:r>
          </w:p>
        </w:tc>
      </w:tr>
      <w:tr w14:paraId="1DE0891B">
        <w:tblPrEx>
          <w:tblCellMar>
            <w:top w:w="0" w:type="dxa"/>
            <w:left w:w="108" w:type="dxa"/>
            <w:bottom w:w="0" w:type="dxa"/>
            <w:right w:w="108" w:type="dxa"/>
          </w:tblCellMar>
        </w:tblPrEx>
        <w:trPr>
          <w:trHeight w:val="227" w:hRule="atLeast"/>
        </w:trPr>
        <w:tc>
          <w:tcPr>
            <w:tcW w:w="5306" w:type="dxa"/>
            <w:tcBorders>
              <w:top w:val="single" w:color="auto" w:sz="4" w:space="0"/>
            </w:tcBorders>
            <w:tcMar>
              <w:left w:w="0" w:type="dxa"/>
              <w:right w:w="28" w:type="dxa"/>
            </w:tcMar>
            <w:vAlign w:val="center"/>
          </w:tcPr>
          <w:p w14:paraId="0AA7FBDE">
            <w:pPr>
              <w:overflowPunct w:val="0"/>
              <w:rPr>
                <w:rFonts w:hint="default" w:ascii="Calibri" w:hAnsi="Calibri" w:eastAsia="楷体_GB2312" w:cs="Calibri"/>
                <w:i/>
                <w:iCs/>
              </w:rPr>
            </w:pPr>
            <w:r>
              <w:rPr>
                <w:rFonts w:hint="default" w:ascii="Calibri" w:hAnsi="Calibri" w:eastAsia="楷体_GB2312" w:cs="Calibri"/>
                <w:i/>
                <w:iCs/>
              </w:rPr>
              <w:t>资料来源: GAMA, Wind, HFI</w:t>
            </w:r>
          </w:p>
        </w:tc>
        <w:tc>
          <w:tcPr>
            <w:tcW w:w="240" w:type="dxa"/>
            <w:tcMar>
              <w:left w:w="0" w:type="dxa"/>
              <w:right w:w="28" w:type="dxa"/>
            </w:tcMar>
          </w:tcPr>
          <w:p w14:paraId="69761D75">
            <w:pPr>
              <w:overflowPunct w:val="0"/>
              <w:rPr>
                <w:rFonts w:hint="default" w:ascii="Calibri" w:hAnsi="Calibri" w:eastAsia="楷体_GB2312" w:cs="Calibri"/>
                <w:i/>
                <w:iCs/>
              </w:rPr>
            </w:pPr>
          </w:p>
        </w:tc>
        <w:tc>
          <w:tcPr>
            <w:tcW w:w="5197" w:type="dxa"/>
            <w:tcBorders>
              <w:top w:val="single" w:color="auto" w:sz="4" w:space="0"/>
            </w:tcBorders>
            <w:tcMar>
              <w:left w:w="0" w:type="dxa"/>
              <w:right w:w="28" w:type="dxa"/>
            </w:tcMar>
          </w:tcPr>
          <w:p w14:paraId="7354F8FA">
            <w:pPr>
              <w:overflowPunct w:val="0"/>
              <w:rPr>
                <w:rFonts w:hint="default" w:ascii="Calibri" w:hAnsi="Calibri" w:eastAsia="楷体_GB2312" w:cs="Calibri"/>
                <w:i/>
                <w:iCs/>
              </w:rPr>
            </w:pPr>
            <w:r>
              <w:rPr>
                <w:rFonts w:hint="default" w:ascii="Calibri" w:hAnsi="Calibri" w:eastAsia="楷体_GB2312" w:cs="Calibri"/>
                <w:i/>
                <w:iCs/>
              </w:rPr>
              <w:t>资料来源: GAMA, Wind,HFI</w:t>
            </w:r>
          </w:p>
        </w:tc>
      </w:tr>
    </w:tbl>
    <w:p w14:paraId="49F89511">
      <w:pPr>
        <w:overflowPunct w:val="0"/>
        <w:jc w:val="both"/>
        <w:rPr>
          <w:rFonts w:hint="default" w:ascii="Calibri" w:hAnsi="Calibri" w:eastAsia="楷体_GB2312" w:cs="Calibri"/>
          <w:b/>
          <w:bCs/>
          <w:color w:val="1F497D" w:themeColor="text2"/>
          <w:sz w:val="24"/>
          <w:szCs w:val="24"/>
          <w:lang w:val="en-US" w:eastAsia="zh-CN"/>
          <w14:textFill>
            <w14:solidFill>
              <w14:schemeClr w14:val="tx2"/>
            </w14:solidFill>
          </w14:textFill>
        </w:rPr>
      </w:pPr>
    </w:p>
    <w:p w14:paraId="607B9939">
      <w:pPr>
        <w:overflowPunct w:val="0"/>
        <w:ind w:left="3200" w:leftChars="2000"/>
        <w:jc w:val="both"/>
        <w:rPr>
          <w:rFonts w:hint="default" w:ascii="Calibri" w:hAnsi="Calibri" w:eastAsia="楷体_GB2312" w:cs="Calibri"/>
          <w:b/>
          <w:bCs/>
          <w:color w:val="1F497D" w:themeColor="text2"/>
          <w:sz w:val="24"/>
          <w:lang w:eastAsia="zh-CN"/>
          <w14:textFill>
            <w14:solidFill>
              <w14:schemeClr w14:val="tx2"/>
            </w14:solidFill>
          </w14:textFill>
        </w:rPr>
      </w:pPr>
      <w:r>
        <w:rPr>
          <w:rFonts w:hint="default" w:ascii="Calibri" w:hAnsi="Calibri" w:eastAsia="楷体_GB2312" w:cs="Calibri"/>
          <w:sz w:val="20"/>
          <w:szCs w:val="20"/>
          <w:lang w:val="en-US" w:eastAsia="zh-CN"/>
        </w:rPr>
        <w:t>全球通用航空市场呈现北美地区增长为主、欧洲保持稳定、亚太地区面临调整压力、拉美/中东及非洲地区增速放缓的格局。未来随着各国政策落地实施，特别是中国持续推进低空经济与通用航空发展，亚太地区的市场份额有望回升。</w:t>
      </w:r>
    </w:p>
    <w:tbl>
      <w:tblPr>
        <w:tblStyle w:val="26"/>
        <w:tblpPr w:leftFromText="180" w:rightFromText="180" w:vertAnchor="text" w:horzAnchor="margin" w:tblpXSpec="right" w:tblpY="317"/>
        <w:tblW w:w="7466" w:type="dxa"/>
        <w:jc w:val="right"/>
        <w:tblLayout w:type="fixed"/>
        <w:tblCellMar>
          <w:top w:w="0" w:type="dxa"/>
          <w:left w:w="108" w:type="dxa"/>
          <w:bottom w:w="0" w:type="dxa"/>
          <w:right w:w="108" w:type="dxa"/>
        </w:tblCellMar>
      </w:tblPr>
      <w:tblGrid>
        <w:gridCol w:w="7466"/>
      </w:tblGrid>
      <w:tr w14:paraId="46520672">
        <w:trPr>
          <w:trHeight w:val="302" w:hRule="atLeast"/>
          <w:jc w:val="right"/>
        </w:trPr>
        <w:tc>
          <w:tcPr>
            <w:tcW w:w="7466" w:type="dxa"/>
            <w:tcBorders>
              <w:bottom w:val="single" w:color="auto" w:sz="4" w:space="0"/>
            </w:tcBorders>
            <w:tcMar>
              <w:left w:w="0" w:type="dxa"/>
              <w:right w:w="28" w:type="dxa"/>
            </w:tcMar>
          </w:tcPr>
          <w:p w14:paraId="00B1F6B4">
            <w:pPr>
              <w:spacing w:before="48" w:beforeLines="20" w:after="48" w:afterLines="20"/>
              <w:textAlignment w:val="center"/>
              <w:rPr>
                <w:rFonts w:hint="default" w:ascii="Calibri" w:hAnsi="Calibri" w:eastAsia="楷体_GB2312" w:cs="Calibri"/>
                <w:szCs w:val="20"/>
                <w:lang w:eastAsia="zh-CN"/>
              </w:rPr>
            </w:pPr>
            <w:r>
              <w:rPr>
                <w:rFonts w:hint="default" w:ascii="Calibri" w:hAnsi="Calibri" w:eastAsia="楷体_GB2312" w:cs="Calibri"/>
                <w:b/>
                <w:sz w:val="18"/>
                <w:szCs w:val="18"/>
                <w:lang w:val="zh-CN" w:eastAsia="zh-CN"/>
              </w:rPr>
              <w:t>图</w:t>
            </w:r>
            <w:r>
              <w:rPr>
                <w:rFonts w:hint="default" w:ascii="Calibri" w:hAnsi="Calibri" w:eastAsia="楷体_GB2312" w:cs="Calibri"/>
                <w:b/>
                <w:sz w:val="18"/>
                <w:szCs w:val="18"/>
                <w:lang w:val="zh-CN" w:eastAsia="zh-CN"/>
              </w:rPr>
              <w:t>4</w:t>
            </w:r>
            <w:r>
              <w:rPr>
                <w:rFonts w:hint="default" w:ascii="Calibri" w:hAnsi="Calibri" w:eastAsia="楷体_GB2312" w:cs="Calibri"/>
                <w:b/>
                <w:sz w:val="18"/>
                <w:szCs w:val="18"/>
                <w:lang w:val="en-US" w:eastAsia="zh-CN"/>
              </w:rPr>
              <w:t>5</w:t>
            </w:r>
            <w:r>
              <w:rPr>
                <w:rFonts w:hint="default" w:ascii="Calibri" w:hAnsi="Calibri" w:eastAsia="楷体_GB2312" w:cs="Calibri"/>
                <w:b/>
                <w:sz w:val="18"/>
                <w:szCs w:val="18"/>
                <w:lang w:val="zh-CN" w:eastAsia="zh-CN"/>
              </w:rPr>
              <w:t>：全球通用航空器按地区交付量（架）</w:t>
            </w:r>
          </w:p>
        </w:tc>
      </w:tr>
      <w:tr w14:paraId="25AC9F18">
        <w:tblPrEx>
          <w:tblCellMar>
            <w:top w:w="0" w:type="dxa"/>
            <w:left w:w="108" w:type="dxa"/>
            <w:bottom w:w="0" w:type="dxa"/>
            <w:right w:w="108" w:type="dxa"/>
          </w:tblCellMar>
        </w:tblPrEx>
        <w:trPr>
          <w:trHeight w:val="856" w:hRule="atLeast"/>
          <w:jc w:val="right"/>
        </w:trPr>
        <w:tc>
          <w:tcPr>
            <w:tcW w:w="7466" w:type="dxa"/>
            <w:tcBorders>
              <w:top w:val="single" w:color="auto" w:sz="4" w:space="0"/>
              <w:bottom w:val="single" w:color="auto" w:sz="4" w:space="0"/>
            </w:tcBorders>
            <w:vAlign w:val="center"/>
          </w:tcPr>
          <w:p w14:paraId="53CE1FF3">
            <w:pPr>
              <w:spacing w:before="48" w:beforeLines="20" w:after="48" w:afterLines="20"/>
              <w:jc w:val="center"/>
              <w:textAlignment w:val="center"/>
              <w:rPr>
                <w:rFonts w:hint="default" w:ascii="Calibri" w:hAnsi="Calibri" w:eastAsia="楷体_GB2312" w:cs="Calibri"/>
                <w:b/>
                <w:bCs/>
                <w:szCs w:val="20"/>
              </w:rPr>
            </w:pPr>
            <w:r>
              <w:rPr>
                <w:rFonts w:hint="default" w:ascii="Calibri" w:hAnsi="Calibri" w:eastAsia="楷体_GB2312" w:cs="Calibri"/>
                <w:snapToGrid/>
              </w:rPr>
              <w:drawing>
                <wp:inline distT="0" distB="0" distL="0" distR="0">
                  <wp:extent cx="4603750" cy="1960880"/>
                  <wp:effectExtent l="0" t="0" r="19050" b="20320"/>
                  <wp:docPr id="2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inline>
              </w:drawing>
            </w:r>
          </w:p>
        </w:tc>
      </w:tr>
      <w:tr w14:paraId="07722672">
        <w:trPr>
          <w:trHeight w:val="64" w:hRule="atLeast"/>
          <w:jc w:val="right"/>
        </w:trPr>
        <w:tc>
          <w:tcPr>
            <w:tcW w:w="7466" w:type="dxa"/>
            <w:tcBorders>
              <w:top w:val="single" w:color="auto" w:sz="4" w:space="0"/>
            </w:tcBorders>
            <w:tcMar>
              <w:left w:w="0" w:type="dxa"/>
              <w:right w:w="28" w:type="dxa"/>
            </w:tcMar>
            <w:vAlign w:val="center"/>
          </w:tcPr>
          <w:p w14:paraId="6A60322F">
            <w:pPr>
              <w:spacing w:line="240" w:lineRule="atLeast"/>
              <w:textAlignment w:val="center"/>
              <w:rPr>
                <w:rFonts w:hint="default" w:ascii="Calibri" w:hAnsi="Calibri" w:eastAsia="楷体_GB2312" w:cs="Calibri"/>
                <w:i/>
                <w:iCs/>
              </w:rPr>
            </w:pPr>
            <w:r>
              <w:rPr>
                <w:rFonts w:hint="default" w:ascii="Calibri" w:hAnsi="Calibri" w:eastAsia="楷体_GB2312" w:cs="Calibri"/>
                <w:i/>
                <w:iCs/>
              </w:rPr>
              <w:t>资料来源: GAMA, Wind, HFI</w:t>
            </w:r>
          </w:p>
        </w:tc>
      </w:tr>
    </w:tbl>
    <w:p w14:paraId="41399012">
      <w:pPr>
        <w:pStyle w:val="12"/>
        <w:spacing w:before="240" w:beforeLines="100" w:after="240" w:afterLines="100" w:line="260" w:lineRule="exact"/>
        <w:ind w:left="0" w:leftChars="0" w:right="42" w:firstLine="0"/>
        <w:jc w:val="both"/>
        <w:rPr>
          <w:rFonts w:hint="default" w:ascii="Calibri" w:hAnsi="Calibri" w:eastAsia="楷体_GB2312" w:cs="Calibri"/>
          <w:b/>
          <w:bCs/>
          <w:color w:val="1F497D" w:themeColor="text2"/>
          <w:kern w:val="0"/>
          <w:sz w:val="24"/>
          <w:lang w:eastAsia="ja-JP"/>
          <w14:textFill>
            <w14:solidFill>
              <w14:schemeClr w14:val="tx2"/>
            </w14:solidFill>
          </w14:textFill>
        </w:rPr>
      </w:pPr>
    </w:p>
    <w:p w14:paraId="5858E644">
      <w:pPr>
        <w:pStyle w:val="12"/>
        <w:spacing w:before="240" w:beforeLines="100" w:after="240" w:afterLines="100" w:line="260" w:lineRule="exact"/>
        <w:ind w:left="0" w:leftChars="0" w:right="42" w:firstLine="0"/>
        <w:jc w:val="both"/>
        <w:rPr>
          <w:rFonts w:hint="default" w:ascii="Calibri" w:hAnsi="Calibri" w:eastAsia="楷体_GB2312" w:cs="Calibri"/>
          <w:b/>
          <w:bCs/>
          <w:color w:val="1F497D" w:themeColor="text2"/>
          <w:kern w:val="0"/>
          <w:sz w:val="24"/>
          <w:lang w:eastAsia="ja-JP"/>
          <w14:textFill>
            <w14:solidFill>
              <w14:schemeClr w14:val="tx2"/>
            </w14:solidFill>
          </w14:textFill>
        </w:rPr>
      </w:pPr>
    </w:p>
    <w:p w14:paraId="6586B5D6">
      <w:pPr>
        <w:pStyle w:val="12"/>
        <w:spacing w:before="240" w:beforeLines="100" w:after="240" w:afterLines="100" w:line="260" w:lineRule="exact"/>
        <w:ind w:left="0" w:leftChars="0" w:right="42" w:firstLine="0"/>
        <w:jc w:val="both"/>
        <w:rPr>
          <w:rFonts w:hint="default" w:ascii="Calibri" w:hAnsi="Calibri" w:eastAsia="楷体_GB2312" w:cs="Calibri"/>
          <w:sz w:val="20"/>
          <w:szCs w:val="20"/>
          <w:lang w:val="en-GB"/>
        </w:rPr>
      </w:pPr>
    </w:p>
    <w:p w14:paraId="7BFACB99">
      <w:pPr>
        <w:pStyle w:val="12"/>
        <w:spacing w:before="240" w:beforeLines="100" w:after="240" w:afterLines="100" w:line="260" w:lineRule="exact"/>
        <w:ind w:left="0" w:leftChars="0" w:right="42" w:firstLine="0"/>
        <w:jc w:val="both"/>
        <w:rPr>
          <w:rFonts w:hint="default" w:ascii="Calibri" w:hAnsi="Calibri" w:eastAsia="楷体_GB2312" w:cs="Calibri"/>
          <w:sz w:val="20"/>
          <w:szCs w:val="20"/>
          <w:lang w:val="en-GB"/>
        </w:rPr>
      </w:pPr>
    </w:p>
    <w:p w14:paraId="5F61AC42">
      <w:pPr>
        <w:pStyle w:val="12"/>
        <w:spacing w:before="240" w:beforeLines="100" w:after="240" w:afterLines="100" w:line="260" w:lineRule="exact"/>
        <w:ind w:left="0" w:leftChars="0" w:right="42" w:firstLine="0"/>
        <w:jc w:val="both"/>
        <w:rPr>
          <w:rFonts w:hint="default" w:ascii="Calibri" w:hAnsi="Calibri" w:eastAsia="楷体_GB2312" w:cs="Calibri"/>
          <w:sz w:val="20"/>
          <w:szCs w:val="20"/>
          <w:lang w:val="en-GB"/>
        </w:rPr>
      </w:pPr>
    </w:p>
    <w:p w14:paraId="411A4D99">
      <w:pPr>
        <w:pStyle w:val="12"/>
        <w:spacing w:before="240" w:beforeLines="100" w:after="240" w:afterLines="100" w:line="260" w:lineRule="exact"/>
        <w:ind w:left="0" w:leftChars="0" w:right="42" w:firstLine="0"/>
        <w:jc w:val="both"/>
        <w:rPr>
          <w:rFonts w:hint="default" w:ascii="Calibri" w:hAnsi="Calibri" w:eastAsia="楷体_GB2312" w:cs="Calibri"/>
          <w:sz w:val="20"/>
          <w:szCs w:val="20"/>
          <w:lang w:val="en-GB"/>
        </w:rPr>
      </w:pPr>
    </w:p>
    <w:p w14:paraId="291FB675">
      <w:pPr>
        <w:pStyle w:val="12"/>
        <w:spacing w:before="240" w:beforeLines="100" w:after="240" w:afterLines="100" w:line="260" w:lineRule="exact"/>
        <w:ind w:left="0" w:leftChars="0" w:right="42" w:firstLine="0"/>
        <w:jc w:val="both"/>
        <w:rPr>
          <w:rFonts w:hint="default" w:ascii="Calibri" w:hAnsi="Calibri" w:eastAsia="楷体_GB2312" w:cs="Calibri"/>
          <w:sz w:val="20"/>
          <w:szCs w:val="20"/>
          <w:lang w:val="en-GB"/>
        </w:rPr>
      </w:pPr>
    </w:p>
    <w:p w14:paraId="40A7721B">
      <w:pPr>
        <w:pStyle w:val="12"/>
        <w:spacing w:before="240" w:beforeLines="100" w:after="240" w:afterLines="100" w:line="260" w:lineRule="exact"/>
        <w:ind w:left="0" w:leftChars="0" w:right="42" w:firstLine="0"/>
        <w:jc w:val="both"/>
        <w:rPr>
          <w:rFonts w:hint="default" w:ascii="Calibri" w:hAnsi="Calibri" w:eastAsia="楷体_GB2312" w:cs="Calibri"/>
          <w:sz w:val="20"/>
          <w:szCs w:val="20"/>
          <w:lang w:val="en-GB"/>
        </w:rPr>
      </w:pPr>
    </w:p>
    <w:p w14:paraId="72D15A36">
      <w:pPr>
        <w:overflowPunct w:val="0"/>
        <w:ind w:left="3200" w:leftChars="2000"/>
        <w:jc w:val="both"/>
        <w:rPr>
          <w:rFonts w:hint="default" w:ascii="Calibri" w:hAnsi="Calibri" w:eastAsia="楷体_GB2312" w:cs="Calibri"/>
          <w:sz w:val="20"/>
          <w:szCs w:val="20"/>
          <w:lang w:val="en-US" w:eastAsia="zh-CN"/>
        </w:rPr>
      </w:pPr>
    </w:p>
    <w:p w14:paraId="647EB2BD">
      <w:pPr>
        <w:pStyle w:val="45"/>
        <w:numPr>
          <w:ilvl w:val="0"/>
          <w:numId w:val="15"/>
        </w:numPr>
        <w:overflowPunct w:val="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活塞发动机飞机：</w:t>
      </w:r>
      <w:r>
        <w:rPr>
          <w:rFonts w:hint="default" w:ascii="Calibri" w:hAnsi="Calibri" w:eastAsia="楷体_GB2312" w:cs="Calibri"/>
          <w:sz w:val="20"/>
          <w:szCs w:val="20"/>
          <w:lang w:val="en-US" w:eastAsia="zh-CN"/>
        </w:rPr>
        <w:t>从出货量来看，</w:t>
      </w:r>
      <w:r>
        <w:rPr>
          <w:rFonts w:hint="default" w:ascii="Calibri" w:hAnsi="Calibri" w:eastAsia="楷体_GB2312" w:cs="Calibri"/>
          <w:sz w:val="20"/>
          <w:szCs w:val="20"/>
          <w:lang w:val="en-US" w:eastAsia="zh-CN"/>
        </w:rPr>
        <w:t>2025</w:t>
      </w:r>
      <w:r>
        <w:rPr>
          <w:rFonts w:hint="default" w:ascii="Calibri" w:hAnsi="Calibri" w:eastAsia="楷体_GB2312" w:cs="Calibri"/>
          <w:sz w:val="20"/>
          <w:szCs w:val="20"/>
          <w:lang w:val="en-US" w:eastAsia="zh-CN"/>
        </w:rPr>
        <w:t>年全球五大活塞发动机飞机制造商合计市场份额达89.1</w:t>
      </w:r>
      <w:r>
        <w:rPr>
          <w:rFonts w:hint="default" w:ascii="Calibri" w:hAnsi="Calibri" w:eastAsia="楷体_GB2312" w:cs="Calibri"/>
          <w:sz w:val="20"/>
          <w:szCs w:val="20"/>
          <w:lang w:val="en-US" w:eastAsia="zh-CN"/>
        </w:rPr>
        <w:t>%</w:t>
      </w:r>
      <w:r>
        <w:rPr>
          <w:rFonts w:hint="default" w:ascii="Calibri" w:hAnsi="Calibri" w:eastAsia="楷体_GB2312" w:cs="Calibri"/>
          <w:sz w:val="20"/>
          <w:szCs w:val="20"/>
          <w:lang w:val="en-US" w:eastAsia="zh-CN"/>
        </w:rPr>
        <w:t>，其中西锐飞机以</w:t>
      </w:r>
      <w:r>
        <w:rPr>
          <w:rFonts w:hint="default" w:ascii="Calibri" w:hAnsi="Calibri" w:eastAsia="楷体_GB2312" w:cs="Calibri"/>
          <w:sz w:val="20"/>
          <w:szCs w:val="20"/>
          <w:lang w:val="en-US" w:eastAsia="zh-CN"/>
        </w:rPr>
        <w:t>3</w:t>
      </w:r>
      <w:r>
        <w:rPr>
          <w:rFonts w:hint="default" w:ascii="Calibri" w:hAnsi="Calibri" w:eastAsia="楷体_GB2312" w:cs="Calibri"/>
          <w:sz w:val="20"/>
          <w:szCs w:val="20"/>
          <w:lang w:val="en-US" w:eastAsia="zh-CN"/>
        </w:rPr>
        <w:t>7</w:t>
      </w:r>
      <w:r>
        <w:rPr>
          <w:rFonts w:hint="default" w:ascii="Calibri" w:hAnsi="Calibri" w:eastAsia="楷体_GB2312" w:cs="Calibri"/>
          <w:sz w:val="20"/>
          <w:szCs w:val="20"/>
          <w:lang w:val="en-US" w:eastAsia="zh-CN"/>
        </w:rPr>
        <w:t>.</w:t>
      </w:r>
      <w:r>
        <w:rPr>
          <w:rFonts w:hint="default" w:ascii="Calibri" w:hAnsi="Calibri" w:eastAsia="楷体_GB2312" w:cs="Calibri"/>
          <w:sz w:val="20"/>
          <w:szCs w:val="20"/>
          <w:lang w:val="en-US" w:eastAsia="zh-CN"/>
        </w:rPr>
        <w:t>2</w:t>
      </w:r>
      <w:r>
        <w:rPr>
          <w:rFonts w:hint="default" w:ascii="Calibri" w:hAnsi="Calibri" w:eastAsia="楷体_GB2312" w:cs="Calibri"/>
          <w:sz w:val="20"/>
          <w:szCs w:val="20"/>
          <w:lang w:val="en-US" w:eastAsia="zh-CN"/>
        </w:rPr>
        <w:t>%</w:t>
      </w:r>
      <w:r>
        <w:rPr>
          <w:rFonts w:hint="default" w:ascii="Calibri" w:hAnsi="Calibri" w:eastAsia="楷体_GB2312" w:cs="Calibri"/>
          <w:sz w:val="20"/>
          <w:szCs w:val="20"/>
          <w:lang w:val="en-US" w:eastAsia="zh-CN"/>
        </w:rPr>
        <w:t>的份额稳居榜首（较</w:t>
      </w:r>
      <w:r>
        <w:rPr>
          <w:rFonts w:hint="default" w:ascii="Calibri" w:hAnsi="Calibri" w:eastAsia="楷体_GB2312" w:cs="Calibri"/>
          <w:sz w:val="20"/>
          <w:szCs w:val="20"/>
          <w:lang w:val="en-US" w:eastAsia="zh-CN"/>
        </w:rPr>
        <w:t>2024</w:t>
      </w:r>
      <w:r>
        <w:rPr>
          <w:rFonts w:hint="default" w:ascii="Calibri" w:hAnsi="Calibri" w:eastAsia="楷体_GB2312" w:cs="Calibri"/>
          <w:sz w:val="20"/>
          <w:szCs w:val="20"/>
          <w:lang w:val="en-US" w:eastAsia="zh-CN"/>
        </w:rPr>
        <w:t>年的</w:t>
      </w:r>
      <w:r>
        <w:rPr>
          <w:rFonts w:hint="default" w:ascii="Calibri" w:hAnsi="Calibri" w:eastAsia="楷体_GB2312" w:cs="Calibri"/>
          <w:sz w:val="20"/>
          <w:szCs w:val="20"/>
          <w:lang w:val="en-US" w:eastAsia="zh-CN"/>
        </w:rPr>
        <w:t>3</w:t>
      </w:r>
      <w:r>
        <w:rPr>
          <w:rFonts w:hint="default" w:ascii="Calibri" w:hAnsi="Calibri" w:eastAsia="楷体_GB2312" w:cs="Calibri"/>
          <w:sz w:val="20"/>
          <w:szCs w:val="20"/>
          <w:lang w:val="en-US" w:eastAsia="zh-CN"/>
        </w:rPr>
        <w:t>2</w:t>
      </w:r>
      <w:r>
        <w:rPr>
          <w:rFonts w:hint="default" w:ascii="Calibri" w:hAnsi="Calibri" w:eastAsia="楷体_GB2312" w:cs="Calibri"/>
          <w:sz w:val="20"/>
          <w:szCs w:val="20"/>
          <w:lang w:val="en-US" w:eastAsia="zh-CN"/>
        </w:rPr>
        <w:t>%</w:t>
      </w:r>
      <w:r>
        <w:rPr>
          <w:rFonts w:hint="default" w:ascii="Calibri" w:hAnsi="Calibri" w:eastAsia="楷体_GB2312" w:cs="Calibri"/>
          <w:sz w:val="20"/>
          <w:szCs w:val="20"/>
          <w:lang w:val="en-US" w:eastAsia="zh-CN"/>
        </w:rPr>
        <w:t>进一步提升，较</w:t>
      </w:r>
      <w:r>
        <w:rPr>
          <w:rFonts w:hint="default" w:ascii="Calibri" w:hAnsi="Calibri" w:eastAsia="楷体_GB2312" w:cs="Calibri"/>
          <w:sz w:val="20"/>
          <w:szCs w:val="20"/>
          <w:lang w:val="en-US" w:eastAsia="zh-CN"/>
        </w:rPr>
        <w:t>2020</w:t>
      </w:r>
      <w:r>
        <w:rPr>
          <w:rFonts w:hint="default" w:ascii="Calibri" w:hAnsi="Calibri" w:eastAsia="楷体_GB2312" w:cs="Calibri"/>
          <w:sz w:val="20"/>
          <w:szCs w:val="20"/>
          <w:lang w:val="en-US" w:eastAsia="zh-CN"/>
        </w:rPr>
        <w:t>年约</w:t>
      </w:r>
      <w:r>
        <w:rPr>
          <w:rFonts w:hint="default" w:ascii="Calibri" w:hAnsi="Calibri" w:eastAsia="楷体_GB2312" w:cs="Calibri"/>
          <w:sz w:val="20"/>
          <w:szCs w:val="20"/>
          <w:lang w:val="en-US" w:eastAsia="zh-CN"/>
        </w:rPr>
        <w:t>24.1%</w:t>
      </w:r>
      <w:r>
        <w:rPr>
          <w:rFonts w:hint="default" w:ascii="Calibri" w:hAnsi="Calibri" w:eastAsia="楷体_GB2312" w:cs="Calibri"/>
          <w:sz w:val="20"/>
          <w:szCs w:val="20"/>
          <w:lang w:val="en-US" w:eastAsia="zh-CN"/>
        </w:rPr>
        <w:t>的份额显著扩大）。西锐飞机凭借其高端</w:t>
      </w:r>
      <w:r>
        <w:rPr>
          <w:rFonts w:hint="default" w:ascii="Calibri" w:hAnsi="Calibri" w:eastAsia="楷体_GB2312" w:cs="Calibri"/>
          <w:sz w:val="20"/>
          <w:szCs w:val="20"/>
          <w:lang w:val="en-US" w:eastAsia="zh-CN"/>
        </w:rPr>
        <w:t>SR</w:t>
      </w:r>
      <w:r>
        <w:rPr>
          <w:rFonts w:hint="default" w:ascii="Calibri" w:hAnsi="Calibri" w:eastAsia="楷体_GB2312" w:cs="Calibri"/>
          <w:sz w:val="20"/>
          <w:szCs w:val="20"/>
          <w:lang w:val="en-US" w:eastAsia="zh-CN"/>
        </w:rPr>
        <w:t>系列产品和强劲市场需求，继续领跑全球活塞发动机飞机市场。</w:t>
      </w:r>
    </w:p>
    <w:p w14:paraId="6B9BF6DE">
      <w:pPr>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br w:type="page"/>
      </w:r>
    </w:p>
    <w:tbl>
      <w:tblPr>
        <w:tblStyle w:val="26"/>
        <w:tblW w:w="7466" w:type="dxa"/>
        <w:jc w:val="right"/>
        <w:tblLayout w:type="fixed"/>
        <w:tblCellMar>
          <w:top w:w="0" w:type="dxa"/>
          <w:left w:w="108" w:type="dxa"/>
          <w:bottom w:w="0" w:type="dxa"/>
          <w:right w:w="108" w:type="dxa"/>
        </w:tblCellMar>
      </w:tblPr>
      <w:tblGrid>
        <w:gridCol w:w="7466"/>
      </w:tblGrid>
      <w:tr w14:paraId="00DF284B">
        <w:tblPrEx>
          <w:tblCellMar>
            <w:top w:w="0" w:type="dxa"/>
            <w:left w:w="108" w:type="dxa"/>
            <w:bottom w:w="0" w:type="dxa"/>
            <w:right w:w="108" w:type="dxa"/>
          </w:tblCellMar>
        </w:tblPrEx>
        <w:trPr>
          <w:trHeight w:val="302" w:hRule="atLeast"/>
          <w:jc w:val="right"/>
        </w:trPr>
        <w:tc>
          <w:tcPr>
            <w:tcW w:w="7466" w:type="dxa"/>
            <w:tcBorders>
              <w:bottom w:val="single" w:color="auto" w:sz="4" w:space="0"/>
            </w:tcBorders>
            <w:tcMar>
              <w:left w:w="0" w:type="dxa"/>
              <w:right w:w="28" w:type="dxa"/>
            </w:tcMar>
          </w:tcPr>
          <w:p w14:paraId="595A864D">
            <w:pPr>
              <w:spacing w:before="48" w:beforeLines="20" w:after="48" w:afterLines="20"/>
              <w:textAlignment w:val="center"/>
              <w:rPr>
                <w:rFonts w:hint="default" w:ascii="Calibri" w:hAnsi="Calibri" w:eastAsia="楷体_GB2312" w:cs="Calibri"/>
                <w:b/>
                <w:szCs w:val="20"/>
                <w:lang w:eastAsia="zh-CN"/>
              </w:rPr>
            </w:pPr>
            <w:r>
              <w:rPr>
                <w:rFonts w:hint="default" w:ascii="Calibri" w:hAnsi="Calibri" w:eastAsia="楷体_GB2312" w:cs="Calibri"/>
                <w:b/>
                <w:sz w:val="18"/>
                <w:szCs w:val="18"/>
                <w:lang w:val="zh-CN" w:eastAsia="zh-CN"/>
              </w:rPr>
              <w:t>图</w:t>
            </w:r>
            <w:r>
              <w:rPr>
                <w:rFonts w:hint="default" w:ascii="Calibri" w:hAnsi="Calibri" w:eastAsia="楷体_GB2312" w:cs="Calibri"/>
                <w:b/>
                <w:sz w:val="18"/>
                <w:szCs w:val="18"/>
                <w:lang w:val="zh-CN" w:eastAsia="zh-CN"/>
              </w:rPr>
              <w:t>4</w:t>
            </w:r>
            <w:r>
              <w:rPr>
                <w:rFonts w:hint="default" w:ascii="Calibri" w:hAnsi="Calibri" w:eastAsia="楷体_GB2312" w:cs="Calibri"/>
                <w:b/>
                <w:sz w:val="18"/>
                <w:szCs w:val="18"/>
                <w:lang w:val="en-US" w:eastAsia="zh-CN"/>
              </w:rPr>
              <w:t>6</w:t>
            </w:r>
            <w:r>
              <w:rPr>
                <w:rFonts w:hint="default" w:ascii="Calibri" w:hAnsi="Calibri" w:eastAsia="楷体_GB2312" w:cs="Calibri"/>
                <w:b/>
                <w:sz w:val="18"/>
                <w:szCs w:val="18"/>
                <w:lang w:val="zh-CN" w:eastAsia="zh-CN"/>
              </w:rPr>
              <w:t>：全球活塞式飞机交付量市场份额（单位：架）</w:t>
            </w:r>
          </w:p>
        </w:tc>
      </w:tr>
      <w:tr w14:paraId="49D43063">
        <w:tblPrEx>
          <w:tblCellMar>
            <w:top w:w="0" w:type="dxa"/>
            <w:left w:w="108" w:type="dxa"/>
            <w:bottom w:w="0" w:type="dxa"/>
            <w:right w:w="108" w:type="dxa"/>
          </w:tblCellMar>
        </w:tblPrEx>
        <w:trPr>
          <w:trHeight w:val="856" w:hRule="atLeast"/>
          <w:jc w:val="right"/>
        </w:trPr>
        <w:tc>
          <w:tcPr>
            <w:tcW w:w="7466" w:type="dxa"/>
            <w:tcBorders>
              <w:top w:val="single" w:color="auto" w:sz="4" w:space="0"/>
              <w:bottom w:val="single" w:color="auto" w:sz="4" w:space="0"/>
            </w:tcBorders>
            <w:vAlign w:val="center"/>
          </w:tcPr>
          <w:p w14:paraId="0C198371">
            <w:pPr>
              <w:spacing w:before="48" w:beforeLines="20" w:after="48" w:afterLines="20"/>
              <w:jc w:val="center"/>
              <w:textAlignment w:val="center"/>
              <w:rPr>
                <w:rFonts w:hint="default" w:ascii="Calibri" w:hAnsi="Calibri" w:eastAsia="楷体_GB2312" w:cs="Calibri"/>
                <w:b/>
                <w:bCs/>
                <w:szCs w:val="20"/>
              </w:rPr>
            </w:pPr>
            <w:r>
              <w:rPr>
                <w:rFonts w:hint="default" w:ascii="Calibri" w:hAnsi="Calibri" w:eastAsia="楷体_GB2312" w:cs="Calibri"/>
                <w:snapToGrid/>
              </w:rPr>
              <w:drawing>
                <wp:inline distT="0" distB="0" distL="0" distR="0">
                  <wp:extent cx="4603750" cy="1795780"/>
                  <wp:effectExtent l="0" t="0" r="6350" b="0"/>
                  <wp:docPr id="17616755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inline>
              </w:drawing>
            </w:r>
          </w:p>
        </w:tc>
      </w:tr>
      <w:tr w14:paraId="7ED22851">
        <w:tblPrEx>
          <w:tblCellMar>
            <w:top w:w="0" w:type="dxa"/>
            <w:left w:w="108" w:type="dxa"/>
            <w:bottom w:w="0" w:type="dxa"/>
            <w:right w:w="108" w:type="dxa"/>
          </w:tblCellMar>
        </w:tblPrEx>
        <w:trPr>
          <w:trHeight w:val="64" w:hRule="atLeast"/>
          <w:jc w:val="right"/>
        </w:trPr>
        <w:tc>
          <w:tcPr>
            <w:tcW w:w="7466" w:type="dxa"/>
            <w:tcBorders>
              <w:top w:val="single" w:color="auto" w:sz="4" w:space="0"/>
            </w:tcBorders>
            <w:tcMar>
              <w:left w:w="0" w:type="dxa"/>
              <w:right w:w="28" w:type="dxa"/>
            </w:tcMar>
            <w:vAlign w:val="center"/>
          </w:tcPr>
          <w:p w14:paraId="6C511CFE">
            <w:pPr>
              <w:spacing w:line="240" w:lineRule="atLeast"/>
              <w:textAlignment w:val="center"/>
              <w:rPr>
                <w:rFonts w:hint="default" w:ascii="Calibri" w:hAnsi="Calibri" w:eastAsia="楷体_GB2312" w:cs="Calibri"/>
                <w:szCs w:val="20"/>
              </w:rPr>
            </w:pPr>
            <w:r>
              <w:rPr>
                <w:rFonts w:hint="default" w:ascii="Calibri" w:hAnsi="Calibri" w:eastAsia="楷体_GB2312" w:cs="Calibri"/>
                <w:i/>
                <w:iCs/>
              </w:rPr>
              <w:t>资料来源: GAMA, Wind, HFI</w:t>
            </w:r>
          </w:p>
        </w:tc>
      </w:tr>
    </w:tbl>
    <w:p w14:paraId="5F61A8EE">
      <w:pPr>
        <w:overflowPunct w:val="0"/>
        <w:ind w:left="3200" w:leftChars="2000"/>
        <w:jc w:val="both"/>
        <w:rPr>
          <w:rFonts w:hint="default" w:ascii="Calibri" w:hAnsi="Calibri" w:eastAsia="楷体_GB2312" w:cs="Calibri"/>
          <w:b/>
          <w:bCs/>
          <w:sz w:val="20"/>
          <w:szCs w:val="20"/>
          <w:lang w:val="en-US" w:eastAsia="zh-CN"/>
        </w:rPr>
      </w:pPr>
    </w:p>
    <w:p w14:paraId="409A95E4">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2</w:t>
      </w:r>
      <w:r>
        <w:rPr>
          <w:rFonts w:hint="default" w:ascii="Calibri" w:hAnsi="Calibri" w:eastAsia="楷体_GB2312" w:cs="Calibri"/>
          <w:b/>
          <w:bCs/>
          <w:sz w:val="20"/>
          <w:szCs w:val="20"/>
          <w:lang w:val="en-US" w:eastAsia="zh-CN"/>
        </w:rPr>
        <w:t>）</w:t>
      </w:r>
      <w:r>
        <w:rPr>
          <w:rFonts w:hint="default" w:ascii="Calibri" w:hAnsi="Calibri" w:eastAsia="楷体_GB2312" w:cs="Calibri"/>
          <w:b/>
          <w:bCs/>
          <w:sz w:val="20"/>
          <w:szCs w:val="20"/>
          <w:lang w:val="en-US" w:eastAsia="zh-CN"/>
        </w:rPr>
        <w:t>喷气式飞机：</w:t>
      </w:r>
      <w:r>
        <w:rPr>
          <w:rFonts w:hint="default" w:ascii="Calibri" w:hAnsi="Calibri" w:eastAsia="楷体_GB2312" w:cs="Calibri"/>
          <w:sz w:val="20"/>
          <w:szCs w:val="20"/>
          <w:lang w:val="en-US" w:eastAsia="zh-CN"/>
        </w:rPr>
        <w:t>202</w:t>
      </w:r>
      <w:r>
        <w:rPr>
          <w:rFonts w:hint="default" w:ascii="Calibri" w:hAnsi="Calibri" w:eastAsia="楷体_GB2312" w:cs="Calibri"/>
          <w:sz w:val="20"/>
          <w:szCs w:val="20"/>
          <w:lang w:val="en-US" w:eastAsia="zh-CN"/>
        </w:rPr>
        <w:t>5</w:t>
      </w:r>
      <w:r>
        <w:rPr>
          <w:rFonts w:hint="default" w:ascii="Calibri" w:hAnsi="Calibri" w:eastAsia="楷体_GB2312" w:cs="Calibri"/>
          <w:sz w:val="20"/>
          <w:szCs w:val="20"/>
          <w:lang w:val="en-US" w:eastAsia="zh-CN"/>
        </w:rPr>
        <w:t>年全球五大喷气式飞机制造商合计市场份额达8</w:t>
      </w:r>
      <w:r>
        <w:rPr>
          <w:rFonts w:hint="default" w:ascii="Calibri" w:hAnsi="Calibri" w:eastAsia="楷体_GB2312" w:cs="Calibri"/>
          <w:sz w:val="20"/>
          <w:szCs w:val="20"/>
          <w:lang w:val="en-US" w:eastAsia="zh-CN"/>
        </w:rPr>
        <w:t>7.5</w:t>
      </w:r>
      <w:r>
        <w:rPr>
          <w:rFonts w:hint="default" w:ascii="Calibri" w:hAnsi="Calibri" w:eastAsia="楷体_GB2312" w:cs="Calibri"/>
          <w:sz w:val="20"/>
          <w:szCs w:val="20"/>
          <w:lang w:val="en-US" w:eastAsia="zh-CN"/>
        </w:rPr>
        <w:t>%，其中西锐飞机以约1</w:t>
      </w:r>
      <w:r>
        <w:rPr>
          <w:rFonts w:hint="default" w:ascii="Calibri" w:hAnsi="Calibri" w:eastAsia="楷体_GB2312" w:cs="Calibri"/>
          <w:sz w:val="20"/>
          <w:szCs w:val="20"/>
          <w:lang w:val="en-US" w:eastAsia="zh-CN"/>
        </w:rPr>
        <w:t>2.4</w:t>
      </w:r>
      <w:r>
        <w:rPr>
          <w:rFonts w:hint="default" w:ascii="Calibri" w:hAnsi="Calibri" w:eastAsia="楷体_GB2312" w:cs="Calibri"/>
          <w:sz w:val="20"/>
          <w:szCs w:val="20"/>
          <w:lang w:val="en-US" w:eastAsia="zh-CN"/>
        </w:rPr>
        <w:t>%的份额位列第五（较2019年的约1</w:t>
      </w:r>
      <w:r>
        <w:rPr>
          <w:rFonts w:hint="default" w:ascii="Calibri" w:hAnsi="Calibri" w:eastAsia="楷体_GB2312" w:cs="Calibri"/>
          <w:sz w:val="20"/>
          <w:szCs w:val="20"/>
          <w:lang w:val="en-US" w:eastAsia="zh-CN"/>
        </w:rPr>
        <w:t>0</w:t>
      </w:r>
      <w:r>
        <w:rPr>
          <w:rFonts w:hint="default" w:ascii="Calibri" w:hAnsi="Calibri" w:eastAsia="楷体_GB2312" w:cs="Calibri"/>
          <w:sz w:val="20"/>
          <w:szCs w:val="20"/>
          <w:lang w:val="en-US" w:eastAsia="zh-CN"/>
        </w:rPr>
        <w:t>%有所提升）。</w:t>
      </w:r>
    </w:p>
    <w:p w14:paraId="05752718">
      <w:pPr>
        <w:overflowPunct w:val="0"/>
        <w:ind w:left="3200" w:leftChars="2000"/>
        <w:jc w:val="both"/>
        <w:rPr>
          <w:rFonts w:hint="default" w:ascii="Calibri" w:hAnsi="Calibri" w:eastAsia="楷体_GB2312" w:cs="Calibri"/>
          <w:sz w:val="20"/>
          <w:szCs w:val="20"/>
          <w:lang w:val="en-US" w:eastAsia="zh-CN"/>
        </w:rPr>
      </w:pPr>
    </w:p>
    <w:tbl>
      <w:tblPr>
        <w:tblStyle w:val="26"/>
        <w:tblW w:w="7466" w:type="dxa"/>
        <w:jc w:val="right"/>
        <w:tblLayout w:type="fixed"/>
        <w:tblCellMar>
          <w:top w:w="0" w:type="dxa"/>
          <w:left w:w="108" w:type="dxa"/>
          <w:bottom w:w="0" w:type="dxa"/>
          <w:right w:w="108" w:type="dxa"/>
        </w:tblCellMar>
      </w:tblPr>
      <w:tblGrid>
        <w:gridCol w:w="7466"/>
      </w:tblGrid>
      <w:tr w14:paraId="3C6D3B0F">
        <w:trPr>
          <w:trHeight w:val="302" w:hRule="atLeast"/>
          <w:jc w:val="right"/>
        </w:trPr>
        <w:tc>
          <w:tcPr>
            <w:tcW w:w="7466" w:type="dxa"/>
            <w:tcBorders>
              <w:bottom w:val="single" w:color="auto" w:sz="4" w:space="0"/>
            </w:tcBorders>
            <w:tcMar>
              <w:left w:w="0" w:type="dxa"/>
              <w:right w:w="28" w:type="dxa"/>
            </w:tcMar>
          </w:tcPr>
          <w:p w14:paraId="7A698055">
            <w:pPr>
              <w:spacing w:before="48" w:beforeLines="20" w:after="48" w:afterLines="20"/>
              <w:textAlignment w:val="center"/>
              <w:rPr>
                <w:rFonts w:hint="default" w:ascii="Calibri" w:hAnsi="Calibri" w:eastAsia="楷体_GB2312" w:cs="Calibri"/>
                <w:b/>
                <w:szCs w:val="20"/>
                <w:lang w:eastAsia="zh-CN"/>
              </w:rPr>
            </w:pPr>
            <w:r>
              <w:rPr>
                <w:rFonts w:hint="default" w:ascii="Calibri" w:hAnsi="Calibri" w:eastAsia="楷体_GB2312" w:cs="Calibri"/>
                <w:b/>
                <w:sz w:val="18"/>
                <w:szCs w:val="18"/>
                <w:lang w:val="zh-CN" w:eastAsia="zh-CN"/>
              </w:rPr>
              <w:t>图</w:t>
            </w:r>
            <w:r>
              <w:rPr>
                <w:rFonts w:hint="default" w:ascii="Calibri" w:hAnsi="Calibri" w:eastAsia="楷体_GB2312" w:cs="Calibri"/>
                <w:b/>
                <w:sz w:val="18"/>
                <w:szCs w:val="18"/>
                <w:lang w:val="zh-CN" w:eastAsia="zh-CN"/>
              </w:rPr>
              <w:t>4</w:t>
            </w:r>
            <w:r>
              <w:rPr>
                <w:rFonts w:hint="default" w:ascii="Calibri" w:hAnsi="Calibri" w:eastAsia="楷体_GB2312" w:cs="Calibri"/>
                <w:b/>
                <w:sz w:val="18"/>
                <w:szCs w:val="18"/>
                <w:lang w:val="en-US" w:eastAsia="zh-CN"/>
              </w:rPr>
              <w:t>7</w:t>
            </w:r>
            <w:r>
              <w:rPr>
                <w:rFonts w:hint="default" w:ascii="Calibri" w:hAnsi="Calibri" w:eastAsia="楷体_GB2312" w:cs="Calibri"/>
                <w:b/>
                <w:sz w:val="18"/>
                <w:szCs w:val="18"/>
                <w:lang w:val="zh-CN" w:eastAsia="zh-CN"/>
              </w:rPr>
              <w:t>：全球喷气式飞机交付量市场份额（单位：架）</w:t>
            </w:r>
          </w:p>
        </w:tc>
      </w:tr>
      <w:tr w14:paraId="47EFD850">
        <w:tblPrEx>
          <w:tblCellMar>
            <w:top w:w="0" w:type="dxa"/>
            <w:left w:w="108" w:type="dxa"/>
            <w:bottom w:w="0" w:type="dxa"/>
            <w:right w:w="108" w:type="dxa"/>
          </w:tblCellMar>
        </w:tblPrEx>
        <w:trPr>
          <w:trHeight w:val="856" w:hRule="atLeast"/>
          <w:jc w:val="right"/>
        </w:trPr>
        <w:tc>
          <w:tcPr>
            <w:tcW w:w="7466" w:type="dxa"/>
            <w:tcBorders>
              <w:top w:val="single" w:color="auto" w:sz="4" w:space="0"/>
              <w:bottom w:val="single" w:color="auto" w:sz="4" w:space="0"/>
            </w:tcBorders>
            <w:vAlign w:val="center"/>
          </w:tcPr>
          <w:p w14:paraId="457F83CB">
            <w:pPr>
              <w:spacing w:before="48" w:beforeLines="20" w:after="48" w:afterLines="20"/>
              <w:jc w:val="center"/>
              <w:textAlignment w:val="center"/>
              <w:rPr>
                <w:rFonts w:hint="default" w:ascii="Calibri" w:hAnsi="Calibri" w:eastAsia="楷体_GB2312" w:cs="Calibri"/>
                <w:b/>
                <w:bCs/>
                <w:sz w:val="15"/>
                <w:szCs w:val="15"/>
              </w:rPr>
            </w:pPr>
            <w:r>
              <w:rPr>
                <w:rFonts w:hint="default" w:ascii="Calibri" w:hAnsi="Calibri" w:eastAsia="楷体_GB2312" w:cs="Calibri"/>
                <w:snapToGrid/>
              </w:rPr>
              <w:drawing>
                <wp:inline distT="0" distB="0" distL="0" distR="0">
                  <wp:extent cx="4603750" cy="2071370"/>
                  <wp:effectExtent l="0" t="0" r="6350" b="5080"/>
                  <wp:docPr id="47139246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inline>
              </w:drawing>
            </w:r>
          </w:p>
        </w:tc>
      </w:tr>
      <w:tr w14:paraId="5B3FE8E1">
        <w:tblPrEx>
          <w:tblCellMar>
            <w:top w:w="0" w:type="dxa"/>
            <w:left w:w="108" w:type="dxa"/>
            <w:bottom w:w="0" w:type="dxa"/>
            <w:right w:w="108" w:type="dxa"/>
          </w:tblCellMar>
        </w:tblPrEx>
        <w:trPr>
          <w:trHeight w:val="64" w:hRule="atLeast"/>
          <w:jc w:val="right"/>
        </w:trPr>
        <w:tc>
          <w:tcPr>
            <w:tcW w:w="7466" w:type="dxa"/>
            <w:tcBorders>
              <w:top w:val="single" w:color="auto" w:sz="4" w:space="0"/>
            </w:tcBorders>
            <w:tcMar>
              <w:left w:w="0" w:type="dxa"/>
              <w:right w:w="28" w:type="dxa"/>
            </w:tcMar>
            <w:vAlign w:val="center"/>
          </w:tcPr>
          <w:p w14:paraId="574A5F89">
            <w:pPr>
              <w:spacing w:line="240" w:lineRule="atLeast"/>
              <w:textAlignment w:val="center"/>
              <w:rPr>
                <w:rFonts w:hint="default" w:ascii="Calibri" w:hAnsi="Calibri" w:eastAsia="楷体_GB2312" w:cs="Calibri"/>
                <w:szCs w:val="20"/>
              </w:rPr>
            </w:pPr>
            <w:r>
              <w:rPr>
                <w:rFonts w:hint="default" w:ascii="Calibri" w:hAnsi="Calibri" w:eastAsia="楷体_GB2312" w:cs="Calibri"/>
                <w:i/>
                <w:iCs/>
              </w:rPr>
              <w:t>资料来源: GAMA, Wind, HFI</w:t>
            </w:r>
          </w:p>
        </w:tc>
      </w:tr>
    </w:tbl>
    <w:p w14:paraId="3DD5DEF9">
      <w:pPr>
        <w:overflowPunct w:val="0"/>
        <w:ind w:left="3200" w:leftChars="2000"/>
        <w:jc w:val="both"/>
        <w:rPr>
          <w:rFonts w:hint="default" w:ascii="Calibri" w:hAnsi="Calibri" w:eastAsia="楷体_GB2312" w:cs="Calibri"/>
          <w:b/>
          <w:bCs/>
          <w:sz w:val="20"/>
          <w:szCs w:val="20"/>
          <w:lang w:val="en-US" w:eastAsia="zh-CN"/>
        </w:rPr>
      </w:pPr>
    </w:p>
    <w:p w14:paraId="50D7CB20">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2025</w:t>
      </w:r>
      <w:r>
        <w:rPr>
          <w:rFonts w:hint="default" w:ascii="Calibri" w:hAnsi="Calibri" w:eastAsia="楷体_GB2312" w:cs="Calibri"/>
          <w:b/>
          <w:bCs/>
          <w:sz w:val="20"/>
          <w:szCs w:val="20"/>
          <w:lang w:val="en-US" w:eastAsia="zh-CN"/>
        </w:rPr>
        <w:t>年，公务喷气机交付量显著增长，带动整体交付价值提升。</w:t>
      </w:r>
      <w:r>
        <w:rPr>
          <w:rFonts w:hint="default" w:ascii="Calibri" w:hAnsi="Calibri" w:eastAsia="楷体_GB2312" w:cs="Calibri"/>
          <w:sz w:val="20"/>
          <w:szCs w:val="20"/>
          <w:lang w:val="en-US" w:eastAsia="zh-CN"/>
        </w:rPr>
        <w:t>全年全球共交付固定翼通用飞机</w:t>
      </w:r>
      <w:r>
        <w:rPr>
          <w:rFonts w:hint="default" w:ascii="Calibri" w:hAnsi="Calibri" w:eastAsia="楷体_GB2312" w:cs="Calibri"/>
          <w:sz w:val="20"/>
          <w:szCs w:val="20"/>
          <w:lang w:val="en-US" w:eastAsia="zh-CN"/>
        </w:rPr>
        <w:t>3,230</w:t>
      </w:r>
      <w:r>
        <w:rPr>
          <w:rFonts w:hint="default" w:ascii="Calibri" w:hAnsi="Calibri" w:eastAsia="楷体_GB2312" w:cs="Calibri"/>
          <w:sz w:val="20"/>
          <w:szCs w:val="20"/>
          <w:lang w:val="en-US" w:eastAsia="zh-CN"/>
        </w:rPr>
        <w:t>架，较</w:t>
      </w:r>
      <w:r>
        <w:rPr>
          <w:rFonts w:hint="default" w:ascii="Calibri" w:hAnsi="Calibri" w:eastAsia="楷体_GB2312" w:cs="Calibri"/>
          <w:sz w:val="20"/>
          <w:szCs w:val="20"/>
          <w:lang w:val="en-US" w:eastAsia="zh-CN"/>
        </w:rPr>
        <w:t>2024</w:t>
      </w:r>
      <w:r>
        <w:rPr>
          <w:rFonts w:hint="default" w:ascii="Calibri" w:hAnsi="Calibri" w:eastAsia="楷体_GB2312" w:cs="Calibri"/>
          <w:sz w:val="20"/>
          <w:szCs w:val="20"/>
          <w:lang w:val="en-US" w:eastAsia="zh-CN"/>
        </w:rPr>
        <w:t>年增加</w:t>
      </w:r>
      <w:r>
        <w:rPr>
          <w:rFonts w:hint="default" w:ascii="Calibri" w:hAnsi="Calibri" w:eastAsia="楷体_GB2312" w:cs="Calibri"/>
          <w:sz w:val="20"/>
          <w:szCs w:val="20"/>
          <w:lang w:val="en-US" w:eastAsia="zh-CN"/>
        </w:rPr>
        <w:t>2.2%</w:t>
      </w:r>
      <w:r>
        <w:rPr>
          <w:rFonts w:hint="default" w:ascii="Calibri" w:hAnsi="Calibri" w:eastAsia="楷体_GB2312" w:cs="Calibri"/>
          <w:sz w:val="20"/>
          <w:szCs w:val="20"/>
          <w:lang w:val="en-US" w:eastAsia="zh-CN"/>
        </w:rPr>
        <w:t>；其中喷气机交付量达到</w:t>
      </w:r>
      <w:r>
        <w:rPr>
          <w:rFonts w:hint="default" w:ascii="Calibri" w:hAnsi="Calibri" w:eastAsia="楷体_GB2312" w:cs="Calibri"/>
          <w:sz w:val="20"/>
          <w:szCs w:val="20"/>
          <w:lang w:val="en-US" w:eastAsia="zh-CN"/>
        </w:rPr>
        <w:t>854</w:t>
      </w:r>
      <w:r>
        <w:rPr>
          <w:rFonts w:hint="default" w:ascii="Calibri" w:hAnsi="Calibri" w:eastAsia="楷体_GB2312" w:cs="Calibri"/>
          <w:sz w:val="20"/>
          <w:szCs w:val="20"/>
          <w:lang w:val="en-US" w:eastAsia="zh-CN"/>
        </w:rPr>
        <w:t>架，同比增长</w:t>
      </w:r>
      <w:r>
        <w:rPr>
          <w:rFonts w:hint="default" w:ascii="Calibri" w:hAnsi="Calibri" w:eastAsia="楷体_GB2312" w:cs="Calibri"/>
          <w:sz w:val="20"/>
          <w:szCs w:val="20"/>
          <w:lang w:val="en-US" w:eastAsia="zh-CN"/>
        </w:rPr>
        <w:t>11.8%</w:t>
      </w:r>
      <w:r>
        <w:rPr>
          <w:rFonts w:hint="default" w:ascii="Calibri" w:hAnsi="Calibri" w:eastAsia="楷体_GB2312" w:cs="Calibri"/>
          <w:sz w:val="20"/>
          <w:szCs w:val="20"/>
          <w:lang w:val="en-US" w:eastAsia="zh-CN"/>
        </w:rPr>
        <w:t>，成为增长最快的细分市场；活塞飞机共交付</w:t>
      </w:r>
      <w:r>
        <w:rPr>
          <w:rFonts w:hint="default" w:ascii="Calibri" w:hAnsi="Calibri" w:eastAsia="楷体_GB2312" w:cs="Calibri"/>
          <w:sz w:val="20"/>
          <w:szCs w:val="20"/>
          <w:lang w:val="en-US" w:eastAsia="zh-CN"/>
        </w:rPr>
        <w:t>1,782</w:t>
      </w:r>
      <w:r>
        <w:rPr>
          <w:rFonts w:hint="default" w:ascii="Calibri" w:hAnsi="Calibri" w:eastAsia="楷体_GB2312" w:cs="Calibri"/>
          <w:sz w:val="20"/>
          <w:szCs w:val="20"/>
          <w:lang w:val="en-US" w:eastAsia="zh-CN"/>
        </w:rPr>
        <w:t>架，同比增长</w:t>
      </w:r>
      <w:r>
        <w:rPr>
          <w:rFonts w:hint="default" w:ascii="Calibri" w:hAnsi="Calibri" w:eastAsia="楷体_GB2312" w:cs="Calibri"/>
          <w:sz w:val="20"/>
          <w:szCs w:val="20"/>
          <w:lang w:val="en-US" w:eastAsia="zh-CN"/>
        </w:rPr>
        <w:t>0.6%</w:t>
      </w:r>
      <w:r>
        <w:rPr>
          <w:rFonts w:hint="default" w:ascii="Calibri" w:hAnsi="Calibri" w:eastAsia="楷体_GB2312" w:cs="Calibri"/>
          <w:sz w:val="20"/>
          <w:szCs w:val="20"/>
          <w:lang w:val="en-US" w:eastAsia="zh-CN"/>
        </w:rPr>
        <w:t>；涡轮螺旋桨飞机交付</w:t>
      </w:r>
      <w:r>
        <w:rPr>
          <w:rFonts w:hint="default" w:ascii="Calibri" w:hAnsi="Calibri" w:eastAsia="楷体_GB2312" w:cs="Calibri"/>
          <w:sz w:val="20"/>
          <w:szCs w:val="20"/>
          <w:lang w:val="en-US" w:eastAsia="zh-CN"/>
        </w:rPr>
        <w:t>594</w:t>
      </w:r>
      <w:r>
        <w:rPr>
          <w:rFonts w:hint="default" w:ascii="Calibri" w:hAnsi="Calibri" w:eastAsia="楷体_GB2312" w:cs="Calibri"/>
          <w:sz w:val="20"/>
          <w:szCs w:val="20"/>
          <w:lang w:val="en-US" w:eastAsia="zh-CN"/>
        </w:rPr>
        <w:t>架，同比下降</w:t>
      </w:r>
      <w:r>
        <w:rPr>
          <w:rFonts w:hint="default" w:ascii="Calibri" w:hAnsi="Calibri" w:eastAsia="楷体_GB2312" w:cs="Calibri"/>
          <w:sz w:val="20"/>
          <w:szCs w:val="20"/>
          <w:lang w:val="en-US" w:eastAsia="zh-CN"/>
        </w:rPr>
        <w:t>5.1%</w:t>
      </w:r>
      <w:r>
        <w:rPr>
          <w:rFonts w:hint="default" w:ascii="Calibri" w:hAnsi="Calibri" w:eastAsia="楷体_GB2312" w:cs="Calibri"/>
          <w:sz w:val="20"/>
          <w:szCs w:val="20"/>
          <w:lang w:val="en-US" w:eastAsia="zh-CN"/>
        </w:rPr>
        <w:t>。尽管交付总量增长温和，但受益于产品结构向高价值机型倾斜，飞机交付总价值达到</w:t>
      </w:r>
      <w:r>
        <w:rPr>
          <w:rFonts w:hint="default" w:ascii="Calibri" w:hAnsi="Calibri" w:eastAsia="楷体_GB2312" w:cs="Calibri"/>
          <w:sz w:val="20"/>
          <w:szCs w:val="20"/>
          <w:lang w:val="en-US" w:eastAsia="zh-CN"/>
        </w:rPr>
        <w:t>310</w:t>
      </w:r>
      <w:r>
        <w:rPr>
          <w:rFonts w:hint="default" w:ascii="Calibri" w:hAnsi="Calibri" w:eastAsia="楷体_GB2312" w:cs="Calibri"/>
          <w:sz w:val="20"/>
          <w:szCs w:val="20"/>
          <w:lang w:val="en-US" w:eastAsia="zh-CN"/>
        </w:rPr>
        <w:t>亿美元，同比大幅增长</w:t>
      </w:r>
      <w:r>
        <w:rPr>
          <w:rFonts w:hint="default" w:ascii="Calibri" w:hAnsi="Calibri" w:eastAsia="楷体_GB2312" w:cs="Calibri"/>
          <w:sz w:val="20"/>
          <w:szCs w:val="20"/>
          <w:lang w:val="en-US" w:eastAsia="zh-CN"/>
        </w:rPr>
        <w:t>16.1%</w:t>
      </w:r>
      <w:r>
        <w:rPr>
          <w:rFonts w:hint="default" w:ascii="Calibri" w:hAnsi="Calibri" w:eastAsia="楷体_GB2312" w:cs="Calibri"/>
          <w:sz w:val="20"/>
          <w:szCs w:val="20"/>
          <w:lang w:val="en-US" w:eastAsia="zh-CN"/>
        </w:rPr>
        <w:t>，创历史新高。此外，</w:t>
      </w:r>
      <w:r>
        <w:rPr>
          <w:rFonts w:hint="default" w:ascii="Calibri" w:hAnsi="Calibri" w:eastAsia="楷体_GB2312" w:cs="Calibri"/>
          <w:sz w:val="20"/>
          <w:szCs w:val="20"/>
          <w:lang w:val="en-US" w:eastAsia="zh-CN"/>
        </w:rPr>
        <w:t xml:space="preserve"> 2025</w:t>
      </w:r>
      <w:r>
        <w:rPr>
          <w:rFonts w:hint="default" w:ascii="Calibri" w:hAnsi="Calibri" w:eastAsia="楷体_GB2312" w:cs="Calibri"/>
          <w:sz w:val="20"/>
          <w:szCs w:val="20"/>
          <w:lang w:val="en-US" w:eastAsia="zh-CN"/>
        </w:rPr>
        <w:t>年民用及商用直升机共交付</w:t>
      </w:r>
      <w:r>
        <w:rPr>
          <w:rFonts w:hint="default" w:ascii="Calibri" w:hAnsi="Calibri" w:eastAsia="楷体_GB2312" w:cs="Calibri"/>
          <w:sz w:val="20"/>
          <w:szCs w:val="20"/>
          <w:lang w:val="en-US" w:eastAsia="zh-CN"/>
        </w:rPr>
        <w:t>938</w:t>
      </w:r>
      <w:r>
        <w:rPr>
          <w:rFonts w:hint="default" w:ascii="Calibri" w:hAnsi="Calibri" w:eastAsia="楷体_GB2312" w:cs="Calibri"/>
          <w:sz w:val="20"/>
          <w:szCs w:val="20"/>
          <w:lang w:val="en-US" w:eastAsia="zh-CN"/>
        </w:rPr>
        <w:t>架，较</w:t>
      </w:r>
      <w:r>
        <w:rPr>
          <w:rFonts w:hint="default" w:ascii="Calibri" w:hAnsi="Calibri" w:eastAsia="楷体_GB2312" w:cs="Calibri"/>
          <w:sz w:val="20"/>
          <w:szCs w:val="20"/>
          <w:lang w:val="en-US" w:eastAsia="zh-CN"/>
        </w:rPr>
        <w:t>2024</w:t>
      </w:r>
      <w:r>
        <w:rPr>
          <w:rFonts w:hint="default" w:ascii="Calibri" w:hAnsi="Calibri" w:eastAsia="楷体_GB2312" w:cs="Calibri"/>
          <w:sz w:val="20"/>
          <w:szCs w:val="20"/>
          <w:lang w:val="en-US" w:eastAsia="zh-CN"/>
        </w:rPr>
        <w:t>年下降约18架（同比下降1.9</w:t>
      </w:r>
      <w:r>
        <w:rPr>
          <w:rFonts w:hint="default" w:ascii="Calibri" w:hAnsi="Calibri" w:eastAsia="楷体_GB2312" w:cs="Calibri"/>
          <w:sz w:val="20"/>
          <w:szCs w:val="20"/>
          <w:lang w:val="en-US" w:eastAsia="zh-CN"/>
        </w:rPr>
        <w:t>%</w:t>
      </w:r>
      <w:r>
        <w:rPr>
          <w:rFonts w:hint="default" w:ascii="Calibri" w:hAnsi="Calibri" w:eastAsia="楷体_GB2312" w:cs="Calibri"/>
          <w:sz w:val="20"/>
          <w:szCs w:val="20"/>
          <w:lang w:val="en-US" w:eastAsia="zh-CN"/>
        </w:rPr>
        <w:t>）。其中活塞直升机交付</w:t>
      </w:r>
      <w:r>
        <w:rPr>
          <w:rFonts w:hint="default" w:ascii="Calibri" w:hAnsi="Calibri" w:eastAsia="楷体_GB2312" w:cs="Calibri"/>
          <w:sz w:val="20"/>
          <w:szCs w:val="20"/>
          <w:lang w:val="en-US" w:eastAsia="zh-CN"/>
        </w:rPr>
        <w:t>206</w:t>
      </w:r>
      <w:r>
        <w:rPr>
          <w:rFonts w:hint="default" w:ascii="Calibri" w:hAnsi="Calibri" w:eastAsia="楷体_GB2312" w:cs="Calibri"/>
          <w:sz w:val="20"/>
          <w:szCs w:val="20"/>
          <w:lang w:val="en-US" w:eastAsia="zh-CN"/>
        </w:rPr>
        <w:t>架，涡轮直升机交付</w:t>
      </w:r>
      <w:r>
        <w:rPr>
          <w:rFonts w:hint="default" w:ascii="Calibri" w:hAnsi="Calibri" w:eastAsia="楷体_GB2312" w:cs="Calibri"/>
          <w:sz w:val="20"/>
          <w:szCs w:val="20"/>
          <w:lang w:val="en-US" w:eastAsia="zh-CN"/>
        </w:rPr>
        <w:t>732</w:t>
      </w:r>
      <w:r>
        <w:rPr>
          <w:rFonts w:hint="default" w:ascii="Calibri" w:hAnsi="Calibri" w:eastAsia="楷体_GB2312" w:cs="Calibri"/>
          <w:sz w:val="20"/>
          <w:szCs w:val="20"/>
          <w:lang w:val="en-US" w:eastAsia="zh-CN"/>
        </w:rPr>
        <w:t>架，交付量均呈小幅下降趋势。</w:t>
      </w:r>
    </w:p>
    <w:p w14:paraId="01986E35">
      <w:pPr>
        <w:overflowPunct w:val="0"/>
        <w:ind w:left="3200" w:leftChars="2000"/>
        <w:jc w:val="both"/>
        <w:rPr>
          <w:rFonts w:hint="default" w:ascii="Calibri" w:hAnsi="Calibri" w:eastAsia="楷体_GB2312" w:cs="Calibri"/>
          <w:b/>
          <w:bCs/>
          <w:sz w:val="20"/>
          <w:szCs w:val="20"/>
          <w:lang w:val="en-US" w:eastAsia="zh-CN"/>
        </w:rPr>
      </w:pPr>
    </w:p>
    <w:tbl>
      <w:tblPr>
        <w:tblStyle w:val="26"/>
        <w:tblW w:w="10920" w:type="dxa"/>
        <w:tblInd w:w="0" w:type="dxa"/>
        <w:tblLayout w:type="fixed"/>
        <w:tblCellMar>
          <w:top w:w="0" w:type="dxa"/>
          <w:left w:w="108" w:type="dxa"/>
          <w:bottom w:w="0" w:type="dxa"/>
          <w:right w:w="108" w:type="dxa"/>
        </w:tblCellMar>
      </w:tblPr>
      <w:tblGrid>
        <w:gridCol w:w="5306"/>
        <w:gridCol w:w="240"/>
        <w:gridCol w:w="5374"/>
      </w:tblGrid>
      <w:tr w14:paraId="0FEF5F09">
        <w:tblPrEx>
          <w:tblCellMar>
            <w:top w:w="0" w:type="dxa"/>
            <w:left w:w="108" w:type="dxa"/>
            <w:bottom w:w="0" w:type="dxa"/>
            <w:right w:w="108" w:type="dxa"/>
          </w:tblCellMar>
        </w:tblPrEx>
        <w:trPr>
          <w:trHeight w:val="227" w:hRule="atLeast"/>
        </w:trPr>
        <w:tc>
          <w:tcPr>
            <w:tcW w:w="5306" w:type="dxa"/>
            <w:tcBorders>
              <w:bottom w:val="single" w:color="auto" w:sz="4" w:space="0"/>
            </w:tcBorders>
            <w:tcMar>
              <w:left w:w="0" w:type="dxa"/>
              <w:right w:w="28" w:type="dxa"/>
            </w:tcMar>
          </w:tcPr>
          <w:p w14:paraId="4FC8AA17">
            <w:pPr>
              <w:spacing w:before="48" w:beforeLines="20" w:after="48" w:afterLines="20"/>
              <w:textAlignment w:val="center"/>
              <w:rPr>
                <w:rFonts w:hint="default" w:ascii="Calibri" w:hAnsi="Calibri" w:eastAsia="楷体_GB2312" w:cs="Calibri"/>
                <w:b/>
                <w:szCs w:val="20"/>
                <w:highlight w:val="yellow"/>
                <w:lang w:eastAsia="zh-CN"/>
              </w:rPr>
            </w:pPr>
            <w:r>
              <w:rPr>
                <w:rFonts w:hint="default" w:ascii="Calibri" w:hAnsi="Calibri" w:eastAsia="楷体_GB2312" w:cs="Calibri"/>
                <w:b/>
                <w:sz w:val="18"/>
                <w:szCs w:val="18"/>
                <w:lang w:val="zh-CN" w:eastAsia="zh-CN"/>
              </w:rPr>
              <w:t>图</w:t>
            </w:r>
            <w:r>
              <w:rPr>
                <w:rFonts w:hint="default" w:ascii="Calibri" w:hAnsi="Calibri" w:eastAsia="楷体_GB2312" w:cs="Calibri"/>
                <w:b/>
                <w:sz w:val="18"/>
                <w:szCs w:val="18"/>
                <w:lang w:val="en-US" w:eastAsia="zh-CN"/>
              </w:rPr>
              <w:t>48</w:t>
            </w:r>
            <w:r>
              <w:rPr>
                <w:rFonts w:hint="default" w:ascii="Calibri" w:hAnsi="Calibri" w:eastAsia="楷体_GB2312" w:cs="Calibri"/>
                <w:b/>
                <w:sz w:val="18"/>
                <w:szCs w:val="18"/>
                <w:lang w:val="zh-CN" w:eastAsia="zh-CN"/>
              </w:rPr>
              <w:t>：全球通用飞机交付数量2024-2025</w:t>
            </w:r>
            <w:r>
              <w:rPr>
                <w:rFonts w:hint="default" w:ascii="Calibri" w:hAnsi="Calibri" w:eastAsia="楷体_GB2312" w:cs="Calibri"/>
                <w:b/>
                <w:sz w:val="18"/>
                <w:szCs w:val="18"/>
                <w:lang w:val="zh-CN" w:eastAsia="zh-CN"/>
              </w:rPr>
              <w:t>年单季度（架）</w:t>
            </w:r>
          </w:p>
        </w:tc>
        <w:tc>
          <w:tcPr>
            <w:tcW w:w="240" w:type="dxa"/>
            <w:tcMar>
              <w:left w:w="0" w:type="dxa"/>
              <w:right w:w="28" w:type="dxa"/>
            </w:tcMar>
          </w:tcPr>
          <w:p w14:paraId="60320F18">
            <w:pPr>
              <w:spacing w:before="48" w:beforeLines="20" w:after="48" w:afterLines="20"/>
              <w:rPr>
                <w:rFonts w:hint="default" w:ascii="Calibri" w:hAnsi="Calibri" w:eastAsia="楷体_GB2312" w:cs="Calibri"/>
                <w:szCs w:val="20"/>
                <w:highlight w:val="yellow"/>
                <w:lang w:eastAsia="zh-CN"/>
              </w:rPr>
            </w:pPr>
          </w:p>
        </w:tc>
        <w:tc>
          <w:tcPr>
            <w:tcW w:w="5374" w:type="dxa"/>
            <w:tcBorders>
              <w:bottom w:val="single" w:color="auto" w:sz="4" w:space="0"/>
            </w:tcBorders>
            <w:tcMar>
              <w:left w:w="0" w:type="dxa"/>
              <w:right w:w="28" w:type="dxa"/>
            </w:tcMar>
          </w:tcPr>
          <w:p w14:paraId="7B79EFBF">
            <w:pPr>
              <w:spacing w:before="48" w:beforeLines="20" w:after="48" w:afterLines="20"/>
              <w:rPr>
                <w:rFonts w:hint="default" w:ascii="Calibri" w:hAnsi="Calibri" w:eastAsia="楷体_GB2312" w:cs="Calibri"/>
                <w:b/>
                <w:sz w:val="18"/>
                <w:szCs w:val="18"/>
                <w:lang w:val="zh-CN" w:eastAsia="zh-CN"/>
              </w:rPr>
            </w:pPr>
            <w:r>
              <w:rPr>
                <w:rFonts w:hint="default" w:ascii="Calibri" w:hAnsi="Calibri" w:eastAsia="楷体_GB2312" w:cs="Calibri"/>
                <w:b/>
                <w:sz w:val="18"/>
                <w:szCs w:val="18"/>
                <w:lang w:val="zh-CN" w:eastAsia="zh-CN"/>
              </w:rPr>
              <w:t>图</w:t>
            </w:r>
            <w:r>
              <w:rPr>
                <w:rFonts w:hint="default" w:ascii="Calibri" w:hAnsi="Calibri" w:eastAsia="楷体_GB2312" w:cs="Calibri"/>
                <w:b/>
                <w:sz w:val="18"/>
                <w:szCs w:val="18"/>
                <w:lang w:val="en-US" w:eastAsia="zh-CN"/>
              </w:rPr>
              <w:t>49</w:t>
            </w:r>
            <w:r>
              <w:rPr>
                <w:rFonts w:hint="default" w:ascii="Calibri" w:hAnsi="Calibri" w:eastAsia="楷体_GB2312" w:cs="Calibri"/>
                <w:b/>
                <w:sz w:val="18"/>
                <w:szCs w:val="18"/>
                <w:lang w:val="zh-CN" w:eastAsia="zh-CN"/>
              </w:rPr>
              <w:t>：全球民用及商用直升机交付量（架）</w:t>
            </w:r>
          </w:p>
        </w:tc>
      </w:tr>
      <w:tr w14:paraId="04EE69D1">
        <w:tblPrEx>
          <w:tblCellMar>
            <w:top w:w="0" w:type="dxa"/>
            <w:left w:w="108" w:type="dxa"/>
            <w:bottom w:w="0" w:type="dxa"/>
            <w:right w:w="108" w:type="dxa"/>
          </w:tblCellMar>
        </w:tblPrEx>
        <w:trPr>
          <w:trHeight w:val="2300" w:hRule="atLeast"/>
        </w:trPr>
        <w:tc>
          <w:tcPr>
            <w:tcW w:w="5306" w:type="dxa"/>
            <w:tcBorders>
              <w:top w:val="single" w:color="auto" w:sz="4" w:space="0"/>
              <w:bottom w:val="single" w:color="auto" w:sz="4" w:space="0"/>
            </w:tcBorders>
            <w:vAlign w:val="center"/>
          </w:tcPr>
          <w:p w14:paraId="6D1D9E6E">
            <w:pPr>
              <w:spacing w:before="48" w:beforeLines="20" w:after="48" w:afterLines="20"/>
              <w:textAlignment w:val="center"/>
              <w:rPr>
                <w:rFonts w:hint="default" w:ascii="Calibri" w:hAnsi="Calibri" w:eastAsia="楷体_GB2312" w:cs="Calibri"/>
                <w:b/>
                <w:color w:val="000000"/>
                <w:szCs w:val="20"/>
                <w:lang w:bidi="ar"/>
              </w:rPr>
            </w:pPr>
            <w:r>
              <w:rPr>
                <w:rFonts w:hint="default" w:ascii="Calibri" w:hAnsi="Calibri" w:eastAsia="楷体_GB2312" w:cs="Calibri"/>
                <w:snapToGrid/>
              </w:rPr>
              <w:drawing>
                <wp:inline distT="0" distB="0" distL="0" distR="0">
                  <wp:extent cx="3232150" cy="1939290"/>
                  <wp:effectExtent l="0" t="0" r="6350" b="3810"/>
                  <wp:docPr id="282194437"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p>
        </w:tc>
        <w:tc>
          <w:tcPr>
            <w:tcW w:w="240" w:type="dxa"/>
          </w:tcPr>
          <w:p w14:paraId="2453CAB6">
            <w:pPr>
              <w:spacing w:before="48" w:beforeLines="20" w:after="48" w:afterLines="20"/>
              <w:rPr>
                <w:rFonts w:hint="default" w:ascii="Calibri" w:hAnsi="Calibri" w:eastAsia="楷体_GB2312" w:cs="Calibri"/>
                <w:szCs w:val="20"/>
              </w:rPr>
            </w:pPr>
          </w:p>
        </w:tc>
        <w:tc>
          <w:tcPr>
            <w:tcW w:w="5374" w:type="dxa"/>
            <w:tcBorders>
              <w:top w:val="single" w:color="auto" w:sz="4" w:space="0"/>
              <w:bottom w:val="single" w:color="auto" w:sz="4" w:space="0"/>
            </w:tcBorders>
          </w:tcPr>
          <w:p w14:paraId="3D947F8F">
            <w:pPr>
              <w:spacing w:before="48" w:beforeLines="20" w:after="48" w:afterLines="20"/>
              <w:rPr>
                <w:rFonts w:hint="default" w:ascii="Calibri" w:hAnsi="Calibri" w:eastAsia="楷体_GB2312" w:cs="Calibri"/>
                <w:b/>
                <w:szCs w:val="20"/>
              </w:rPr>
            </w:pPr>
            <w:r>
              <w:rPr>
                <w:rFonts w:hint="default" w:ascii="Calibri" w:hAnsi="Calibri" w:eastAsia="楷体_GB2312" w:cs="Calibri"/>
                <w:snapToGrid/>
              </w:rPr>
              <w:drawing>
                <wp:inline distT="0" distB="0" distL="0" distR="0">
                  <wp:extent cx="3275330" cy="1965325"/>
                  <wp:effectExtent l="0" t="0" r="1270" b="0"/>
                  <wp:docPr id="1453101215"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inline>
              </w:drawing>
            </w:r>
          </w:p>
        </w:tc>
      </w:tr>
      <w:tr w14:paraId="6C05D3D0">
        <w:tblPrEx>
          <w:tblCellMar>
            <w:top w:w="0" w:type="dxa"/>
            <w:left w:w="108" w:type="dxa"/>
            <w:bottom w:w="0" w:type="dxa"/>
            <w:right w:w="108" w:type="dxa"/>
          </w:tblCellMar>
        </w:tblPrEx>
        <w:trPr>
          <w:trHeight w:val="227" w:hRule="atLeast"/>
        </w:trPr>
        <w:tc>
          <w:tcPr>
            <w:tcW w:w="5306" w:type="dxa"/>
            <w:tcBorders>
              <w:top w:val="single" w:color="auto" w:sz="4" w:space="0"/>
            </w:tcBorders>
            <w:tcMar>
              <w:left w:w="0" w:type="dxa"/>
              <w:right w:w="28" w:type="dxa"/>
            </w:tcMar>
            <w:vAlign w:val="center"/>
          </w:tcPr>
          <w:p w14:paraId="495E3ABC">
            <w:pPr>
              <w:spacing w:line="240" w:lineRule="atLeast"/>
              <w:textAlignment w:val="center"/>
              <w:rPr>
                <w:rFonts w:hint="default" w:ascii="Calibri" w:hAnsi="Calibri" w:eastAsia="楷体_GB2312" w:cs="Calibri"/>
                <w:i/>
                <w:iCs/>
              </w:rPr>
            </w:pPr>
            <w:r>
              <w:rPr>
                <w:rFonts w:hint="default" w:ascii="Calibri" w:hAnsi="Calibri" w:eastAsia="楷体_GB2312" w:cs="Calibri"/>
                <w:i/>
                <w:iCs/>
              </w:rPr>
              <w:t>资料来源: GAMA, Wind, HFI</w:t>
            </w:r>
          </w:p>
        </w:tc>
        <w:tc>
          <w:tcPr>
            <w:tcW w:w="240" w:type="dxa"/>
            <w:tcMar>
              <w:left w:w="0" w:type="dxa"/>
              <w:right w:w="28" w:type="dxa"/>
            </w:tcMar>
          </w:tcPr>
          <w:p w14:paraId="3F0026E6">
            <w:pPr>
              <w:spacing w:line="240" w:lineRule="atLeast"/>
              <w:rPr>
                <w:rFonts w:hint="default" w:ascii="Calibri" w:hAnsi="Calibri" w:eastAsia="楷体_GB2312" w:cs="Calibri"/>
                <w:i/>
                <w:iCs/>
              </w:rPr>
            </w:pPr>
          </w:p>
        </w:tc>
        <w:tc>
          <w:tcPr>
            <w:tcW w:w="5374" w:type="dxa"/>
            <w:tcBorders>
              <w:top w:val="single" w:color="auto" w:sz="4" w:space="0"/>
            </w:tcBorders>
            <w:tcMar>
              <w:left w:w="0" w:type="dxa"/>
              <w:right w:w="28" w:type="dxa"/>
            </w:tcMar>
          </w:tcPr>
          <w:p w14:paraId="03E10EEA">
            <w:pPr>
              <w:spacing w:line="240" w:lineRule="atLeast"/>
              <w:rPr>
                <w:rFonts w:hint="default" w:ascii="Calibri" w:hAnsi="Calibri" w:eastAsia="楷体_GB2312" w:cs="Calibri"/>
                <w:i/>
                <w:iCs/>
              </w:rPr>
            </w:pPr>
            <w:r>
              <w:rPr>
                <w:rFonts w:hint="default" w:ascii="Calibri" w:hAnsi="Calibri" w:eastAsia="楷体_GB2312" w:cs="Calibri"/>
                <w:i/>
                <w:iCs/>
              </w:rPr>
              <w:t>资料来源: GAMA, Wind,</w:t>
            </w:r>
            <w:r>
              <w:rPr>
                <w:rFonts w:hint="default" w:ascii="Calibri" w:hAnsi="Calibri" w:eastAsia="楷体_GB2312" w:cs="Calibri"/>
                <w:i/>
                <w:iCs/>
                <w:lang w:val="en-US" w:eastAsia="zh-CN"/>
              </w:rPr>
              <w:t xml:space="preserve"> </w:t>
            </w:r>
            <w:r>
              <w:rPr>
                <w:rFonts w:hint="default" w:ascii="Calibri" w:hAnsi="Calibri" w:eastAsia="楷体_GB2312" w:cs="Calibri"/>
                <w:i/>
                <w:iCs/>
              </w:rPr>
              <w:t>HFI</w:t>
            </w:r>
          </w:p>
        </w:tc>
      </w:tr>
    </w:tbl>
    <w:p w14:paraId="369BC43B">
      <w:pPr>
        <w:pStyle w:val="12"/>
        <w:spacing w:before="240" w:beforeLines="100" w:after="240" w:afterLines="100" w:line="260" w:lineRule="exact"/>
        <w:ind w:left="0" w:leftChars="0" w:right="42" w:firstLine="0"/>
        <w:jc w:val="both"/>
        <w:rPr>
          <w:rFonts w:hint="default" w:ascii="Calibri" w:hAnsi="Calibri" w:eastAsia="楷体_GB2312" w:cs="Calibri"/>
          <w:snapToGrid w:val="0"/>
          <w:color w:val="auto"/>
          <w:kern w:val="0"/>
          <w:sz w:val="20"/>
          <w:szCs w:val="20"/>
        </w:rPr>
      </w:pPr>
    </w:p>
    <w:tbl>
      <w:tblPr>
        <w:tblStyle w:val="26"/>
        <w:tblpPr w:leftFromText="180" w:rightFromText="180" w:vertAnchor="text" w:horzAnchor="margin" w:tblpY="220"/>
        <w:tblW w:w="10920" w:type="dxa"/>
        <w:tblInd w:w="0" w:type="dxa"/>
        <w:tblLayout w:type="fixed"/>
        <w:tblCellMar>
          <w:top w:w="0" w:type="dxa"/>
          <w:left w:w="108" w:type="dxa"/>
          <w:bottom w:w="0" w:type="dxa"/>
          <w:right w:w="108" w:type="dxa"/>
        </w:tblCellMar>
      </w:tblPr>
      <w:tblGrid>
        <w:gridCol w:w="5306"/>
        <w:gridCol w:w="240"/>
        <w:gridCol w:w="5374"/>
      </w:tblGrid>
      <w:tr w14:paraId="7F415754">
        <w:tblPrEx>
          <w:tblCellMar>
            <w:top w:w="0" w:type="dxa"/>
            <w:left w:w="108" w:type="dxa"/>
            <w:bottom w:w="0" w:type="dxa"/>
            <w:right w:w="108" w:type="dxa"/>
          </w:tblCellMar>
        </w:tblPrEx>
        <w:trPr>
          <w:trHeight w:val="227" w:hRule="atLeast"/>
        </w:trPr>
        <w:tc>
          <w:tcPr>
            <w:tcW w:w="5306" w:type="dxa"/>
            <w:tcBorders>
              <w:bottom w:val="single" w:color="auto" w:sz="4" w:space="0"/>
            </w:tcBorders>
            <w:tcMar>
              <w:left w:w="0" w:type="dxa"/>
              <w:right w:w="28" w:type="dxa"/>
            </w:tcMar>
          </w:tcPr>
          <w:p w14:paraId="10C3D40B">
            <w:pPr>
              <w:spacing w:before="48" w:beforeLines="20" w:after="48" w:afterLines="20"/>
              <w:rPr>
                <w:rFonts w:hint="default" w:ascii="Calibri" w:hAnsi="Calibri" w:eastAsia="楷体_GB2312" w:cs="Calibri"/>
                <w:b/>
                <w:szCs w:val="20"/>
                <w:highlight w:val="yellow"/>
                <w:lang w:eastAsia="zh-CN"/>
              </w:rPr>
            </w:pPr>
            <w:r>
              <w:rPr>
                <w:rFonts w:hint="default" w:ascii="Calibri" w:hAnsi="Calibri" w:eastAsia="楷体_GB2312" w:cs="Calibri"/>
                <w:b/>
                <w:sz w:val="18"/>
                <w:szCs w:val="18"/>
                <w:lang w:val="zh-CN" w:eastAsia="zh-CN"/>
              </w:rPr>
              <w:t>图</w:t>
            </w:r>
            <w:r>
              <w:rPr>
                <w:rFonts w:hint="default" w:ascii="Calibri" w:hAnsi="Calibri" w:eastAsia="楷体_GB2312" w:cs="Calibri"/>
                <w:b/>
                <w:sz w:val="18"/>
                <w:szCs w:val="18"/>
                <w:lang w:val="zh-CN" w:eastAsia="zh-CN"/>
              </w:rPr>
              <w:t>5</w:t>
            </w:r>
            <w:r>
              <w:rPr>
                <w:rFonts w:hint="default" w:ascii="Calibri" w:hAnsi="Calibri" w:eastAsia="楷体_GB2312" w:cs="Calibri"/>
                <w:b/>
                <w:sz w:val="18"/>
                <w:szCs w:val="18"/>
                <w:lang w:val="en-US" w:eastAsia="zh-CN"/>
              </w:rPr>
              <w:t>0</w:t>
            </w:r>
            <w:r>
              <w:rPr>
                <w:rFonts w:hint="default" w:ascii="Calibri" w:hAnsi="Calibri" w:eastAsia="楷体_GB2312" w:cs="Calibri"/>
                <w:b/>
                <w:sz w:val="18"/>
                <w:szCs w:val="18"/>
                <w:lang w:val="zh-CN" w:eastAsia="zh-CN"/>
              </w:rPr>
              <w:t>：全球喷气机、活塞飞机、涡轮螺旋桨飞机（架）</w:t>
            </w:r>
          </w:p>
        </w:tc>
        <w:tc>
          <w:tcPr>
            <w:tcW w:w="240" w:type="dxa"/>
            <w:tcMar>
              <w:left w:w="0" w:type="dxa"/>
              <w:right w:w="28" w:type="dxa"/>
            </w:tcMar>
          </w:tcPr>
          <w:p w14:paraId="43AA5DD9">
            <w:pPr>
              <w:spacing w:before="48" w:beforeLines="20" w:after="48" w:afterLines="20"/>
              <w:rPr>
                <w:rFonts w:hint="default" w:ascii="Calibri" w:hAnsi="Calibri" w:eastAsia="楷体_GB2312" w:cs="Calibri"/>
                <w:szCs w:val="20"/>
                <w:highlight w:val="yellow"/>
                <w:lang w:eastAsia="zh-CN"/>
              </w:rPr>
            </w:pPr>
          </w:p>
        </w:tc>
        <w:tc>
          <w:tcPr>
            <w:tcW w:w="5374" w:type="dxa"/>
            <w:tcBorders>
              <w:bottom w:val="single" w:color="auto" w:sz="4" w:space="0"/>
            </w:tcBorders>
            <w:tcMar>
              <w:left w:w="0" w:type="dxa"/>
              <w:right w:w="28" w:type="dxa"/>
            </w:tcMar>
          </w:tcPr>
          <w:p w14:paraId="79DF1BFB">
            <w:pPr>
              <w:spacing w:before="48" w:beforeLines="20" w:after="48" w:afterLines="20"/>
              <w:rPr>
                <w:rFonts w:hint="default" w:ascii="Calibri" w:hAnsi="Calibri" w:eastAsia="楷体_GB2312" w:cs="Calibri"/>
                <w:b/>
                <w:sz w:val="18"/>
                <w:szCs w:val="18"/>
                <w:lang w:val="zh-CN" w:eastAsia="zh-CN"/>
              </w:rPr>
            </w:pPr>
            <w:r>
              <w:rPr>
                <w:rFonts w:hint="default" w:ascii="Calibri" w:hAnsi="Calibri" w:eastAsia="楷体_GB2312" w:cs="Calibri"/>
                <w:b/>
                <w:sz w:val="18"/>
                <w:szCs w:val="18"/>
                <w:lang w:val="zh-CN" w:eastAsia="zh-CN"/>
              </w:rPr>
              <w:t>图</w:t>
            </w:r>
            <w:r>
              <w:rPr>
                <w:rFonts w:hint="default" w:ascii="Calibri" w:hAnsi="Calibri" w:eastAsia="楷体_GB2312" w:cs="Calibri"/>
                <w:b/>
                <w:sz w:val="18"/>
                <w:szCs w:val="18"/>
                <w:lang w:val="zh-CN" w:eastAsia="zh-CN"/>
              </w:rPr>
              <w:t>5</w:t>
            </w:r>
            <w:r>
              <w:rPr>
                <w:rFonts w:hint="default" w:ascii="Calibri" w:hAnsi="Calibri" w:eastAsia="楷体_GB2312" w:cs="Calibri"/>
                <w:b/>
                <w:sz w:val="18"/>
                <w:szCs w:val="18"/>
                <w:lang w:val="en-US" w:eastAsia="zh-CN"/>
              </w:rPr>
              <w:t>1</w:t>
            </w:r>
            <w:r>
              <w:rPr>
                <w:rFonts w:hint="default" w:ascii="Calibri" w:hAnsi="Calibri" w:eastAsia="楷体_GB2312" w:cs="Calibri"/>
                <w:b/>
                <w:sz w:val="18"/>
                <w:szCs w:val="18"/>
                <w:lang w:val="zh-CN" w:eastAsia="zh-CN"/>
              </w:rPr>
              <w:t>：活塞直升机与涡轮直升机交付量（单位：架）</w:t>
            </w:r>
          </w:p>
        </w:tc>
      </w:tr>
      <w:tr w14:paraId="0B8C4422">
        <w:tblPrEx>
          <w:tblCellMar>
            <w:top w:w="0" w:type="dxa"/>
            <w:left w:w="108" w:type="dxa"/>
            <w:bottom w:w="0" w:type="dxa"/>
            <w:right w:w="108" w:type="dxa"/>
          </w:tblCellMar>
        </w:tblPrEx>
        <w:trPr>
          <w:trHeight w:val="2300" w:hRule="atLeast"/>
        </w:trPr>
        <w:tc>
          <w:tcPr>
            <w:tcW w:w="5306" w:type="dxa"/>
            <w:tcBorders>
              <w:top w:val="single" w:color="auto" w:sz="4" w:space="0"/>
              <w:bottom w:val="single" w:color="auto" w:sz="4" w:space="0"/>
            </w:tcBorders>
            <w:vAlign w:val="center"/>
          </w:tcPr>
          <w:p w14:paraId="08C02821">
            <w:pPr>
              <w:spacing w:before="48" w:beforeLines="20" w:after="48" w:afterLines="20"/>
              <w:textAlignment w:val="center"/>
              <w:rPr>
                <w:rFonts w:hint="default" w:ascii="Calibri" w:hAnsi="Calibri" w:eastAsia="楷体_GB2312" w:cs="Calibri"/>
                <w:b/>
                <w:color w:val="000000"/>
                <w:szCs w:val="20"/>
                <w:lang w:bidi="ar"/>
              </w:rPr>
            </w:pPr>
            <w:r>
              <w:rPr>
                <w:rFonts w:hint="default" w:ascii="Calibri" w:hAnsi="Calibri" w:eastAsia="楷体_GB2312" w:cs="Calibri"/>
                <w:snapToGrid/>
              </w:rPr>
              <w:drawing>
                <wp:inline distT="0" distB="0" distL="0" distR="0">
                  <wp:extent cx="3232150" cy="1939290"/>
                  <wp:effectExtent l="0" t="0" r="6350" b="3810"/>
                  <wp:docPr id="1773009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inline>
              </w:drawing>
            </w:r>
          </w:p>
        </w:tc>
        <w:tc>
          <w:tcPr>
            <w:tcW w:w="240" w:type="dxa"/>
          </w:tcPr>
          <w:p w14:paraId="4ED04225">
            <w:pPr>
              <w:spacing w:before="48" w:beforeLines="20" w:after="48" w:afterLines="20"/>
              <w:rPr>
                <w:rFonts w:hint="default" w:ascii="Calibri" w:hAnsi="Calibri" w:eastAsia="楷体_GB2312" w:cs="Calibri"/>
                <w:szCs w:val="20"/>
              </w:rPr>
            </w:pPr>
          </w:p>
        </w:tc>
        <w:tc>
          <w:tcPr>
            <w:tcW w:w="5374" w:type="dxa"/>
            <w:tcBorders>
              <w:top w:val="single" w:color="auto" w:sz="4" w:space="0"/>
              <w:bottom w:val="single" w:color="auto" w:sz="4" w:space="0"/>
            </w:tcBorders>
          </w:tcPr>
          <w:p w14:paraId="26865C36">
            <w:pPr>
              <w:spacing w:before="48" w:beforeLines="20" w:after="48" w:afterLines="20"/>
              <w:rPr>
                <w:rFonts w:hint="default" w:ascii="Calibri" w:hAnsi="Calibri" w:eastAsia="楷体_GB2312" w:cs="Calibri"/>
                <w:b/>
                <w:szCs w:val="20"/>
              </w:rPr>
            </w:pPr>
            <w:r>
              <w:rPr>
                <w:rFonts w:hint="default" w:ascii="Calibri" w:hAnsi="Calibri" w:eastAsia="楷体_GB2312" w:cs="Calibri"/>
                <w:snapToGrid/>
              </w:rPr>
              <w:drawing>
                <wp:inline distT="0" distB="0" distL="0" distR="0">
                  <wp:extent cx="3275330" cy="2055495"/>
                  <wp:effectExtent l="0" t="0" r="1270" b="1905"/>
                  <wp:docPr id="2101985946"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inline>
              </w:drawing>
            </w:r>
          </w:p>
        </w:tc>
      </w:tr>
      <w:tr w14:paraId="284A53A6">
        <w:tblPrEx>
          <w:tblCellMar>
            <w:top w:w="0" w:type="dxa"/>
            <w:left w:w="108" w:type="dxa"/>
            <w:bottom w:w="0" w:type="dxa"/>
            <w:right w:w="108" w:type="dxa"/>
          </w:tblCellMar>
        </w:tblPrEx>
        <w:trPr>
          <w:trHeight w:val="227" w:hRule="atLeast"/>
        </w:trPr>
        <w:tc>
          <w:tcPr>
            <w:tcW w:w="5306" w:type="dxa"/>
            <w:tcBorders>
              <w:top w:val="single" w:color="auto" w:sz="4" w:space="0"/>
            </w:tcBorders>
            <w:tcMar>
              <w:left w:w="0" w:type="dxa"/>
              <w:right w:w="28" w:type="dxa"/>
            </w:tcMar>
            <w:vAlign w:val="center"/>
          </w:tcPr>
          <w:p w14:paraId="1F1E8EE4">
            <w:pPr>
              <w:spacing w:line="240" w:lineRule="atLeast"/>
              <w:textAlignment w:val="center"/>
              <w:rPr>
                <w:rFonts w:hint="default" w:ascii="Calibri" w:hAnsi="Calibri" w:eastAsia="楷体_GB2312" w:cs="Calibri"/>
                <w:i/>
                <w:iCs/>
              </w:rPr>
            </w:pPr>
            <w:r>
              <w:rPr>
                <w:rFonts w:hint="default" w:ascii="Calibri" w:hAnsi="Calibri" w:eastAsia="楷体_GB2312" w:cs="Calibri"/>
                <w:i/>
                <w:iCs/>
              </w:rPr>
              <w:t>资料来源: GAMA, Wind, HFI</w:t>
            </w:r>
          </w:p>
        </w:tc>
        <w:tc>
          <w:tcPr>
            <w:tcW w:w="240" w:type="dxa"/>
            <w:tcMar>
              <w:left w:w="0" w:type="dxa"/>
              <w:right w:w="28" w:type="dxa"/>
            </w:tcMar>
          </w:tcPr>
          <w:p w14:paraId="725C7FB1">
            <w:pPr>
              <w:spacing w:line="240" w:lineRule="atLeast"/>
              <w:rPr>
                <w:rFonts w:hint="default" w:ascii="Calibri" w:hAnsi="Calibri" w:eastAsia="楷体_GB2312" w:cs="Calibri"/>
                <w:i/>
                <w:iCs/>
              </w:rPr>
            </w:pPr>
          </w:p>
        </w:tc>
        <w:tc>
          <w:tcPr>
            <w:tcW w:w="5374" w:type="dxa"/>
            <w:tcBorders>
              <w:top w:val="single" w:color="auto" w:sz="4" w:space="0"/>
            </w:tcBorders>
            <w:tcMar>
              <w:left w:w="0" w:type="dxa"/>
              <w:right w:w="28" w:type="dxa"/>
            </w:tcMar>
          </w:tcPr>
          <w:p w14:paraId="619B9259">
            <w:pPr>
              <w:spacing w:line="240" w:lineRule="atLeast"/>
              <w:rPr>
                <w:rFonts w:hint="default" w:ascii="Calibri" w:hAnsi="Calibri" w:eastAsia="楷体_GB2312" w:cs="Calibri"/>
                <w:i/>
                <w:iCs/>
              </w:rPr>
            </w:pPr>
            <w:r>
              <w:rPr>
                <w:rFonts w:hint="default" w:ascii="Calibri" w:hAnsi="Calibri" w:eastAsia="楷体_GB2312" w:cs="Calibri"/>
                <w:i/>
                <w:iCs/>
              </w:rPr>
              <w:t>资料来源: GAMA, Wind,</w:t>
            </w:r>
            <w:r>
              <w:rPr>
                <w:rFonts w:hint="default" w:ascii="Calibri" w:hAnsi="Calibri" w:eastAsia="楷体_GB2312" w:cs="Calibri"/>
                <w:i/>
                <w:iCs/>
                <w:lang w:eastAsia="zh-CN"/>
              </w:rPr>
              <w:t xml:space="preserve"> </w:t>
            </w:r>
            <w:r>
              <w:rPr>
                <w:rFonts w:hint="default" w:ascii="Calibri" w:hAnsi="Calibri" w:eastAsia="楷体_GB2312" w:cs="Calibri"/>
                <w:i/>
                <w:iCs/>
              </w:rPr>
              <w:t>HFI</w:t>
            </w:r>
          </w:p>
        </w:tc>
      </w:tr>
    </w:tbl>
    <w:p w14:paraId="4677CFAF">
      <w:pPr>
        <w:pStyle w:val="12"/>
        <w:spacing w:before="240" w:beforeLines="100" w:after="240" w:afterLines="100" w:line="260" w:lineRule="exact"/>
        <w:ind w:left="0" w:leftChars="0" w:right="42" w:firstLine="0"/>
        <w:jc w:val="both"/>
        <w:rPr>
          <w:rFonts w:hint="default" w:ascii="Calibri" w:hAnsi="Calibri" w:eastAsia="楷体_GB2312" w:cs="Calibri"/>
          <w:snapToGrid w:val="0"/>
          <w:color w:val="auto"/>
          <w:kern w:val="0"/>
          <w:sz w:val="20"/>
          <w:szCs w:val="20"/>
        </w:rPr>
      </w:pPr>
    </w:p>
    <w:p w14:paraId="7D67583E">
      <w:pPr>
        <w:overflowPunct w:val="0"/>
        <w:ind w:left="3200" w:leftChars="2000"/>
        <w:jc w:val="both"/>
        <w:outlineLvl w:val="0"/>
        <w:rPr>
          <w:rFonts w:hint="default" w:ascii="Calibri" w:hAnsi="Calibri" w:eastAsia="楷体_GB2312" w:cs="Calibri"/>
          <w:b/>
          <w:bCs/>
          <w:color w:val="1F497D" w:themeColor="text2"/>
          <w:sz w:val="24"/>
          <w:szCs w:val="24"/>
          <w:lang w:val="en-US" w:eastAsia="zh-CN"/>
          <w14:textFill>
            <w14:solidFill>
              <w14:schemeClr w14:val="tx2"/>
            </w14:solidFill>
          </w14:textFill>
        </w:rPr>
      </w:pPr>
      <w:r>
        <w:rPr>
          <w:rFonts w:hint="default" w:ascii="Calibri" w:hAnsi="Calibri" w:eastAsia="楷体_GB2312" w:cs="Calibri"/>
        </w:rPr>
        <w:fldChar w:fldCharType="begin"/>
      </w:r>
      <w:r>
        <w:rPr>
          <w:rFonts w:hint="default" w:ascii="Calibri" w:hAnsi="Calibri" w:eastAsia="楷体_GB2312" w:cs="Calibri"/>
        </w:rPr>
        <w:instrText xml:space="preserve"> HYPERLINK \l "_Toc192787049" </w:instrText>
      </w:r>
      <w:r>
        <w:rPr>
          <w:rFonts w:hint="default" w:ascii="Calibri" w:hAnsi="Calibri" w:eastAsia="楷体_GB2312" w:cs="Calibri"/>
        </w:rPr>
        <w:fldChar w:fldCharType="separate"/>
      </w:r>
      <w:r>
        <w:rPr>
          <w:rFonts w:hint="default" w:ascii="Calibri" w:hAnsi="Calibri" w:eastAsia="楷体_GB2312" w:cs="Calibri"/>
        </w:rPr>
        <w:fldChar w:fldCharType="end"/>
      </w:r>
      <w:bookmarkStart w:id="40" w:name="_Toc756305952"/>
      <w:bookmarkStart w:id="41" w:name="_Toc223082617"/>
      <w:r>
        <w:rPr>
          <w:rFonts w:hint="default" w:ascii="Calibri" w:hAnsi="Calibri" w:eastAsia="楷体_GB2312" w:cs="Calibri"/>
          <w:b/>
          <w:bCs/>
          <w:color w:val="1F497D" w:themeColor="text2"/>
          <w:sz w:val="24"/>
          <w:szCs w:val="24"/>
          <w:lang w:val="en-US" w:eastAsia="zh-CN"/>
          <w14:textFill>
            <w14:solidFill>
              <w14:schemeClr w14:val="tx2"/>
            </w14:solidFill>
          </w14:textFill>
        </w:rPr>
        <w:t>七、重点公司资讯与点评</w:t>
      </w:r>
      <w:bookmarkEnd w:id="40"/>
      <w:bookmarkEnd w:id="41"/>
    </w:p>
    <w:p w14:paraId="00B14367">
      <w:pPr>
        <w:overflowPunct w:val="0"/>
        <w:ind w:left="3200" w:leftChars="2000"/>
        <w:jc w:val="both"/>
        <w:rPr>
          <w:rFonts w:hint="default" w:ascii="Calibri" w:hAnsi="Calibri" w:eastAsia="楷体_GB2312" w:cs="Calibri"/>
          <w:sz w:val="20"/>
          <w:szCs w:val="20"/>
          <w:lang w:val="en-US" w:eastAsia="zh-CN"/>
        </w:rPr>
      </w:pPr>
      <w:bookmarkStart w:id="42" w:name="_Toc278428671"/>
      <w:bookmarkStart w:id="43" w:name="_Toc192787060"/>
      <w:r>
        <w:rPr>
          <w:rFonts w:hint="default" w:ascii="Calibri" w:hAnsi="Calibri" w:eastAsia="楷体_GB2312" w:cs="Calibri"/>
          <w:sz w:val="20"/>
          <w:szCs w:val="20"/>
          <w:lang w:val="en-US" w:eastAsia="zh-CN"/>
        </w:rPr>
        <w:t>【全球智能与电气装备】《美国输电规划与发展结构性阵痛下电网扩容、智能化电网调节与综合电力》</w:t>
      </w:r>
    </w:p>
    <w:p w14:paraId="2B738A14">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【全球智能与电气装备】《北美西北地区电力短缺预警：能源转型与需求激增带来的高风险考验》</w:t>
      </w:r>
    </w:p>
    <w:p w14:paraId="0A84FBEF">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【全球国防和航天航空】《SpaceX猎鹰9号双事件引行业关注：故障停飞五日复飞，13手助推器创复用新纪录》</w:t>
      </w:r>
    </w:p>
    <w:p w14:paraId="2AC1B690">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【全球国防和航天航空】《多起小型飞机事故刺激通用航空监管升级，驱动结构性机遇》</w:t>
      </w:r>
    </w:p>
    <w:p w14:paraId="64856D04">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【全球能源-电力】《</w:t>
      </w:r>
      <w:r>
        <w:rPr>
          <w:rFonts w:hint="default" w:ascii="Calibri" w:hAnsi="Calibri" w:eastAsia="楷体_GB2312" w:cs="Calibri"/>
          <w:sz w:val="20"/>
          <w:szCs w:val="20"/>
          <w:lang w:val="en-US" w:eastAsia="zh-CN"/>
        </w:rPr>
        <w:t>FERC</w:t>
      </w:r>
      <w:r>
        <w:rPr>
          <w:rFonts w:hint="default" w:ascii="Calibri" w:hAnsi="Calibri" w:eastAsia="楷体_GB2312" w:cs="Calibri"/>
          <w:sz w:val="20"/>
          <w:szCs w:val="20"/>
          <w:lang w:val="en-US" w:eastAsia="zh-CN"/>
        </w:rPr>
        <w:t>取消</w:t>
      </w:r>
      <w:r>
        <w:rPr>
          <w:rFonts w:hint="default" w:ascii="Calibri" w:hAnsi="Calibri" w:eastAsia="楷体_GB2312" w:cs="Calibri"/>
          <w:sz w:val="20"/>
          <w:szCs w:val="20"/>
          <w:lang w:val="en-US" w:eastAsia="zh-CN"/>
        </w:rPr>
        <w:t>WECC</w:t>
      </w:r>
      <w:r>
        <w:rPr>
          <w:rFonts w:hint="default" w:ascii="Calibri" w:hAnsi="Calibri" w:eastAsia="楷体_GB2312" w:cs="Calibri"/>
          <w:sz w:val="20"/>
          <w:szCs w:val="20"/>
          <w:lang w:val="en-US" w:eastAsia="zh-CN"/>
        </w:rPr>
        <w:t>软上限：美东“限价”</w:t>
      </w:r>
      <w:r>
        <w:rPr>
          <w:rFonts w:hint="default" w:ascii="Calibri" w:hAnsi="Calibri" w:eastAsia="楷体_GB2312" w:cs="Calibri"/>
          <w:sz w:val="20"/>
          <w:szCs w:val="20"/>
          <w:lang w:val="en-US" w:eastAsia="zh-CN"/>
        </w:rPr>
        <w:t>VS</w:t>
      </w:r>
      <w:r>
        <w:rPr>
          <w:rFonts w:hint="default" w:ascii="Calibri" w:hAnsi="Calibri" w:eastAsia="楷体_GB2312" w:cs="Calibri"/>
          <w:sz w:val="20"/>
          <w:szCs w:val="20"/>
          <w:lang w:val="en-US" w:eastAsia="zh-CN"/>
        </w:rPr>
        <w:t>美西“解限”，区域电价政策分化与能源格局重构》</w:t>
      </w:r>
    </w:p>
    <w:p w14:paraId="6DB42B92">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【全球国防和航天航空】《</w:t>
      </w:r>
      <w:r>
        <w:rPr>
          <w:rFonts w:hint="default" w:ascii="Calibri" w:hAnsi="Calibri" w:eastAsia="楷体_GB2312" w:cs="Calibri"/>
          <w:sz w:val="20"/>
          <w:szCs w:val="20"/>
          <w:lang w:val="en-US" w:eastAsia="zh-CN"/>
        </w:rPr>
        <w:t>SpaceX 100</w:t>
      </w:r>
      <w:r>
        <w:rPr>
          <w:rFonts w:hint="default" w:ascii="Calibri" w:hAnsi="Calibri" w:eastAsia="楷体_GB2312" w:cs="Calibri"/>
          <w:sz w:val="20"/>
          <w:szCs w:val="20"/>
          <w:lang w:val="en-US" w:eastAsia="zh-CN"/>
        </w:rPr>
        <w:t>万卫星发射计划：收购</w:t>
      </w:r>
      <w:r>
        <w:rPr>
          <w:rFonts w:hint="default" w:ascii="Calibri" w:hAnsi="Calibri" w:eastAsia="楷体_GB2312" w:cs="Calibri"/>
          <w:sz w:val="20"/>
          <w:szCs w:val="20"/>
          <w:lang w:val="en-US" w:eastAsia="zh-CN"/>
        </w:rPr>
        <w:t>xAI</w:t>
      </w:r>
      <w:r>
        <w:rPr>
          <w:rFonts w:hint="default" w:ascii="Calibri" w:hAnsi="Calibri" w:eastAsia="楷体_GB2312" w:cs="Calibri"/>
          <w:sz w:val="20"/>
          <w:szCs w:val="20"/>
          <w:lang w:val="en-US" w:eastAsia="zh-CN"/>
        </w:rPr>
        <w:t>布局</w:t>
      </w:r>
      <w:r>
        <w:rPr>
          <w:rFonts w:hint="default" w:ascii="Calibri" w:hAnsi="Calibri" w:eastAsia="楷体_GB2312" w:cs="Calibri"/>
          <w:sz w:val="20"/>
          <w:szCs w:val="20"/>
          <w:lang w:val="en-US" w:eastAsia="zh-CN"/>
        </w:rPr>
        <w:t xml:space="preserve"> </w:t>
      </w:r>
      <w:r>
        <w:rPr>
          <w:rFonts w:hint="default" w:ascii="Calibri" w:hAnsi="Calibri" w:eastAsia="楷体_GB2312" w:cs="Calibri"/>
          <w:sz w:val="20"/>
          <w:szCs w:val="20"/>
          <w:lang w:val="en-US" w:eastAsia="zh-CN"/>
        </w:rPr>
        <w:t>发射</w:t>
      </w:r>
      <w:r>
        <w:rPr>
          <w:rFonts w:hint="default" w:ascii="Calibri" w:hAnsi="Calibri" w:eastAsia="楷体_GB2312" w:cs="Calibri"/>
          <w:sz w:val="20"/>
          <w:szCs w:val="20"/>
          <w:lang w:val="en-US" w:eastAsia="zh-CN"/>
        </w:rPr>
        <w:t>-</w:t>
      </w:r>
      <w:r>
        <w:rPr>
          <w:rFonts w:hint="default" w:ascii="Calibri" w:hAnsi="Calibri" w:eastAsia="楷体_GB2312" w:cs="Calibri"/>
          <w:sz w:val="20"/>
          <w:szCs w:val="20"/>
          <w:lang w:val="en-US" w:eastAsia="zh-CN"/>
        </w:rPr>
        <w:t>算力</w:t>
      </w:r>
      <w:r>
        <w:rPr>
          <w:rFonts w:hint="default" w:ascii="Calibri" w:hAnsi="Calibri" w:eastAsia="楷体_GB2312" w:cs="Calibri"/>
          <w:sz w:val="20"/>
          <w:szCs w:val="20"/>
          <w:lang w:val="en-US" w:eastAsia="zh-CN"/>
        </w:rPr>
        <w:t>-</w:t>
      </w:r>
      <w:r>
        <w:rPr>
          <w:rFonts w:hint="default" w:ascii="Calibri" w:hAnsi="Calibri" w:eastAsia="楷体_GB2312" w:cs="Calibri"/>
          <w:sz w:val="20"/>
          <w:szCs w:val="20"/>
          <w:lang w:val="en-US" w:eastAsia="zh-CN"/>
        </w:rPr>
        <w:t>传输垂直整合，解构地面算力核心成本困局重构商业版图》</w:t>
      </w:r>
    </w:p>
    <w:p w14:paraId="33F884F7">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【全球智能与电气装备】</w:t>
      </w:r>
      <w:r>
        <w:rPr>
          <w:rFonts w:hint="default" w:ascii="Calibri" w:hAnsi="Calibri" w:eastAsia="楷体_GB2312" w:cs="Calibri"/>
          <w:sz w:val="20"/>
          <w:szCs w:val="20"/>
          <w:lang w:val="en-US" w:eastAsia="zh-CN"/>
        </w:rPr>
        <w:t>《从普惠共享到责任归位：</w:t>
      </w:r>
      <w:r>
        <w:rPr>
          <w:rFonts w:hint="default" w:ascii="Calibri" w:hAnsi="Calibri" w:eastAsia="楷体_GB2312" w:cs="Calibri"/>
          <w:sz w:val="20"/>
          <w:szCs w:val="20"/>
          <w:lang w:val="en-US" w:eastAsia="zh-CN"/>
        </w:rPr>
        <w:t>SB 1168</w:t>
      </w:r>
      <w:r>
        <w:rPr>
          <w:rFonts w:hint="default" w:ascii="Calibri" w:hAnsi="Calibri" w:eastAsia="楷体_GB2312" w:cs="Calibri"/>
          <w:sz w:val="20"/>
          <w:szCs w:val="20"/>
          <w:lang w:val="en-US" w:eastAsia="zh-CN"/>
        </w:rPr>
        <w:t>法案背后的“谁受益、谁付费”的原则确立与能源治理范式重构》</w:t>
      </w:r>
    </w:p>
    <w:p w14:paraId="6011B432">
      <w:pPr>
        <w:rPr>
          <w:rFonts w:hint="default" w:ascii="Calibri" w:hAnsi="Calibri" w:eastAsia="楷体_GB2312" w:cs="Calibri"/>
          <w:lang w:val="en-US" w:eastAsia="zh-CN"/>
        </w:rPr>
      </w:pPr>
      <w:r>
        <w:rPr>
          <w:rFonts w:hint="default" w:ascii="Calibri" w:hAnsi="Calibri" w:eastAsia="楷体_GB2312" w:cs="Calibri"/>
          <w:lang w:val="en-US" w:eastAsia="zh-CN"/>
        </w:rPr>
        <w:br w:type="page"/>
      </w:r>
    </w:p>
    <w:p w14:paraId="223AD269">
      <w:pPr>
        <w:overflowPunct w:val="0"/>
        <w:ind w:left="3200" w:leftChars="2000"/>
        <w:jc w:val="both"/>
        <w:outlineLvl w:val="0"/>
        <w:rPr>
          <w:rFonts w:hint="default" w:ascii="Calibri" w:hAnsi="Calibri" w:eastAsia="楷体_GB2312" w:cs="Calibri"/>
          <w:b/>
          <w:bCs/>
          <w:color w:val="1F497D" w:themeColor="text2"/>
          <w:sz w:val="24"/>
          <w:szCs w:val="24"/>
          <w:lang w:val="en-US" w:eastAsia="zh-CN"/>
          <w14:textFill>
            <w14:solidFill>
              <w14:schemeClr w14:val="tx2"/>
            </w14:solidFill>
          </w14:textFill>
        </w:rPr>
      </w:pPr>
      <w:bookmarkStart w:id="44" w:name="_Toc223082618"/>
      <w:r>
        <w:rPr>
          <w:rFonts w:hint="default" w:ascii="Calibri" w:hAnsi="Calibri" w:eastAsia="楷体_GB2312" w:cs="Calibri"/>
          <w:b/>
          <w:bCs/>
          <w:color w:val="1F497D" w:themeColor="text2"/>
          <w:sz w:val="24"/>
          <w:szCs w:val="24"/>
          <w:lang w:val="en-US" w:eastAsia="zh-CN"/>
          <w14:textFill>
            <w14:solidFill>
              <w14:schemeClr w14:val="tx2"/>
            </w14:solidFill>
          </w14:textFill>
        </w:rPr>
        <w:t>八、报告精选</w:t>
      </w:r>
      <w:bookmarkEnd w:id="42"/>
      <w:bookmarkEnd w:id="43"/>
      <w:bookmarkEnd w:id="44"/>
    </w:p>
    <w:p w14:paraId="45A6BD5E">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【全球智能与电气装备】《Bloom Energy Corporation(BE US)： A Solid Oxide Fuel Cell Player Set To Bloom In The Opportunity Of AI-Driven Onsite Power Generation Solutions: Initiation》</w:t>
      </w:r>
    </w:p>
    <w:p w14:paraId="28BB93F8">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【全球智能与电气装备】《GE Vernova(GEV US)：An energy transition leader well-positioned in the accelerating electricity investment supercycle: Initiation》</w:t>
      </w:r>
    </w:p>
    <w:p w14:paraId="3F285C3F">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【全球国防和航天航空】《Cirrus Aircraft (2507.HK): Global Leader in Private Aviation: Dominating Personal Aviation with Safety, Innovation, and a Robust Ecosystem: Initiation》</w:t>
      </w:r>
    </w:p>
    <w:p w14:paraId="0A67BDD9">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【全球国防和航天航空】 《Textron (TXT US): A Diversified Industrial Giant Leading in the General-Aviation Jet Market: Initiation》</w:t>
      </w:r>
    </w:p>
    <w:p w14:paraId="48EAE2F5">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【全球国防和航天航空】《Howmet Aerospace(HWM US)：Aero-Engine Castings Leader, F-35 Sole Source + CAM Integration Widen Moat: Initiation》</w:t>
      </w:r>
    </w:p>
    <w:p w14:paraId="7611A286">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【全球能源-电力】《Vistra Corp(VST US)：Active Response to Energy Transition and Enhancement of Low-Carbon Power Amid AI Data Center Migration and Natural Gas Demand Growth: Initiation》</w:t>
      </w:r>
    </w:p>
    <w:p w14:paraId="1D94E080">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【全球能源-电力】《Talen Energy Corp(TLN US)：Zero-Carbon Nuclear Powering PJM Wholesale &amp; Retail, Capturing the AI Power Wave for a New Cycle of Sustainable Growth: Initiation》</w:t>
      </w:r>
    </w:p>
    <w:p w14:paraId="73753EAD">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【全球能与电气装备】</w:t>
      </w:r>
      <w:r>
        <w:rPr>
          <w:rFonts w:hint="default" w:ascii="Calibri" w:hAnsi="Calibri" w:eastAsia="楷体_GB2312" w:cs="Calibri"/>
          <w:sz w:val="20"/>
          <w:szCs w:val="20"/>
          <w:lang w:val="en-US" w:eastAsia="zh-CN"/>
        </w:rPr>
        <w:t>Vertiv(VRT US): A Near Pure Play On Powering Up and Cooling Down AI Data Center with</w:t>
      </w:r>
      <w:r>
        <w:rPr>
          <w:rFonts w:hint="default" w:ascii="Calibri" w:hAnsi="Calibri" w:eastAsia="楷体_GB2312" w:cs="Calibri"/>
          <w:sz w:val="20"/>
          <w:szCs w:val="20"/>
          <w:lang w:val="en-US" w:eastAsia="zh-CN"/>
        </w:rPr>
        <w:t xml:space="preserve"> strategical partnership with NVIDIA into next-gen AIDC structures: Initiation》</w:t>
      </w:r>
    </w:p>
    <w:p w14:paraId="73F26B2E">
      <w:pPr>
        <w:rPr>
          <w:rFonts w:hint="default" w:ascii="Calibri" w:hAnsi="Calibri" w:eastAsia="楷体_GB2312" w:cs="Calibri"/>
          <w:bCs/>
          <w:sz w:val="20"/>
          <w:szCs w:val="20"/>
        </w:rPr>
      </w:pPr>
      <w:r>
        <w:rPr>
          <w:rFonts w:hint="default" w:ascii="Calibri" w:hAnsi="Calibri" w:eastAsia="楷体_GB2312" w:cs="Calibri"/>
          <w:bCs/>
          <w:sz w:val="20"/>
          <w:szCs w:val="20"/>
        </w:rPr>
        <w:br w:type="page"/>
      </w:r>
    </w:p>
    <w:p w14:paraId="3606B920">
      <w:pPr>
        <w:pStyle w:val="12"/>
        <w:spacing w:before="120" w:beforeLines="50" w:after="120" w:afterLines="50" w:line="260" w:lineRule="exact"/>
        <w:ind w:left="0" w:leftChars="0" w:right="42" w:firstLine="0"/>
        <w:jc w:val="both"/>
        <w:rPr>
          <w:rFonts w:hint="default" w:ascii="Calibri" w:hAnsi="Calibri" w:eastAsia="楷体_GB2312" w:cs="Calibri"/>
          <w:b/>
          <w:sz w:val="20"/>
          <w:szCs w:val="20"/>
        </w:rPr>
      </w:pPr>
      <w:r>
        <w:rPr>
          <w:rFonts w:hint="default" w:ascii="Calibri" w:hAnsi="Calibri" w:eastAsia="楷体_GB2312" w:cs="Calibri"/>
          <w:b/>
          <w:sz w:val="20"/>
          <w:szCs w:val="20"/>
        </w:rPr>
        <w:t>APPENDIX</w:t>
      </w:r>
      <w:r>
        <w:rPr>
          <w:rFonts w:hint="default" w:ascii="Calibri" w:hAnsi="Calibri" w:eastAsia="楷体_GB2312" w:cs="Calibri"/>
          <w:b/>
          <w:sz w:val="20"/>
          <w:szCs w:val="20"/>
        </w:rPr>
        <w:t xml:space="preserve"> 1</w:t>
      </w:r>
    </w:p>
    <w:p w14:paraId="3AF8CC61">
      <w:pPr>
        <w:pStyle w:val="12"/>
        <w:spacing w:before="120" w:beforeLines="50" w:after="120" w:afterLines="50" w:line="260" w:lineRule="exact"/>
        <w:ind w:left="0" w:leftChars="0" w:right="42" w:firstLine="0"/>
        <w:jc w:val="both"/>
        <w:rPr>
          <w:rFonts w:hint="default" w:ascii="Calibri" w:hAnsi="Calibri" w:eastAsia="楷体_GB2312" w:cs="Calibri"/>
          <w:b/>
          <w:sz w:val="20"/>
          <w:szCs w:val="20"/>
        </w:rPr>
      </w:pPr>
      <w:r>
        <w:rPr>
          <w:rFonts w:hint="default" w:ascii="Calibri" w:hAnsi="Calibri" w:eastAsia="楷体_GB2312" w:cs="Calibri"/>
          <w:b/>
          <w:sz w:val="20"/>
          <w:szCs w:val="20"/>
        </w:rPr>
        <w:t>Summary</w:t>
      </w:r>
    </w:p>
    <w:p w14:paraId="75C57136">
      <w:pPr>
        <w:numPr>
          <w:ilvl w:val="0"/>
          <w:numId w:val="16"/>
        </w:numPr>
        <w:rPr>
          <w:rFonts w:hint="default" w:ascii="Calibri" w:hAnsi="Calibri" w:eastAsia="楷体_GB2312" w:cs="Calibri"/>
          <w:b/>
          <w:bCs/>
          <w:sz w:val="20"/>
          <w:szCs w:val="20"/>
        </w:rPr>
      </w:pPr>
      <w:bookmarkStart w:id="45" w:name="_GoBack"/>
      <w:r>
        <w:rPr>
          <w:rFonts w:hint="default" w:ascii="Calibri" w:hAnsi="Calibri" w:eastAsia="楷体_GB2312" w:cs="Calibri"/>
          <w:b/>
          <w:bCs/>
          <w:sz w:val="20"/>
          <w:szCs w:val="20"/>
          <w:lang w:val="en-US" w:eastAsia="zh-CN" w:bidi="ar"/>
        </w:rPr>
        <w:t xml:space="preserve">Global Infrastructure &amp; Construction: </w:t>
      </w:r>
    </w:p>
    <w:p w14:paraId="32952BDD">
      <w:pPr>
        <w:overflowPunct w:val="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Data Centers: The U.S. White House released a "Ratepayer Protection Pledge" requiring tech giants to fully bear the electricity infrastructure costs brought by AI data center expansion. Amazon announced an investment of $12 billion in Louisiana to build a next-generation AI data center and pledged to self-fund the infrastructure costs.</w:t>
      </w:r>
    </w:p>
    <w:p w14:paraId="1FC091E2">
      <w:pPr>
        <w:overflowPunct w:val="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 xml:space="preserve">Energy Construction: The U.S. Energy Information Administration predicts that by 2026, the U.S. will add a record 86 GW of electricity installed capacity. Google and Xcel Energy reached a 1.9 GW clean energy agreement, accelerating the achievement of 24/7 carbon-free energy goals by deploying the world's largest iron-flow battery project. Meta reached a 6.6 GW long-term procurement agreement with three nuclear energy suppliers, promoting the large-scale construction of small modular reactors. </w:t>
      </w:r>
    </w:p>
    <w:p w14:paraId="39A9415A">
      <w:pPr>
        <w:overflowPunct w:val="0"/>
        <w:jc w:val="both"/>
        <w:rPr>
          <w:rFonts w:hint="default" w:ascii="Calibri" w:hAnsi="Calibri" w:eastAsia="楷体_GB2312" w:cs="Calibri"/>
          <w:sz w:val="20"/>
          <w:szCs w:val="20"/>
          <w:lang w:val="en-US" w:eastAsia="zh-CN"/>
        </w:rPr>
      </w:pPr>
    </w:p>
    <w:p w14:paraId="2D3CE0A7">
      <w:pPr>
        <w:overflowPunct w:val="0"/>
        <w:jc w:val="both"/>
        <w:rPr>
          <w:rFonts w:hint="default" w:ascii="Calibri" w:hAnsi="Calibri" w:eastAsia="楷体_GB2312" w:cs="Calibri"/>
          <w:b/>
          <w:bCs/>
          <w:sz w:val="20"/>
          <w:szCs w:val="20"/>
          <w:lang w:val="en-US" w:eastAsia="zh-CN"/>
        </w:rPr>
      </w:pPr>
      <w:r>
        <w:rPr>
          <w:rFonts w:hint="default" w:ascii="Calibri" w:hAnsi="Calibri" w:eastAsia="楷体_GB2312" w:cs="Calibri"/>
          <w:b/>
          <w:bCs/>
          <w:sz w:val="20"/>
          <w:szCs w:val="20"/>
          <w:lang w:val="en-US" w:eastAsia="zh-CN"/>
        </w:rPr>
        <w:t>2. Global Electrical &amp; Intelligent Equipment</w:t>
      </w:r>
    </w:p>
    <w:p w14:paraId="13834109">
      <w:pPr>
        <w:overflowPunct w:val="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Industrial Equipment Price Index</w:t>
      </w:r>
      <w:r>
        <w:rPr>
          <w:rFonts w:hint="default" w:ascii="Calibri" w:hAnsi="Calibri" w:eastAsia="楷体_GB2312" w:cs="Calibri"/>
          <w:sz w:val="20"/>
          <w:szCs w:val="20"/>
          <w:lang w:val="en-US" w:eastAsia="zh-CN"/>
        </w:rPr>
        <w:t xml:space="preserve">: Persistent tight supply-demand relations and a stable industry competitive landscape jointly propelled the gas turbine price index to continue its upward trend. Industrial Equipment Export Index: China's transformer exports are projected to maintain high growth in 2025. The export value is set to soar to RMB 64.6 billion, marking a staggering 36% year-on-year increase, firmly establishing China as the world's largest transformer exporter. </w:t>
      </w:r>
    </w:p>
    <w:p w14:paraId="2D62ABFF">
      <w:pPr>
        <w:overflowPunct w:val="0"/>
        <w:jc w:val="both"/>
        <w:rPr>
          <w:rFonts w:hint="default" w:ascii="Calibri" w:hAnsi="Calibri" w:eastAsia="楷体_GB2312" w:cs="Calibri"/>
          <w:b/>
          <w:bCs/>
          <w:sz w:val="20"/>
          <w:szCs w:val="20"/>
          <w:lang w:val="en-US" w:eastAsia="zh-CN"/>
        </w:rPr>
      </w:pPr>
    </w:p>
    <w:p w14:paraId="3D6D122E">
      <w:pPr>
        <w:overflowPunct w:val="0"/>
        <w:jc w:val="both"/>
        <w:rPr>
          <w:rFonts w:hint="default" w:ascii="Calibri" w:hAnsi="Calibri" w:eastAsia="楷体_GB2312" w:cs="Calibri"/>
          <w:b/>
          <w:bCs/>
          <w:sz w:val="20"/>
          <w:szCs w:val="20"/>
          <w:lang w:val="en-US" w:eastAsia="zh-CN"/>
        </w:rPr>
      </w:pPr>
      <w:r>
        <w:rPr>
          <w:rFonts w:hint="default" w:ascii="Calibri" w:hAnsi="Calibri" w:eastAsia="楷体_GB2312" w:cs="Calibri"/>
          <w:b/>
          <w:bCs/>
          <w:sz w:val="20"/>
          <w:szCs w:val="20"/>
          <w:lang w:val="en-US" w:eastAsia="zh-CN"/>
        </w:rPr>
        <w:t>3. Global Energy Industry</w:t>
      </w:r>
    </w:p>
    <w:p w14:paraId="1C5F3F90">
      <w:pPr>
        <w:overflowPunct w:val="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U.S. Power Markets</w:t>
      </w:r>
      <w:r>
        <w:rPr>
          <w:rFonts w:hint="default" w:ascii="Calibri" w:hAnsi="Calibri" w:eastAsia="楷体_GB2312" w:cs="Calibri"/>
          <w:sz w:val="20"/>
          <w:szCs w:val="20"/>
          <w:lang w:val="en-US" w:eastAsia="zh-CN"/>
        </w:rPr>
        <w:t>: On February 25th, the average spot price for electricity in major U.S. regions was $34.16/MWh.</w:t>
      </w:r>
    </w:p>
    <w:p w14:paraId="0D162A6B">
      <w:pPr>
        <w:overflowPunct w:val="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European Power Markets: Day-ahead transaction prices in the European power market generally trended upwards for the week. U.U. Natural Gas: U.S. natural gas spot and futures prices increased week-over-week, while open interest decreased. As of February 26th, 2026, the Henry Hub spot price was $2.95/MMBtu, down 4.5% week over week. As of February 26th, 2026, the NYMEX Henry Hub futures price was $2.87/MMBtu, down 5.2% week over week.</w:t>
      </w:r>
    </w:p>
    <w:p w14:paraId="2665F9B4">
      <w:pPr>
        <w:overflowPunct w:val="0"/>
        <w:jc w:val="both"/>
        <w:rPr>
          <w:rFonts w:hint="default" w:ascii="Calibri" w:hAnsi="Calibri" w:eastAsia="楷体_GB2312" w:cs="Calibri"/>
          <w:b/>
          <w:bCs/>
          <w:sz w:val="20"/>
          <w:szCs w:val="20"/>
          <w:lang w:val="en-US" w:eastAsia="zh-CN"/>
        </w:rPr>
      </w:pPr>
    </w:p>
    <w:p w14:paraId="31293606">
      <w:pPr>
        <w:overflowPunct w:val="0"/>
        <w:jc w:val="both"/>
        <w:rPr>
          <w:rFonts w:hint="default" w:ascii="Calibri" w:hAnsi="Calibri" w:eastAsia="楷体_GB2312" w:cs="Calibri"/>
          <w:b/>
          <w:bCs/>
          <w:sz w:val="20"/>
          <w:szCs w:val="20"/>
          <w:lang w:val="en-US" w:eastAsia="zh-CN"/>
        </w:rPr>
      </w:pPr>
      <w:r>
        <w:rPr>
          <w:rFonts w:hint="default" w:ascii="Calibri" w:hAnsi="Calibri" w:eastAsia="楷体_GB2312" w:cs="Calibri"/>
          <w:b/>
          <w:bCs/>
          <w:sz w:val="20"/>
          <w:szCs w:val="20"/>
          <w:lang w:val="en-US" w:eastAsia="zh-CN"/>
        </w:rPr>
        <w:t>4. Global New Materials</w:t>
      </w:r>
    </w:p>
    <w:p w14:paraId="150A5089">
      <w:pPr>
        <w:overflowPunct w:val="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Natural Uranium</w:t>
      </w:r>
      <w:r>
        <w:rPr>
          <w:rFonts w:hint="default" w:ascii="Calibri" w:hAnsi="Calibri" w:eastAsia="楷体_GB2312" w:cs="Calibri"/>
          <w:sz w:val="20"/>
          <w:szCs w:val="20"/>
          <w:lang w:val="en-US" w:eastAsia="zh-CN"/>
        </w:rPr>
        <w:t>: In December 2025, the global actual market price for uranium was $63.51/pound, representing a month-over-month increase of 2.0% and a year-over-year increase of 5.5%. Rare Earths: This week, praseodymium-neodymium oxide (RMB 850,000/ton) led the gains with a week-over-week increase of 13.8% and a month-over-month increase of 33.4%. Other rare earth varieties saw week-over-week increases in the 2-5% range.</w:t>
      </w:r>
    </w:p>
    <w:p w14:paraId="47C04EC4">
      <w:pPr>
        <w:overflowPunct w:val="0"/>
        <w:jc w:val="both"/>
        <w:rPr>
          <w:rFonts w:hint="default" w:ascii="Calibri" w:hAnsi="Calibri" w:eastAsia="楷体_GB2312" w:cs="Calibri"/>
          <w:sz w:val="20"/>
          <w:szCs w:val="20"/>
          <w:lang w:val="en-US" w:eastAsia="zh-CN"/>
        </w:rPr>
      </w:pPr>
    </w:p>
    <w:p w14:paraId="379A9B7B">
      <w:pPr>
        <w:overflowPunct w:val="0"/>
        <w:jc w:val="both"/>
        <w:rPr>
          <w:rFonts w:hint="default" w:ascii="Calibri" w:hAnsi="Calibri" w:eastAsia="楷体_GB2312" w:cs="Calibri"/>
          <w:b/>
          <w:bCs/>
          <w:sz w:val="20"/>
          <w:szCs w:val="20"/>
          <w:lang w:val="en-US" w:eastAsia="zh-CN"/>
        </w:rPr>
      </w:pPr>
      <w:r>
        <w:rPr>
          <w:rFonts w:hint="default" w:ascii="Calibri" w:hAnsi="Calibri" w:eastAsia="楷体_GB2312" w:cs="Calibri"/>
          <w:b/>
          <w:bCs/>
          <w:sz w:val="20"/>
          <w:szCs w:val="20"/>
          <w:lang w:val="en-US" w:eastAsia="zh-CN"/>
        </w:rPr>
        <w:t>5. Global Defense &amp; Aerospace</w:t>
      </w:r>
    </w:p>
    <w:p w14:paraId="414B9533">
      <w:pPr>
        <w:rPr>
          <w:rFonts w:hint="default" w:ascii="Calibri" w:hAnsi="Calibri" w:eastAsia="楷体_GB2312" w:cs="Calibri"/>
          <w:bCs/>
          <w:sz w:val="20"/>
          <w:szCs w:val="20"/>
        </w:rPr>
      </w:pPr>
      <w:r>
        <w:rPr>
          <w:rFonts w:hint="default" w:ascii="Calibri" w:hAnsi="Calibri" w:eastAsia="楷体_GB2312" w:cs="Calibri"/>
          <w:b/>
          <w:sz w:val="20"/>
          <w:szCs w:val="20"/>
        </w:rPr>
        <w:t>U.S. Aircraft Engine and Engine Parts Manufacturing Price Index</w:t>
      </w:r>
      <w:r>
        <w:rPr>
          <w:rFonts w:hint="default" w:ascii="Calibri" w:hAnsi="Calibri" w:eastAsia="楷体_GB2312" w:cs="Calibri"/>
          <w:bCs/>
          <w:sz w:val="20"/>
          <w:szCs w:val="20"/>
        </w:rPr>
        <w:t>: In December 2025, the price index was 275.942, up 0.35% month over month and 1.44% year over year.</w:t>
      </w:r>
      <w:r>
        <w:rPr>
          <w:rFonts w:hint="default" w:ascii="Calibri" w:hAnsi="Calibri" w:eastAsia="楷体_GB2312" w:cs="Calibri"/>
          <w:bCs/>
          <w:sz w:val="20"/>
          <w:szCs w:val="20"/>
          <w:lang w:val="en-US" w:eastAsia="zh-CN"/>
        </w:rPr>
        <w:t xml:space="preserve"> </w:t>
      </w:r>
      <w:r>
        <w:rPr>
          <w:rFonts w:hint="default" w:ascii="Calibri" w:hAnsi="Calibri" w:eastAsia="楷体_GB2312" w:cs="Calibri"/>
          <w:bCs/>
          <w:sz w:val="20"/>
          <w:szCs w:val="20"/>
        </w:rPr>
        <w:t>Aircraft Engine and Engine Parts Manufacturing: Aircraft Engine Parts Price Index: In December 2025, the price index for aircraft engine parts was 292.545, up 0.7% month over month and 3.7% year over year.</w:t>
      </w:r>
      <w:r>
        <w:rPr>
          <w:rFonts w:hint="default" w:ascii="Calibri" w:hAnsi="Calibri" w:eastAsia="楷体_GB2312" w:cs="Calibri"/>
          <w:bCs/>
          <w:sz w:val="20"/>
          <w:szCs w:val="20"/>
          <w:lang w:val="en-US" w:eastAsia="zh-CN"/>
        </w:rPr>
        <w:t xml:space="preserve"> </w:t>
      </w:r>
      <w:r>
        <w:rPr>
          <w:rFonts w:hint="default" w:ascii="Calibri" w:hAnsi="Calibri" w:eastAsia="楷体_GB2312" w:cs="Calibri"/>
          <w:bCs/>
          <w:sz w:val="20"/>
          <w:szCs w:val="20"/>
        </w:rPr>
        <w:t>U.S. Government Spending Defense Price Index: In Q4 2025, the index was 120.187, up 0.9% quarter-over-quarter and 2.95% year-over-year.</w:t>
      </w:r>
    </w:p>
    <w:bookmarkEnd w:id="45"/>
    <w:p w14:paraId="0BA7A55D">
      <w:pPr>
        <w:rPr>
          <w:rFonts w:hint="default" w:ascii="Calibri" w:hAnsi="Calibri" w:eastAsia="楷体_GB2312" w:cs="Calibri"/>
          <w:bCs/>
          <w:sz w:val="20"/>
          <w:szCs w:val="20"/>
        </w:rPr>
      </w:pPr>
    </w:p>
    <w:p w14:paraId="397FA07A">
      <w:pPr>
        <w:rPr>
          <w:rFonts w:hint="default" w:ascii="Calibri" w:hAnsi="Calibri" w:eastAsia="楷体_GB2312" w:cs="Calibri"/>
          <w:bCs/>
          <w:sz w:val="20"/>
          <w:szCs w:val="20"/>
        </w:rPr>
      </w:pPr>
    </w:p>
    <w:p w14:paraId="703C2AEE">
      <w:pPr>
        <w:pStyle w:val="12"/>
        <w:spacing w:before="240" w:beforeLines="100" w:after="240" w:afterLines="100" w:line="260" w:lineRule="exact"/>
        <w:ind w:left="0" w:leftChars="0" w:right="42" w:firstLine="0"/>
        <w:jc w:val="both"/>
        <w:rPr>
          <w:rFonts w:hint="default" w:ascii="Calibri" w:hAnsi="Calibri" w:eastAsia="楷体_GB2312" w:cs="Calibri"/>
          <w:sz w:val="20"/>
          <w:szCs w:val="20"/>
        </w:rPr>
        <w:sectPr>
          <w:headerReference r:id="rId5" w:type="default"/>
          <w:footerReference r:id="rId6" w:type="default"/>
          <w:pgSz w:w="11909" w:h="16834"/>
          <w:pgMar w:top="1716" w:right="851" w:bottom="1021" w:left="360" w:header="720" w:footer="1580" w:gutter="0"/>
          <w:cols w:space="720" w:num="1"/>
          <w:docGrid w:linePitch="360" w:charSpace="0"/>
        </w:sectPr>
      </w:pPr>
    </w:p>
    <w:tbl>
      <w:tblPr>
        <w:tblStyle w:val="27"/>
        <w:tblW w:w="11252" w:type="dxa"/>
        <w:tblCaption w:val="[Table_APPENDIX]"/>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28" w:type="dxa"/>
          <w:bottom w:w="0" w:type="dxa"/>
          <w:right w:w="28" w:type="dxa"/>
        </w:tblCellMar>
      </w:tblPr>
      <w:tblGrid>
        <w:gridCol w:w="11252"/>
      </w:tblGrid>
      <w:tr w14:paraId="124F89F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rPr>
          <w:trHeight w:val="23" w:hRule="exact"/>
        </w:trPr>
        <w:tc>
          <w:tcPr>
            <w:tcW w:w="11252" w:type="dxa"/>
          </w:tcPr>
          <w:p w14:paraId="4F47D8A8">
            <w:pPr>
              <w:rPr>
                <w:rFonts w:hint="default" w:ascii="Calibri" w:hAnsi="Calibri" w:eastAsia="楷体_GB2312" w:cs="Calibri"/>
                <w:color w:val="FF0000"/>
              </w:rPr>
            </w:pPr>
            <w:r>
              <w:rPr>
                <w:rFonts w:hint="default" w:ascii="Calibri" w:hAnsi="Calibri" w:eastAsia="楷体_GB2312" w:cs="Calibri"/>
                <w:color w:val="FFFFFF" w:themeColor="background1"/>
                <w14:textFill>
                  <w14:solidFill>
                    <w14:schemeClr w14:val="bg1"/>
                  </w14:solidFill>
                </w14:textFill>
              </w:rPr>
              <w:t>[Table_APPENDIX]</w:t>
            </w:r>
          </w:p>
        </w:tc>
      </w:tr>
      <w:tr w14:paraId="6096A929">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1843" w:hRule="atLeast"/>
        </w:trPr>
        <w:tc>
          <w:tcPr>
            <w:tcW w:w="11252" w:type="dxa"/>
          </w:tcPr>
          <w:tbl>
            <w:tblPr>
              <w:tblStyle w:val="27"/>
              <w:tblW w:w="11196" w:type="dxa"/>
              <w:tblCaption w:val="[Table_disclaimer]"/>
              <w:tblDescription w:val="表格隐藏唯一标识（请勿删除和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28" w:type="dxa"/>
                <w:bottom w:w="0" w:type="dxa"/>
                <w:right w:w="28" w:type="dxa"/>
              </w:tblCellMar>
            </w:tblPr>
            <w:tblGrid>
              <w:gridCol w:w="11196"/>
            </w:tblGrid>
            <w:tr w14:paraId="2B0004C9">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23" w:hRule="exact"/>
              </w:trPr>
              <w:tc>
                <w:tcPr>
                  <w:tcW w:w="11196" w:type="dxa"/>
                  <w:tcBorders>
                    <w:top w:val="nil"/>
                    <w:bottom w:val="single" w:color="C0C0C0" w:sz="4" w:space="0"/>
                  </w:tcBorders>
                </w:tcPr>
                <w:p w14:paraId="106C6F8C">
                  <w:pPr>
                    <w:pStyle w:val="44"/>
                    <w:spacing w:after="60"/>
                    <w:rPr>
                      <w:rFonts w:hint="default" w:ascii="Calibri" w:hAnsi="Calibri" w:eastAsia="楷体_GB2312" w:cs="Calibri"/>
                      <w:b/>
                      <w:bCs/>
                      <w:w w:val="70"/>
                      <w:sz w:val="22"/>
                      <w:szCs w:val="22"/>
                    </w:rPr>
                  </w:pPr>
                  <w:r>
                    <w:rPr>
                      <w:rFonts w:hint="default" w:ascii="Calibri" w:hAnsi="Calibri" w:eastAsia="楷体_GB2312" w:cs="Calibri"/>
                      <w:b/>
                      <w:bCs/>
                      <w:color w:val="FFFFFF" w:themeColor="background1"/>
                      <w:w w:val="70"/>
                      <w:sz w:val="22"/>
                      <w:szCs w:val="22"/>
                      <w14:textFill>
                        <w14:solidFill>
                          <w14:schemeClr w14:val="bg1"/>
                        </w14:solidFill>
                      </w14:textFill>
                    </w:rPr>
                    <w:t>[Table_disclaimer]</w:t>
                  </w:r>
                </w:p>
              </w:tc>
            </w:tr>
            <w:tr w14:paraId="375190C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24" w:space="0"/>
                  </w:tcBorders>
                </w:tcPr>
                <w:p w14:paraId="3AC44BF7">
                  <w:pPr>
                    <w:pStyle w:val="44"/>
                    <w:spacing w:after="60"/>
                    <w:rPr>
                      <w:rFonts w:hint="default" w:ascii="Calibri" w:hAnsi="Calibri" w:eastAsia="楷体_GB2312" w:cs="Calibri"/>
                      <w:b/>
                      <w:bCs/>
                      <w:w w:val="70"/>
                      <w:sz w:val="22"/>
                      <w:szCs w:val="22"/>
                      <w:lang w:eastAsia="zh-CN"/>
                    </w:rPr>
                  </w:pPr>
                  <w:r>
                    <w:rPr>
                      <w:rFonts w:hint="default" w:ascii="Calibri" w:hAnsi="Calibri" w:eastAsia="楷体_GB2312" w:cs="Calibri"/>
                      <w:b/>
                      <w:bCs/>
                      <w:w w:val="70"/>
                      <w:sz w:val="22"/>
                      <w:szCs w:val="22"/>
                      <w:lang w:eastAsia="zh-CN"/>
                    </w:rPr>
                    <w:t>附录APPENDIX</w:t>
                  </w:r>
                </w:p>
                <w:p w14:paraId="17A31E5F">
                  <w:pPr>
                    <w:pStyle w:val="44"/>
                    <w:rPr>
                      <w:rFonts w:hint="default" w:ascii="Calibri" w:hAnsi="Calibri" w:eastAsia="楷体_GB2312" w:cs="Calibri"/>
                      <w:b/>
                      <w:w w:val="70"/>
                      <w:sz w:val="20"/>
                      <w:szCs w:val="20"/>
                      <w:lang w:eastAsia="zh-CN"/>
                    </w:rPr>
                  </w:pPr>
                  <w:r>
                    <w:rPr>
                      <w:rFonts w:hint="default" w:ascii="Calibri" w:hAnsi="Calibri" w:eastAsia="楷体_GB2312" w:cs="Calibri"/>
                      <w:b/>
                      <w:w w:val="70"/>
                      <w:sz w:val="20"/>
                      <w:szCs w:val="20"/>
                      <w:lang w:eastAsia="zh-CN"/>
                    </w:rPr>
                    <w:t>重要信息披露</w:t>
                  </w:r>
                </w:p>
                <w:p w14:paraId="67D0DB9B">
                  <w:pPr>
                    <w:pStyle w:val="44"/>
                    <w:rPr>
                      <w:rFonts w:hint="default" w:ascii="Calibri" w:hAnsi="Calibri" w:eastAsia="楷体_GB2312" w:cs="Calibri"/>
                      <w:w w:val="70"/>
                      <w:sz w:val="20"/>
                      <w:szCs w:val="20"/>
                      <w:lang w:eastAsia="zh-CN"/>
                    </w:rPr>
                  </w:pPr>
                  <w:r>
                    <w:rPr>
                      <w:rFonts w:hint="default" w:ascii="Calibri" w:hAnsi="Calibri" w:eastAsia="楷体_GB2312" w:cs="Calibri"/>
                      <w:w w:val="70"/>
                      <w:sz w:val="20"/>
                      <w:szCs w:val="20"/>
                      <w:lang w:eastAsia="zh-CN"/>
                    </w:rPr>
                    <w:t>本研究报告由</w:t>
                  </w:r>
                  <w:r>
                    <w:rPr>
                      <w:rFonts w:hint="default" w:ascii="Calibri" w:hAnsi="Calibri" w:eastAsia="楷体_GB2312" w:cs="Calibri"/>
                      <w:w w:val="70"/>
                      <w:sz w:val="20"/>
                      <w:szCs w:val="20"/>
                      <w:lang w:eastAsia="zh-CN"/>
                    </w:rPr>
                    <w:t>华福</w:t>
                  </w:r>
                  <w:r>
                    <w:rPr>
                      <w:rFonts w:hint="default" w:ascii="Calibri" w:hAnsi="Calibri" w:eastAsia="楷体_GB2312" w:cs="Calibri"/>
                      <w:w w:val="70"/>
                      <w:sz w:val="20"/>
                      <w:szCs w:val="20"/>
                      <w:lang w:eastAsia="zh-CN"/>
                    </w:rPr>
                    <w:t>国际</w:t>
                  </w:r>
                  <w:r>
                    <w:rPr>
                      <w:rFonts w:hint="default" w:ascii="Calibri" w:hAnsi="Calibri" w:eastAsia="楷体_GB2312" w:cs="Calibri"/>
                      <w:w w:val="70"/>
                      <w:sz w:val="20"/>
                      <w:szCs w:val="20"/>
                      <w:lang w:eastAsia="zh-CN"/>
                    </w:rPr>
                    <w:t>（香港）金融控股有限公司（下称华福国际）</w:t>
                  </w:r>
                  <w:r>
                    <w:rPr>
                      <w:rFonts w:hint="default" w:ascii="Calibri" w:hAnsi="Calibri" w:eastAsia="楷体_GB2312" w:cs="Calibri"/>
                      <w:w w:val="70"/>
                      <w:sz w:val="20"/>
                      <w:szCs w:val="20"/>
                      <w:lang w:eastAsia="zh-CN"/>
                    </w:rPr>
                    <w:t>分销</w:t>
                  </w:r>
                  <w:r>
                    <w:rPr>
                      <w:rFonts w:hint="default" w:ascii="Calibri" w:hAnsi="Calibri" w:eastAsia="楷体_GB2312" w:cs="Calibri"/>
                      <w:w w:val="70"/>
                      <w:sz w:val="20"/>
                      <w:szCs w:val="20"/>
                      <w:lang w:eastAsia="zh-CN"/>
                    </w:rPr>
                    <w:t>，</w:t>
                  </w:r>
                  <w:r>
                    <w:rPr>
                      <w:rFonts w:hint="default" w:ascii="Calibri" w:hAnsi="Calibri" w:eastAsia="楷体_GB2312" w:cs="Calibri"/>
                      <w:w w:val="70"/>
                      <w:sz w:val="20"/>
                      <w:szCs w:val="20"/>
                      <w:lang w:eastAsia="zh-CN"/>
                    </w:rPr>
                    <w:t>在其许可的司法管辖区内从事证券活动。</w:t>
                  </w:r>
                </w:p>
                <w:p w14:paraId="5285B2E2">
                  <w:pPr>
                    <w:pStyle w:val="44"/>
                    <w:rPr>
                      <w:rFonts w:hint="default" w:ascii="Calibri" w:hAnsi="Calibri" w:eastAsia="楷体_GB2312" w:cs="Calibri"/>
                      <w:b/>
                      <w:bCs/>
                      <w:w w:val="70"/>
                      <w:sz w:val="20"/>
                      <w:szCs w:val="20"/>
                    </w:rPr>
                  </w:pPr>
                  <w:r>
                    <w:rPr>
                      <w:rFonts w:hint="default" w:ascii="Calibri" w:hAnsi="Calibri" w:eastAsia="楷体_GB2312" w:cs="Calibri"/>
                      <w:b/>
                      <w:bCs/>
                      <w:w w:val="70"/>
                      <w:sz w:val="20"/>
                      <w:szCs w:val="20"/>
                    </w:rPr>
                    <w:t>IMPORTANT DISCLOSURES</w:t>
                  </w:r>
                </w:p>
                <w:p w14:paraId="6E2C5F51">
                  <w:pPr>
                    <w:pStyle w:val="44"/>
                    <w:spacing w:after="60"/>
                    <w:rPr>
                      <w:rFonts w:hint="default" w:ascii="Calibri" w:hAnsi="Calibri" w:eastAsia="楷体_GB2312" w:cs="Calibri"/>
                      <w:lang w:eastAsia="zh-CN"/>
                    </w:rPr>
                  </w:pPr>
                  <w:r>
                    <w:rPr>
                      <w:rFonts w:hint="default" w:ascii="Calibri" w:hAnsi="Calibri" w:eastAsia="楷体_GB2312" w:cs="Calibri"/>
                      <w:w w:val="70"/>
                      <w:sz w:val="20"/>
                      <w:szCs w:val="20"/>
                    </w:rPr>
                    <w:t xml:space="preserve">This research report is distributed by </w:t>
                  </w:r>
                  <w:r>
                    <w:rPr>
                      <w:rFonts w:hint="default" w:ascii="Calibri" w:hAnsi="Calibri" w:eastAsia="楷体_GB2312" w:cs="Calibri"/>
                      <w:w w:val="70"/>
                      <w:sz w:val="20"/>
                      <w:szCs w:val="20"/>
                      <w:lang w:eastAsia="zh-CN"/>
                    </w:rPr>
                    <w:t>HuaFu</w:t>
                  </w:r>
                  <w:r>
                    <w:rPr>
                      <w:rFonts w:hint="default" w:ascii="Calibri" w:hAnsi="Calibri" w:eastAsia="楷体_GB2312" w:cs="Calibri"/>
                      <w:w w:val="70"/>
                      <w:sz w:val="20"/>
                      <w:szCs w:val="20"/>
                    </w:rPr>
                    <w:t xml:space="preserve"> International</w:t>
                  </w:r>
                  <w:r>
                    <w:rPr>
                      <w:rFonts w:hint="default" w:ascii="Calibri" w:hAnsi="Calibri" w:eastAsia="楷体_GB2312" w:cs="Calibri"/>
                      <w:w w:val="70"/>
                      <w:sz w:val="20"/>
                      <w:szCs w:val="20"/>
                      <w:lang w:eastAsia="zh-CN"/>
                    </w:rPr>
                    <w:t xml:space="preserve"> (HK) Financial Holdings Limited (referred as HuaFu International below)</w:t>
                  </w:r>
                  <w:r>
                    <w:rPr>
                      <w:rFonts w:hint="default" w:ascii="Calibri" w:hAnsi="Calibri" w:eastAsia="楷体_GB2312" w:cs="Calibri"/>
                      <w:w w:val="70"/>
                      <w:sz w:val="20"/>
                      <w:szCs w:val="20"/>
                    </w:rPr>
                    <w:t xml:space="preserve">, </w:t>
                  </w:r>
                  <w:r>
                    <w:rPr>
                      <w:rFonts w:hint="default" w:ascii="Calibri" w:hAnsi="Calibri" w:eastAsia="楷体_GB2312" w:cs="Calibri"/>
                      <w:w w:val="70"/>
                      <w:sz w:val="20"/>
                      <w:szCs w:val="20"/>
                      <w:lang w:eastAsia="zh-CN"/>
                    </w:rPr>
                    <w:t>which</w:t>
                  </w:r>
                  <w:r>
                    <w:rPr>
                      <w:rFonts w:hint="default" w:ascii="Calibri" w:hAnsi="Calibri" w:eastAsia="楷体_GB2312" w:cs="Calibri"/>
                      <w:w w:val="70"/>
                      <w:sz w:val="20"/>
                      <w:szCs w:val="20"/>
                    </w:rPr>
                    <w:t xml:space="preserve"> </w:t>
                  </w:r>
                  <w:r>
                    <w:rPr>
                      <w:rFonts w:hint="default" w:ascii="Calibri" w:hAnsi="Calibri" w:eastAsia="楷体_GB2312" w:cs="Calibri"/>
                      <w:w w:val="70"/>
                      <w:sz w:val="20"/>
                      <w:szCs w:val="20"/>
                      <w:lang w:eastAsia="zh-CN"/>
                    </w:rPr>
                    <w:t xml:space="preserve">is </w:t>
                  </w:r>
                  <w:r>
                    <w:rPr>
                      <w:rFonts w:hint="default" w:ascii="Calibri" w:hAnsi="Calibri" w:eastAsia="楷体_GB2312" w:cs="Calibri"/>
                      <w:w w:val="70"/>
                      <w:sz w:val="20"/>
                      <w:szCs w:val="20"/>
                    </w:rPr>
                    <w:t>authorized to engage in securities activities in its respective jurisdiction.</w:t>
                  </w:r>
                </w:p>
              </w:tc>
            </w:tr>
            <w:tr w14:paraId="3BC65615">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24" w:space="0"/>
                  </w:tcBorders>
                </w:tcPr>
                <w:p w14:paraId="4F2AE5FF">
                  <w:pPr>
                    <w:pStyle w:val="44"/>
                    <w:spacing w:after="48" w:afterLines="20"/>
                    <w:rPr>
                      <w:rFonts w:hint="default" w:ascii="Calibri" w:hAnsi="Calibri" w:eastAsia="楷体_GB2312" w:cs="Calibri"/>
                      <w:w w:val="70"/>
                      <w:sz w:val="20"/>
                      <w:szCs w:val="20"/>
                    </w:rPr>
                  </w:pPr>
                  <w:r>
                    <w:rPr>
                      <w:rFonts w:hint="default" w:ascii="Calibri" w:hAnsi="Calibri" w:eastAsia="楷体_GB2312" w:cs="Calibri"/>
                      <w:b/>
                      <w:w w:val="70"/>
                      <w:sz w:val="20"/>
                      <w:szCs w:val="20"/>
                    </w:rPr>
                    <w:t>分析师认证Analyst Certification</w:t>
                  </w:r>
                  <w:r>
                    <w:rPr>
                      <w:rFonts w:hint="default" w:ascii="Calibri" w:hAnsi="Calibri" w:eastAsia="楷体_GB2312" w:cs="Calibri"/>
                      <w:w w:val="70"/>
                      <w:sz w:val="20"/>
                      <w:szCs w:val="20"/>
                    </w:rPr>
                    <w:t>:</w:t>
                  </w:r>
                </w:p>
              </w:tc>
            </w:tr>
            <w:tr w14:paraId="547EC79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bottom w:val="single" w:color="C0C0C0" w:sz="24" w:space="0"/>
                  </w:tcBorders>
                </w:tcPr>
                <w:p w14:paraId="42E1336D">
                  <w:pPr>
                    <w:jc w:val="both"/>
                    <w:rPr>
                      <w:rFonts w:hint="default" w:ascii="Calibri" w:hAnsi="Calibri" w:eastAsia="楷体_GB2312" w:cs="Calibri"/>
                    </w:rPr>
                  </w:pPr>
                  <w:r>
                    <w:rPr>
                      <w:rFonts w:hint="default" w:ascii="Calibri" w:hAnsi="Calibri" w:eastAsia="楷体_GB2312" w:cs="Calibri"/>
                      <w:color w:val="000000"/>
                      <w:w w:val="70"/>
                      <w:sz w:val="20"/>
                      <w:lang w:eastAsia="zh-CN"/>
                    </w:rPr>
                    <w:t>我， 杨斌，在此保证（i）本研究报告中的意见准确反映了我们对本研究中提及的任何或所有目标公司或上市公司的个人观点，并且（ii）我的报酬中没有任何部分与本研究报告中表达的具体建议或观点直接或间接相关；及就此报告中所讨论目标公司的证券，我们（包括我们的家属）在其中均不持有任何财务利益。</w:t>
                  </w:r>
                  <w:r>
                    <w:rPr>
                      <w:rFonts w:hint="default" w:ascii="Calibri" w:hAnsi="Calibri" w:eastAsia="楷体_GB2312" w:cs="Calibri"/>
                      <w:color w:val="000000"/>
                      <w:w w:val="70"/>
                      <w:sz w:val="20"/>
                    </w:rPr>
                    <w:t>I, Bin Yang, certify that (i) the views expressed in this research report accurately reflect my personal views about any or all of the subject companies or issuers referred to in this research and (ii) no part of my compensation was, is or will be directly or indirectly related to the specific recommendations or views expressed in this research report; and that I (including members of my household) have no financial interest in the security or securities of the subject companies discussed.</w:t>
                  </w:r>
                </w:p>
              </w:tc>
            </w:tr>
            <w:tr w14:paraId="2C8F33C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24" w:space="0"/>
                    <w:bottom w:val="nil"/>
                  </w:tcBorders>
                </w:tcPr>
                <w:p w14:paraId="1EBBFABF">
                  <w:pPr>
                    <w:pStyle w:val="44"/>
                    <w:spacing w:after="48" w:afterLines="20"/>
                    <w:rPr>
                      <w:rFonts w:hint="default" w:ascii="Calibri" w:hAnsi="Calibri" w:eastAsia="楷体_GB2312" w:cs="Calibri"/>
                      <w:b/>
                      <w:bCs/>
                      <w:w w:val="70"/>
                      <w:sz w:val="20"/>
                      <w:szCs w:val="20"/>
                    </w:rPr>
                  </w:pPr>
                  <w:r>
                    <w:rPr>
                      <w:rFonts w:hint="default" w:ascii="Calibri" w:hAnsi="Calibri" w:eastAsia="楷体_GB2312" w:cs="Calibri"/>
                      <w:b/>
                      <w:bCs/>
                      <w:w w:val="70"/>
                      <w:sz w:val="20"/>
                      <w:szCs w:val="20"/>
                    </w:rPr>
                    <w:t>利益冲突披露Conflict of Interest Disclosures</w:t>
                  </w:r>
                </w:p>
              </w:tc>
            </w:tr>
            <w:tr w14:paraId="583EF44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nil"/>
                    <w:bottom w:val="single" w:color="C0C0C0" w:sz="4" w:space="0"/>
                  </w:tcBorders>
                </w:tcPr>
                <w:p w14:paraId="0CC20A39">
                  <w:pPr>
                    <w:pStyle w:val="44"/>
                    <w:rPr>
                      <w:rFonts w:hint="default" w:ascii="Calibri" w:hAnsi="Calibri" w:eastAsia="楷体_GB2312" w:cs="Calibri"/>
                      <w:w w:val="70"/>
                      <w:sz w:val="20"/>
                      <w:szCs w:val="20"/>
                      <w:lang w:eastAsia="zh-CN"/>
                    </w:rPr>
                  </w:pPr>
                  <w:r>
                    <w:rPr>
                      <w:rFonts w:hint="default" w:ascii="Calibri" w:hAnsi="Calibri" w:eastAsia="楷体_GB2312" w:cs="Calibri"/>
                      <w:w w:val="70"/>
                      <w:sz w:val="20"/>
                      <w:szCs w:val="20"/>
                      <w:lang w:eastAsia="zh-CN"/>
                    </w:rPr>
                    <w:t>华福</w:t>
                  </w:r>
                  <w:r>
                    <w:rPr>
                      <w:rFonts w:hint="default" w:ascii="Calibri" w:hAnsi="Calibri" w:eastAsia="楷体_GB2312" w:cs="Calibri"/>
                      <w:w w:val="70"/>
                      <w:sz w:val="20"/>
                      <w:szCs w:val="20"/>
                      <w:lang w:eastAsia="zh-CN"/>
                    </w:rPr>
                    <w:t>国际及其某些关联公司可从事投资银行业务和/或对本研究中的特定股票或公司进行做市或持有自营头寸。就本研究报告而言，如需了解</w:t>
                  </w:r>
                  <w:r>
                    <w:rPr>
                      <w:rFonts w:hint="default" w:ascii="Calibri" w:hAnsi="Calibri" w:eastAsia="楷体_GB2312" w:cs="Calibri"/>
                      <w:w w:val="70"/>
                      <w:sz w:val="20"/>
                      <w:szCs w:val="20"/>
                      <w:lang w:eastAsia="zh-CN"/>
                    </w:rPr>
                    <w:t>其中提到的某一公司</w:t>
                  </w:r>
                  <w:r>
                    <w:rPr>
                      <w:rFonts w:hint="default" w:ascii="Calibri" w:hAnsi="Calibri" w:eastAsia="楷体_GB2312" w:cs="Calibri"/>
                      <w:w w:val="70"/>
                      <w:sz w:val="20"/>
                      <w:szCs w:val="20"/>
                      <w:lang w:eastAsia="zh-CN"/>
                    </w:rPr>
                    <w:t>信息，</w:t>
                  </w:r>
                  <w:r>
                    <w:rPr>
                      <w:rFonts w:hint="default" w:ascii="Calibri" w:hAnsi="Calibri" w:eastAsia="楷体_GB2312" w:cs="Calibri"/>
                    </w:rPr>
                    <w:fldChar w:fldCharType="begin"/>
                  </w:r>
                  <w:r>
                    <w:rPr>
                      <w:rFonts w:hint="default" w:ascii="Calibri" w:hAnsi="Calibri" w:eastAsia="楷体_GB2312" w:cs="Calibri"/>
                    </w:rPr>
                    <w:instrText xml:space="preserve"> HYPERLINK "mailto:请发邮件至lcd@hfisec.com.hk" </w:instrText>
                  </w:r>
                  <w:r>
                    <w:rPr>
                      <w:rFonts w:hint="default" w:ascii="Calibri" w:hAnsi="Calibri" w:eastAsia="楷体_GB2312" w:cs="Calibri"/>
                    </w:rPr>
                    <w:fldChar w:fldCharType="separate"/>
                  </w:r>
                  <w:r>
                    <w:rPr>
                      <w:rStyle w:val="32"/>
                      <w:rFonts w:hint="default" w:ascii="Calibri" w:hAnsi="Calibri" w:eastAsia="楷体_GB2312" w:cs="Calibri"/>
                      <w:w w:val="70"/>
                      <w:sz w:val="20"/>
                      <w:szCs w:val="20"/>
                      <w:lang w:eastAsia="zh-CN"/>
                    </w:rPr>
                    <w:t>请发邮件至lcd@hfisec.com.hk</w:t>
                  </w:r>
                  <w:r>
                    <w:rPr>
                      <w:rStyle w:val="32"/>
                      <w:rFonts w:hint="default" w:ascii="Calibri" w:hAnsi="Calibri" w:eastAsia="楷体_GB2312" w:cs="Calibri"/>
                      <w:w w:val="70"/>
                      <w:sz w:val="20"/>
                      <w:szCs w:val="20"/>
                      <w:lang w:eastAsia="zh-CN"/>
                    </w:rPr>
                    <w:fldChar w:fldCharType="end"/>
                  </w:r>
                  <w:r>
                    <w:rPr>
                      <w:rFonts w:hint="default" w:ascii="Calibri" w:hAnsi="Calibri" w:eastAsia="楷体_GB2312" w:cs="Calibri"/>
                      <w:w w:val="70"/>
                      <w:sz w:val="20"/>
                      <w:szCs w:val="20"/>
                      <w:lang w:eastAsia="zh-CN"/>
                    </w:rPr>
                    <w:t>）</w:t>
                  </w:r>
                </w:p>
                <w:p w14:paraId="0B0EF7A4">
                  <w:pPr>
                    <w:pStyle w:val="44"/>
                    <w:rPr>
                      <w:rFonts w:hint="default" w:ascii="Calibri" w:hAnsi="Calibri" w:eastAsia="楷体_GB2312" w:cs="Calibri"/>
                      <w:b/>
                      <w:bCs/>
                      <w:w w:val="70"/>
                      <w:sz w:val="20"/>
                      <w:szCs w:val="20"/>
                      <w:lang w:eastAsia="zh-CN"/>
                    </w:rPr>
                  </w:pP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 xml:space="preserve"> and some of its affiliates may engage in investment banking and / or serve as a market maker or hold proprietary trading positions of certain stocks or companies in this research report. As far as this research report is concerned, </w:t>
                  </w:r>
                  <w:r>
                    <w:rPr>
                      <w:rFonts w:hint="default" w:ascii="Calibri" w:hAnsi="Calibri" w:eastAsia="楷体_GB2312" w:cs="Calibri"/>
                      <w:color w:val="000000" w:themeColor="text1"/>
                      <w:w w:val="70"/>
                      <w:sz w:val="20"/>
                      <w:szCs w:val="20"/>
                      <w14:textFill>
                        <w14:solidFill>
                          <w14:schemeClr w14:val="tx1"/>
                        </w14:solidFill>
                      </w14:textFill>
                    </w:rPr>
                    <w:t xml:space="preserve">please send an email to </w:t>
                  </w:r>
                  <w:r>
                    <w:rPr>
                      <w:rFonts w:hint="default" w:ascii="Calibri" w:hAnsi="Calibri" w:eastAsia="楷体_GB2312" w:cs="Calibri"/>
                      <w:color w:val="000000" w:themeColor="text1"/>
                      <w:w w:val="70"/>
                      <w:sz w:val="20"/>
                      <w:szCs w:val="20"/>
                      <w:lang w:eastAsia="zh-CN"/>
                      <w14:textFill>
                        <w14:solidFill>
                          <w14:schemeClr w14:val="tx1"/>
                        </w14:solidFill>
                      </w14:textFill>
                    </w:rPr>
                    <w:t>lcd</w:t>
                  </w:r>
                  <w:r>
                    <w:rPr>
                      <w:rFonts w:hint="default" w:ascii="Calibri" w:hAnsi="Calibri" w:eastAsia="楷体_GB2312" w:cs="Calibri"/>
                      <w:color w:val="000000" w:themeColor="text1"/>
                      <w:w w:val="70"/>
                      <w:sz w:val="20"/>
                      <w:szCs w:val="20"/>
                      <w14:textFill>
                        <w14:solidFill>
                          <w14:schemeClr w14:val="tx1"/>
                        </w14:solidFill>
                      </w14:textFill>
                    </w:rPr>
                    <w:t>@</w:t>
                  </w:r>
                  <w:r>
                    <w:rPr>
                      <w:rFonts w:hint="default" w:ascii="Calibri" w:hAnsi="Calibri" w:eastAsia="楷体_GB2312" w:cs="Calibri"/>
                      <w:color w:val="000000" w:themeColor="text1"/>
                      <w:w w:val="70"/>
                      <w:sz w:val="20"/>
                      <w:szCs w:val="20"/>
                      <w:lang w:eastAsia="zh-CN"/>
                      <w14:textFill>
                        <w14:solidFill>
                          <w14:schemeClr w14:val="tx1"/>
                        </w14:solidFill>
                      </w14:textFill>
                    </w:rPr>
                    <w:t>hfisec</w:t>
                  </w:r>
                  <w:r>
                    <w:rPr>
                      <w:rFonts w:hint="default" w:ascii="Calibri" w:hAnsi="Calibri" w:eastAsia="楷体_GB2312" w:cs="Calibri"/>
                      <w:color w:val="000000" w:themeColor="text1"/>
                      <w:w w:val="70"/>
                      <w:sz w:val="20"/>
                      <w:szCs w:val="20"/>
                      <w14:textFill>
                        <w14:solidFill>
                          <w14:schemeClr w14:val="tx1"/>
                        </w14:solidFill>
                      </w14:textFill>
                    </w:rPr>
                    <w:t>.com</w:t>
                  </w:r>
                  <w:r>
                    <w:rPr>
                      <w:rFonts w:hint="default" w:ascii="Calibri" w:hAnsi="Calibri" w:eastAsia="楷体_GB2312" w:cs="Calibri"/>
                      <w:color w:val="000000" w:themeColor="text1"/>
                      <w:w w:val="70"/>
                      <w:sz w:val="20"/>
                      <w:szCs w:val="20"/>
                      <w:lang w:eastAsia="zh-CN"/>
                      <w14:textFill>
                        <w14:solidFill>
                          <w14:schemeClr w14:val="tx1"/>
                        </w14:solidFill>
                      </w14:textFill>
                    </w:rPr>
                    <w:t>.hk</w:t>
                  </w:r>
                  <w:r>
                    <w:rPr>
                      <w:rFonts w:hint="default" w:ascii="Calibri" w:hAnsi="Calibri" w:eastAsia="楷体_GB2312" w:cs="Calibri"/>
                      <w:color w:val="000000" w:themeColor="text1"/>
                      <w:w w:val="70"/>
                      <w:sz w:val="20"/>
                      <w:szCs w:val="20"/>
                      <w14:textFill>
                        <w14:solidFill>
                          <w14:schemeClr w14:val="tx1"/>
                        </w14:solidFill>
                      </w14:textFill>
                    </w:rPr>
                    <w:t xml:space="preserve"> if </w:t>
                  </w:r>
                  <w:r>
                    <w:rPr>
                      <w:rFonts w:hint="default" w:ascii="Calibri" w:hAnsi="Calibri" w:eastAsia="楷体_GB2312" w:cs="Calibri"/>
                      <w:color w:val="000000" w:themeColor="text1"/>
                      <w:w w:val="70"/>
                      <w:sz w:val="20"/>
                      <w:szCs w:val="20"/>
                      <w:lang w:eastAsia="zh-CN"/>
                      <w14:textFill>
                        <w14:solidFill>
                          <w14:schemeClr w14:val="tx1"/>
                        </w14:solidFill>
                      </w14:textFill>
                    </w:rPr>
                    <w:t>the</w:t>
                  </w:r>
                  <w:r>
                    <w:rPr>
                      <w:rFonts w:hint="default" w:ascii="Calibri" w:hAnsi="Calibri" w:eastAsia="楷体_GB2312" w:cs="Calibri"/>
                      <w:color w:val="000000" w:themeColor="text1"/>
                      <w:w w:val="70"/>
                      <w:sz w:val="20"/>
                      <w:szCs w:val="20"/>
                      <w14:textFill>
                        <w14:solidFill>
                          <w14:schemeClr w14:val="tx1"/>
                        </w14:solidFill>
                      </w14:textFill>
                    </w:rPr>
                    <w:t xml:space="preserve"> information </w:t>
                  </w:r>
                  <w:r>
                    <w:rPr>
                      <w:rFonts w:hint="default" w:ascii="Calibri" w:hAnsi="Calibri" w:eastAsia="楷体_GB2312" w:cs="Calibri"/>
                      <w:color w:val="000000" w:themeColor="text1"/>
                      <w:w w:val="70"/>
                      <w:sz w:val="20"/>
                      <w:szCs w:val="20"/>
                      <w:lang w:eastAsia="zh-CN"/>
                      <w14:textFill>
                        <w14:solidFill>
                          <w14:schemeClr w14:val="tx1"/>
                        </w14:solidFill>
                      </w14:textFill>
                    </w:rPr>
                    <w:t xml:space="preserve">about any company mentioned in this report </w:t>
                  </w:r>
                  <w:r>
                    <w:rPr>
                      <w:rFonts w:hint="default" w:ascii="Calibri" w:hAnsi="Calibri" w:eastAsia="楷体_GB2312" w:cs="Calibri"/>
                      <w:color w:val="000000" w:themeColor="text1"/>
                      <w:w w:val="70"/>
                      <w:sz w:val="20"/>
                      <w:szCs w:val="20"/>
                      <w14:textFill>
                        <w14:solidFill>
                          <w14:schemeClr w14:val="tx1"/>
                        </w14:solidFill>
                      </w14:textFill>
                    </w:rPr>
                    <w:t>is needed).</w:t>
                  </w:r>
                </w:p>
              </w:tc>
            </w:tr>
            <w:tr w14:paraId="2FA763F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022DBC8F">
                  <w:pPr>
                    <w:pStyle w:val="44"/>
                    <w:rPr>
                      <w:rFonts w:hint="default" w:ascii="Calibri" w:hAnsi="Calibri" w:eastAsia="楷体_GB2312" w:cs="Calibri"/>
                      <w:w w:val="70"/>
                      <w:sz w:val="20"/>
                      <w:szCs w:val="20"/>
                    </w:rPr>
                  </w:pPr>
                </w:p>
              </w:tc>
            </w:tr>
            <w:tr w14:paraId="3724418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5096" w:hRule="atLeast"/>
              </w:trPr>
              <w:tc>
                <w:tcPr>
                  <w:tcW w:w="11196" w:type="dxa"/>
                  <w:tcBorders>
                    <w:top w:val="single" w:color="C0C0C0" w:sz="4" w:space="0"/>
                  </w:tcBorders>
                </w:tcPr>
                <w:p w14:paraId="43B39091">
                  <w:pPr>
                    <w:pStyle w:val="44"/>
                    <w:rPr>
                      <w:rFonts w:hint="default" w:ascii="Calibri" w:hAnsi="Calibri" w:eastAsia="楷体_GB2312" w:cs="Calibri"/>
                      <w:b/>
                      <w:w w:val="70"/>
                      <w:sz w:val="20"/>
                      <w:szCs w:val="20"/>
                      <w:lang w:eastAsia="zh-CN"/>
                    </w:rPr>
                  </w:pPr>
                  <w:r>
                    <w:rPr>
                      <w:rFonts w:hint="default" w:ascii="Calibri" w:hAnsi="Calibri" w:eastAsia="楷体_GB2312" w:cs="Calibri"/>
                      <w:b/>
                      <w:w w:val="70"/>
                      <w:sz w:val="20"/>
                      <w:szCs w:val="20"/>
                      <w:lang w:eastAsia="zh-CN"/>
                    </w:rPr>
                    <w:t>评级定义（从2020年7月1日开始执行）：</w:t>
                  </w:r>
                </w:p>
                <w:p w14:paraId="5ABDE93C">
                  <w:pPr>
                    <w:pStyle w:val="44"/>
                    <w:rPr>
                      <w:rFonts w:hint="default" w:ascii="Calibri" w:hAnsi="Calibri" w:eastAsia="楷体_GB2312" w:cs="Calibri"/>
                      <w:w w:val="70"/>
                      <w:sz w:val="20"/>
                      <w:szCs w:val="20"/>
                      <w:lang w:eastAsia="zh-CN"/>
                    </w:rPr>
                  </w:pPr>
                  <w:r>
                    <w:rPr>
                      <w:rFonts w:hint="default" w:ascii="Calibri" w:hAnsi="Calibri" w:eastAsia="楷体_GB2312" w:cs="Calibri"/>
                      <w:w w:val="70"/>
                      <w:sz w:val="20"/>
                      <w:szCs w:val="20"/>
                      <w:lang w:eastAsia="zh-CN"/>
                    </w:rPr>
                    <w:t>华福</w:t>
                  </w:r>
                  <w:r>
                    <w:rPr>
                      <w:rFonts w:hint="default" w:ascii="Calibri" w:hAnsi="Calibri" w:eastAsia="楷体_GB2312" w:cs="Calibri"/>
                      <w:w w:val="70"/>
                      <w:sz w:val="20"/>
                      <w:szCs w:val="20"/>
                      <w:lang w:eastAsia="zh-CN"/>
                    </w:rPr>
                    <w:t>国际采用相对评级系统来为投资者推荐我们覆盖的公司：优于大市、中性或弱于大市。投资者应仔细阅读</w:t>
                  </w:r>
                  <w:r>
                    <w:rPr>
                      <w:rFonts w:hint="default" w:ascii="Calibri" w:hAnsi="Calibri" w:eastAsia="楷体_GB2312" w:cs="Calibri"/>
                      <w:w w:val="70"/>
                      <w:sz w:val="20"/>
                      <w:szCs w:val="20"/>
                      <w:lang w:eastAsia="zh-CN"/>
                    </w:rPr>
                    <w:t>华福</w:t>
                  </w:r>
                  <w:r>
                    <w:rPr>
                      <w:rFonts w:hint="default" w:ascii="Calibri" w:hAnsi="Calibri" w:eastAsia="楷体_GB2312" w:cs="Calibri"/>
                      <w:w w:val="70"/>
                      <w:sz w:val="20"/>
                      <w:szCs w:val="20"/>
                      <w:lang w:eastAsia="zh-CN"/>
                    </w:rPr>
                    <w:t>国际的评级定义。并且</w:t>
                  </w:r>
                  <w:r>
                    <w:rPr>
                      <w:rFonts w:hint="default" w:ascii="Calibri" w:hAnsi="Calibri" w:eastAsia="楷体_GB2312" w:cs="Calibri"/>
                      <w:w w:val="70"/>
                      <w:sz w:val="20"/>
                      <w:szCs w:val="20"/>
                      <w:lang w:eastAsia="zh-CN"/>
                    </w:rPr>
                    <w:t>华福</w:t>
                  </w:r>
                  <w:r>
                    <w:rPr>
                      <w:rFonts w:hint="default" w:ascii="Calibri" w:hAnsi="Calibri" w:eastAsia="楷体_GB2312" w:cs="Calibri"/>
                      <w:w w:val="70"/>
                      <w:sz w:val="20"/>
                      <w:szCs w:val="20"/>
                      <w:lang w:eastAsia="zh-CN"/>
                    </w:rPr>
                    <w:t>国际发布分析师观点的完整信息，投资者应仔细阅读全文而非仅看评级。在任何情况下，分析师的评级和研究都不能作为投资建议。投资者的买卖股票的决策应基于各自情况（比如投资者的现有持仓）以及其他因素。</w:t>
                  </w:r>
                </w:p>
                <w:p w14:paraId="42A9857A">
                  <w:pPr>
                    <w:pStyle w:val="44"/>
                    <w:rPr>
                      <w:rFonts w:hint="default" w:ascii="Calibri" w:hAnsi="Calibri" w:eastAsia="楷体_GB2312" w:cs="Calibri"/>
                      <w:b/>
                      <w:w w:val="70"/>
                      <w:sz w:val="20"/>
                      <w:szCs w:val="20"/>
                      <w:lang w:eastAsia="zh-CN"/>
                    </w:rPr>
                  </w:pPr>
                  <w:r>
                    <w:rPr>
                      <w:rFonts w:hint="default" w:ascii="Calibri" w:hAnsi="Calibri" w:eastAsia="楷体_GB2312" w:cs="Calibri"/>
                      <w:b/>
                      <w:w w:val="70"/>
                      <w:sz w:val="20"/>
                      <w:szCs w:val="20"/>
                      <w:lang w:eastAsia="zh-CN"/>
                    </w:rPr>
                    <w:t>分析师股票评级</w:t>
                  </w:r>
                </w:p>
                <w:p w14:paraId="7C727B9F">
                  <w:pPr>
                    <w:pStyle w:val="44"/>
                    <w:rPr>
                      <w:rFonts w:hint="default" w:ascii="Calibri" w:hAnsi="Calibri" w:eastAsia="楷体_GB2312" w:cs="Calibri"/>
                      <w:w w:val="70"/>
                      <w:sz w:val="20"/>
                      <w:szCs w:val="20"/>
                      <w:lang w:eastAsia="zh-CN"/>
                    </w:rPr>
                  </w:pPr>
                  <w:r>
                    <w:rPr>
                      <w:rFonts w:hint="default" w:ascii="Calibri" w:hAnsi="Calibri" w:eastAsia="楷体_GB2312" w:cs="Calibri"/>
                      <w:b/>
                      <w:w w:val="70"/>
                      <w:sz w:val="20"/>
                      <w:szCs w:val="20"/>
                      <w:lang w:eastAsia="zh-CN"/>
                    </w:rPr>
                    <w:t>优于大市</w:t>
                  </w:r>
                  <w:r>
                    <w:rPr>
                      <w:rFonts w:hint="default" w:ascii="Calibri" w:hAnsi="Calibri" w:eastAsia="楷体_GB2312" w:cs="Calibri"/>
                      <w:w w:val="70"/>
                      <w:sz w:val="20"/>
                      <w:szCs w:val="20"/>
                      <w:lang w:eastAsia="zh-CN"/>
                    </w:rPr>
                    <w:t>，未来12-18个月内预期相对基准指数涨幅在10%以上，基准定义如下</w:t>
                  </w:r>
                </w:p>
                <w:p w14:paraId="4EFD8EF4">
                  <w:pPr>
                    <w:pStyle w:val="44"/>
                    <w:rPr>
                      <w:rFonts w:hint="default" w:ascii="Calibri" w:hAnsi="Calibri" w:eastAsia="楷体_GB2312" w:cs="Calibri"/>
                      <w:w w:val="70"/>
                      <w:sz w:val="20"/>
                      <w:szCs w:val="20"/>
                      <w:lang w:eastAsia="zh-CN"/>
                    </w:rPr>
                  </w:pPr>
                  <w:r>
                    <w:rPr>
                      <w:rFonts w:hint="default" w:ascii="Calibri" w:hAnsi="Calibri" w:eastAsia="楷体_GB2312" w:cs="Calibri"/>
                      <w:b/>
                      <w:w w:val="70"/>
                      <w:sz w:val="20"/>
                      <w:szCs w:val="20"/>
                      <w:lang w:eastAsia="zh-CN"/>
                    </w:rPr>
                    <w:t>中性</w:t>
                  </w:r>
                  <w:r>
                    <w:rPr>
                      <w:rFonts w:hint="default" w:ascii="Calibri" w:hAnsi="Calibri" w:eastAsia="楷体_GB2312" w:cs="Calibri"/>
                      <w:w w:val="70"/>
                      <w:sz w:val="20"/>
                      <w:szCs w:val="20"/>
                      <w:lang w:eastAsia="zh-CN"/>
                    </w:rPr>
                    <w:t>，未来12-18个月内预期相对基准指数变化不大，基准定义如下</w:t>
                  </w:r>
                </w:p>
                <w:p w14:paraId="7061FAC8">
                  <w:pPr>
                    <w:pStyle w:val="44"/>
                    <w:rPr>
                      <w:rFonts w:hint="default" w:ascii="Calibri" w:hAnsi="Calibri" w:eastAsia="楷体_GB2312" w:cs="Calibri"/>
                      <w:w w:val="70"/>
                      <w:sz w:val="20"/>
                      <w:szCs w:val="20"/>
                      <w:lang w:eastAsia="zh-CN"/>
                    </w:rPr>
                  </w:pPr>
                  <w:r>
                    <w:rPr>
                      <w:rFonts w:hint="default" w:ascii="Calibri" w:hAnsi="Calibri" w:eastAsia="楷体_GB2312" w:cs="Calibri"/>
                      <w:b/>
                      <w:w w:val="70"/>
                      <w:sz w:val="20"/>
                      <w:szCs w:val="20"/>
                      <w:lang w:eastAsia="zh-CN"/>
                    </w:rPr>
                    <w:t>弱于大市</w:t>
                  </w:r>
                  <w:r>
                    <w:rPr>
                      <w:rFonts w:hint="default" w:ascii="Calibri" w:hAnsi="Calibri" w:eastAsia="楷体_GB2312" w:cs="Calibri"/>
                      <w:w w:val="70"/>
                      <w:sz w:val="20"/>
                      <w:szCs w:val="20"/>
                      <w:lang w:eastAsia="zh-CN"/>
                    </w:rPr>
                    <w:t>，未来12-18个月内预期相对基准指数跌幅在10%以上，基准定义如下</w:t>
                  </w:r>
                </w:p>
                <w:p w14:paraId="79DECA2E">
                  <w:pPr>
                    <w:pStyle w:val="44"/>
                    <w:rPr>
                      <w:rFonts w:hint="default" w:ascii="Calibri" w:hAnsi="Calibri" w:eastAsia="楷体_GB2312" w:cs="Calibri"/>
                      <w:w w:val="70"/>
                      <w:sz w:val="20"/>
                      <w:szCs w:val="20"/>
                      <w:lang w:eastAsia="zh-CN"/>
                    </w:rPr>
                  </w:pPr>
                  <w:r>
                    <w:rPr>
                      <w:rFonts w:hint="default" w:ascii="Calibri" w:hAnsi="Calibri" w:eastAsia="楷体_GB2312" w:cs="Calibri"/>
                      <w:w w:val="70"/>
                      <w:sz w:val="20"/>
                      <w:szCs w:val="20"/>
                      <w:lang w:eastAsia="zh-CN"/>
                    </w:rPr>
                    <w:t xml:space="preserve">各地股票基准指数：日本 </w:t>
                  </w:r>
                  <w:r>
                    <w:rPr>
                      <w:rFonts w:hint="default" w:ascii="Calibri" w:hAnsi="Calibri" w:eastAsia="楷体_GB2312" w:cs="Calibri"/>
                      <w:w w:val="70"/>
                      <w:sz w:val="20"/>
                      <w:szCs w:val="20"/>
                      <w:lang w:eastAsia="zh-CN"/>
                    </w:rPr>
                    <w:t>–</w:t>
                  </w:r>
                  <w:r>
                    <w:rPr>
                      <w:rFonts w:hint="default" w:ascii="Calibri" w:hAnsi="Calibri" w:eastAsia="楷体_GB2312" w:cs="Calibri"/>
                      <w:w w:val="70"/>
                      <w:sz w:val="20"/>
                      <w:szCs w:val="20"/>
                      <w:lang w:eastAsia="zh-CN"/>
                    </w:rPr>
                    <w:t xml:space="preserve"> TOPIX, 韩国 </w:t>
                  </w:r>
                  <w:r>
                    <w:rPr>
                      <w:rFonts w:hint="default" w:ascii="Calibri" w:hAnsi="Calibri" w:eastAsia="楷体_GB2312" w:cs="Calibri"/>
                      <w:w w:val="70"/>
                      <w:sz w:val="20"/>
                      <w:szCs w:val="20"/>
                      <w:lang w:eastAsia="zh-CN"/>
                    </w:rPr>
                    <w:t>–</w:t>
                  </w:r>
                  <w:r>
                    <w:rPr>
                      <w:rFonts w:hint="default" w:ascii="Calibri" w:hAnsi="Calibri" w:eastAsia="楷体_GB2312" w:cs="Calibri"/>
                      <w:w w:val="70"/>
                      <w:sz w:val="20"/>
                      <w:szCs w:val="20"/>
                      <w:lang w:eastAsia="zh-CN"/>
                    </w:rPr>
                    <w:t xml:space="preserve"> KOSPI, 台湾 </w:t>
                  </w:r>
                  <w:r>
                    <w:rPr>
                      <w:rFonts w:hint="default" w:ascii="Calibri" w:hAnsi="Calibri" w:eastAsia="楷体_GB2312" w:cs="Calibri"/>
                      <w:w w:val="70"/>
                      <w:sz w:val="20"/>
                      <w:szCs w:val="20"/>
                      <w:lang w:eastAsia="zh-CN"/>
                    </w:rPr>
                    <w:t>–</w:t>
                  </w:r>
                  <w:r>
                    <w:rPr>
                      <w:rFonts w:hint="default" w:ascii="Calibri" w:hAnsi="Calibri" w:eastAsia="楷体_GB2312" w:cs="Calibri"/>
                      <w:w w:val="70"/>
                      <w:sz w:val="20"/>
                      <w:szCs w:val="20"/>
                      <w:lang w:eastAsia="zh-CN"/>
                    </w:rPr>
                    <w:t xml:space="preserve"> TAIEX, 印度 </w:t>
                  </w:r>
                  <w:r>
                    <w:rPr>
                      <w:rFonts w:hint="default" w:ascii="Calibri" w:hAnsi="Calibri" w:eastAsia="楷体_GB2312" w:cs="Calibri"/>
                      <w:w w:val="70"/>
                      <w:sz w:val="20"/>
                      <w:szCs w:val="20"/>
                      <w:lang w:eastAsia="zh-CN"/>
                    </w:rPr>
                    <w:t>–</w:t>
                  </w:r>
                  <w:r>
                    <w:rPr>
                      <w:rFonts w:hint="default" w:ascii="Calibri" w:hAnsi="Calibri" w:eastAsia="楷体_GB2312" w:cs="Calibri"/>
                      <w:w w:val="70"/>
                      <w:sz w:val="20"/>
                      <w:szCs w:val="20"/>
                      <w:lang w:eastAsia="zh-CN"/>
                    </w:rPr>
                    <w:t xml:space="preserve"> Nifty100, 美国 </w:t>
                  </w:r>
                  <w:r>
                    <w:rPr>
                      <w:rFonts w:hint="default" w:ascii="Calibri" w:hAnsi="Calibri" w:eastAsia="楷体_GB2312" w:cs="Calibri"/>
                      <w:w w:val="70"/>
                      <w:sz w:val="20"/>
                      <w:szCs w:val="20"/>
                      <w:lang w:eastAsia="zh-CN"/>
                    </w:rPr>
                    <w:t>–</w:t>
                  </w:r>
                  <w:r>
                    <w:rPr>
                      <w:rFonts w:hint="default" w:ascii="Calibri" w:hAnsi="Calibri" w:eastAsia="楷体_GB2312" w:cs="Calibri"/>
                      <w:w w:val="70"/>
                      <w:sz w:val="20"/>
                      <w:szCs w:val="20"/>
                      <w:lang w:eastAsia="zh-CN"/>
                    </w:rPr>
                    <w:t xml:space="preserve"> SP500; 其他所有中国概念股 </w:t>
                  </w:r>
                  <w:r>
                    <w:rPr>
                      <w:rFonts w:hint="default" w:ascii="Calibri" w:hAnsi="Calibri" w:eastAsia="楷体_GB2312" w:cs="Calibri"/>
                      <w:w w:val="70"/>
                      <w:sz w:val="20"/>
                      <w:szCs w:val="20"/>
                      <w:lang w:eastAsia="zh-CN"/>
                    </w:rPr>
                    <w:t>–</w:t>
                  </w:r>
                  <w:r>
                    <w:rPr>
                      <w:rFonts w:hint="default" w:ascii="Calibri" w:hAnsi="Calibri" w:eastAsia="楷体_GB2312" w:cs="Calibri"/>
                      <w:w w:val="70"/>
                      <w:sz w:val="20"/>
                      <w:szCs w:val="20"/>
                      <w:lang w:eastAsia="zh-CN"/>
                    </w:rPr>
                    <w:t xml:space="preserve"> MSCI China.</w:t>
                  </w:r>
                </w:p>
                <w:p w14:paraId="72FF4CE8">
                  <w:pPr>
                    <w:pStyle w:val="44"/>
                    <w:rPr>
                      <w:rFonts w:hint="default" w:ascii="Calibri" w:hAnsi="Calibri" w:eastAsia="楷体_GB2312" w:cs="Calibri"/>
                      <w:w w:val="79"/>
                      <w:sz w:val="20"/>
                      <w:szCs w:val="20"/>
                    </w:rPr>
                  </w:pPr>
                  <w:r>
                    <w:rPr>
                      <w:rFonts w:hint="default" w:ascii="Calibri" w:hAnsi="Calibri" w:eastAsia="楷体_GB2312" w:cs="Calibri"/>
                      <w:b/>
                      <w:w w:val="79"/>
                      <w:sz w:val="20"/>
                      <w:szCs w:val="20"/>
                    </w:rPr>
                    <w:t xml:space="preserve">Ratings Definitions (from 1 Jul 2020): </w:t>
                  </w:r>
                </w:p>
                <w:p w14:paraId="47364669">
                  <w:pPr>
                    <w:pStyle w:val="44"/>
                    <w:rPr>
                      <w:rFonts w:hint="default" w:ascii="Calibri" w:hAnsi="Calibri" w:eastAsia="楷体_GB2312" w:cs="Calibri"/>
                      <w:w w:val="79"/>
                      <w:sz w:val="20"/>
                      <w:szCs w:val="20"/>
                    </w:rPr>
                  </w:pPr>
                  <w:r>
                    <w:rPr>
                      <w:rFonts w:hint="default" w:ascii="Calibri" w:hAnsi="Calibri" w:eastAsia="楷体_GB2312" w:cs="Calibri"/>
                      <w:w w:val="79"/>
                      <w:sz w:val="20"/>
                      <w:szCs w:val="20"/>
                      <w:lang w:eastAsia="zh-CN"/>
                    </w:rPr>
                    <w:t>HuaFu</w:t>
                  </w:r>
                  <w:r>
                    <w:rPr>
                      <w:rFonts w:hint="default" w:ascii="Calibri" w:hAnsi="Calibri" w:eastAsia="楷体_GB2312" w:cs="Calibri"/>
                      <w:w w:val="79"/>
                      <w:sz w:val="20"/>
                      <w:szCs w:val="20"/>
                    </w:rPr>
                    <w:t xml:space="preserve"> International uses a relative rating system using </w:t>
                  </w:r>
                  <w:r>
                    <w:rPr>
                      <w:rFonts w:hint="default" w:ascii="Calibri" w:hAnsi="Calibri" w:eastAsia="楷体_GB2312" w:cs="Calibri"/>
                      <w:w w:val="79"/>
                      <w:sz w:val="20"/>
                      <w:szCs w:val="20"/>
                      <w:lang w:eastAsia="zh-HK"/>
                    </w:rPr>
                    <w:t>Outperform</w:t>
                  </w:r>
                  <w:r>
                    <w:rPr>
                      <w:rFonts w:hint="default" w:ascii="Calibri" w:hAnsi="Calibri" w:eastAsia="楷体_GB2312" w:cs="Calibri"/>
                      <w:w w:val="79"/>
                      <w:sz w:val="20"/>
                      <w:szCs w:val="20"/>
                    </w:rPr>
                    <w:t>, Neutral</w:t>
                  </w:r>
                  <w:r>
                    <w:rPr>
                      <w:rFonts w:hint="default" w:ascii="Calibri" w:hAnsi="Calibri" w:eastAsia="楷体_GB2312" w:cs="Calibri"/>
                      <w:w w:val="79"/>
                      <w:sz w:val="20"/>
                      <w:szCs w:val="20"/>
                      <w:lang w:eastAsia="zh-HK"/>
                    </w:rPr>
                    <w:t>,</w:t>
                  </w:r>
                  <w:r>
                    <w:rPr>
                      <w:rFonts w:hint="default" w:ascii="Calibri" w:hAnsi="Calibri" w:eastAsia="楷体_GB2312" w:cs="Calibri"/>
                      <w:w w:val="79"/>
                      <w:sz w:val="20"/>
                      <w:szCs w:val="20"/>
                    </w:rPr>
                    <w:t xml:space="preserve"> or </w:t>
                  </w:r>
                  <w:r>
                    <w:rPr>
                      <w:rFonts w:hint="default" w:ascii="Calibri" w:hAnsi="Calibri" w:eastAsia="楷体_GB2312" w:cs="Calibri"/>
                      <w:w w:val="79"/>
                      <w:sz w:val="20"/>
                      <w:szCs w:val="20"/>
                      <w:lang w:eastAsia="zh-HK"/>
                    </w:rPr>
                    <w:t xml:space="preserve">Underperform </w:t>
                  </w:r>
                  <w:r>
                    <w:rPr>
                      <w:rFonts w:hint="default" w:ascii="Calibri" w:hAnsi="Calibri" w:eastAsia="楷体_GB2312" w:cs="Calibri"/>
                      <w:w w:val="79"/>
                      <w:sz w:val="20"/>
                      <w:szCs w:val="20"/>
                    </w:rPr>
                    <w:t xml:space="preserve">for recommending the stocks we cover to investors. Investors should carefully read the definitions of all ratings used in </w:t>
                  </w:r>
                  <w:r>
                    <w:rPr>
                      <w:rFonts w:hint="default" w:ascii="Calibri" w:hAnsi="Calibri" w:eastAsia="楷体_GB2312" w:cs="Calibri"/>
                      <w:w w:val="79"/>
                      <w:sz w:val="20"/>
                      <w:szCs w:val="20"/>
                      <w:lang w:eastAsia="zh-CN"/>
                    </w:rPr>
                    <w:t>HuaFu</w:t>
                  </w:r>
                  <w:r>
                    <w:rPr>
                      <w:rFonts w:hint="default" w:ascii="Calibri" w:hAnsi="Calibri" w:eastAsia="楷体_GB2312" w:cs="Calibri"/>
                      <w:w w:val="79"/>
                      <w:sz w:val="20"/>
                      <w:szCs w:val="20"/>
                    </w:rPr>
                    <w:t xml:space="preserve"> International Research. In addition, since </w:t>
                  </w:r>
                  <w:r>
                    <w:rPr>
                      <w:rFonts w:hint="default" w:ascii="Calibri" w:hAnsi="Calibri" w:eastAsia="楷体_GB2312" w:cs="Calibri"/>
                      <w:w w:val="79"/>
                      <w:sz w:val="20"/>
                      <w:szCs w:val="20"/>
                      <w:lang w:eastAsia="zh-CN"/>
                    </w:rPr>
                    <w:t>HuaFu</w:t>
                  </w:r>
                  <w:r>
                    <w:rPr>
                      <w:rFonts w:hint="default" w:ascii="Calibri" w:hAnsi="Calibri" w:eastAsia="楷体_GB2312" w:cs="Calibri"/>
                      <w:w w:val="79"/>
                      <w:sz w:val="20"/>
                      <w:szCs w:val="20"/>
                    </w:rPr>
                    <w:t xml:space="preserve"> International Research contains more complete information concerning the analyst's views, investors should carefully read </w:t>
                  </w:r>
                  <w:r>
                    <w:rPr>
                      <w:rFonts w:hint="default" w:ascii="Calibri" w:hAnsi="Calibri" w:eastAsia="楷体_GB2312" w:cs="Calibri"/>
                      <w:w w:val="79"/>
                      <w:sz w:val="20"/>
                      <w:szCs w:val="20"/>
                      <w:lang w:eastAsia="zh-CN"/>
                    </w:rPr>
                    <w:t xml:space="preserve">HuaFu </w:t>
                  </w:r>
                  <w:r>
                    <w:rPr>
                      <w:rFonts w:hint="default" w:ascii="Calibri" w:hAnsi="Calibri" w:eastAsia="楷体_GB2312" w:cs="Calibri"/>
                      <w:w w:val="79"/>
                      <w:sz w:val="20"/>
                      <w:szCs w:val="20"/>
                    </w:rPr>
                    <w:t>International Research, in its entirety, and not infer the contents from the rating alone. In any case, ratings (or research) should not be used or relied upon as investment advice. An investor's decision to buy or sell a stock should depend on individual circumstances (such as the investor's existing holdings) and other considerations.</w:t>
                  </w:r>
                </w:p>
                <w:p w14:paraId="0837F3CE">
                  <w:pPr>
                    <w:pStyle w:val="44"/>
                    <w:rPr>
                      <w:rFonts w:hint="default" w:ascii="Calibri" w:hAnsi="Calibri" w:eastAsia="楷体_GB2312" w:cs="Calibri"/>
                      <w:b/>
                      <w:w w:val="79"/>
                      <w:sz w:val="20"/>
                      <w:szCs w:val="20"/>
                    </w:rPr>
                  </w:pPr>
                  <w:r>
                    <w:rPr>
                      <w:rFonts w:hint="default" w:ascii="Calibri" w:hAnsi="Calibri" w:eastAsia="楷体_GB2312" w:cs="Calibri"/>
                      <w:b/>
                      <w:w w:val="79"/>
                      <w:sz w:val="20"/>
                      <w:szCs w:val="20"/>
                    </w:rPr>
                    <w:t>Analyst Stock Ratings</w:t>
                  </w:r>
                </w:p>
                <w:p w14:paraId="6590C827">
                  <w:pPr>
                    <w:pStyle w:val="44"/>
                    <w:rPr>
                      <w:rFonts w:hint="default" w:ascii="Calibri" w:hAnsi="Calibri" w:eastAsia="楷体_GB2312" w:cs="Calibri"/>
                      <w:w w:val="79"/>
                      <w:sz w:val="20"/>
                      <w:szCs w:val="20"/>
                    </w:rPr>
                  </w:pPr>
                  <w:r>
                    <w:rPr>
                      <w:rFonts w:hint="default" w:ascii="Calibri" w:hAnsi="Calibri" w:eastAsia="楷体_GB2312" w:cs="Calibri"/>
                      <w:b/>
                      <w:w w:val="79"/>
                      <w:sz w:val="20"/>
                      <w:szCs w:val="20"/>
                      <w:lang w:eastAsia="zh-HK"/>
                    </w:rPr>
                    <w:t>Outperform</w:t>
                  </w:r>
                  <w:r>
                    <w:rPr>
                      <w:rFonts w:hint="default" w:ascii="Calibri" w:hAnsi="Calibri" w:eastAsia="楷体_GB2312" w:cs="Calibri"/>
                      <w:b/>
                      <w:w w:val="79"/>
                      <w:sz w:val="20"/>
                      <w:szCs w:val="20"/>
                    </w:rPr>
                    <w:t>:</w:t>
                  </w:r>
                  <w:r>
                    <w:rPr>
                      <w:rFonts w:hint="default" w:ascii="Calibri" w:hAnsi="Calibri" w:eastAsia="楷体_GB2312" w:cs="Calibri"/>
                      <w:w w:val="79"/>
                      <w:sz w:val="20"/>
                      <w:szCs w:val="20"/>
                    </w:rPr>
                    <w:t xml:space="preserve"> The stock’s total return over the next 12-18 months is expected to exceed the return of its relevant broad market benchmark</w:t>
                  </w:r>
                  <w:r>
                    <w:rPr>
                      <w:rFonts w:hint="default" w:ascii="Calibri" w:hAnsi="Calibri" w:eastAsia="楷体_GB2312" w:cs="Calibri"/>
                      <w:w w:val="79"/>
                      <w:sz w:val="20"/>
                      <w:szCs w:val="20"/>
                      <w:lang w:eastAsia="zh-CN"/>
                    </w:rPr>
                    <w:t xml:space="preserve"> by over 10%</w:t>
                  </w:r>
                  <w:r>
                    <w:rPr>
                      <w:rFonts w:hint="default" w:ascii="Calibri" w:hAnsi="Calibri" w:eastAsia="楷体_GB2312" w:cs="Calibri"/>
                      <w:w w:val="79"/>
                      <w:sz w:val="20"/>
                      <w:szCs w:val="20"/>
                    </w:rPr>
                    <w:t xml:space="preserve">, as indicated below. </w:t>
                  </w:r>
                </w:p>
                <w:p w14:paraId="7E5B6159">
                  <w:pPr>
                    <w:pStyle w:val="44"/>
                    <w:rPr>
                      <w:rFonts w:hint="default" w:ascii="Calibri" w:hAnsi="Calibri" w:eastAsia="楷体_GB2312" w:cs="Calibri"/>
                      <w:w w:val="79"/>
                      <w:sz w:val="20"/>
                      <w:szCs w:val="20"/>
                    </w:rPr>
                  </w:pPr>
                  <w:r>
                    <w:rPr>
                      <w:rFonts w:hint="default" w:ascii="Calibri" w:hAnsi="Calibri" w:eastAsia="楷体_GB2312" w:cs="Calibri"/>
                      <w:b/>
                      <w:w w:val="79"/>
                      <w:sz w:val="20"/>
                      <w:szCs w:val="20"/>
                    </w:rPr>
                    <w:t>Neutral:</w:t>
                  </w:r>
                  <w:r>
                    <w:rPr>
                      <w:rFonts w:hint="default" w:ascii="Calibri" w:hAnsi="Calibri" w:eastAsia="楷体_GB2312" w:cs="Calibri"/>
                      <w:w w:val="79"/>
                      <w:sz w:val="20"/>
                      <w:szCs w:val="20"/>
                    </w:rPr>
                    <w:t xml:space="preserve"> The stock’s total return over the next 12-18 months is expected to be in line with the return of its relevant broad market benchmark, as indicated below. </w:t>
                  </w:r>
                  <w:r>
                    <w:rPr>
                      <w:rFonts w:hint="default" w:ascii="Calibri" w:hAnsi="Calibri" w:eastAsia="楷体_GB2312" w:cs="Calibri"/>
                      <w:b/>
                      <w:w w:val="79"/>
                      <w:sz w:val="20"/>
                      <w:szCs w:val="20"/>
                      <w:lang w:eastAsia="zh-HK"/>
                    </w:rPr>
                    <w:t>Underperform</w:t>
                  </w:r>
                  <w:r>
                    <w:rPr>
                      <w:rFonts w:hint="default" w:ascii="Calibri" w:hAnsi="Calibri" w:eastAsia="楷体_GB2312" w:cs="Calibri"/>
                      <w:b/>
                      <w:w w:val="79"/>
                      <w:sz w:val="20"/>
                      <w:szCs w:val="20"/>
                    </w:rPr>
                    <w:t>:</w:t>
                  </w:r>
                  <w:r>
                    <w:rPr>
                      <w:rFonts w:hint="default" w:ascii="Calibri" w:hAnsi="Calibri" w:eastAsia="楷体_GB2312" w:cs="Calibri"/>
                      <w:w w:val="79"/>
                      <w:sz w:val="20"/>
                      <w:szCs w:val="20"/>
                    </w:rPr>
                    <w:t xml:space="preserve"> The stock’s total return over the next 12-18 months is expected to be below the return of its relevant broad market benchmark</w:t>
                  </w:r>
                  <w:r>
                    <w:rPr>
                      <w:rFonts w:hint="default" w:ascii="Calibri" w:hAnsi="Calibri" w:eastAsia="楷体_GB2312" w:cs="Calibri"/>
                      <w:w w:val="79"/>
                      <w:sz w:val="20"/>
                      <w:szCs w:val="20"/>
                      <w:lang w:eastAsia="zh-CN"/>
                    </w:rPr>
                    <w:t xml:space="preserve"> by over 10%</w:t>
                  </w:r>
                  <w:r>
                    <w:rPr>
                      <w:rFonts w:hint="default" w:ascii="Calibri" w:hAnsi="Calibri" w:eastAsia="楷体_GB2312" w:cs="Calibri"/>
                      <w:w w:val="79"/>
                      <w:sz w:val="20"/>
                      <w:szCs w:val="20"/>
                    </w:rPr>
                    <w:t>, as indicated below.</w:t>
                  </w:r>
                </w:p>
                <w:p w14:paraId="12B283BA">
                  <w:pPr>
                    <w:pStyle w:val="44"/>
                    <w:rPr>
                      <w:rFonts w:hint="default" w:ascii="Calibri" w:hAnsi="Calibri" w:eastAsia="楷体_GB2312" w:cs="Calibri"/>
                      <w:b/>
                      <w:w w:val="79"/>
                      <w:sz w:val="20"/>
                      <w:szCs w:val="20"/>
                    </w:rPr>
                  </w:pPr>
                  <w:r>
                    <w:rPr>
                      <w:rFonts w:hint="default" w:ascii="Calibri" w:hAnsi="Calibri" w:eastAsia="楷体_GB2312" w:cs="Calibri"/>
                      <w:b/>
                      <w:w w:val="79"/>
                      <w:sz w:val="20"/>
                      <w:szCs w:val="20"/>
                    </w:rPr>
                    <w:t xml:space="preserve">Benchmarks for each stock’s listed region are as follows: Japan </w:t>
                  </w:r>
                  <w:r>
                    <w:rPr>
                      <w:rFonts w:hint="default" w:ascii="Calibri" w:hAnsi="Calibri" w:eastAsia="楷体_GB2312" w:cs="Calibri"/>
                      <w:b/>
                      <w:w w:val="79"/>
                      <w:sz w:val="20"/>
                      <w:szCs w:val="20"/>
                    </w:rPr>
                    <w:t>–</w:t>
                  </w:r>
                  <w:r>
                    <w:rPr>
                      <w:rFonts w:hint="default" w:ascii="Calibri" w:hAnsi="Calibri" w:eastAsia="楷体_GB2312" w:cs="Calibri"/>
                      <w:b/>
                      <w:w w:val="79"/>
                      <w:sz w:val="20"/>
                      <w:szCs w:val="20"/>
                    </w:rPr>
                    <w:t xml:space="preserve"> TOPIX, Korea </w:t>
                  </w:r>
                  <w:r>
                    <w:rPr>
                      <w:rFonts w:hint="default" w:ascii="Calibri" w:hAnsi="Calibri" w:eastAsia="楷体_GB2312" w:cs="Calibri"/>
                      <w:b/>
                      <w:w w:val="79"/>
                      <w:sz w:val="20"/>
                      <w:szCs w:val="20"/>
                    </w:rPr>
                    <w:t>–</w:t>
                  </w:r>
                  <w:r>
                    <w:rPr>
                      <w:rFonts w:hint="default" w:ascii="Calibri" w:hAnsi="Calibri" w:eastAsia="楷体_GB2312" w:cs="Calibri"/>
                      <w:b/>
                      <w:w w:val="79"/>
                      <w:sz w:val="20"/>
                      <w:szCs w:val="20"/>
                    </w:rPr>
                    <w:t xml:space="preserve"> KOSPI, Taiwan </w:t>
                  </w:r>
                  <w:r>
                    <w:rPr>
                      <w:rFonts w:hint="default" w:ascii="Calibri" w:hAnsi="Calibri" w:eastAsia="楷体_GB2312" w:cs="Calibri"/>
                      <w:b/>
                      <w:w w:val="79"/>
                      <w:sz w:val="20"/>
                      <w:szCs w:val="20"/>
                    </w:rPr>
                    <w:t>–</w:t>
                  </w:r>
                  <w:r>
                    <w:rPr>
                      <w:rFonts w:hint="default" w:ascii="Calibri" w:hAnsi="Calibri" w:eastAsia="楷体_GB2312" w:cs="Calibri"/>
                      <w:b/>
                      <w:w w:val="79"/>
                      <w:sz w:val="20"/>
                      <w:szCs w:val="20"/>
                    </w:rPr>
                    <w:t xml:space="preserve"> TAIEX, India </w:t>
                  </w:r>
                  <w:r>
                    <w:rPr>
                      <w:rFonts w:hint="default" w:ascii="Calibri" w:hAnsi="Calibri" w:eastAsia="楷体_GB2312" w:cs="Calibri"/>
                      <w:b/>
                      <w:w w:val="79"/>
                      <w:sz w:val="20"/>
                      <w:szCs w:val="20"/>
                    </w:rPr>
                    <w:t>–</w:t>
                  </w:r>
                  <w:r>
                    <w:rPr>
                      <w:rFonts w:hint="default" w:ascii="Calibri" w:hAnsi="Calibri" w:eastAsia="楷体_GB2312" w:cs="Calibri"/>
                      <w:b/>
                      <w:w w:val="79"/>
                      <w:sz w:val="20"/>
                      <w:szCs w:val="20"/>
                    </w:rPr>
                    <w:t xml:space="preserve"> Nifty100, US </w:t>
                  </w:r>
                  <w:r>
                    <w:rPr>
                      <w:rFonts w:hint="default" w:ascii="Calibri" w:hAnsi="Calibri" w:eastAsia="楷体_GB2312" w:cs="Calibri"/>
                      <w:b/>
                      <w:w w:val="79"/>
                      <w:sz w:val="20"/>
                      <w:szCs w:val="20"/>
                    </w:rPr>
                    <w:t>–</w:t>
                  </w:r>
                  <w:r>
                    <w:rPr>
                      <w:rFonts w:hint="default" w:ascii="Calibri" w:hAnsi="Calibri" w:eastAsia="楷体_GB2312" w:cs="Calibri"/>
                      <w:b/>
                      <w:w w:val="79"/>
                      <w:sz w:val="20"/>
                      <w:szCs w:val="20"/>
                    </w:rPr>
                    <w:t xml:space="preserve"> SP500; for all other China-concept stocks </w:t>
                  </w:r>
                  <w:r>
                    <w:rPr>
                      <w:rFonts w:hint="default" w:ascii="Calibri" w:hAnsi="Calibri" w:eastAsia="楷体_GB2312" w:cs="Calibri"/>
                      <w:b/>
                      <w:w w:val="79"/>
                      <w:sz w:val="20"/>
                      <w:szCs w:val="20"/>
                    </w:rPr>
                    <w:t>–</w:t>
                  </w:r>
                  <w:r>
                    <w:rPr>
                      <w:rFonts w:hint="default" w:ascii="Calibri" w:hAnsi="Calibri" w:eastAsia="楷体_GB2312" w:cs="Calibri"/>
                      <w:b/>
                      <w:w w:val="79"/>
                      <w:sz w:val="20"/>
                      <w:szCs w:val="20"/>
                    </w:rPr>
                    <w:t xml:space="preserve"> MSCI China.</w:t>
                  </w:r>
                </w:p>
                <w:p w14:paraId="65743BBA">
                  <w:pPr>
                    <w:pStyle w:val="44"/>
                    <w:rPr>
                      <w:rFonts w:hint="default" w:ascii="Calibri" w:hAnsi="Calibri" w:eastAsia="楷体_GB2312" w:cs="Calibri"/>
                      <w:w w:val="70"/>
                      <w:sz w:val="20"/>
                      <w:szCs w:val="20"/>
                      <w:lang w:eastAsia="zh-CN"/>
                    </w:rPr>
                  </w:pPr>
                </w:p>
              </w:tc>
            </w:tr>
            <w:tr w14:paraId="34DC019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04F20A7F">
                  <w:pPr>
                    <w:pStyle w:val="44"/>
                    <w:spacing w:after="60"/>
                    <w:rPr>
                      <w:rFonts w:hint="default" w:ascii="Calibri" w:hAnsi="Calibri" w:eastAsia="楷体_GB2312" w:cs="Calibri"/>
                      <w:w w:val="70"/>
                      <w:sz w:val="20"/>
                      <w:szCs w:val="20"/>
                      <w:lang w:eastAsia="zh-CN"/>
                    </w:rPr>
                  </w:pPr>
                  <w:r>
                    <w:rPr>
                      <w:rFonts w:hint="default" w:ascii="Calibri" w:hAnsi="Calibri" w:eastAsia="楷体_GB2312" w:cs="Calibri"/>
                      <w:b/>
                      <w:w w:val="70"/>
                      <w:sz w:val="20"/>
                      <w:szCs w:val="20"/>
                      <w:lang w:eastAsia="zh-CN"/>
                    </w:rPr>
                    <w:t>华福</w:t>
                  </w:r>
                  <w:r>
                    <w:rPr>
                      <w:rFonts w:hint="default" w:ascii="Calibri" w:hAnsi="Calibri" w:eastAsia="楷体_GB2312" w:cs="Calibri"/>
                      <w:b/>
                      <w:w w:val="70"/>
                      <w:sz w:val="20"/>
                      <w:szCs w:val="20"/>
                      <w:lang w:eastAsia="zh-CN"/>
                    </w:rPr>
                    <w:t>国际非评级研究：</w:t>
                  </w:r>
                  <w:r>
                    <w:rPr>
                      <w:rFonts w:hint="default" w:ascii="Calibri" w:hAnsi="Calibri" w:eastAsia="楷体_GB2312" w:cs="Calibri"/>
                      <w:bCs/>
                      <w:w w:val="70"/>
                      <w:sz w:val="20"/>
                      <w:szCs w:val="20"/>
                      <w:lang w:eastAsia="zh-CN"/>
                    </w:rPr>
                    <w:t>华福</w:t>
                  </w:r>
                  <w:r>
                    <w:rPr>
                      <w:rFonts w:hint="default" w:ascii="Calibri" w:hAnsi="Calibri" w:eastAsia="楷体_GB2312" w:cs="Calibri"/>
                      <w:w w:val="70"/>
                      <w:sz w:val="20"/>
                      <w:szCs w:val="20"/>
                      <w:lang w:eastAsia="zh-CN"/>
                    </w:rPr>
                    <w:t>国际发布计量、筛选或短篇报告，并在报告中根据估值和其他指标对股票进行排名，或者基于可能的估值倍数提出建议价格。这种排名或建议价格并非为了进行股票评级、提出目标价格或进行基本面估值，而仅供参考使用。</w:t>
                  </w:r>
                </w:p>
                <w:p w14:paraId="54895DB0">
                  <w:pPr>
                    <w:pStyle w:val="44"/>
                    <w:rPr>
                      <w:rFonts w:hint="default" w:ascii="Calibri" w:hAnsi="Calibri" w:eastAsia="楷体_GB2312" w:cs="Calibri"/>
                      <w:w w:val="70"/>
                      <w:sz w:val="20"/>
                      <w:szCs w:val="20"/>
                      <w:lang w:eastAsia="zh-CN"/>
                    </w:rPr>
                  </w:pPr>
                  <w:r>
                    <w:rPr>
                      <w:rFonts w:hint="default" w:ascii="Calibri" w:hAnsi="Calibri" w:eastAsia="楷体_GB2312" w:cs="Calibri"/>
                      <w:b/>
                      <w:w w:val="70"/>
                      <w:sz w:val="20"/>
                      <w:szCs w:val="20"/>
                      <w:lang w:eastAsia="zh-CN"/>
                    </w:rPr>
                    <w:t>HuaFu</w:t>
                  </w:r>
                  <w:r>
                    <w:rPr>
                      <w:rFonts w:hint="default" w:ascii="Calibri" w:hAnsi="Calibri" w:eastAsia="楷体_GB2312" w:cs="Calibri"/>
                      <w:b/>
                      <w:w w:val="70"/>
                      <w:sz w:val="20"/>
                      <w:szCs w:val="20"/>
                    </w:rPr>
                    <w:t xml:space="preserve"> International Non-Rated Research</w:t>
                  </w:r>
                  <w:r>
                    <w:rPr>
                      <w:rFonts w:hint="default" w:ascii="Calibri" w:hAnsi="Calibri" w:eastAsia="楷体_GB2312" w:cs="Calibri"/>
                      <w:b/>
                      <w:bCs/>
                      <w:w w:val="70"/>
                      <w:sz w:val="20"/>
                      <w:szCs w:val="20"/>
                    </w:rPr>
                    <w:t>:</w:t>
                  </w:r>
                  <w:r>
                    <w:rPr>
                      <w:rFonts w:hint="default" w:ascii="Calibri" w:hAnsi="Calibri" w:eastAsia="楷体_GB2312" w:cs="Calibri"/>
                      <w:w w:val="70"/>
                      <w:sz w:val="20"/>
                      <w:szCs w:val="20"/>
                    </w:rPr>
                    <w:t xml:space="preserve">  </w:t>
                  </w:r>
                  <w:r>
                    <w:rPr>
                      <w:rFonts w:hint="default" w:ascii="Calibri" w:hAnsi="Calibri" w:eastAsia="楷体_GB2312" w:cs="Calibri"/>
                      <w:w w:val="70"/>
                      <w:sz w:val="20"/>
                      <w:szCs w:val="20"/>
                      <w:lang w:eastAsia="zh-CN"/>
                    </w:rPr>
                    <w:t>HuaFu</w:t>
                  </w:r>
                  <w:r>
                    <w:rPr>
                      <w:rFonts w:hint="default" w:ascii="Calibri" w:hAnsi="Calibri" w:eastAsia="楷体_GB2312" w:cs="Calibri"/>
                      <w:w w:val="70"/>
                      <w:sz w:val="20"/>
                      <w:szCs w:val="20"/>
                    </w:rPr>
                    <w:t xml:space="preserve"> International publishes quantitative, screening or short reports which may rank stocks according to valuation and other metrics or may suggest prices based on possible valuation multiples. Such rankings or suggested prices do not purport to be stock ratings or target prices or fundamental values and are for information only.</w:t>
                  </w:r>
                </w:p>
              </w:tc>
            </w:tr>
            <w:tr w14:paraId="29E4BE5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77356008">
                  <w:pPr>
                    <w:pStyle w:val="44"/>
                    <w:spacing w:after="60"/>
                    <w:rPr>
                      <w:rFonts w:hint="default" w:ascii="Calibri" w:hAnsi="Calibri" w:eastAsia="楷体_GB2312" w:cs="Calibri"/>
                      <w:w w:val="70"/>
                      <w:sz w:val="20"/>
                      <w:szCs w:val="20"/>
                      <w:lang w:eastAsia="zh-CN"/>
                    </w:rPr>
                  </w:pPr>
                  <w:r>
                    <w:rPr>
                      <w:rFonts w:hint="default" w:ascii="Calibri" w:hAnsi="Calibri" w:eastAsia="楷体_GB2312" w:cs="Calibri"/>
                      <w:b/>
                      <w:w w:val="70"/>
                      <w:sz w:val="20"/>
                      <w:szCs w:val="20"/>
                      <w:lang w:eastAsia="zh-CN"/>
                    </w:rPr>
                    <w:t>华福</w:t>
                  </w:r>
                  <w:r>
                    <w:rPr>
                      <w:rFonts w:hint="default" w:ascii="Calibri" w:hAnsi="Calibri" w:eastAsia="楷体_GB2312" w:cs="Calibri"/>
                      <w:b/>
                      <w:w w:val="70"/>
                      <w:sz w:val="20"/>
                      <w:szCs w:val="20"/>
                      <w:lang w:eastAsia="zh-CN"/>
                    </w:rPr>
                    <w:t>国际A股覆盖：</w:t>
                  </w:r>
                  <w:r>
                    <w:rPr>
                      <w:rFonts w:hint="default" w:ascii="Calibri" w:hAnsi="Calibri" w:eastAsia="楷体_GB2312" w:cs="Calibri"/>
                      <w:bCs/>
                      <w:w w:val="70"/>
                      <w:sz w:val="20"/>
                      <w:szCs w:val="20"/>
                      <w:lang w:eastAsia="zh-CN"/>
                    </w:rPr>
                    <w:t>华福</w:t>
                  </w:r>
                  <w:r>
                    <w:rPr>
                      <w:rFonts w:hint="default" w:ascii="Calibri" w:hAnsi="Calibri" w:eastAsia="楷体_GB2312" w:cs="Calibri"/>
                      <w:w w:val="70"/>
                      <w:sz w:val="20"/>
                      <w:szCs w:val="20"/>
                      <w:lang w:eastAsia="zh-CN"/>
                    </w:rPr>
                    <w:t>国际可能会就中国A股进行覆盖及评级。</w:t>
                  </w:r>
                  <w:r>
                    <w:rPr>
                      <w:rFonts w:hint="default" w:ascii="Calibri" w:hAnsi="Calibri" w:eastAsia="楷体_GB2312" w:cs="Calibri"/>
                      <w:w w:val="70"/>
                      <w:sz w:val="20"/>
                      <w:szCs w:val="20"/>
                      <w:lang w:eastAsia="zh-CN"/>
                    </w:rPr>
                    <w:t>华福</w:t>
                  </w:r>
                  <w:r>
                    <w:rPr>
                      <w:rFonts w:hint="default" w:ascii="Calibri" w:hAnsi="Calibri" w:eastAsia="楷体_GB2312" w:cs="Calibri"/>
                      <w:w w:val="70"/>
                      <w:sz w:val="20"/>
                      <w:szCs w:val="20"/>
                      <w:lang w:eastAsia="zh-CN"/>
                    </w:rPr>
                    <w:t>证券，</w:t>
                  </w:r>
                  <w:r>
                    <w:rPr>
                      <w:rFonts w:hint="default" w:ascii="Calibri" w:hAnsi="Calibri" w:eastAsia="楷体_GB2312" w:cs="Calibri"/>
                      <w:w w:val="70"/>
                      <w:sz w:val="20"/>
                      <w:szCs w:val="20"/>
                      <w:lang w:eastAsia="zh-CN"/>
                    </w:rPr>
                    <w:t>华福</w:t>
                  </w:r>
                  <w:r>
                    <w:rPr>
                      <w:rFonts w:hint="default" w:ascii="Calibri" w:hAnsi="Calibri" w:eastAsia="楷体_GB2312" w:cs="Calibri"/>
                      <w:w w:val="70"/>
                      <w:sz w:val="20"/>
                      <w:szCs w:val="20"/>
                      <w:lang w:eastAsia="zh-CN"/>
                    </w:rPr>
                    <w:t>国际于</w:t>
                  </w:r>
                  <w:r>
                    <w:rPr>
                      <w:rFonts w:hint="default" w:ascii="Calibri" w:hAnsi="Calibri" w:eastAsia="楷体_GB2312" w:cs="Calibri"/>
                      <w:w w:val="70"/>
                      <w:sz w:val="20"/>
                      <w:szCs w:val="20"/>
                      <w:lang w:eastAsia="zh-CN"/>
                    </w:rPr>
                    <w:t>福州</w:t>
                  </w:r>
                  <w:r>
                    <w:rPr>
                      <w:rFonts w:hint="default" w:ascii="Calibri" w:hAnsi="Calibri" w:eastAsia="楷体_GB2312" w:cs="Calibri"/>
                      <w:w w:val="70"/>
                      <w:sz w:val="20"/>
                      <w:szCs w:val="20"/>
                      <w:lang w:eastAsia="zh-CN"/>
                    </w:rPr>
                    <w:t>的母公司，也会于中国发布中国A股的研究报告。但是，</w:t>
                  </w:r>
                  <w:r>
                    <w:rPr>
                      <w:rFonts w:hint="default" w:ascii="Calibri" w:hAnsi="Calibri" w:eastAsia="楷体_GB2312" w:cs="Calibri"/>
                      <w:w w:val="70"/>
                      <w:sz w:val="20"/>
                      <w:szCs w:val="20"/>
                      <w:lang w:eastAsia="zh-CN"/>
                    </w:rPr>
                    <w:t>华福</w:t>
                  </w:r>
                  <w:r>
                    <w:rPr>
                      <w:rFonts w:hint="default" w:ascii="Calibri" w:hAnsi="Calibri" w:eastAsia="楷体_GB2312" w:cs="Calibri"/>
                      <w:w w:val="70"/>
                      <w:sz w:val="20"/>
                      <w:szCs w:val="20"/>
                      <w:lang w:eastAsia="zh-CN"/>
                    </w:rPr>
                    <w:t>国际使用与</w:t>
                  </w:r>
                  <w:r>
                    <w:rPr>
                      <w:rFonts w:hint="default" w:ascii="Calibri" w:hAnsi="Calibri" w:eastAsia="楷体_GB2312" w:cs="Calibri"/>
                      <w:w w:val="70"/>
                      <w:sz w:val="20"/>
                      <w:szCs w:val="20"/>
                      <w:lang w:eastAsia="zh-CN"/>
                    </w:rPr>
                    <w:t>华福</w:t>
                  </w:r>
                  <w:r>
                    <w:rPr>
                      <w:rFonts w:hint="default" w:ascii="Calibri" w:hAnsi="Calibri" w:eastAsia="楷体_GB2312" w:cs="Calibri"/>
                      <w:w w:val="70"/>
                      <w:sz w:val="20"/>
                      <w:szCs w:val="20"/>
                      <w:lang w:eastAsia="zh-CN"/>
                    </w:rPr>
                    <w:t>证券不同的评级系统，</w:t>
                  </w:r>
                  <w:r>
                    <w:rPr>
                      <w:rFonts w:hint="default" w:ascii="Calibri" w:hAnsi="Calibri" w:eastAsia="楷体_GB2312" w:cs="Calibri"/>
                      <w:w w:val="70"/>
                      <w:sz w:val="20"/>
                      <w:szCs w:val="20"/>
                      <w:lang w:eastAsia="zh-CN"/>
                    </w:rPr>
                    <w:t>且可能有完全独立的不同研究覆盖团队，</w:t>
                  </w:r>
                  <w:r>
                    <w:rPr>
                      <w:rFonts w:hint="default" w:ascii="Calibri" w:hAnsi="Calibri" w:eastAsia="楷体_GB2312" w:cs="Calibri"/>
                      <w:w w:val="70"/>
                      <w:sz w:val="20"/>
                      <w:szCs w:val="20"/>
                      <w:lang w:eastAsia="zh-CN"/>
                    </w:rPr>
                    <w:t>所以</w:t>
                  </w:r>
                  <w:r>
                    <w:rPr>
                      <w:rFonts w:hint="default" w:ascii="Calibri" w:hAnsi="Calibri" w:eastAsia="楷体_GB2312" w:cs="Calibri"/>
                      <w:w w:val="70"/>
                      <w:sz w:val="20"/>
                      <w:szCs w:val="20"/>
                      <w:lang w:eastAsia="zh-CN"/>
                    </w:rPr>
                    <w:t>华福</w:t>
                  </w:r>
                  <w:r>
                    <w:rPr>
                      <w:rFonts w:hint="default" w:ascii="Calibri" w:hAnsi="Calibri" w:eastAsia="楷体_GB2312" w:cs="Calibri"/>
                      <w:w w:val="70"/>
                      <w:sz w:val="20"/>
                      <w:szCs w:val="20"/>
                      <w:lang w:eastAsia="zh-CN"/>
                    </w:rPr>
                    <w:t>国际与</w:t>
                  </w:r>
                  <w:r>
                    <w:rPr>
                      <w:rFonts w:hint="default" w:ascii="Calibri" w:hAnsi="Calibri" w:eastAsia="楷体_GB2312" w:cs="Calibri"/>
                      <w:w w:val="70"/>
                      <w:sz w:val="20"/>
                      <w:szCs w:val="20"/>
                      <w:lang w:eastAsia="zh-CN"/>
                    </w:rPr>
                    <w:t>华福</w:t>
                  </w:r>
                  <w:r>
                    <w:rPr>
                      <w:rFonts w:hint="default" w:ascii="Calibri" w:hAnsi="Calibri" w:eastAsia="楷体_GB2312" w:cs="Calibri"/>
                      <w:w w:val="70"/>
                      <w:sz w:val="20"/>
                      <w:szCs w:val="20"/>
                      <w:lang w:eastAsia="zh-CN"/>
                    </w:rPr>
                    <w:t>证券的中国A股评级</w:t>
                  </w:r>
                  <w:r>
                    <w:rPr>
                      <w:rFonts w:hint="default" w:ascii="Calibri" w:hAnsi="Calibri" w:eastAsia="楷体_GB2312" w:cs="Calibri"/>
                      <w:w w:val="70"/>
                      <w:sz w:val="20"/>
                      <w:szCs w:val="20"/>
                      <w:lang w:eastAsia="zh-CN"/>
                    </w:rPr>
                    <w:t>、目标价乃至分析逻辑</w:t>
                  </w:r>
                  <w:r>
                    <w:rPr>
                      <w:rFonts w:hint="default" w:ascii="Calibri" w:hAnsi="Calibri" w:eastAsia="楷体_GB2312" w:cs="Calibri"/>
                      <w:w w:val="70"/>
                      <w:sz w:val="20"/>
                      <w:szCs w:val="20"/>
                      <w:lang w:eastAsia="zh-CN"/>
                    </w:rPr>
                    <w:t>可能有所不同。</w:t>
                  </w:r>
                </w:p>
                <w:p w14:paraId="55B207DE">
                  <w:pPr>
                    <w:pStyle w:val="44"/>
                    <w:rPr>
                      <w:rFonts w:hint="default" w:ascii="Calibri" w:hAnsi="Calibri" w:eastAsia="楷体_GB2312" w:cs="Calibri"/>
                      <w:w w:val="70"/>
                      <w:sz w:val="20"/>
                      <w:szCs w:val="20"/>
                    </w:rPr>
                  </w:pPr>
                  <w:r>
                    <w:rPr>
                      <w:rFonts w:hint="default" w:ascii="Calibri" w:hAnsi="Calibri" w:eastAsia="楷体_GB2312" w:cs="Calibri"/>
                      <w:b/>
                      <w:w w:val="70"/>
                      <w:sz w:val="20"/>
                      <w:szCs w:val="20"/>
                      <w:lang w:eastAsia="zh-CN"/>
                    </w:rPr>
                    <w:t>HuaFu</w:t>
                  </w:r>
                  <w:r>
                    <w:rPr>
                      <w:rFonts w:hint="default" w:ascii="Calibri" w:hAnsi="Calibri" w:eastAsia="楷体_GB2312" w:cs="Calibri"/>
                      <w:b/>
                      <w:w w:val="70"/>
                      <w:sz w:val="20"/>
                      <w:szCs w:val="20"/>
                    </w:rPr>
                    <w:t xml:space="preserve"> International Coverage of A-Shares</w:t>
                  </w:r>
                  <w:r>
                    <w:rPr>
                      <w:rFonts w:hint="default" w:ascii="Calibri" w:hAnsi="Calibri" w:eastAsia="楷体_GB2312" w:cs="Calibri"/>
                      <w:b/>
                      <w:bCs/>
                      <w:w w:val="70"/>
                      <w:sz w:val="20"/>
                      <w:szCs w:val="20"/>
                    </w:rPr>
                    <w:t>:</w:t>
                  </w:r>
                  <w:r>
                    <w:rPr>
                      <w:rFonts w:hint="default" w:ascii="Calibri" w:hAnsi="Calibri" w:eastAsia="楷体_GB2312" w:cs="Calibri"/>
                      <w:w w:val="70"/>
                      <w:sz w:val="20"/>
                      <w:szCs w:val="20"/>
                    </w:rPr>
                    <w:t xml:space="preserve">  </w:t>
                  </w:r>
                  <w:r>
                    <w:rPr>
                      <w:rFonts w:hint="default" w:ascii="Calibri" w:hAnsi="Calibri" w:eastAsia="楷体_GB2312" w:cs="Calibri"/>
                      <w:w w:val="70"/>
                      <w:sz w:val="20"/>
                      <w:szCs w:val="20"/>
                      <w:lang w:eastAsia="zh-CN"/>
                    </w:rPr>
                    <w:t>HuaFu</w:t>
                  </w:r>
                  <w:r>
                    <w:rPr>
                      <w:rFonts w:hint="default" w:ascii="Calibri" w:hAnsi="Calibri" w:eastAsia="楷体_GB2312" w:cs="Calibri"/>
                      <w:w w:val="70"/>
                      <w:sz w:val="20"/>
                      <w:szCs w:val="20"/>
                    </w:rPr>
                    <w:t xml:space="preserve"> International may cover and rate A-Shares . </w:t>
                  </w:r>
                  <w:r>
                    <w:rPr>
                      <w:rFonts w:hint="default" w:ascii="Calibri" w:hAnsi="Calibri" w:eastAsia="楷体_GB2312" w:cs="Calibri"/>
                      <w:w w:val="70"/>
                      <w:sz w:val="20"/>
                      <w:szCs w:val="20"/>
                      <w:lang w:eastAsia="zh-CN"/>
                    </w:rPr>
                    <w:t>HuaFu</w:t>
                  </w:r>
                  <w:r>
                    <w:rPr>
                      <w:rFonts w:hint="default" w:ascii="Calibri" w:hAnsi="Calibri" w:eastAsia="楷体_GB2312" w:cs="Calibri"/>
                      <w:w w:val="70"/>
                      <w:sz w:val="20"/>
                      <w:szCs w:val="20"/>
                    </w:rPr>
                    <w:t xml:space="preserve"> Securities, the ultimate parent company of </w:t>
                  </w: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 xml:space="preserve"> based in </w:t>
                  </w:r>
                  <w:r>
                    <w:rPr>
                      <w:rFonts w:hint="default" w:ascii="Calibri" w:hAnsi="Calibri" w:eastAsia="楷体_GB2312" w:cs="Calibri"/>
                      <w:w w:val="70"/>
                      <w:sz w:val="20"/>
                      <w:szCs w:val="20"/>
                      <w:lang w:eastAsia="zh-CN"/>
                    </w:rPr>
                    <w:t>FuZhou</w:t>
                  </w:r>
                  <w:r>
                    <w:rPr>
                      <w:rFonts w:hint="default" w:ascii="Calibri" w:hAnsi="Calibri" w:eastAsia="楷体_GB2312" w:cs="Calibri"/>
                      <w:w w:val="70"/>
                      <w:sz w:val="20"/>
                      <w:szCs w:val="20"/>
                    </w:rPr>
                    <w:t>, covers and publishes research on these same A-Shares for distribution in mainland China. However, the rating system employed by H</w:t>
                  </w:r>
                  <w:r>
                    <w:rPr>
                      <w:rFonts w:hint="default" w:ascii="Calibri" w:hAnsi="Calibri" w:eastAsia="楷体_GB2312" w:cs="Calibri"/>
                      <w:w w:val="70"/>
                      <w:sz w:val="20"/>
                      <w:szCs w:val="20"/>
                      <w:lang w:eastAsia="zh-CN"/>
                    </w:rPr>
                    <w:t>uaFu International</w:t>
                  </w:r>
                  <w:r>
                    <w:rPr>
                      <w:rFonts w:hint="default" w:ascii="Calibri" w:hAnsi="Calibri" w:eastAsia="楷体_GB2312" w:cs="Calibri"/>
                      <w:w w:val="70"/>
                      <w:sz w:val="20"/>
                      <w:szCs w:val="20"/>
                    </w:rPr>
                    <w:t xml:space="preserve"> differs from that used by </w:t>
                  </w:r>
                  <w:r>
                    <w:rPr>
                      <w:rFonts w:hint="default" w:ascii="Calibri" w:hAnsi="Calibri" w:eastAsia="楷体_GB2312" w:cs="Calibri"/>
                      <w:w w:val="70"/>
                      <w:sz w:val="20"/>
                      <w:szCs w:val="20"/>
                      <w:lang w:eastAsia="zh-CN"/>
                    </w:rPr>
                    <w:t>HuaFu Securites</w:t>
                  </w:r>
                  <w:r>
                    <w:rPr>
                      <w:rFonts w:hint="default" w:ascii="Calibri" w:hAnsi="Calibri" w:eastAsia="楷体_GB2312" w:cs="Calibri"/>
                      <w:w w:val="70"/>
                      <w:sz w:val="20"/>
                      <w:szCs w:val="20"/>
                    </w:rPr>
                    <w:t xml:space="preserve"> and </w:t>
                  </w:r>
                  <w:r>
                    <w:rPr>
                      <w:rFonts w:hint="default" w:ascii="Calibri" w:hAnsi="Calibri" w:eastAsia="楷体_GB2312" w:cs="Calibri"/>
                      <w:w w:val="70"/>
                      <w:sz w:val="20"/>
                      <w:szCs w:val="20"/>
                      <w:lang w:eastAsia="zh-CN"/>
                    </w:rPr>
                    <w:t xml:space="preserve">even the teams covering the same A-share stocks might be totally independently different, </w:t>
                  </w:r>
                  <w:r>
                    <w:rPr>
                      <w:rFonts w:hint="default" w:ascii="Calibri" w:hAnsi="Calibri" w:eastAsia="楷体_GB2312" w:cs="Calibri"/>
                      <w:w w:val="70"/>
                      <w:sz w:val="20"/>
                      <w:szCs w:val="20"/>
                    </w:rPr>
                    <w:t xml:space="preserve">as a result there may be a difference in </w:t>
                  </w:r>
                  <w:r>
                    <w:rPr>
                      <w:rFonts w:hint="default" w:ascii="Calibri" w:hAnsi="Calibri" w:eastAsia="楷体_GB2312" w:cs="Calibri"/>
                      <w:w w:val="70"/>
                      <w:sz w:val="20"/>
                      <w:szCs w:val="20"/>
                      <w:lang w:eastAsia="zh-CN"/>
                    </w:rPr>
                    <w:t>their coverage</w:t>
                  </w:r>
                  <w:r>
                    <w:rPr>
                      <w:rFonts w:hint="default" w:ascii="Calibri" w:hAnsi="Calibri" w:eastAsia="楷体_GB2312" w:cs="Calibri"/>
                      <w:w w:val="70"/>
                      <w:sz w:val="20"/>
                      <w:szCs w:val="20"/>
                    </w:rPr>
                    <w:t xml:space="preserve"> ratings</w:t>
                  </w:r>
                  <w:r>
                    <w:rPr>
                      <w:rFonts w:hint="default" w:ascii="Calibri" w:hAnsi="Calibri" w:eastAsia="楷体_GB2312" w:cs="Calibri"/>
                      <w:w w:val="70"/>
                      <w:sz w:val="20"/>
                      <w:szCs w:val="20"/>
                      <w:lang w:eastAsia="zh-CN"/>
                    </w:rPr>
                    <w:t>, target prices</w:t>
                  </w:r>
                  <w:r>
                    <w:rPr>
                      <w:rFonts w:hint="default" w:ascii="Calibri" w:hAnsi="Calibri" w:eastAsia="楷体_GB2312" w:cs="Calibri"/>
                      <w:w w:val="70"/>
                      <w:sz w:val="20"/>
                      <w:szCs w:val="20"/>
                    </w:rPr>
                    <w:t xml:space="preserve"> </w:t>
                  </w:r>
                  <w:r>
                    <w:rPr>
                      <w:rFonts w:hint="default" w:ascii="Calibri" w:hAnsi="Calibri" w:eastAsia="楷体_GB2312" w:cs="Calibri"/>
                      <w:w w:val="70"/>
                      <w:sz w:val="20"/>
                      <w:szCs w:val="20"/>
                      <w:lang w:eastAsia="zh-CN"/>
                    </w:rPr>
                    <w:t xml:space="preserve">and research logics </w:t>
                  </w:r>
                  <w:r>
                    <w:rPr>
                      <w:rFonts w:hint="default" w:ascii="Calibri" w:hAnsi="Calibri" w:eastAsia="楷体_GB2312" w:cs="Calibri"/>
                      <w:w w:val="70"/>
                      <w:sz w:val="20"/>
                      <w:szCs w:val="20"/>
                    </w:rPr>
                    <w:t>for the same A-share stocks.</w:t>
                  </w:r>
                </w:p>
              </w:tc>
            </w:tr>
            <w:tr w14:paraId="3138E6A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47660E21">
                  <w:pPr>
                    <w:pStyle w:val="44"/>
                    <w:rPr>
                      <w:rFonts w:hint="default" w:ascii="Calibri" w:hAnsi="Calibri" w:eastAsia="楷体_GB2312" w:cs="Calibri"/>
                      <w:w w:val="70"/>
                      <w:sz w:val="20"/>
                      <w:szCs w:val="20"/>
                    </w:rPr>
                  </w:pPr>
                </w:p>
              </w:tc>
            </w:tr>
            <w:tr w14:paraId="4F4F3AEB">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6EF44B68">
                  <w:pPr>
                    <w:pStyle w:val="44"/>
                    <w:spacing w:after="60"/>
                    <w:rPr>
                      <w:rFonts w:hint="default" w:ascii="Calibri" w:hAnsi="Calibri" w:eastAsia="楷体_GB2312" w:cs="Calibri"/>
                      <w:b/>
                      <w:w w:val="70"/>
                      <w:sz w:val="20"/>
                      <w:szCs w:val="20"/>
                      <w:lang w:eastAsia="zh-CN"/>
                    </w:rPr>
                  </w:pPr>
                  <w:r>
                    <w:rPr>
                      <w:rFonts w:hint="default" w:ascii="Calibri" w:hAnsi="Calibri" w:eastAsia="楷体_GB2312" w:cs="Calibri"/>
                      <w:b/>
                      <w:w w:val="70"/>
                      <w:sz w:val="20"/>
                      <w:szCs w:val="20"/>
                      <w:lang w:eastAsia="zh-CN"/>
                    </w:rPr>
                    <w:t>重要免责声明：</w:t>
                  </w:r>
                </w:p>
                <w:p w14:paraId="2CFDD955">
                  <w:pPr>
                    <w:pStyle w:val="44"/>
                    <w:spacing w:after="60"/>
                    <w:rPr>
                      <w:rFonts w:hint="default" w:ascii="Calibri" w:hAnsi="Calibri" w:eastAsia="楷体_GB2312" w:cs="Calibri"/>
                      <w:w w:val="70"/>
                      <w:sz w:val="20"/>
                      <w:szCs w:val="20"/>
                      <w:lang w:eastAsia="zh-CN"/>
                    </w:rPr>
                  </w:pPr>
                  <w:r>
                    <w:rPr>
                      <w:rFonts w:hint="default" w:ascii="Calibri" w:hAnsi="Calibri" w:eastAsia="楷体_GB2312" w:cs="Calibri"/>
                      <w:w w:val="70"/>
                      <w:sz w:val="20"/>
                      <w:szCs w:val="20"/>
                      <w:lang w:eastAsia="zh-CN"/>
                    </w:rPr>
                    <w:t>本报告由</w:t>
                  </w:r>
                  <w:r>
                    <w:rPr>
                      <w:rFonts w:hint="default" w:ascii="Calibri" w:hAnsi="Calibri" w:eastAsia="楷体_GB2312" w:cs="Calibri"/>
                      <w:w w:val="70"/>
                      <w:sz w:val="20"/>
                      <w:szCs w:val="20"/>
                      <w:lang w:eastAsia="zh-CN"/>
                    </w:rPr>
                    <w:t>华福</w:t>
                  </w:r>
                  <w:r>
                    <w:rPr>
                      <w:rFonts w:hint="default" w:ascii="Calibri" w:hAnsi="Calibri" w:eastAsia="楷体_GB2312" w:cs="Calibri"/>
                      <w:w w:val="70"/>
                      <w:sz w:val="20"/>
                      <w:szCs w:val="20"/>
                      <w:lang w:eastAsia="zh-CN"/>
                    </w:rPr>
                    <w:t>国际发行，该公司是根据香港证券及期货条例（第571章）持有第4类受规管活动（就证券提供意见）的持牌法团。</w:t>
                  </w:r>
                </w:p>
                <w:p w14:paraId="218751CC">
                  <w:pPr>
                    <w:pStyle w:val="44"/>
                    <w:spacing w:after="60"/>
                    <w:rPr>
                      <w:rFonts w:hint="default" w:ascii="Calibri" w:hAnsi="Calibri" w:eastAsia="楷体_GB2312" w:cs="Calibri"/>
                      <w:w w:val="70"/>
                      <w:sz w:val="20"/>
                      <w:szCs w:val="20"/>
                      <w:lang w:eastAsia="zh-CN"/>
                    </w:rPr>
                  </w:pPr>
                  <w:r>
                    <w:rPr>
                      <w:rFonts w:hint="default" w:ascii="Calibri" w:hAnsi="Calibri" w:eastAsia="楷体_GB2312" w:cs="Calibri"/>
                      <w:w w:val="70"/>
                      <w:sz w:val="20"/>
                      <w:szCs w:val="20"/>
                      <w:lang w:eastAsia="zh-CN"/>
                    </w:rPr>
                    <w:t>本文件所载信息和观点已被编译或源自可靠来源，但</w:t>
                  </w:r>
                  <w:r>
                    <w:rPr>
                      <w:rFonts w:hint="default" w:ascii="Calibri" w:hAnsi="Calibri" w:eastAsia="楷体_GB2312" w:cs="Calibri"/>
                      <w:w w:val="70"/>
                      <w:sz w:val="20"/>
                      <w:szCs w:val="20"/>
                      <w:lang w:eastAsia="zh-CN"/>
                    </w:rPr>
                    <w:t>华福国际</w:t>
                  </w:r>
                  <w:r>
                    <w:rPr>
                      <w:rFonts w:hint="default" w:ascii="Calibri" w:hAnsi="Calibri" w:eastAsia="楷体_GB2312" w:cs="Calibri"/>
                      <w:w w:val="70"/>
                      <w:sz w:val="20"/>
                      <w:szCs w:val="20"/>
                      <w:lang w:eastAsia="zh-CN"/>
                    </w:rPr>
                    <w:t>或任何其他属于</w:t>
                  </w:r>
                  <w:r>
                    <w:rPr>
                      <w:rFonts w:hint="default" w:ascii="Calibri" w:hAnsi="Calibri" w:eastAsia="楷体_GB2312" w:cs="Calibri"/>
                      <w:w w:val="70"/>
                      <w:sz w:val="20"/>
                      <w:szCs w:val="20"/>
                      <w:lang w:eastAsia="zh-CN"/>
                    </w:rPr>
                    <w:t>华福</w:t>
                  </w:r>
                  <w:r>
                    <w:rPr>
                      <w:rFonts w:hint="default" w:ascii="Calibri" w:hAnsi="Calibri" w:eastAsia="楷体_GB2312" w:cs="Calibri"/>
                      <w:w w:val="70"/>
                      <w:sz w:val="20"/>
                      <w:szCs w:val="20"/>
                      <w:lang w:eastAsia="zh-CN"/>
                    </w:rPr>
                    <w:t>国际的成员对其准确性、完整性和正确性不做任何明示或暗示的声明或保证。本文件中所有观点均截至本报告日期，如有更改，恕不另行通知。本文件仅供参考使用。文件中提及的任何公司或其股票的说明并非意图展示完整的内容，本文件并非/不应被解释为对证券买卖的明示或暗示地出价或征价。在某些司法管辖区，本文件中提及的证券可能无法进行买卖。如果投资产品以投资者本国货币以外的币种进行计价，则汇率变化可能会对投资产生不利影响。过去的表现并不一定代表将来的结果。某些特定交易，包括设计金融衍生工具的，有产生重大风险的可能性，因此并不适合所有的投资者。您还应认识到本文件中的建议并非为您量身定制。分析师并未考虑到您自身的财务情况，如您的财务状况和风险偏好。因此您必须自行分析并在适用的情况下咨询自己的法律、税收、会计、金融和其他方面的专业顾问，以期在投资之前评估该项建议是否适合于您。若由于使用本文件所载的材料而产生任何直接或间接的损失，</w:t>
                  </w:r>
                  <w:r>
                    <w:rPr>
                      <w:rFonts w:hint="default" w:ascii="Calibri" w:hAnsi="Calibri" w:eastAsia="楷体_GB2312" w:cs="Calibri"/>
                      <w:w w:val="70"/>
                      <w:sz w:val="20"/>
                      <w:szCs w:val="20"/>
                      <w:lang w:eastAsia="zh-CN"/>
                    </w:rPr>
                    <w:t>华福国际</w:t>
                  </w:r>
                  <w:r>
                    <w:rPr>
                      <w:rFonts w:hint="default" w:ascii="Calibri" w:hAnsi="Calibri" w:eastAsia="楷体_GB2312" w:cs="Calibri"/>
                      <w:w w:val="70"/>
                      <w:sz w:val="20"/>
                      <w:szCs w:val="20"/>
                      <w:lang w:eastAsia="zh-CN"/>
                    </w:rPr>
                    <w:t xml:space="preserve">及其董事、雇员或代理人对此均不承担任何责任。 </w:t>
                  </w:r>
                </w:p>
                <w:p w14:paraId="5F59B043">
                  <w:pPr>
                    <w:pStyle w:val="44"/>
                    <w:spacing w:after="60"/>
                    <w:rPr>
                      <w:rFonts w:hint="default" w:ascii="Calibri" w:hAnsi="Calibri" w:eastAsia="楷体_GB2312" w:cs="Calibri"/>
                      <w:w w:val="70"/>
                      <w:sz w:val="20"/>
                      <w:szCs w:val="20"/>
                      <w:lang w:eastAsia="zh-CN"/>
                    </w:rPr>
                  </w:pPr>
                  <w:r>
                    <w:rPr>
                      <w:rFonts w:hint="default" w:ascii="Calibri" w:hAnsi="Calibri" w:eastAsia="楷体_GB2312" w:cs="Calibri"/>
                      <w:w w:val="70"/>
                      <w:sz w:val="20"/>
                      <w:szCs w:val="20"/>
                      <w:lang w:eastAsia="zh-CN"/>
                    </w:rPr>
                    <w:t>除对本文内容承担责任的分析师除外，</w:t>
                  </w:r>
                  <w:r>
                    <w:rPr>
                      <w:rFonts w:hint="default" w:ascii="Calibri" w:hAnsi="Calibri" w:eastAsia="楷体_GB2312" w:cs="Calibri"/>
                      <w:w w:val="70"/>
                      <w:sz w:val="20"/>
                      <w:szCs w:val="20"/>
                      <w:lang w:eastAsia="zh-CN"/>
                    </w:rPr>
                    <w:t>华福国际</w:t>
                  </w:r>
                  <w:r>
                    <w:rPr>
                      <w:rFonts w:hint="default" w:ascii="Calibri" w:hAnsi="Calibri" w:eastAsia="楷体_GB2312" w:cs="Calibri"/>
                      <w:w w:val="70"/>
                      <w:sz w:val="20"/>
                      <w:szCs w:val="20"/>
                      <w:lang w:eastAsia="zh-CN"/>
                    </w:rPr>
                    <w:t>及我们的关联公司、高级管理人员、董事和雇员，均可不时作为主事人就本文件所述的任何证券或衍生品持有长仓或短仓以及进行买卖。</w:t>
                  </w:r>
                  <w:r>
                    <w:rPr>
                      <w:rFonts w:hint="default" w:ascii="Calibri" w:hAnsi="Calibri" w:eastAsia="楷体_GB2312" w:cs="Calibri"/>
                      <w:w w:val="70"/>
                      <w:sz w:val="20"/>
                      <w:szCs w:val="20"/>
                      <w:lang w:eastAsia="zh-CN"/>
                    </w:rPr>
                    <w:t>华福国际</w:t>
                  </w:r>
                  <w:r>
                    <w:rPr>
                      <w:rFonts w:hint="default" w:ascii="Calibri" w:hAnsi="Calibri" w:eastAsia="楷体_GB2312" w:cs="Calibri"/>
                      <w:w w:val="70"/>
                      <w:sz w:val="20"/>
                      <w:szCs w:val="20"/>
                      <w:lang w:eastAsia="zh-CN"/>
                    </w:rPr>
                    <w:t>的销售员、交易员和其他专业人士均可向</w:t>
                  </w:r>
                  <w:r>
                    <w:rPr>
                      <w:rFonts w:hint="default" w:ascii="Calibri" w:hAnsi="Calibri" w:eastAsia="楷体_GB2312" w:cs="Calibri"/>
                      <w:w w:val="70"/>
                      <w:sz w:val="20"/>
                      <w:szCs w:val="20"/>
                      <w:lang w:eastAsia="zh-CN"/>
                    </w:rPr>
                    <w:t>华福国际</w:t>
                  </w:r>
                  <w:r>
                    <w:rPr>
                      <w:rFonts w:hint="default" w:ascii="Calibri" w:hAnsi="Calibri" w:eastAsia="楷体_GB2312" w:cs="Calibri"/>
                      <w:w w:val="70"/>
                      <w:sz w:val="20"/>
                      <w:szCs w:val="20"/>
                      <w:lang w:eastAsia="zh-CN"/>
                    </w:rPr>
                    <w:t>的相关客户和公司提供与本文件所述意见相反的口头或书面市场评论意见或交易策略</w:t>
                  </w:r>
                  <w:r>
                    <w:rPr>
                      <w:rFonts w:hint="default" w:ascii="Calibri" w:hAnsi="Calibri" w:eastAsia="楷体_GB2312" w:cs="Calibri"/>
                      <w:w w:val="70"/>
                      <w:sz w:val="20"/>
                      <w:szCs w:val="20"/>
                      <w:lang w:eastAsia="zh-CN"/>
                    </w:rPr>
                    <w:t>。华福国际</w:t>
                  </w:r>
                  <w:r>
                    <w:rPr>
                      <w:rFonts w:hint="default" w:ascii="Calibri" w:hAnsi="Calibri" w:eastAsia="楷体_GB2312" w:cs="Calibri"/>
                      <w:w w:val="70"/>
                      <w:sz w:val="20"/>
                      <w:szCs w:val="20"/>
                      <w:lang w:eastAsia="zh-CN"/>
                    </w:rPr>
                    <w:t>可做出与本文件所述建议或意见不一致的投资决策。但</w:t>
                  </w:r>
                  <w:r>
                    <w:rPr>
                      <w:rFonts w:hint="default" w:ascii="Calibri" w:hAnsi="Calibri" w:eastAsia="楷体_GB2312" w:cs="Calibri"/>
                      <w:w w:val="70"/>
                      <w:sz w:val="20"/>
                      <w:szCs w:val="20"/>
                      <w:lang w:eastAsia="zh-CN"/>
                    </w:rPr>
                    <w:t>华福国际</w:t>
                  </w:r>
                  <w:r>
                    <w:rPr>
                      <w:rFonts w:hint="default" w:ascii="Calibri" w:hAnsi="Calibri" w:eastAsia="楷体_GB2312" w:cs="Calibri"/>
                      <w:w w:val="70"/>
                      <w:sz w:val="20"/>
                      <w:szCs w:val="20"/>
                      <w:lang w:eastAsia="zh-CN"/>
                    </w:rPr>
                    <w:t>没有义务来确保本文件的收件人了解到该等交易决定、思路或建议。</w:t>
                  </w:r>
                </w:p>
                <w:p w14:paraId="0ECBDA2D">
                  <w:pPr>
                    <w:pStyle w:val="44"/>
                    <w:spacing w:after="60"/>
                    <w:rPr>
                      <w:rFonts w:hint="default" w:ascii="Calibri" w:hAnsi="Calibri" w:eastAsia="楷体_GB2312" w:cs="Calibri"/>
                      <w:snapToGrid/>
                      <w:w w:val="70"/>
                      <w:sz w:val="20"/>
                      <w:szCs w:val="20"/>
                      <w:lang w:eastAsia="zh-CN"/>
                    </w:rPr>
                  </w:pPr>
                  <w:r>
                    <w:rPr>
                      <w:rFonts w:hint="default" w:ascii="Calibri" w:hAnsi="Calibri" w:eastAsia="楷体_GB2312" w:cs="Calibri"/>
                      <w:snapToGrid/>
                      <w:w w:val="70"/>
                      <w:sz w:val="20"/>
                      <w:szCs w:val="20"/>
                      <w:lang w:eastAsia="zh-CN"/>
                    </w:rPr>
                    <w:t>请访问</w:t>
                  </w:r>
                  <w:r>
                    <w:rPr>
                      <w:rFonts w:hint="default" w:ascii="Calibri" w:hAnsi="Calibri" w:eastAsia="楷体_GB2312" w:cs="Calibri"/>
                      <w:snapToGrid/>
                      <w:w w:val="70"/>
                      <w:sz w:val="20"/>
                      <w:szCs w:val="20"/>
                      <w:lang w:eastAsia="zh-CN"/>
                    </w:rPr>
                    <w:t>华福</w:t>
                  </w:r>
                  <w:r>
                    <w:rPr>
                      <w:rFonts w:hint="default" w:ascii="Calibri" w:hAnsi="Calibri" w:eastAsia="楷体_GB2312" w:cs="Calibri"/>
                      <w:w w:val="70"/>
                      <w:sz w:val="20"/>
                      <w:szCs w:val="20"/>
                      <w:lang w:eastAsia="zh-CN"/>
                    </w:rPr>
                    <w:t>国际</w:t>
                  </w:r>
                  <w:r>
                    <w:rPr>
                      <w:rFonts w:hint="default" w:ascii="Calibri" w:hAnsi="Calibri" w:eastAsia="楷体_GB2312" w:cs="Calibri"/>
                      <w:snapToGrid/>
                      <w:w w:val="70"/>
                      <w:sz w:val="20"/>
                      <w:szCs w:val="20"/>
                      <w:lang w:eastAsia="zh-CN"/>
                    </w:rPr>
                    <w:t xml:space="preserve">网站 </w:t>
                  </w:r>
                  <w:r>
                    <w:rPr>
                      <w:rFonts w:hint="default" w:ascii="Calibri" w:hAnsi="Calibri" w:eastAsia="楷体_GB2312" w:cs="Calibri"/>
                    </w:rPr>
                    <w:fldChar w:fldCharType="begin"/>
                  </w:r>
                  <w:r>
                    <w:rPr>
                      <w:rFonts w:hint="default" w:ascii="Calibri" w:hAnsi="Calibri" w:eastAsia="楷体_GB2312" w:cs="Calibri"/>
                    </w:rPr>
                    <w:instrText xml:space="preserve"> HYPERLINK "http://www.hfisec.com.hk" </w:instrText>
                  </w:r>
                  <w:r>
                    <w:rPr>
                      <w:rFonts w:hint="default" w:ascii="Calibri" w:hAnsi="Calibri" w:eastAsia="楷体_GB2312" w:cs="Calibri"/>
                    </w:rPr>
                    <w:fldChar w:fldCharType="separate"/>
                  </w:r>
                  <w:r>
                    <w:rPr>
                      <w:rStyle w:val="32"/>
                      <w:rFonts w:hint="default" w:ascii="Calibri" w:hAnsi="Calibri" w:eastAsia="楷体_GB2312" w:cs="Calibri"/>
                      <w:snapToGrid/>
                      <w:w w:val="70"/>
                      <w:sz w:val="20"/>
                      <w:szCs w:val="20"/>
                      <w:lang w:eastAsia="zh-CN"/>
                    </w:rPr>
                    <w:t>www.hfisec.com.hk</w:t>
                  </w:r>
                  <w:r>
                    <w:rPr>
                      <w:rStyle w:val="32"/>
                      <w:rFonts w:hint="default" w:ascii="Calibri" w:hAnsi="Calibri" w:eastAsia="楷体_GB2312" w:cs="Calibri"/>
                      <w:snapToGrid/>
                      <w:w w:val="70"/>
                      <w:sz w:val="20"/>
                      <w:szCs w:val="20"/>
                      <w:lang w:eastAsia="zh-CN"/>
                    </w:rPr>
                    <w:fldChar w:fldCharType="end"/>
                  </w:r>
                  <w:r>
                    <w:rPr>
                      <w:rFonts w:hint="default" w:ascii="Calibri" w:hAnsi="Calibri" w:eastAsia="楷体_GB2312" w:cs="Calibri"/>
                      <w:snapToGrid/>
                      <w:w w:val="70"/>
                      <w:sz w:val="20"/>
                      <w:szCs w:val="20"/>
                      <w:lang w:eastAsia="zh-CN"/>
                    </w:rPr>
                    <w:t xml:space="preserve"> ，查阅更多有关</w:t>
                  </w:r>
                  <w:r>
                    <w:rPr>
                      <w:rFonts w:hint="default" w:ascii="Calibri" w:hAnsi="Calibri" w:eastAsia="楷体_GB2312" w:cs="Calibri"/>
                      <w:snapToGrid/>
                      <w:w w:val="70"/>
                      <w:sz w:val="20"/>
                      <w:szCs w:val="20"/>
                      <w:lang w:eastAsia="zh-CN"/>
                    </w:rPr>
                    <w:t>华福</w:t>
                  </w:r>
                  <w:r>
                    <w:rPr>
                      <w:rFonts w:hint="default" w:ascii="Calibri" w:hAnsi="Calibri" w:eastAsia="楷体_GB2312" w:cs="Calibri"/>
                      <w:w w:val="70"/>
                      <w:sz w:val="20"/>
                      <w:szCs w:val="20"/>
                      <w:lang w:eastAsia="zh-CN"/>
                    </w:rPr>
                    <w:t>国际</w:t>
                  </w:r>
                  <w:r>
                    <w:rPr>
                      <w:rFonts w:hint="default" w:ascii="Calibri" w:hAnsi="Calibri" w:eastAsia="楷体_GB2312" w:cs="Calibri"/>
                      <w:snapToGrid/>
                      <w:w w:val="70"/>
                      <w:sz w:val="20"/>
                      <w:szCs w:val="20"/>
                      <w:lang w:eastAsia="zh-CN"/>
                    </w:rPr>
                    <w:t>为预防和避免利益冲突设立的组织和行政安排的内容信息。</w:t>
                  </w:r>
                </w:p>
                <w:p w14:paraId="3D7DB00A">
                  <w:pPr>
                    <w:pStyle w:val="44"/>
                    <w:spacing w:after="40"/>
                    <w:rPr>
                      <w:rFonts w:hint="default" w:ascii="Calibri" w:hAnsi="Calibri" w:eastAsia="楷体_GB2312" w:cs="Calibri"/>
                      <w:b/>
                      <w:bCs/>
                      <w:w w:val="70"/>
                      <w:sz w:val="20"/>
                      <w:szCs w:val="20"/>
                    </w:rPr>
                  </w:pPr>
                  <w:r>
                    <w:rPr>
                      <w:rFonts w:hint="default" w:ascii="Calibri" w:hAnsi="Calibri" w:eastAsia="楷体_GB2312" w:cs="Calibri"/>
                      <w:b/>
                      <w:bCs/>
                      <w:w w:val="70"/>
                      <w:sz w:val="20"/>
                      <w:szCs w:val="20"/>
                    </w:rPr>
                    <w:t>IMPORTANT DISCLAIMER</w:t>
                  </w:r>
                </w:p>
                <w:p w14:paraId="19D7323F">
                  <w:pPr>
                    <w:pStyle w:val="44"/>
                    <w:spacing w:after="40"/>
                    <w:rPr>
                      <w:rFonts w:hint="default" w:ascii="Calibri" w:hAnsi="Calibri" w:eastAsia="楷体_GB2312" w:cs="Calibri"/>
                      <w:w w:val="70"/>
                      <w:sz w:val="20"/>
                      <w:szCs w:val="20"/>
                    </w:rPr>
                  </w:pPr>
                  <w:r>
                    <w:rPr>
                      <w:rFonts w:hint="default" w:ascii="Calibri" w:hAnsi="Calibri" w:eastAsia="楷体_GB2312" w:cs="Calibri"/>
                      <w:w w:val="70"/>
                      <w:sz w:val="20"/>
                      <w:szCs w:val="20"/>
                    </w:rPr>
                    <w:t xml:space="preserve">The research report is issued by </w:t>
                  </w:r>
                  <w:r>
                    <w:rPr>
                      <w:rFonts w:hint="default" w:ascii="Calibri" w:hAnsi="Calibri" w:eastAsia="楷体_GB2312" w:cs="Calibri"/>
                      <w:w w:val="70"/>
                      <w:sz w:val="20"/>
                      <w:szCs w:val="20"/>
                      <w:lang w:eastAsia="zh-CN"/>
                    </w:rPr>
                    <w:t>HuaFu</w:t>
                  </w:r>
                  <w:r>
                    <w:rPr>
                      <w:rFonts w:hint="default" w:ascii="Calibri" w:hAnsi="Calibri" w:eastAsia="楷体_GB2312" w:cs="Calibri"/>
                      <w:w w:val="70"/>
                      <w:sz w:val="20"/>
                      <w:szCs w:val="20"/>
                    </w:rPr>
                    <w:t xml:space="preserve"> International</w:t>
                  </w:r>
                  <w:r>
                    <w:rPr>
                      <w:rFonts w:hint="default" w:ascii="Calibri" w:hAnsi="Calibri" w:eastAsia="楷体_GB2312" w:cs="Calibri"/>
                      <w:w w:val="70"/>
                      <w:sz w:val="20"/>
                      <w:szCs w:val="20"/>
                      <w:lang w:eastAsia="zh-CN"/>
                    </w:rPr>
                    <w:t xml:space="preserve">, </w:t>
                  </w:r>
                  <w:r>
                    <w:rPr>
                      <w:rFonts w:hint="default" w:ascii="Calibri" w:hAnsi="Calibri" w:eastAsia="楷体_GB2312" w:cs="Calibri"/>
                      <w:w w:val="70"/>
                      <w:sz w:val="20"/>
                      <w:szCs w:val="20"/>
                    </w:rPr>
                    <w:t>a licensed corporation to carry on Type 4 regulated activity (advising on securities) for the purpose of the Securities and Futures Ordinance (Cap. 571)</w:t>
                  </w:r>
                  <w:r>
                    <w:rPr>
                      <w:rFonts w:hint="default" w:ascii="Calibri" w:hAnsi="Calibri" w:eastAsia="楷体_GB2312" w:cs="Calibri"/>
                      <w:w w:val="70"/>
                      <w:sz w:val="20"/>
                      <w:szCs w:val="20"/>
                      <w:lang w:eastAsia="zh-HK"/>
                    </w:rPr>
                    <w:t xml:space="preserve"> of Hong Kong</w:t>
                  </w:r>
                  <w:r>
                    <w:rPr>
                      <w:rFonts w:hint="default" w:ascii="Calibri" w:hAnsi="Calibri" w:eastAsia="楷体_GB2312" w:cs="Calibri"/>
                      <w:w w:val="70"/>
                      <w:sz w:val="20"/>
                      <w:szCs w:val="20"/>
                    </w:rPr>
                    <w:t>.</w:t>
                  </w:r>
                </w:p>
                <w:p w14:paraId="6FAF60B8">
                  <w:pPr>
                    <w:pStyle w:val="44"/>
                    <w:spacing w:after="40"/>
                    <w:rPr>
                      <w:rFonts w:hint="default" w:ascii="Calibri" w:hAnsi="Calibri" w:eastAsia="楷体_GB2312" w:cs="Calibri"/>
                      <w:w w:val="70"/>
                      <w:sz w:val="20"/>
                      <w:szCs w:val="20"/>
                    </w:rPr>
                  </w:pPr>
                  <w:r>
                    <w:rPr>
                      <w:rFonts w:hint="default" w:ascii="Calibri" w:hAnsi="Calibri" w:eastAsia="楷体_GB2312" w:cs="Calibri"/>
                      <w:w w:val="70"/>
                      <w:sz w:val="20"/>
                      <w:szCs w:val="20"/>
                    </w:rPr>
                    <w:t xml:space="preserve">The information and opinions contained in this research report have been compiled or arrived at from sources believed to be reliable and in good faith but no representation or warranty, express or implied, is made by </w:t>
                  </w: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 xml:space="preserve"> or any other </w:t>
                  </w:r>
                  <w:r>
                    <w:rPr>
                      <w:rFonts w:hint="default" w:ascii="Calibri" w:hAnsi="Calibri" w:eastAsia="楷体_GB2312" w:cs="Calibri"/>
                      <w:w w:val="70"/>
                      <w:sz w:val="20"/>
                      <w:szCs w:val="20"/>
                      <w:lang w:eastAsia="zh-CN"/>
                    </w:rPr>
                    <w:t xml:space="preserve">related </w:t>
                  </w:r>
                  <w:r>
                    <w:rPr>
                      <w:rFonts w:hint="default" w:ascii="Calibri" w:hAnsi="Calibri" w:eastAsia="楷体_GB2312" w:cs="Calibri"/>
                      <w:w w:val="70"/>
                      <w:sz w:val="20"/>
                      <w:szCs w:val="20"/>
                    </w:rPr>
                    <w:t>members</w:t>
                  </w:r>
                  <w:r>
                    <w:rPr>
                      <w:rFonts w:hint="default" w:ascii="Calibri" w:hAnsi="Calibri" w:eastAsia="楷体_GB2312" w:cs="Calibri"/>
                      <w:w w:val="70"/>
                      <w:sz w:val="20"/>
                      <w:szCs w:val="20"/>
                      <w:lang w:eastAsia="zh-CN"/>
                    </w:rPr>
                    <w:t xml:space="preserve"> </w:t>
                  </w:r>
                  <w:r>
                    <w:rPr>
                      <w:rFonts w:hint="default" w:ascii="Calibri" w:hAnsi="Calibri" w:eastAsia="楷体_GB2312" w:cs="Calibri"/>
                      <w:w w:val="70"/>
                      <w:sz w:val="20"/>
                      <w:szCs w:val="20"/>
                    </w:rPr>
                    <w:t xml:space="preserve">from which this research report may be received, as to their accuracy, completeness or correctness. All opinions expressed herein are as of the date of this research report and are subject to change without notice. This research report is for information purpose only. Descriptions of any companies or their securities mentioned herein are not intended to be complete and this research report is not, and should not be construed expressly or impliedly as, an offer to buy or sell securities. The securities referred to in this research report may not be eligible for purchase or sale in some jurisdictions. If an investment product is denominated in a currency other than an investor's home currency, a change in exchange rates may adversely affect the investment. Past performance is not necessarily indicative of future results. Certain transactions, including those involving derivatives, give rise to substantial risk and are not suitable for all investors. You should also bear in mind that recommendations in this research report are not tailor-made for you. The analyst has not taken into account your unique financial circumstances, such as your financial situation and risk appetite. You must, therefore, analyze and should, where applicable, consult your own legal, tax, accounting, financial and other professional advisers to evaluate whether the recommendations suits you before investment. Neither </w:t>
                  </w: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 xml:space="preserve"> nor any of its directors, employees or agents accepts any liability whatsoever for any direct or consequential loss arising from any use of the materials contained in this research report. </w:t>
                  </w:r>
                </w:p>
                <w:p w14:paraId="361E57C6">
                  <w:pPr>
                    <w:pStyle w:val="44"/>
                    <w:spacing w:after="40"/>
                    <w:rPr>
                      <w:rFonts w:hint="default" w:ascii="Calibri" w:hAnsi="Calibri" w:eastAsia="楷体_GB2312" w:cs="Calibri"/>
                      <w:w w:val="70"/>
                      <w:sz w:val="20"/>
                      <w:szCs w:val="20"/>
                    </w:rPr>
                  </w:pP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 xml:space="preserve"> and </w:t>
                  </w:r>
                  <w:r>
                    <w:rPr>
                      <w:rFonts w:hint="default" w:ascii="Calibri" w:hAnsi="Calibri" w:eastAsia="楷体_GB2312" w:cs="Calibri"/>
                      <w:w w:val="70"/>
                      <w:sz w:val="20"/>
                      <w:szCs w:val="20"/>
                      <w:lang w:eastAsia="zh-CN"/>
                    </w:rPr>
                    <w:t>its</w:t>
                  </w:r>
                  <w:r>
                    <w:rPr>
                      <w:rFonts w:hint="default" w:ascii="Calibri" w:hAnsi="Calibri" w:eastAsia="楷体_GB2312" w:cs="Calibri"/>
                      <w:w w:val="70"/>
                      <w:sz w:val="20"/>
                      <w:szCs w:val="20"/>
                    </w:rPr>
                    <w:t xml:space="preserve"> affiliates, officers, directors, and employees, excluding the analysts responsible for the content of this document, will from time to time have long or short positions in, act as principal in, and buy or sell, the securities or derivatives, if any, referred to in this research report. Sales, traders, and other professionals of </w:t>
                  </w:r>
                  <w:r>
                    <w:rPr>
                      <w:rFonts w:hint="default" w:ascii="Calibri" w:hAnsi="Calibri" w:eastAsia="楷体_GB2312" w:cs="Calibri"/>
                      <w:w w:val="70"/>
                      <w:sz w:val="20"/>
                      <w:szCs w:val="20"/>
                      <w:lang w:eastAsia="zh-CN"/>
                    </w:rPr>
                    <w:t xml:space="preserve">HuaFu International </w:t>
                  </w:r>
                  <w:r>
                    <w:rPr>
                      <w:rFonts w:hint="default" w:ascii="Calibri" w:hAnsi="Calibri" w:eastAsia="楷体_GB2312" w:cs="Calibri"/>
                      <w:w w:val="70"/>
                      <w:sz w:val="20"/>
                      <w:szCs w:val="20"/>
                    </w:rPr>
                    <w:t xml:space="preserve">may provide oral or written market commentary or trading strategies to the relevant clients and the companies within </w:t>
                  </w: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 xml:space="preserve"> that reflect opinions that are contrary to the opinions expressed in this research report. </w:t>
                  </w:r>
                  <w:r>
                    <w:rPr>
                      <w:rFonts w:hint="default" w:ascii="Calibri" w:hAnsi="Calibri" w:eastAsia="楷体_GB2312" w:cs="Calibri"/>
                      <w:w w:val="70"/>
                      <w:sz w:val="20"/>
                      <w:szCs w:val="20"/>
                      <w:lang w:eastAsia="zh-CN"/>
                    </w:rPr>
                    <w:t>HuaFu Internatioal</w:t>
                  </w:r>
                  <w:r>
                    <w:rPr>
                      <w:rFonts w:hint="default" w:ascii="Calibri" w:hAnsi="Calibri" w:eastAsia="楷体_GB2312" w:cs="Calibri"/>
                      <w:w w:val="70"/>
                      <w:sz w:val="20"/>
                      <w:szCs w:val="20"/>
                    </w:rPr>
                    <w:t xml:space="preserve"> may make investment decisions that are inconsistent with the recommendations or views expressed in this research report. </w:t>
                  </w:r>
                  <w:r>
                    <w:rPr>
                      <w:rFonts w:hint="default" w:ascii="Calibri" w:hAnsi="Calibri" w:eastAsia="楷体_GB2312" w:cs="Calibri"/>
                      <w:w w:val="70"/>
                      <w:sz w:val="20"/>
                      <w:szCs w:val="20"/>
                      <w:lang w:eastAsia="zh-CN"/>
                    </w:rPr>
                    <w:t xml:space="preserve">HuaFu International </w:t>
                  </w:r>
                  <w:r>
                    <w:rPr>
                      <w:rFonts w:hint="default" w:ascii="Calibri" w:hAnsi="Calibri" w:eastAsia="楷体_GB2312" w:cs="Calibri"/>
                      <w:w w:val="70"/>
                      <w:sz w:val="20"/>
                      <w:szCs w:val="20"/>
                    </w:rPr>
                    <w:t>is under no obligation to ensure that such other trading decisions, ideas or recommendations are brought to the attention of any recipient of this research report.</w:t>
                  </w:r>
                </w:p>
                <w:p w14:paraId="451A142E">
                  <w:pPr>
                    <w:pStyle w:val="44"/>
                    <w:spacing w:after="40"/>
                    <w:rPr>
                      <w:rFonts w:hint="default" w:ascii="Calibri" w:hAnsi="Calibri" w:eastAsia="楷体_GB2312" w:cs="Calibri"/>
                      <w:bCs/>
                      <w:w w:val="70"/>
                      <w:sz w:val="20"/>
                      <w:szCs w:val="20"/>
                    </w:rPr>
                  </w:pPr>
                  <w:r>
                    <w:rPr>
                      <w:rFonts w:hint="default" w:ascii="Calibri" w:hAnsi="Calibri" w:eastAsia="楷体_GB2312" w:cs="Calibri"/>
                      <w:bCs/>
                      <w:w w:val="70"/>
                      <w:sz w:val="20"/>
                      <w:szCs w:val="20"/>
                    </w:rPr>
                    <w:t xml:space="preserve">Please refer to </w:t>
                  </w:r>
                  <w:r>
                    <w:rPr>
                      <w:rFonts w:hint="default" w:ascii="Calibri" w:hAnsi="Calibri" w:eastAsia="楷体_GB2312" w:cs="Calibri"/>
                      <w:bCs/>
                      <w:w w:val="70"/>
                      <w:sz w:val="20"/>
                      <w:szCs w:val="20"/>
                      <w:lang w:eastAsia="zh-CN"/>
                    </w:rPr>
                    <w:t>HuaFu International</w:t>
                  </w:r>
                  <w:r>
                    <w:rPr>
                      <w:rFonts w:hint="default" w:ascii="Calibri" w:hAnsi="Calibri" w:eastAsia="楷体_GB2312" w:cs="Calibri"/>
                      <w:bCs/>
                      <w:w w:val="70"/>
                      <w:sz w:val="20"/>
                      <w:szCs w:val="20"/>
                      <w:lang w:eastAsia="zh-CN"/>
                    </w:rPr>
                    <w:t>’</w:t>
                  </w:r>
                  <w:r>
                    <w:rPr>
                      <w:rFonts w:hint="default" w:ascii="Calibri" w:hAnsi="Calibri" w:eastAsia="楷体_GB2312" w:cs="Calibri"/>
                      <w:bCs/>
                      <w:w w:val="70"/>
                      <w:sz w:val="20"/>
                      <w:szCs w:val="20"/>
                      <w:lang w:eastAsia="zh-CN"/>
                    </w:rPr>
                    <w:t xml:space="preserve">s </w:t>
                  </w:r>
                  <w:r>
                    <w:rPr>
                      <w:rFonts w:hint="default" w:ascii="Calibri" w:hAnsi="Calibri" w:eastAsia="楷体_GB2312" w:cs="Calibri"/>
                      <w:bCs/>
                      <w:w w:val="70"/>
                      <w:sz w:val="20"/>
                      <w:szCs w:val="20"/>
                    </w:rPr>
                    <w:t xml:space="preserve">website </w:t>
                  </w:r>
                  <w:r>
                    <w:rPr>
                      <w:rFonts w:hint="default" w:ascii="Calibri" w:hAnsi="Calibri" w:eastAsia="楷体_GB2312" w:cs="Calibri"/>
                    </w:rPr>
                    <w:fldChar w:fldCharType="begin"/>
                  </w:r>
                  <w:r>
                    <w:rPr>
                      <w:rFonts w:hint="default" w:ascii="Calibri" w:hAnsi="Calibri" w:eastAsia="楷体_GB2312" w:cs="Calibri"/>
                    </w:rPr>
                    <w:instrText xml:space="preserve"> HYPERLINK "http://www.hfisec.com.hk" </w:instrText>
                  </w:r>
                  <w:r>
                    <w:rPr>
                      <w:rFonts w:hint="default" w:ascii="Calibri" w:hAnsi="Calibri" w:eastAsia="楷体_GB2312" w:cs="Calibri"/>
                    </w:rPr>
                    <w:fldChar w:fldCharType="separate"/>
                  </w:r>
                  <w:r>
                    <w:rPr>
                      <w:rStyle w:val="32"/>
                      <w:rFonts w:hint="default" w:ascii="Calibri" w:hAnsi="Calibri" w:eastAsia="楷体_GB2312" w:cs="Calibri"/>
                      <w:bCs/>
                      <w:w w:val="70"/>
                      <w:sz w:val="20"/>
                      <w:szCs w:val="20"/>
                    </w:rPr>
                    <w:t>www.hfisec.com.hk</w:t>
                  </w:r>
                  <w:r>
                    <w:rPr>
                      <w:rStyle w:val="32"/>
                      <w:rFonts w:hint="default" w:ascii="Calibri" w:hAnsi="Calibri" w:eastAsia="楷体_GB2312" w:cs="Calibri"/>
                      <w:bCs/>
                      <w:w w:val="70"/>
                      <w:sz w:val="20"/>
                      <w:szCs w:val="20"/>
                    </w:rPr>
                    <w:fldChar w:fldCharType="end"/>
                  </w:r>
                  <w:r>
                    <w:rPr>
                      <w:rFonts w:hint="default" w:ascii="Calibri" w:hAnsi="Calibri" w:eastAsia="楷体_GB2312" w:cs="Calibri"/>
                      <w:w w:val="70"/>
                      <w:sz w:val="20"/>
                      <w:szCs w:val="20"/>
                    </w:rPr>
                    <w:t xml:space="preserve"> </w:t>
                  </w:r>
                  <w:r>
                    <w:rPr>
                      <w:rFonts w:hint="default" w:ascii="Calibri" w:hAnsi="Calibri" w:eastAsia="楷体_GB2312" w:cs="Calibri"/>
                      <w:bCs/>
                      <w:w w:val="70"/>
                      <w:sz w:val="20"/>
                      <w:szCs w:val="20"/>
                    </w:rPr>
                    <w:t xml:space="preserve">for further </w:t>
                  </w:r>
                  <w:r>
                    <w:rPr>
                      <w:rFonts w:hint="default" w:ascii="Calibri" w:hAnsi="Calibri" w:eastAsia="楷体_GB2312" w:cs="Calibri"/>
                      <w:w w:val="70"/>
                      <w:sz w:val="20"/>
                      <w:szCs w:val="20"/>
                    </w:rPr>
                    <w:t>information</w:t>
                  </w:r>
                  <w:r>
                    <w:rPr>
                      <w:rFonts w:hint="default" w:ascii="Calibri" w:hAnsi="Calibri" w:eastAsia="楷体_GB2312" w:cs="Calibri"/>
                      <w:bCs/>
                      <w:w w:val="70"/>
                      <w:sz w:val="20"/>
                      <w:szCs w:val="20"/>
                    </w:rPr>
                    <w:t xml:space="preserve"> on </w:t>
                  </w:r>
                  <w:r>
                    <w:rPr>
                      <w:rFonts w:hint="default" w:ascii="Calibri" w:hAnsi="Calibri" w:eastAsia="楷体_GB2312" w:cs="Calibri"/>
                      <w:bCs/>
                      <w:w w:val="70"/>
                      <w:sz w:val="20"/>
                      <w:szCs w:val="20"/>
                      <w:lang w:eastAsia="zh-CN"/>
                    </w:rPr>
                    <w:t>HuaFu International</w:t>
                  </w:r>
                  <w:r>
                    <w:rPr>
                      <w:rFonts w:hint="default" w:ascii="Calibri" w:hAnsi="Calibri" w:eastAsia="楷体_GB2312" w:cs="Calibri"/>
                      <w:bCs/>
                      <w:w w:val="70"/>
                      <w:sz w:val="20"/>
                      <w:szCs w:val="20"/>
                      <w:lang w:eastAsia="zh-CN"/>
                    </w:rPr>
                    <w:t>’</w:t>
                  </w:r>
                  <w:r>
                    <w:rPr>
                      <w:rFonts w:hint="default" w:ascii="Calibri" w:hAnsi="Calibri" w:eastAsia="楷体_GB2312" w:cs="Calibri"/>
                      <w:bCs/>
                      <w:w w:val="70"/>
                      <w:sz w:val="20"/>
                      <w:szCs w:val="20"/>
                      <w:lang w:eastAsia="zh-CN"/>
                    </w:rPr>
                    <w:t xml:space="preserve">s </w:t>
                  </w:r>
                  <w:r>
                    <w:rPr>
                      <w:rFonts w:hint="default" w:ascii="Calibri" w:hAnsi="Calibri" w:eastAsia="楷体_GB2312" w:cs="Calibri"/>
                      <w:bCs/>
                      <w:w w:val="70"/>
                      <w:sz w:val="20"/>
                      <w:szCs w:val="20"/>
                    </w:rPr>
                    <w:t>organizational and administrative arrangements set up for the prevention and avoidance of conflicts of interest with respect to Research.</w:t>
                  </w:r>
                </w:p>
                <w:p w14:paraId="14850CF8">
                  <w:pPr>
                    <w:pStyle w:val="44"/>
                    <w:spacing w:after="60"/>
                    <w:rPr>
                      <w:rFonts w:hint="default" w:ascii="Calibri" w:hAnsi="Calibri" w:eastAsia="楷体_GB2312" w:cs="Calibri"/>
                      <w:b/>
                      <w:w w:val="70"/>
                      <w:sz w:val="20"/>
                      <w:szCs w:val="20"/>
                    </w:rPr>
                  </w:pPr>
                </w:p>
              </w:tc>
            </w:tr>
            <w:tr w14:paraId="0FBB519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2D942562">
                  <w:pPr>
                    <w:pStyle w:val="44"/>
                    <w:spacing w:after="60"/>
                    <w:rPr>
                      <w:rFonts w:hint="default" w:ascii="Calibri" w:hAnsi="Calibri" w:eastAsia="楷体_GB2312" w:cs="Calibri"/>
                      <w:b/>
                      <w:snapToGrid/>
                      <w:w w:val="70"/>
                      <w:sz w:val="20"/>
                      <w:szCs w:val="20"/>
                      <w:lang w:eastAsia="zh-CN"/>
                    </w:rPr>
                  </w:pPr>
                  <w:r>
                    <w:rPr>
                      <w:rFonts w:hint="default" w:ascii="Calibri" w:hAnsi="Calibri" w:eastAsia="楷体_GB2312" w:cs="Calibri"/>
                      <w:b/>
                      <w:snapToGrid/>
                      <w:w w:val="70"/>
                      <w:sz w:val="20"/>
                      <w:szCs w:val="20"/>
                      <w:lang w:eastAsia="zh-CN"/>
                    </w:rPr>
                    <w:t>分发和地区通知：</w:t>
                  </w:r>
                </w:p>
                <w:p w14:paraId="276AFC8A">
                  <w:pPr>
                    <w:pStyle w:val="44"/>
                    <w:spacing w:after="60"/>
                    <w:rPr>
                      <w:rFonts w:hint="default" w:ascii="Calibri" w:hAnsi="Calibri" w:eastAsia="楷体_GB2312" w:cs="Calibri"/>
                      <w:snapToGrid/>
                      <w:w w:val="70"/>
                      <w:sz w:val="20"/>
                      <w:szCs w:val="20"/>
                      <w:lang w:eastAsia="zh-CN"/>
                    </w:rPr>
                  </w:pPr>
                  <w:r>
                    <w:rPr>
                      <w:rFonts w:hint="default" w:ascii="Calibri" w:hAnsi="Calibri" w:eastAsia="楷体_GB2312" w:cs="Calibri"/>
                      <w:snapToGrid/>
                      <w:w w:val="70"/>
                      <w:sz w:val="20"/>
                      <w:szCs w:val="20"/>
                      <w:lang w:eastAsia="zh-CN"/>
                    </w:rPr>
                    <w:t>除非下文另有规定，否则任何希望讨论本报告或者就本项研究中讨论的任何证券进行任何交易的收件人均应联系其所在国家或地区的</w:t>
                  </w:r>
                  <w:r>
                    <w:rPr>
                      <w:rFonts w:hint="default" w:ascii="Calibri" w:hAnsi="Calibri" w:eastAsia="楷体_GB2312" w:cs="Calibri"/>
                      <w:snapToGrid/>
                      <w:w w:val="70"/>
                      <w:sz w:val="20"/>
                      <w:szCs w:val="20"/>
                      <w:lang w:eastAsia="zh-CN"/>
                    </w:rPr>
                    <w:t>华福</w:t>
                  </w:r>
                  <w:r>
                    <w:rPr>
                      <w:rFonts w:hint="default" w:ascii="Calibri" w:hAnsi="Calibri" w:eastAsia="楷体_GB2312" w:cs="Calibri"/>
                      <w:snapToGrid/>
                      <w:w w:val="70"/>
                      <w:sz w:val="20"/>
                      <w:szCs w:val="20"/>
                      <w:lang w:eastAsia="zh-CN"/>
                    </w:rPr>
                    <w:t xml:space="preserve">国际销售人员。  </w:t>
                  </w:r>
                </w:p>
                <w:p w14:paraId="4E670F1A">
                  <w:pPr>
                    <w:pStyle w:val="44"/>
                    <w:spacing w:after="60"/>
                    <w:rPr>
                      <w:rFonts w:hint="default" w:ascii="Calibri" w:hAnsi="Calibri" w:eastAsia="楷体_GB2312" w:cs="Calibri"/>
                      <w:snapToGrid/>
                      <w:w w:val="70"/>
                      <w:sz w:val="20"/>
                      <w:szCs w:val="20"/>
                      <w:lang w:eastAsia="zh-CN"/>
                    </w:rPr>
                  </w:pPr>
                  <w:r>
                    <w:rPr>
                      <w:rFonts w:hint="default" w:ascii="Calibri" w:hAnsi="Calibri" w:eastAsia="楷体_GB2312" w:cs="Calibri"/>
                      <w:b/>
                      <w:snapToGrid/>
                      <w:w w:val="70"/>
                      <w:sz w:val="20"/>
                      <w:szCs w:val="20"/>
                      <w:lang w:eastAsia="zh-CN"/>
                    </w:rPr>
                    <w:t>香港投资者的通知事项：</w:t>
                  </w:r>
                  <w:r>
                    <w:rPr>
                      <w:rFonts w:hint="default" w:ascii="Calibri" w:hAnsi="Calibri" w:eastAsia="楷体_GB2312" w:cs="Calibri"/>
                      <w:bCs/>
                      <w:snapToGrid/>
                      <w:w w:val="70"/>
                      <w:sz w:val="20"/>
                      <w:szCs w:val="20"/>
                      <w:lang w:eastAsia="zh-CN"/>
                    </w:rPr>
                    <w:t>华福</w:t>
                  </w:r>
                  <w:r>
                    <w:rPr>
                      <w:rFonts w:hint="default" w:ascii="Calibri" w:hAnsi="Calibri" w:eastAsia="楷体_GB2312" w:cs="Calibri"/>
                      <w:snapToGrid/>
                      <w:w w:val="70"/>
                      <w:sz w:val="20"/>
                      <w:szCs w:val="20"/>
                      <w:lang w:eastAsia="zh-CN"/>
                    </w:rPr>
                    <w:t>国际负责分发该研究报告，</w:t>
                  </w:r>
                  <w:r>
                    <w:rPr>
                      <w:rFonts w:hint="default" w:ascii="Calibri" w:hAnsi="Calibri" w:eastAsia="楷体_GB2312" w:cs="Calibri"/>
                      <w:snapToGrid/>
                      <w:w w:val="70"/>
                      <w:sz w:val="20"/>
                      <w:szCs w:val="20"/>
                      <w:lang w:eastAsia="zh-CN"/>
                    </w:rPr>
                    <w:t>华福国际</w:t>
                  </w:r>
                  <w:r>
                    <w:rPr>
                      <w:rFonts w:hint="default" w:ascii="Calibri" w:hAnsi="Calibri" w:eastAsia="楷体_GB2312" w:cs="Calibri"/>
                      <w:snapToGrid/>
                      <w:w w:val="70"/>
                      <w:sz w:val="20"/>
                      <w:szCs w:val="20"/>
                      <w:lang w:eastAsia="zh-CN"/>
                    </w:rPr>
                    <w:t>是在香港有权实施第1类受规管活动（从事证券交易）的持牌公司。该研究报告并不构成《证券及期货条例》</w:t>
                  </w:r>
                  <w:r>
                    <w:rPr>
                      <w:rFonts w:hint="default" w:ascii="Calibri" w:hAnsi="Calibri" w:eastAsia="楷体_GB2312" w:cs="Calibri"/>
                      <w:w w:val="70"/>
                      <w:sz w:val="20"/>
                      <w:szCs w:val="20"/>
                      <w:lang w:eastAsia="zh-CN"/>
                    </w:rPr>
                    <w:t>（</w:t>
                  </w:r>
                  <w:r>
                    <w:rPr>
                      <w:rFonts w:hint="default" w:ascii="Calibri" w:hAnsi="Calibri" w:eastAsia="楷体_GB2312" w:cs="Calibri"/>
                      <w:snapToGrid/>
                      <w:w w:val="70"/>
                      <w:sz w:val="20"/>
                      <w:szCs w:val="20"/>
                      <w:lang w:eastAsia="zh-CN"/>
                    </w:rPr>
                    <w:t>香港法例第571章</w:t>
                  </w:r>
                  <w:r>
                    <w:rPr>
                      <w:rFonts w:hint="default" w:ascii="Calibri" w:hAnsi="Calibri" w:eastAsia="楷体_GB2312" w:cs="Calibri"/>
                      <w:w w:val="70"/>
                      <w:sz w:val="20"/>
                      <w:szCs w:val="20"/>
                      <w:lang w:eastAsia="zh-CN"/>
                    </w:rPr>
                    <w:t>）（</w:t>
                  </w:r>
                  <w:r>
                    <w:rPr>
                      <w:rFonts w:hint="default" w:ascii="Calibri" w:hAnsi="Calibri" w:eastAsia="楷体_GB2312" w:cs="Calibri"/>
                      <w:snapToGrid/>
                      <w:w w:val="70"/>
                      <w:sz w:val="20"/>
                      <w:szCs w:val="20"/>
                      <w:lang w:eastAsia="zh-CN"/>
                    </w:rPr>
                    <w:t>以下简称“SFO”</w:t>
                  </w:r>
                  <w:r>
                    <w:rPr>
                      <w:rFonts w:hint="default" w:ascii="Calibri" w:hAnsi="Calibri" w:eastAsia="楷体_GB2312" w:cs="Calibri"/>
                      <w:w w:val="70"/>
                      <w:sz w:val="20"/>
                      <w:szCs w:val="20"/>
                      <w:lang w:eastAsia="zh-CN"/>
                    </w:rPr>
                    <w:t>）</w:t>
                  </w:r>
                  <w:r>
                    <w:rPr>
                      <w:rFonts w:hint="default" w:ascii="Calibri" w:hAnsi="Calibri" w:eastAsia="楷体_GB2312" w:cs="Calibri"/>
                      <w:snapToGrid/>
                      <w:w w:val="70"/>
                      <w:sz w:val="20"/>
                      <w:szCs w:val="20"/>
                      <w:lang w:eastAsia="zh-CN"/>
                    </w:rPr>
                    <w:t>所界定的要约邀请，证券要约或公众要约。本研究报告仅提供给SFO所界定的“专业投资者”。本研究报告未经过证券及期货事务监察委员会的审查。您不应仅根据本研究报告中所载的信息做出投资决定。本研究报告的收件人就研究报告中产生或与之相关的任何事宜请联系</w:t>
                  </w:r>
                  <w:r>
                    <w:rPr>
                      <w:rFonts w:hint="default" w:ascii="Calibri" w:hAnsi="Calibri" w:eastAsia="楷体_GB2312" w:cs="Calibri"/>
                      <w:snapToGrid/>
                      <w:w w:val="70"/>
                      <w:sz w:val="20"/>
                      <w:szCs w:val="20"/>
                      <w:lang w:eastAsia="zh-CN"/>
                    </w:rPr>
                    <w:t>华福国际</w:t>
                  </w:r>
                  <w:r>
                    <w:rPr>
                      <w:rFonts w:hint="default" w:ascii="Calibri" w:hAnsi="Calibri" w:eastAsia="楷体_GB2312" w:cs="Calibri"/>
                      <w:snapToGrid/>
                      <w:w w:val="70"/>
                      <w:sz w:val="20"/>
                      <w:szCs w:val="20"/>
                      <w:lang w:eastAsia="zh-CN"/>
                    </w:rPr>
                    <w:t>销售人员。</w:t>
                  </w:r>
                </w:p>
                <w:p w14:paraId="62BB3189">
                  <w:pPr>
                    <w:pStyle w:val="44"/>
                    <w:spacing w:after="40"/>
                    <w:rPr>
                      <w:rFonts w:hint="default" w:ascii="Calibri" w:hAnsi="Calibri" w:eastAsia="楷体_GB2312" w:cs="Calibri"/>
                      <w:b/>
                      <w:bCs/>
                      <w:w w:val="70"/>
                      <w:sz w:val="20"/>
                      <w:szCs w:val="20"/>
                    </w:rPr>
                  </w:pPr>
                  <w:r>
                    <w:rPr>
                      <w:rFonts w:hint="default" w:ascii="Calibri" w:hAnsi="Calibri" w:eastAsia="楷体_GB2312" w:cs="Calibri"/>
                      <w:b/>
                      <w:bCs/>
                      <w:w w:val="70"/>
                      <w:sz w:val="20"/>
                      <w:szCs w:val="20"/>
                    </w:rPr>
                    <w:t>DISTRIBUTION AND REGIONAL NOTICES</w:t>
                  </w:r>
                </w:p>
                <w:p w14:paraId="42682D7C">
                  <w:pPr>
                    <w:pStyle w:val="44"/>
                    <w:spacing w:after="40"/>
                    <w:rPr>
                      <w:rFonts w:hint="default" w:ascii="Calibri" w:hAnsi="Calibri" w:eastAsia="楷体_GB2312" w:cs="Calibri"/>
                      <w:w w:val="70"/>
                      <w:sz w:val="20"/>
                      <w:szCs w:val="20"/>
                    </w:rPr>
                  </w:pPr>
                  <w:r>
                    <w:rPr>
                      <w:rFonts w:hint="default" w:ascii="Calibri" w:hAnsi="Calibri" w:eastAsia="楷体_GB2312" w:cs="Calibri"/>
                      <w:w w:val="70"/>
                      <w:sz w:val="20"/>
                      <w:szCs w:val="20"/>
                    </w:rPr>
                    <w:t xml:space="preserve">Except as otherwise indicated below, any Recipient wishing to discuss this research report or effect any transaction in any security discussed in </w:t>
                  </w: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 xml:space="preserve">’s research should contact the </w:t>
                  </w:r>
                  <w:r>
                    <w:rPr>
                      <w:rFonts w:hint="default" w:ascii="Calibri" w:hAnsi="Calibri" w:eastAsia="楷体_GB2312" w:cs="Calibri"/>
                      <w:w w:val="70"/>
                      <w:sz w:val="20"/>
                      <w:szCs w:val="20"/>
                      <w:lang w:eastAsia="zh-CN"/>
                    </w:rPr>
                    <w:t xml:space="preserve">HuaFu </w:t>
                  </w:r>
                  <w:r>
                    <w:rPr>
                      <w:rFonts w:hint="default" w:ascii="Calibri" w:hAnsi="Calibri" w:eastAsia="楷体_GB2312" w:cs="Calibri"/>
                      <w:w w:val="70"/>
                      <w:sz w:val="20"/>
                      <w:szCs w:val="20"/>
                    </w:rPr>
                    <w:t xml:space="preserve">International salesperson in their own country or region.  </w:t>
                  </w:r>
                </w:p>
                <w:p w14:paraId="31A5CA49">
                  <w:pPr>
                    <w:pStyle w:val="44"/>
                    <w:spacing w:after="40"/>
                    <w:rPr>
                      <w:rFonts w:hint="default" w:ascii="Calibri" w:hAnsi="Calibri" w:eastAsia="楷体_GB2312" w:cs="Calibri"/>
                      <w:w w:val="70"/>
                      <w:sz w:val="20"/>
                      <w:szCs w:val="20"/>
                    </w:rPr>
                  </w:pPr>
                  <w:r>
                    <w:rPr>
                      <w:rFonts w:hint="default" w:ascii="Calibri" w:hAnsi="Calibri" w:eastAsia="楷体_GB2312" w:cs="Calibri"/>
                      <w:b/>
                      <w:bCs/>
                      <w:w w:val="70"/>
                      <w:sz w:val="20"/>
                      <w:szCs w:val="20"/>
                    </w:rPr>
                    <w:t xml:space="preserve">Notice to Hong Kong investors: </w:t>
                  </w:r>
                  <w:r>
                    <w:rPr>
                      <w:rFonts w:hint="default" w:ascii="Calibri" w:hAnsi="Calibri" w:eastAsia="楷体_GB2312" w:cs="Calibri"/>
                      <w:w w:val="70"/>
                      <w:sz w:val="20"/>
                      <w:szCs w:val="20"/>
                    </w:rPr>
                    <w:t xml:space="preserve">The research report is distributed by </w:t>
                  </w:r>
                  <w:r>
                    <w:rPr>
                      <w:rFonts w:hint="default" w:ascii="Calibri" w:hAnsi="Calibri" w:eastAsia="楷体_GB2312" w:cs="Calibri"/>
                      <w:w w:val="70"/>
                      <w:sz w:val="20"/>
                      <w:szCs w:val="20"/>
                      <w:lang w:eastAsia="zh-CN"/>
                    </w:rPr>
                    <w:t>HuaFu</w:t>
                  </w:r>
                  <w:r>
                    <w:rPr>
                      <w:rFonts w:hint="default" w:ascii="Calibri" w:hAnsi="Calibri" w:eastAsia="楷体_GB2312" w:cs="Calibri"/>
                      <w:w w:val="70"/>
                      <w:sz w:val="20"/>
                      <w:szCs w:val="20"/>
                    </w:rPr>
                    <w:t xml:space="preserve"> International, which is a licensed corporation to carry on Type 1 regulated activity (dealing in securities) in Hong Kong. This research report does not constitute a solicitation or an offer of securities or an invitation to the public within the meaning of the SFO. This research report is only to be circulated to "Professional Investors" as defined in the SFO. This research report has not been reviewed by the Securities and Futures Commission. You should not make investment decisions solely on the basis of the information contained in this research report. Recipients of this research report are to contact </w:t>
                  </w: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 xml:space="preserve"> salespersons in respect of any matters arising from, or in connection with, the research report.</w:t>
                  </w:r>
                </w:p>
                <w:p w14:paraId="404E1D00">
                  <w:pPr>
                    <w:pStyle w:val="44"/>
                    <w:spacing w:after="60"/>
                    <w:rPr>
                      <w:rFonts w:hint="default" w:ascii="Calibri" w:hAnsi="Calibri" w:eastAsia="楷体_GB2312" w:cs="Calibri"/>
                      <w:b/>
                      <w:w w:val="70"/>
                      <w:sz w:val="20"/>
                      <w:szCs w:val="20"/>
                    </w:rPr>
                  </w:pPr>
                </w:p>
              </w:tc>
            </w:tr>
            <w:tr w14:paraId="623A45B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20368186">
                  <w:pPr>
                    <w:pStyle w:val="44"/>
                    <w:spacing w:after="60"/>
                    <w:rPr>
                      <w:rFonts w:hint="default" w:ascii="Calibri" w:hAnsi="Calibri" w:eastAsia="楷体_GB2312" w:cs="Calibri"/>
                      <w:w w:val="70"/>
                      <w:sz w:val="20"/>
                      <w:szCs w:val="20"/>
                      <w:lang w:eastAsia="zh-CN"/>
                    </w:rPr>
                  </w:pPr>
                  <w:r>
                    <w:rPr>
                      <w:rFonts w:hint="default" w:ascii="Calibri" w:hAnsi="Calibri" w:eastAsia="楷体_GB2312" w:cs="Calibri"/>
                      <w:b/>
                      <w:w w:val="70"/>
                      <w:sz w:val="20"/>
                      <w:szCs w:val="20"/>
                      <w:lang w:eastAsia="zh-CN"/>
                    </w:rPr>
                    <w:t>中华人民共和国的通知事项：</w:t>
                  </w:r>
                  <w:r>
                    <w:rPr>
                      <w:rFonts w:hint="default" w:ascii="Calibri" w:hAnsi="Calibri" w:eastAsia="楷体_GB2312" w:cs="Calibri"/>
                      <w:w w:val="70"/>
                      <w:sz w:val="20"/>
                      <w:szCs w:val="20"/>
                      <w:lang w:eastAsia="zh-CN"/>
                    </w:rPr>
                    <w:t>在中华人民共和国</w:t>
                  </w:r>
                  <w:r>
                    <w:rPr>
                      <w:rFonts w:hint="default" w:ascii="Calibri" w:hAnsi="Calibri" w:eastAsia="楷体_GB2312" w:cs="Calibri"/>
                      <w:snapToGrid/>
                      <w:w w:val="70"/>
                      <w:sz w:val="20"/>
                      <w:szCs w:val="20"/>
                      <w:lang w:eastAsia="zh-CN"/>
                    </w:rPr>
                    <w:t>（</w:t>
                  </w:r>
                  <w:r>
                    <w:rPr>
                      <w:rFonts w:hint="default" w:ascii="Calibri" w:hAnsi="Calibri" w:eastAsia="楷体_GB2312" w:cs="Calibri"/>
                      <w:w w:val="70"/>
                      <w:sz w:val="20"/>
                      <w:szCs w:val="20"/>
                      <w:lang w:eastAsia="zh-CN"/>
                    </w:rPr>
                    <w:t>下称“中国”，就本报告目的而言，不包括香港特别行政区、澳门特别行政区和台湾）只有根据适用的中国法律法规而收到该材料的人员方可使用该材料。并且根据相关法律法规，该材料中的信息并不构成“在中国从事生产、经营活动”。本文件在中国并不构成相关证券的公共发售或认购。无论根据法律规定或其他任何规定，在取得中国政府所有的批准或许可之前，任何法人或自然人均不得直接或间接地购买本材料中的任何证券或任何实益权益。接收本文件的人员须遵守上述限制性规定。</w:t>
                  </w:r>
                </w:p>
                <w:p w14:paraId="6613BFD4">
                  <w:pPr>
                    <w:pStyle w:val="44"/>
                    <w:spacing w:after="60"/>
                    <w:rPr>
                      <w:rFonts w:hint="default" w:ascii="Calibri" w:hAnsi="Calibri" w:eastAsia="楷体_GB2312" w:cs="Calibri"/>
                      <w:w w:val="70"/>
                      <w:sz w:val="20"/>
                      <w:szCs w:val="20"/>
                      <w:lang w:eastAsia="zh-CN"/>
                    </w:rPr>
                  </w:pPr>
                  <w:r>
                    <w:rPr>
                      <w:rFonts w:hint="default" w:ascii="Calibri" w:hAnsi="Calibri" w:eastAsia="楷体_GB2312" w:cs="Calibri"/>
                      <w:w w:val="70"/>
                      <w:sz w:val="20"/>
                      <w:szCs w:val="20"/>
                      <w:lang w:eastAsia="zh-CN"/>
                    </w:rPr>
                    <w:t>本项研究仅供收件人使用，未经</w:t>
                  </w:r>
                  <w:r>
                    <w:rPr>
                      <w:rFonts w:hint="default" w:ascii="Calibri" w:hAnsi="Calibri" w:eastAsia="楷体_GB2312" w:cs="Calibri"/>
                      <w:w w:val="70"/>
                      <w:sz w:val="20"/>
                      <w:szCs w:val="20"/>
                      <w:lang w:eastAsia="zh-CN"/>
                    </w:rPr>
                    <w:t>华福</w:t>
                  </w:r>
                  <w:r>
                    <w:rPr>
                      <w:rFonts w:hint="default" w:ascii="Calibri" w:hAnsi="Calibri" w:eastAsia="楷体_GB2312" w:cs="Calibri"/>
                      <w:w w:val="70"/>
                      <w:sz w:val="20"/>
                      <w:szCs w:val="20"/>
                      <w:lang w:eastAsia="zh-CN"/>
                    </w:rPr>
                    <w:t>国际的书面同意不得予以复制和再次分发。</w:t>
                  </w:r>
                </w:p>
                <w:p w14:paraId="1EB3132A">
                  <w:pPr>
                    <w:pStyle w:val="44"/>
                    <w:rPr>
                      <w:rFonts w:hint="default" w:ascii="Calibri" w:hAnsi="Calibri" w:eastAsia="楷体_GB2312" w:cs="Calibri"/>
                      <w:w w:val="70"/>
                      <w:sz w:val="20"/>
                      <w:szCs w:val="20"/>
                      <w:lang w:eastAsia="zh-CN"/>
                    </w:rPr>
                  </w:pPr>
                  <w:r>
                    <w:rPr>
                      <w:rFonts w:hint="default" w:ascii="Calibri" w:hAnsi="Calibri" w:eastAsia="楷体_GB2312" w:cs="Calibri"/>
                      <w:w w:val="70"/>
                      <w:sz w:val="20"/>
                      <w:szCs w:val="20"/>
                      <w:lang w:eastAsia="zh-CN"/>
                    </w:rPr>
                    <w:t>版权所有：</w:t>
                  </w:r>
                  <w:r>
                    <w:rPr>
                      <w:rFonts w:hint="default" w:ascii="Calibri" w:hAnsi="Calibri" w:eastAsia="楷体_GB2312" w:cs="Calibri"/>
                      <w:w w:val="70"/>
                      <w:sz w:val="20"/>
                      <w:szCs w:val="20"/>
                      <w:lang w:eastAsia="zh-CN"/>
                    </w:rPr>
                    <w:t>华福</w:t>
                  </w:r>
                  <w:r>
                    <w:rPr>
                      <w:rFonts w:hint="default" w:ascii="Calibri" w:hAnsi="Calibri" w:eastAsia="楷体_GB2312" w:cs="Calibri"/>
                      <w:w w:val="70"/>
                      <w:sz w:val="20"/>
                      <w:szCs w:val="20"/>
                      <w:lang w:eastAsia="zh-CN"/>
                    </w:rPr>
                    <w:t>国际</w:t>
                  </w:r>
                  <w:r>
                    <w:rPr>
                      <w:rFonts w:hint="default" w:ascii="Calibri" w:hAnsi="Calibri" w:eastAsia="楷体_GB2312" w:cs="Calibri"/>
                      <w:w w:val="70"/>
                      <w:sz w:val="20"/>
                      <w:szCs w:val="20"/>
                      <w:lang w:eastAsia="zh-CN"/>
                    </w:rPr>
                    <w:t>2025</w:t>
                  </w:r>
                  <w:r>
                    <w:rPr>
                      <w:rFonts w:hint="default" w:ascii="Calibri" w:hAnsi="Calibri" w:eastAsia="楷体_GB2312" w:cs="Calibri"/>
                      <w:w w:val="70"/>
                      <w:sz w:val="20"/>
                      <w:szCs w:val="20"/>
                      <w:lang w:eastAsia="zh-CN"/>
                    </w:rPr>
                    <w:t>年。保留所有权利。</w:t>
                  </w:r>
                </w:p>
                <w:p w14:paraId="56F3025B">
                  <w:pPr>
                    <w:pStyle w:val="44"/>
                    <w:spacing w:after="120"/>
                    <w:rPr>
                      <w:rFonts w:hint="default" w:ascii="Calibri" w:hAnsi="Calibri" w:eastAsia="楷体_GB2312" w:cs="Calibri"/>
                      <w:w w:val="70"/>
                      <w:sz w:val="20"/>
                      <w:szCs w:val="20"/>
                    </w:rPr>
                  </w:pPr>
                  <w:r>
                    <w:rPr>
                      <w:rFonts w:hint="default" w:ascii="Calibri" w:hAnsi="Calibri" w:eastAsia="楷体_GB2312" w:cs="Calibri"/>
                      <w:b/>
                      <w:w w:val="70"/>
                      <w:sz w:val="20"/>
                      <w:szCs w:val="20"/>
                      <w:lang w:eastAsia="zh-CN"/>
                    </w:rPr>
                    <w:t>People’s Republic of China (PRC):</w:t>
                  </w:r>
                  <w:r>
                    <w:rPr>
                      <w:rFonts w:hint="default" w:ascii="Calibri" w:hAnsi="Calibri" w:eastAsia="楷体_GB2312" w:cs="Calibri"/>
                      <w:w w:val="70"/>
                      <w:sz w:val="20"/>
                      <w:szCs w:val="20"/>
                      <w:lang w:eastAsia="zh-CN"/>
                    </w:rPr>
                    <w:t xml:space="preserve"> In the PRC, the research report is directed for the sole use of those who receive the research report in accordance with the applicable PRC laws and regulations. </w:t>
                  </w:r>
                  <w:r>
                    <w:rPr>
                      <w:rFonts w:hint="default" w:ascii="Calibri" w:hAnsi="Calibri" w:eastAsia="楷体_GB2312" w:cs="Calibri"/>
                      <w:w w:val="70"/>
                      <w:sz w:val="20"/>
                      <w:szCs w:val="20"/>
                    </w:rPr>
                    <w:t>Further, the information on the research report does not constitute "production and business activities in the PRC" under relevant PRC laws. This research report does not constitute a public offer of the security, whether by sale or subscription, in the PRC. Further, no legal or natural persons of the PRC may directly or indirectly purchase any of the security or any beneficial interest therein without obtaining all prior PRC government approvals or licenses that are required, whether statutorily or otherwise. Persons who come into possession of this research are required to observe these restrictions.</w:t>
                  </w:r>
                </w:p>
                <w:p w14:paraId="43AE3D91">
                  <w:pPr>
                    <w:pStyle w:val="44"/>
                    <w:spacing w:after="120"/>
                    <w:rPr>
                      <w:rFonts w:hint="default" w:ascii="Calibri" w:hAnsi="Calibri" w:eastAsia="楷体_GB2312" w:cs="Calibri"/>
                      <w:w w:val="70"/>
                      <w:sz w:val="20"/>
                      <w:szCs w:val="20"/>
                    </w:rPr>
                  </w:pPr>
                  <w:r>
                    <w:rPr>
                      <w:rFonts w:hint="default" w:ascii="Calibri" w:hAnsi="Calibri" w:eastAsia="楷体_GB2312" w:cs="Calibri"/>
                      <w:w w:val="70"/>
                      <w:sz w:val="20"/>
                      <w:szCs w:val="20"/>
                    </w:rPr>
                    <w:t xml:space="preserve">This research report is intended for the recipients only and may not be reproduced or redistributed without the written consent of an authorized signatory of </w:t>
                  </w: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w:t>
                  </w:r>
                </w:p>
                <w:p w14:paraId="0E7CBBB8">
                  <w:pPr>
                    <w:pStyle w:val="44"/>
                    <w:spacing w:after="60"/>
                    <w:rPr>
                      <w:rFonts w:hint="default" w:ascii="Calibri" w:hAnsi="Calibri" w:eastAsia="楷体_GB2312" w:cs="Calibri"/>
                      <w:b/>
                      <w:w w:val="70"/>
                      <w:sz w:val="20"/>
                      <w:szCs w:val="20"/>
                    </w:rPr>
                  </w:pPr>
                  <w:r>
                    <w:rPr>
                      <w:rFonts w:hint="default" w:ascii="Calibri" w:hAnsi="Calibri" w:eastAsia="楷体_GB2312" w:cs="Calibri"/>
                      <w:w w:val="70"/>
                      <w:sz w:val="20"/>
                      <w:szCs w:val="20"/>
                    </w:rPr>
                    <w:t xml:space="preserve">Copyright: </w:t>
                  </w:r>
                  <w:r>
                    <w:rPr>
                      <w:rFonts w:hint="default" w:ascii="Calibri" w:hAnsi="Calibri" w:eastAsia="楷体_GB2312" w:cs="Calibri"/>
                      <w:w w:val="70"/>
                      <w:sz w:val="20"/>
                      <w:szCs w:val="20"/>
                      <w:lang w:eastAsia="zh-CN"/>
                    </w:rPr>
                    <w:t>HuaFu</w:t>
                  </w:r>
                  <w:r>
                    <w:rPr>
                      <w:rFonts w:hint="default" w:ascii="Calibri" w:hAnsi="Calibri" w:eastAsia="楷体_GB2312" w:cs="Calibri"/>
                      <w:w w:val="70"/>
                      <w:sz w:val="20"/>
                      <w:szCs w:val="20"/>
                    </w:rPr>
                    <w:t xml:space="preserve"> International </w:t>
                  </w:r>
                  <w:r>
                    <w:rPr>
                      <w:rFonts w:hint="default" w:ascii="Calibri" w:hAnsi="Calibri" w:eastAsia="楷体_GB2312" w:cs="Calibri"/>
                      <w:w w:val="70"/>
                      <w:sz w:val="20"/>
                      <w:szCs w:val="20"/>
                      <w:lang w:eastAsia="zh-CN"/>
                    </w:rPr>
                    <w:t>2025</w:t>
                  </w:r>
                  <w:r>
                    <w:rPr>
                      <w:rFonts w:hint="default" w:ascii="Calibri" w:hAnsi="Calibri" w:eastAsia="楷体_GB2312" w:cs="Calibri"/>
                      <w:w w:val="70"/>
                      <w:sz w:val="20"/>
                      <w:szCs w:val="20"/>
                    </w:rPr>
                    <w:t>. All rights reserved</w:t>
                  </w:r>
                </w:p>
              </w:tc>
            </w:tr>
            <w:tr w14:paraId="27508A5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7091E023">
                  <w:pPr>
                    <w:pStyle w:val="44"/>
                    <w:spacing w:after="60"/>
                    <w:rPr>
                      <w:rFonts w:hint="default" w:ascii="Calibri" w:hAnsi="Calibri" w:eastAsia="楷体_GB2312" w:cs="Calibri"/>
                      <w:b/>
                      <w:w w:val="70"/>
                      <w:sz w:val="20"/>
                      <w:szCs w:val="20"/>
                    </w:rPr>
                  </w:pPr>
                </w:p>
              </w:tc>
            </w:tr>
            <w:tr w14:paraId="6C26127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nil"/>
                  </w:tcBorders>
                </w:tcPr>
                <w:p w14:paraId="57D6F29B">
                  <w:pPr>
                    <w:pStyle w:val="44"/>
                    <w:spacing w:after="60"/>
                    <w:rPr>
                      <w:rFonts w:hint="default" w:ascii="Calibri" w:hAnsi="Calibri" w:eastAsia="楷体_GB2312" w:cs="Calibri"/>
                      <w:b/>
                      <w:w w:val="70"/>
                      <w:sz w:val="20"/>
                      <w:szCs w:val="20"/>
                      <w:lang w:eastAsia="zh-CN"/>
                    </w:rPr>
                  </w:pPr>
                </w:p>
              </w:tc>
            </w:tr>
          </w:tbl>
          <w:p w14:paraId="0B9EC66F">
            <w:pPr>
              <w:pStyle w:val="81"/>
              <w:rPr>
                <w:rFonts w:hint="default" w:ascii="Calibri" w:hAnsi="Calibri" w:eastAsia="楷体_GB2312" w:cs="Calibri"/>
                <w:sz w:val="16"/>
              </w:rPr>
            </w:pPr>
          </w:p>
          <w:p w14:paraId="652F3F27">
            <w:pPr>
              <w:rPr>
                <w:rFonts w:hint="default" w:ascii="Calibri" w:hAnsi="Calibri" w:eastAsia="楷体_GB2312" w:cs="Calibri"/>
                <w:lang w:val="en-US"/>
              </w:rPr>
            </w:pPr>
          </w:p>
        </w:tc>
      </w:tr>
      <w:tr w14:paraId="6E892BC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848" w:hRule="atLeast"/>
        </w:trPr>
        <w:tc>
          <w:tcPr>
            <w:tcW w:w="11252" w:type="dxa"/>
          </w:tcPr>
          <w:p w14:paraId="0EE47C9D">
            <w:pPr>
              <w:pStyle w:val="44"/>
              <w:spacing w:line="100" w:lineRule="exact"/>
              <w:rPr>
                <w:rFonts w:hint="default" w:ascii="Calibri" w:hAnsi="Calibri" w:eastAsia="楷体_GB2312" w:cs="Calibri"/>
                <w:b/>
                <w:bCs/>
                <w:w w:val="70"/>
                <w:sz w:val="22"/>
                <w:szCs w:val="22"/>
              </w:rPr>
            </w:pPr>
          </w:p>
          <w:tbl>
            <w:tblPr>
              <w:tblStyle w:val="27"/>
              <w:tblW w:w="0" w:type="auto"/>
              <w:tblCaption w:val="[Table_RecommendationChart]"/>
              <w:tblDescription w:val="表格隐藏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96"/>
            </w:tblGrid>
            <w:tr w14:paraId="3D5DFB2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rPr>
                <w:trHeight w:val="23" w:hRule="exact"/>
              </w:trPr>
              <w:tc>
                <w:tcPr>
                  <w:tcW w:w="11199" w:type="dxa"/>
                </w:tcPr>
                <w:p w14:paraId="6E8D4A08">
                  <w:pPr>
                    <w:pStyle w:val="44"/>
                    <w:rPr>
                      <w:rFonts w:hint="default" w:ascii="Calibri" w:hAnsi="Calibri" w:eastAsia="楷体_GB2312" w:cs="Calibri"/>
                      <w:b/>
                      <w:color w:val="FFFFFF" w:themeColor="background1"/>
                      <w:w w:val="70"/>
                      <w:sz w:val="20"/>
                      <w:szCs w:val="20"/>
                      <w:lang w:eastAsia="zh-CN"/>
                      <w14:textFill>
                        <w14:solidFill>
                          <w14:schemeClr w14:val="bg1"/>
                        </w14:solidFill>
                      </w14:textFill>
                    </w:rPr>
                  </w:pPr>
                  <w:r>
                    <w:rPr>
                      <w:rFonts w:hint="default" w:ascii="Calibri" w:hAnsi="Calibri" w:eastAsia="楷体_GB2312" w:cs="Calibri"/>
                      <w:b/>
                      <w:color w:val="FFFFFF" w:themeColor="background1"/>
                      <w:w w:val="70"/>
                      <w:sz w:val="20"/>
                      <w:szCs w:val="20"/>
                      <w:lang w:eastAsia="zh-CN"/>
                      <w14:textFill>
                        <w14:solidFill>
                          <w14:schemeClr w14:val="bg1"/>
                        </w14:solidFill>
                      </w14:textFill>
                    </w:rPr>
                    <w:t>[Table_RecommendationChart]</w:t>
                  </w:r>
                </w:p>
              </w:tc>
            </w:tr>
            <w:tr w14:paraId="3B048D8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199" w:type="dxa"/>
                </w:tcPr>
                <w:p w14:paraId="597A11AA">
                  <w:pPr>
                    <w:pStyle w:val="44"/>
                    <w:rPr>
                      <w:rFonts w:hint="default" w:ascii="Calibri" w:hAnsi="Calibri" w:eastAsia="楷体_GB2312" w:cs="Calibri"/>
                      <w:lang w:eastAsia="zh-CN"/>
                    </w:rPr>
                  </w:pPr>
                </w:p>
              </w:tc>
            </w:tr>
            <w:tr w14:paraId="740B091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199" w:type="dxa"/>
                </w:tcPr>
                <w:p w14:paraId="38B788E2">
                  <w:pPr>
                    <w:pStyle w:val="44"/>
                    <w:rPr>
                      <w:rFonts w:hint="default" w:ascii="Calibri" w:hAnsi="Calibri" w:eastAsia="楷体_GB2312" w:cs="Calibri"/>
                      <w:b/>
                      <w:w w:val="70"/>
                      <w:sz w:val="20"/>
                      <w:szCs w:val="20"/>
                    </w:rPr>
                  </w:pPr>
                </w:p>
              </w:tc>
            </w:tr>
            <w:tr w14:paraId="51106585">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c>
                <w:tcPr>
                  <w:tcW w:w="11199" w:type="dxa"/>
                </w:tcPr>
                <w:p w14:paraId="666879AA">
                  <w:pPr>
                    <w:pStyle w:val="44"/>
                    <w:rPr>
                      <w:rFonts w:hint="default" w:ascii="Calibri" w:hAnsi="Calibri" w:eastAsia="楷体_GB2312" w:cs="Calibri"/>
                      <w:b/>
                      <w:w w:val="70"/>
                      <w:sz w:val="20"/>
                      <w:szCs w:val="20"/>
                    </w:rPr>
                  </w:pPr>
                </w:p>
              </w:tc>
            </w:tr>
          </w:tbl>
          <w:p w14:paraId="7D137555">
            <w:pPr>
              <w:pStyle w:val="44"/>
              <w:spacing w:after="60"/>
              <w:rPr>
                <w:rFonts w:hint="default" w:ascii="Calibri" w:hAnsi="Calibri" w:eastAsia="楷体_GB2312" w:cs="Calibri"/>
                <w:b/>
                <w:bCs/>
                <w:w w:val="70"/>
                <w:sz w:val="22"/>
                <w:szCs w:val="22"/>
              </w:rPr>
            </w:pPr>
          </w:p>
        </w:tc>
      </w:tr>
    </w:tbl>
    <w:p w14:paraId="1F621CEF">
      <w:pPr>
        <w:pStyle w:val="81"/>
        <w:rPr>
          <w:rFonts w:hint="default" w:ascii="Calibri" w:hAnsi="Calibri" w:eastAsia="楷体_GB2312" w:cs="Calibri"/>
          <w:w w:val="70"/>
          <w:sz w:val="20"/>
          <w:szCs w:val="20"/>
          <w:lang w:val="en-GB"/>
        </w:rPr>
      </w:pPr>
    </w:p>
    <w:p w14:paraId="11FCBEFD">
      <w:pPr>
        <w:pStyle w:val="81"/>
        <w:rPr>
          <w:rFonts w:hint="default" w:ascii="Calibri" w:hAnsi="Calibri" w:eastAsia="楷体_GB2312" w:cs="Calibri"/>
          <w:lang w:val="en-GB"/>
        </w:rPr>
      </w:pPr>
    </w:p>
    <w:sectPr>
      <w:headerReference r:id="rId8" w:type="first"/>
      <w:footerReference r:id="rId10" w:type="first"/>
      <w:headerReference r:id="rId7" w:type="default"/>
      <w:footerReference r:id="rId9" w:type="default"/>
      <w:pgSz w:w="11909" w:h="16834"/>
      <w:pgMar w:top="1077" w:right="567" w:bottom="1021" w:left="329" w:header="720" w:footer="1156"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ＭＳ 明朝">
    <w:altName w:val="Segoe Print"/>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font>
  <w:font w:name="Cambria">
    <w:panose1 w:val="02040503050406030204"/>
    <w:charset w:val="00"/>
    <w:family w:val="roman"/>
    <w:pitch w:val="default"/>
    <w:sig w:usb0="E00006FF" w:usb1="420024FF" w:usb2="02000000" w:usb3="00000000" w:csb0="2000019F" w:csb1="00000000"/>
  </w:font>
  <w:font w:name="楷体_GB2312">
    <w:panose1 w:val="02010609030101010101"/>
    <w:charset w:val="86"/>
    <w:family w:val="modern"/>
    <w:pitch w:val="default"/>
    <w:sig w:usb0="00000001" w:usb1="080E0000" w:usb2="00000000" w:usb3="00000000" w:csb0="00040000" w:csb1="00000000"/>
  </w:font>
  <w:font w:name="汉仪楷体简">
    <w:altName w:val="楷体_GB2312"/>
    <w:panose1 w:val="00000000000000000000"/>
    <w:charset w:val="86"/>
    <w:family w:val="modern"/>
    <w:pitch w:val="default"/>
    <w:sig w:usb0="00000000" w:usb1="00000000" w:usb2="00000002" w:usb3="00000000" w:csb0="00040000" w:csb1="00000000"/>
  </w:font>
  <w:font w:name="汉仪大黑简">
    <w:altName w:val="黑体"/>
    <w:panose1 w:val="00000000000000000000"/>
    <w:charset w:val="86"/>
    <w:family w:val="roman"/>
    <w:pitch w:val="default"/>
    <w:sig w:usb0="00000000" w:usb1="00000000" w:usb2="00000002" w:usb3="00000000" w:csb0="00040000" w:csb1="00000000"/>
  </w:font>
  <w:font w:name="Tahoma">
    <w:panose1 w:val="020B0604030504040204"/>
    <w:charset w:val="00"/>
    <w:family w:val="swiss"/>
    <w:pitch w:val="default"/>
    <w:sig w:usb0="E1002EFF" w:usb1="C000605B" w:usb2="00000029" w:usb3="00000000" w:csb0="200101FF" w:csb1="20280000"/>
  </w:font>
  <w:font w:name="Wingdings 3">
    <w:panose1 w:val="05040102010807070707"/>
    <w:charset w:val="02"/>
    <w:family w:val="roman"/>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PMingLiU">
    <w:altName w:val="PMingLiU-ExtB"/>
    <w:panose1 w:val="02020500000000000000"/>
    <w:charset w:val="88"/>
    <w:family w:val="roman"/>
    <w:pitch w:val="default"/>
    <w:sig w:usb0="00000000" w:usb1="00000000" w:usb2="00000016" w:usb3="00000000" w:csb0="00100001" w:csb1="00000000"/>
  </w:font>
  <w:font w:name="PMingLiU">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roman"/>
    <w:pitch w:val=""/>
    <w:sig w:usb0="800002BF" w:usb1="38CF7CFA" w:usb2="00000016" w:usb3="00000000" w:csb0="00040001" w:csb1="00000000"/>
  </w:font>
  <w:font w:name="Yu Gothic UI">
    <w:panose1 w:val="020B0500000000000000"/>
    <w:charset w:val="80"/>
    <w:family w:val="auto"/>
    <w:pitch w:val="default"/>
    <w:sig w:usb0="E00002FF" w:usb1="2AC7FDFF" w:usb2="00000016" w:usb3="00000000" w:csb0="2002009F" w:csb1="00000000"/>
  </w:font>
  <w:font w:name="PMingLiU-ExtB">
    <w:panose1 w:val="02020500000000000000"/>
    <w:charset w:val="88"/>
    <w:family w:val="auto"/>
    <w:pitch w:val="default"/>
    <w:sig w:usb0="8000002F" w:usb1="02000008" w:usb2="00000000" w:usb3="00000000" w:csb0="00100001"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996346">
    <w:pPr>
      <w:pStyle w:val="42"/>
    </w:pPr>
    <w:r>
      <w:rPr>
        <w:lang w:eastAsia="zh-CN"/>
      </w:rPr>
      <mc:AlternateContent>
        <mc:Choice Requires="wps">
          <w:drawing>
            <wp:anchor distT="0" distB="0" distL="114300" distR="114300" simplePos="0" relativeHeight="251661312" behindDoc="0" locked="1" layoutInCell="1" allowOverlap="1">
              <wp:simplePos x="0" y="0"/>
              <wp:positionH relativeFrom="column">
                <wp:posOffset>-441325</wp:posOffset>
              </wp:positionH>
              <wp:positionV relativeFrom="page">
                <wp:posOffset>9845040</wp:posOffset>
              </wp:positionV>
              <wp:extent cx="7376160" cy="807720"/>
              <wp:effectExtent l="0" t="0" r="15240" b="11430"/>
              <wp:wrapNone/>
              <wp:docPr id="20" name="Text Box 281"/>
              <wp:cNvGraphicFramePr/>
              <a:graphic xmlns:a="http://schemas.openxmlformats.org/drawingml/2006/main">
                <a:graphicData uri="http://schemas.microsoft.com/office/word/2010/wordprocessingShape">
                  <wps:wsp>
                    <wps:cNvSpPr txBox="1">
                      <a:spLocks noChangeArrowheads="1"/>
                    </wps:cNvSpPr>
                    <wps:spPr bwMode="auto">
                      <a:xfrm>
                        <a:off x="0" y="0"/>
                        <a:ext cx="7376160" cy="807720"/>
                      </a:xfrm>
                      <a:prstGeom prst="rect">
                        <a:avLst/>
                      </a:prstGeom>
                      <a:noFill/>
                      <a:ln>
                        <a:noFill/>
                      </a:ln>
                    </wps:spPr>
                    <wps:txbx>
                      <w:txbxContent>
                        <w:tbl>
                          <w:tblPr>
                            <w:tblStyle w:val="27"/>
                            <w:tblW w:w="0" w:type="auto"/>
                            <w:tblCaption w:val="[Table_yejiao1]"/>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583"/>
                          </w:tblGrid>
                          <w:tr w14:paraId="3F7A508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rPr>
                              <w:trHeight w:val="23" w:hRule="exact"/>
                            </w:trPr>
                            <w:tc>
                              <w:tcPr>
                                <w:tcW w:w="11583" w:type="dxa"/>
                              </w:tcPr>
                              <w:p w14:paraId="114281CD">
                                <w:pPr>
                                  <w:pStyle w:val="59"/>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22C801A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583" w:type="dxa"/>
                              </w:tcPr>
                              <w:p w14:paraId="526FB6E3">
                                <w:pPr>
                                  <w:pStyle w:val="59"/>
                                  <w:rPr>
                                    <w:rFonts w:cs="Calibri"/>
                                    <w:b w:val="0"/>
                                    <w:sz w:val="21"/>
                                    <w:szCs w:val="21"/>
                                  </w:rPr>
                                </w:pPr>
                                <w:r>
                                  <w:rPr>
                                    <w:rFonts w:hint="eastAsia" w:eastAsia="楷体_GB2312" w:cs="Calibri"/>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6DF324D3">
                          <w:pPr>
                            <w:pStyle w:val="59"/>
                            <w:rPr>
                              <w:rFonts w:eastAsia="楷体_GB2312" w:cs="Calibri"/>
                              <w:b w:val="0"/>
                              <w:sz w:val="21"/>
                              <w:szCs w:val="21"/>
                            </w:rPr>
                          </w:pPr>
                        </w:p>
                      </w:txbxContent>
                    </wps:txbx>
                    <wps:bodyPr rot="0" vert="horz" wrap="square" lIns="0" tIns="0" rIns="0" bIns="0" anchor="t" anchorCtr="0" upright="1">
                      <a:noAutofit/>
                    </wps:bodyPr>
                  </wps:wsp>
                </a:graphicData>
              </a:graphic>
            </wp:anchor>
          </w:drawing>
        </mc:Choice>
        <mc:Fallback>
          <w:pict>
            <v:shape id="Text Box 281" o:spid="_x0000_s1026" o:spt="202" type="#_x0000_t202" style="position:absolute;left:0pt;margin-left:-34.75pt;margin-top:775.2pt;height:63.6pt;width:580.8pt;mso-position-vertical-relative:page;z-index:251661312;mso-width-relative:page;mso-height-relative:page;" filled="f" stroked="f" coordsize="21600,21600" o:gfxdata="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exclB9wAAAAOAQAADwAAAAAAAAABACAAAAAiAAAAZHJzL2Rv&#10;d25yZXYueG1sUEsBAhQAFAAAAAgAh07iQNFGDl/9AQAABwQAAA4AAAAAAAAAAQAgAAAAKwEAAGRy&#10;cy9lMm9Eb2MueG1sUEsFBgAAAAAGAAYAWQEAAJoFAAAAAA==&#10;">
              <v:fill on="f" focussize="0,0"/>
              <v:stroke on="f"/>
              <v:imagedata o:title=""/>
              <o:lock v:ext="edit" aspectratio="f"/>
              <v:textbox inset="0mm,0mm,0mm,0mm">
                <w:txbxContent>
                  <w:tbl>
                    <w:tblPr>
                      <w:tblStyle w:val="27"/>
                      <w:tblW w:w="0" w:type="auto"/>
                      <w:tblCaption w:val="[Table_yejiao1]"/>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583"/>
                    </w:tblGrid>
                    <w:tr w14:paraId="3F7A508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14:paraId="114281CD">
                          <w:pPr>
                            <w:pStyle w:val="59"/>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22C801A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583" w:type="dxa"/>
                        </w:tcPr>
                        <w:p w14:paraId="526FB6E3">
                          <w:pPr>
                            <w:pStyle w:val="59"/>
                            <w:rPr>
                              <w:rFonts w:cs="Calibri"/>
                              <w:b w:val="0"/>
                              <w:sz w:val="21"/>
                              <w:szCs w:val="21"/>
                            </w:rPr>
                          </w:pPr>
                          <w:r>
                            <w:rPr>
                              <w:rFonts w:hint="eastAsia" w:eastAsia="楷体_GB2312" w:cs="Calibri"/>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6DF324D3">
                    <w:pPr>
                      <w:pStyle w:val="59"/>
                      <w:rPr>
                        <w:rFonts w:eastAsia="楷体_GB2312" w:cs="Calibri"/>
                        <w:b w:val="0"/>
                        <w:sz w:val="21"/>
                        <w:szCs w:val="21"/>
                      </w:rPr>
                    </w:pPr>
                  </w:p>
                </w:txbxContent>
              </v:textbox>
              <w10:anchorlock/>
            </v:shape>
          </w:pict>
        </mc:Fallback>
      </mc:AlternateContent>
    </w:r>
    <w:r>
      <w:rPr>
        <w:lang w:eastAsia="zh-CN"/>
      </w:rPr>
      <mc:AlternateContent>
        <mc:Choice Requires="wps">
          <w:drawing>
            <wp:anchor distT="0" distB="0" distL="114300" distR="114300" simplePos="0" relativeHeight="251659264" behindDoc="0" locked="0" layoutInCell="1" allowOverlap="1">
              <wp:simplePos x="0" y="0"/>
              <wp:positionH relativeFrom="page">
                <wp:posOffset>85090</wp:posOffset>
              </wp:positionH>
              <wp:positionV relativeFrom="page">
                <wp:posOffset>9789160</wp:posOffset>
              </wp:positionV>
              <wp:extent cx="7404100" cy="50165"/>
              <wp:effectExtent l="0" t="0" r="6350" b="6985"/>
              <wp:wrapNone/>
              <wp:docPr id="15" name="Text Box 73"/>
              <wp:cNvGraphicFramePr/>
              <a:graphic xmlns:a="http://schemas.openxmlformats.org/drawingml/2006/main">
                <a:graphicData uri="http://schemas.microsoft.com/office/word/2010/wordprocessingShape">
                  <wps:wsp>
                    <wps:cNvSpPr txBox="1">
                      <a:spLocks noChangeArrowheads="1"/>
                    </wps:cNvSpPr>
                    <wps:spPr bwMode="auto">
                      <a:xfrm>
                        <a:off x="0" y="0"/>
                        <a:ext cx="7404100" cy="50165"/>
                      </a:xfrm>
                      <a:prstGeom prst="rect">
                        <a:avLst/>
                      </a:prstGeom>
                      <a:solidFill>
                        <a:srgbClr val="005BAC"/>
                      </a:solidFill>
                      <a:ln>
                        <a:noFill/>
                      </a:ln>
                    </wps:spPr>
                    <wps:txbx>
                      <w:txbxContent>
                        <w:p w14:paraId="47A65785">
                          <w:pPr>
                            <w:ind w:left="-180"/>
                          </w:pPr>
                        </w:p>
                      </w:txbxContent>
                    </wps:txbx>
                    <wps:bodyPr rot="0" vert="horz" wrap="square" lIns="91440" tIns="45720" rIns="91440" bIns="45720" anchor="t" anchorCtr="0" upright="1">
                      <a:noAutofit/>
                    </wps:bodyPr>
                  </wps:wsp>
                </a:graphicData>
              </a:graphic>
            </wp:anchor>
          </w:drawing>
        </mc:Choice>
        <mc:Fallback>
          <w:pict>
            <v:shape id="Text Box 73" o:spid="_x0000_s1026" o:spt="202" type="#_x0000_t202" style="position:absolute;left:0pt;margin-left:6.7pt;margin-top:770.8pt;height:3.95pt;width:583pt;mso-position-horizontal-relative:page;mso-position-vertical-relative:page;z-index:251659264;mso-width-relative:page;mso-height-relative:page;" fillcolor="#005BAC" filled="t" stroked="f" coordsize="21600,21600" o:gfxdata="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uMjSbtoA&#10;AAANAQAADwAAAAAAAAABACAAAAAiAAAAZHJzL2Rvd25yZXYueG1sUEsBAhQAFAAAAAgAh07iQI7t&#10;BuodAgAAPgQAAA4AAAAAAAAAAQAgAAAAKQEAAGRycy9lMm9Eb2MueG1sUEsFBgAAAAAGAAYAWQEA&#10;ALgFAAAAAA==&#10;">
              <v:fill on="t" focussize="0,0"/>
              <v:stroke on="f"/>
              <v:imagedata o:title=""/>
              <o:lock v:ext="edit" aspectratio="f"/>
              <v:textbox>
                <w:txbxContent>
                  <w:p w14:paraId="47A65785">
                    <w:pPr>
                      <w:ind w:left="-180"/>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6"/>
      <w:tblpPr w:vertAnchor="page" w:horzAnchor="page" w:tblpX="347" w:tblpY="15481"/>
      <w:tblOverlap w:val="never"/>
      <w:tblW w:w="107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1"/>
    </w:tblGrid>
    <w:tr w14:paraId="2B7AE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721" w:type="dxa"/>
          <w:tcBorders>
            <w:top w:val="nil"/>
            <w:left w:val="nil"/>
            <w:bottom w:val="nil"/>
            <w:right w:val="nil"/>
          </w:tcBorders>
          <w:vAlign w:val="center"/>
        </w:tcPr>
        <w:p w14:paraId="29BF505E">
          <w:pPr>
            <w:pStyle w:val="49"/>
            <w:framePr w:wrap="auto" w:vAnchor="margin" w:hAnchor="text" w:xAlign="left" w:yAlign="inline"/>
          </w:pPr>
          <w:r>
            <w:fldChar w:fldCharType="begin"/>
          </w:r>
          <w:r>
            <w:instrText xml:space="preserve"> DATE  \@ "d MMM yyyy"  \* MERGEFORMAT </w:instrText>
          </w:r>
          <w:r>
            <w:fldChar w:fldCharType="separate"/>
          </w:r>
          <w:r>
            <w:t>27 Feb 2026</w:t>
          </w:r>
          <w:r>
            <w:fldChar w:fldCharType="end"/>
          </w:r>
          <w:r>
            <w:tab/>
          </w:r>
          <w:r>
            <w:fldChar w:fldCharType="begin"/>
          </w:r>
          <w:r>
            <w:instrText xml:space="preserve"> PAGE </w:instrText>
          </w:r>
          <w:r>
            <w:fldChar w:fldCharType="separate"/>
          </w:r>
          <w:r>
            <w:t>2</w:t>
          </w:r>
          <w:r>
            <w:fldChar w:fldCharType="end"/>
          </w:r>
        </w:p>
      </w:tc>
    </w:tr>
  </w:tbl>
  <w:p w14:paraId="23F8956B">
    <w:pPr>
      <w:pStyle w:val="4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CFEDE6">
    <w:pPr>
      <w:pStyle w:val="42"/>
      <w:spacing w:line="20" w:lineRule="exact"/>
    </w:pPr>
  </w:p>
  <w:tbl>
    <w:tblPr>
      <w:tblStyle w:val="26"/>
      <w:tblpPr w:vertAnchor="page" w:horzAnchor="page" w:tblpX="347" w:tblpY="15481"/>
      <w:tblOverlap w:val="never"/>
      <w:tblW w:w="107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1"/>
    </w:tblGrid>
    <w:tr w14:paraId="118FD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721" w:type="dxa"/>
          <w:tcBorders>
            <w:top w:val="nil"/>
            <w:left w:val="nil"/>
            <w:bottom w:val="nil"/>
            <w:right w:val="nil"/>
          </w:tcBorders>
          <w:vAlign w:val="center"/>
        </w:tcPr>
        <w:p w14:paraId="1AE65677">
          <w:pPr>
            <w:pStyle w:val="49"/>
            <w:framePr w:wrap="auto" w:vAnchor="margin" w:hAnchor="text" w:xAlign="left" w:yAlign="inline"/>
          </w:pPr>
          <w:r>
            <w:tab/>
          </w:r>
          <w:r>
            <w:fldChar w:fldCharType="begin"/>
          </w:r>
          <w:r>
            <w:instrText xml:space="preserve"> PAGE </w:instrText>
          </w:r>
          <w:r>
            <w:fldChar w:fldCharType="separate"/>
          </w:r>
          <w:r>
            <w:t>4</w:t>
          </w:r>
          <w:r>
            <w:fldChar w:fldCharType="end"/>
          </w:r>
        </w:p>
      </w:tc>
    </w:tr>
  </w:tbl>
  <w:p w14:paraId="567BA042">
    <w:pPr>
      <w:pStyle w:val="4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AED306">
    <w:pPr>
      <w:pStyle w:val="1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1741F6">
    <w:pPr>
      <w:pStyle w:val="42"/>
    </w:pPr>
  </w:p>
  <w:p w14:paraId="074A34AA"/>
  <w:p w14:paraId="44D31D5F">
    <w:pPr>
      <w:jc w:val="right"/>
    </w:pPr>
    <w:r>
      <w:rPr>
        <w:snapToGrid/>
      </w:rPr>
      <w:drawing>
        <wp:anchor distT="0" distB="0" distL="114300" distR="114300" simplePos="0" relativeHeight="251663360" behindDoc="0" locked="0" layoutInCell="1" allowOverlap="1">
          <wp:simplePos x="0" y="0"/>
          <wp:positionH relativeFrom="margin">
            <wp:align>right</wp:align>
          </wp:positionH>
          <wp:positionV relativeFrom="paragraph">
            <wp:posOffset>71120</wp:posOffset>
          </wp:positionV>
          <wp:extent cx="1925955" cy="651510"/>
          <wp:effectExtent l="0" t="0" r="0" b="0"/>
          <wp:wrapNone/>
          <wp:docPr id="1012953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53970"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26000" cy="651600"/>
                  </a:xfrm>
                  <a:prstGeom prst="rect">
                    <a:avLst/>
                  </a:prstGeom>
                </pic:spPr>
              </pic:pic>
            </a:graphicData>
          </a:graphic>
        </wp:anchor>
      </w:drawing>
    </w:r>
    <w:r>
      <w:rPr>
        <w:lang w:val="en-US" w:eastAsia="zh-CN"/>
      </w:rPr>
      <mc:AlternateContent>
        <mc:Choice Requires="wps">
          <w:drawing>
            <wp:anchor distT="0" distB="0" distL="114300" distR="114300" simplePos="0" relativeHeight="251662336" behindDoc="0" locked="0" layoutInCell="1" allowOverlap="1">
              <wp:simplePos x="0" y="0"/>
              <wp:positionH relativeFrom="column">
                <wp:posOffset>343535</wp:posOffset>
              </wp:positionH>
              <wp:positionV relativeFrom="paragraph">
                <wp:posOffset>2223135</wp:posOffset>
              </wp:positionV>
              <wp:extent cx="2291715" cy="289560"/>
              <wp:effectExtent l="0" t="0" r="0" b="0"/>
              <wp:wrapNone/>
              <wp:docPr id="30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291715" cy="289560"/>
                      </a:xfrm>
                      <a:prstGeom prst="rect">
                        <a:avLst/>
                      </a:prstGeom>
                      <a:noFill/>
                      <a:ln w="9525">
                        <a:noFill/>
                        <a:miter lim="800000"/>
                      </a:ln>
                    </wps:spPr>
                    <wps:txbx>
                      <w:txbxContent>
                        <w:tbl>
                          <w:tblPr>
                            <w:tblStyle w:val="27"/>
                            <w:tblW w:w="0" w:type="auto"/>
                            <w:tblCaption w:val="[Table_yemei1]"/>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3322"/>
                          </w:tblGrid>
                          <w:tr w14:paraId="346A1B1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3" w:hRule="exact"/>
                            </w:trPr>
                            <w:tc>
                              <w:tcPr>
                                <w:tcW w:w="3322" w:type="dxa"/>
                              </w:tcPr>
                              <w:p w14:paraId="6D4969BB">
                                <w:pPr>
                                  <w:rPr>
                                    <w:rFonts w:eastAsia="楷体_GB2312"/>
                                    <w:color w:val="FF0000"/>
                                    <w:sz w:val="20"/>
                                    <w:szCs w:val="20"/>
                                  </w:rPr>
                                </w:pPr>
                                <w:r>
                                  <w:rPr>
                                    <w:rFonts w:eastAsia="楷体_GB2312"/>
                                    <w:color w:val="FFFFFF" w:themeColor="background1"/>
                                    <w:sz w:val="20"/>
                                    <w:szCs w:val="20"/>
                                    <w14:textFill>
                                      <w14:solidFill>
                                        <w14:schemeClr w14:val="bg1"/>
                                      </w14:solidFill>
                                    </w14:textFill>
                                  </w:rPr>
                                  <w:t>[Table_yemei1]</w:t>
                                </w:r>
                              </w:p>
                            </w:tc>
                          </w:tr>
                          <w:tr w14:paraId="0E4C9DA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3322" w:type="dxa"/>
                              </w:tcPr>
                              <w:p w14:paraId="659E8B23">
                                <w:pPr>
                                  <w:rPr>
                                    <w:color w:val="23558C"/>
                                    <w:sz w:val="20"/>
                                    <w:szCs w:val="20"/>
                                  </w:rPr>
                                </w:pPr>
                                <w:r>
                                  <w:rPr>
                                    <w:rFonts w:hint="eastAsia" w:eastAsia="楷体_GB2312"/>
                                    <w:color w:val="23558C"/>
                                    <w:sz w:val="20"/>
                                    <w:szCs w:val="20"/>
                                    <w:lang w:eastAsia="zh-CN"/>
                                  </w:rPr>
                                  <w:t>热点速评</w:t>
                                </w:r>
                                <w:r>
                                  <w:rPr>
                                    <w:rFonts w:eastAsia="楷体_GB2312"/>
                                    <w:color w:val="23558C"/>
                                    <w:sz w:val="20"/>
                                    <w:szCs w:val="20"/>
                                    <w:lang w:eastAsia="zh-CN"/>
                                  </w:rPr>
                                  <w:t>Flash Analysis</w:t>
                                </w:r>
                              </w:p>
                            </w:tc>
                          </w:tr>
                        </w:tbl>
                        <w:p w14:paraId="2C47C9C9">
                          <w:pPr>
                            <w:spacing w:line="40" w:lineRule="exact"/>
                            <w:rPr>
                              <w:rFonts w:eastAsia="楷体_GB2312"/>
                              <w:color w:val="23558C"/>
                              <w:sz w:val="10"/>
                              <w:szCs w:val="10"/>
                              <w:lang w:eastAsia="zh-CN"/>
                            </w:rPr>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27.05pt;margin-top:175.05pt;height:22.8pt;width:180.45pt;z-index:251662336;mso-width-relative:page;mso-height-relative:page;" filled="f" stroked="f" coordsize="21600,21600" o:gfxdata="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1lHhFtcAAAAKAQAADwAAAAAAAAABACAAAAAiAAAAZHJzL2Rvd25yZXYueG1sUEsBAhQAFAAAAAgA&#10;h07iQEQ8CgsmAgAAKwQAAA4AAAAAAAAAAQAgAAAAJgEAAGRycy9lMm9Eb2MueG1sUEsFBgAAAAAG&#10;AAYAWQEAAL4FAAAAAA==&#10;">
              <v:fill on="f" focussize="0,0"/>
              <v:stroke on="f" miterlimit="8" joinstyle="miter"/>
              <v:imagedata o:title=""/>
              <o:lock v:ext="edit" aspectratio="f"/>
              <v:textbox>
                <w:txbxContent>
                  <w:tbl>
                    <w:tblPr>
                      <w:tblStyle w:val="27"/>
                      <w:tblW w:w="0" w:type="auto"/>
                      <w:tblCaption w:val="[Table_yemei1]"/>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3322"/>
                    </w:tblGrid>
                    <w:tr w14:paraId="346A1B1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3" w:hRule="exact"/>
                      </w:trPr>
                      <w:tc>
                        <w:tcPr>
                          <w:tcW w:w="3322" w:type="dxa"/>
                        </w:tcPr>
                        <w:p w14:paraId="6D4969BB">
                          <w:pPr>
                            <w:rPr>
                              <w:rFonts w:eastAsia="楷体_GB2312"/>
                              <w:color w:val="FF0000"/>
                              <w:sz w:val="20"/>
                              <w:szCs w:val="20"/>
                            </w:rPr>
                          </w:pPr>
                          <w:r>
                            <w:rPr>
                              <w:rFonts w:eastAsia="楷体_GB2312"/>
                              <w:color w:val="FFFFFF" w:themeColor="background1"/>
                              <w:sz w:val="20"/>
                              <w:szCs w:val="20"/>
                              <w14:textFill>
                                <w14:solidFill>
                                  <w14:schemeClr w14:val="bg1"/>
                                </w14:solidFill>
                              </w14:textFill>
                            </w:rPr>
                            <w:t>[Table_yemei1]</w:t>
                          </w:r>
                        </w:p>
                      </w:tc>
                    </w:tr>
                    <w:tr w14:paraId="0E4C9DA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3322" w:type="dxa"/>
                        </w:tcPr>
                        <w:p w14:paraId="659E8B23">
                          <w:pPr>
                            <w:rPr>
                              <w:color w:val="23558C"/>
                              <w:sz w:val="20"/>
                              <w:szCs w:val="20"/>
                            </w:rPr>
                          </w:pPr>
                          <w:r>
                            <w:rPr>
                              <w:rFonts w:hint="eastAsia" w:eastAsia="楷体_GB2312"/>
                              <w:color w:val="23558C"/>
                              <w:sz w:val="20"/>
                              <w:szCs w:val="20"/>
                              <w:lang w:eastAsia="zh-CN"/>
                            </w:rPr>
                            <w:t>热点速评</w:t>
                          </w:r>
                          <w:r>
                            <w:rPr>
                              <w:rFonts w:eastAsia="楷体_GB2312"/>
                              <w:color w:val="23558C"/>
                              <w:sz w:val="20"/>
                              <w:szCs w:val="20"/>
                              <w:lang w:eastAsia="zh-CN"/>
                            </w:rPr>
                            <w:t>Flash Analysis</w:t>
                          </w:r>
                        </w:p>
                      </w:tc>
                    </w:tr>
                  </w:tbl>
                  <w:p w14:paraId="2C47C9C9">
                    <w:pPr>
                      <w:spacing w:line="40" w:lineRule="exact"/>
                      <w:rPr>
                        <w:rFonts w:eastAsia="楷体_GB2312"/>
                        <w:color w:val="23558C"/>
                        <w:sz w:val="10"/>
                        <w:szCs w:val="10"/>
                        <w:lang w:eastAsia="zh-CN"/>
                      </w:rPr>
                    </w:pPr>
                  </w:p>
                </w:txbxContent>
              </v:textbox>
            </v:shape>
          </w:pict>
        </mc:Fallback>
      </mc:AlternateContent>
    </w:r>
    <w:r>
      <w:rPr>
        <w:lang w:val="en-US" w:eastAsia="zh-CN"/>
      </w:rPr>
      <w:drawing>
        <wp:anchor distT="0" distB="0" distL="114300" distR="114300" simplePos="0" relativeHeight="251660288" behindDoc="1" locked="0" layoutInCell="1" allowOverlap="1">
          <wp:simplePos x="0" y="0"/>
          <wp:positionH relativeFrom="column">
            <wp:posOffset>-60960</wp:posOffset>
          </wp:positionH>
          <wp:positionV relativeFrom="paragraph">
            <wp:posOffset>2253615</wp:posOffset>
          </wp:positionV>
          <wp:extent cx="360045" cy="179705"/>
          <wp:effectExtent l="0" t="0" r="2540" b="0"/>
          <wp:wrapNone/>
          <wp:docPr id="3" name="图片 3"/>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2" cstate="print">
                    <a:extLst>
                      <a:ext uri="{28A0092B-C50C-407E-A947-70E740481C1C}">
                        <a14:useLocalDpi xmlns:a14="http://schemas.microsoft.com/office/drawing/2010/main" val="0"/>
                      </a:ext>
                    </a:extLst>
                  </a:blip>
                  <a:stretch>
                    <a:fillRect/>
                  </a:stretch>
                </pic:blipFill>
                <pic:spPr>
                  <a:xfrm>
                    <a:off x="0" y="0"/>
                    <a:ext cx="360000" cy="18000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7"/>
      <w:tblW w:w="10632" w:type="dxa"/>
      <w:tblCaption w:val="[Table_header1]"/>
      <w:tblInd w:w="108"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10632"/>
    </w:tblGrid>
    <w:tr w14:paraId="472FBA49">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3" w:hRule="exact"/>
      </w:trPr>
      <w:tc>
        <w:tcPr>
          <w:tcW w:w="10632" w:type="dxa"/>
        </w:tcPr>
        <w:p w14:paraId="53DFAE54">
          <w:pPr>
            <w:pStyle w:val="42"/>
            <w:rPr>
              <w:color w:val="FF0000"/>
              <w:lang w:val="en-GB"/>
            </w:rPr>
          </w:pPr>
          <w:r>
            <w:rPr>
              <w:color w:val="FFFFFF" w:themeColor="background1"/>
              <w:lang w:val="en-GB"/>
              <w14:textFill>
                <w14:solidFill>
                  <w14:schemeClr w14:val="bg1"/>
                </w14:solidFill>
              </w14:textFill>
            </w:rPr>
            <w:t>[Table_header1]</w:t>
          </w:r>
        </w:p>
      </w:tc>
    </w:tr>
    <w:tr w14:paraId="621E603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0632" w:type="dxa"/>
        </w:tcPr>
        <w:p w14:paraId="0D0A6055">
          <w:pPr>
            <w:pStyle w:val="42"/>
            <w:wordWrap w:val="0"/>
            <w:jc w:val="right"/>
            <w:rPr>
              <w:rFonts w:eastAsia="楷体_GB2312" w:cs="Calibri"/>
              <w:sz w:val="24"/>
              <w:lang w:val="en-GB"/>
            </w:rPr>
          </w:pPr>
          <w:r>
            <w:rPr>
              <w:rFonts w:eastAsia="楷体_GB2312" w:cs="Calibri"/>
              <w:b/>
              <w:color w:val="005BAC"/>
              <w:sz w:val="24"/>
              <w:szCs w:val="24"/>
              <w:lang w:eastAsia="zh-CN"/>
            </w:rPr>
            <w:t>全球先进制造与能源Global Advanced Manufacturing and Energy</w:t>
          </w:r>
        </w:p>
      </w:tc>
    </w:tr>
  </w:tbl>
  <w:p w14:paraId="425EE950">
    <w:pPr>
      <w:pStyle w:val="42"/>
      <w:rPr>
        <w:lang w:val="en-GB"/>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B40D92">
    <w:pPr>
      <w:pStyle w:val="42"/>
      <w:spacing w:line="360" w:lineRule="auto"/>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400600">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D5C08A"/>
    <w:multiLevelType w:val="singleLevel"/>
    <w:tmpl w:val="E2D5C08A"/>
    <w:lvl w:ilvl="0" w:tentative="0">
      <w:start w:val="3"/>
      <w:numFmt w:val="decimal"/>
      <w:suff w:val="nothing"/>
      <w:lvlText w:val="%1）"/>
      <w:lvlJc w:val="left"/>
      <w:rPr>
        <w:rFonts w:hint="default"/>
        <w:b/>
        <w:bCs/>
      </w:rPr>
    </w:lvl>
  </w:abstractNum>
  <w:abstractNum w:abstractNumId="1">
    <w:nsid w:val="F578B2E3"/>
    <w:multiLevelType w:val="singleLevel"/>
    <w:tmpl w:val="F578B2E3"/>
    <w:lvl w:ilvl="0" w:tentative="0">
      <w:start w:val="1"/>
      <w:numFmt w:val="decimal"/>
      <w:suff w:val="space"/>
      <w:lvlText w:val="%1."/>
      <w:lvlJc w:val="left"/>
    </w:lvl>
  </w:abstractNum>
  <w:abstractNum w:abstractNumId="2">
    <w:nsid w:val="02634AC8"/>
    <w:multiLevelType w:val="multilevel"/>
    <w:tmpl w:val="02634AC8"/>
    <w:lvl w:ilvl="0" w:tentative="0">
      <w:start w:val="1"/>
      <w:numFmt w:val="bullet"/>
      <w:pStyle w:val="138"/>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3">
    <w:nsid w:val="03935DA5"/>
    <w:multiLevelType w:val="multilevel"/>
    <w:tmpl w:val="03935DA5"/>
    <w:lvl w:ilvl="0" w:tentative="0">
      <w:start w:val="1"/>
      <w:numFmt w:val="bullet"/>
      <w:pStyle w:val="46"/>
      <w:lvlText w:val=""/>
      <w:lvlJc w:val="left"/>
      <w:pPr>
        <w:ind w:left="720" w:hanging="360"/>
      </w:pPr>
      <w:rPr>
        <w:rFonts w:hint="default" w:ascii="Wingdings" w:hAnsi="Wingdings"/>
        <w:b w:val="0"/>
        <w:i w:val="0"/>
        <w:color w:val="3333AD"/>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04C657F7"/>
    <w:multiLevelType w:val="multilevel"/>
    <w:tmpl w:val="04C657F7"/>
    <w:lvl w:ilvl="0" w:tentative="0">
      <w:start w:val="1"/>
      <w:numFmt w:val="decimal"/>
      <w:lvlText w:val="%1."/>
      <w:lvlJc w:val="left"/>
      <w:pPr>
        <w:tabs>
          <w:tab w:val="left" w:pos="425"/>
        </w:tabs>
        <w:ind w:left="425" w:hanging="425"/>
      </w:pPr>
      <w:rPr>
        <w:rFonts w:hint="eastAsia"/>
      </w:rPr>
    </w:lvl>
    <w:lvl w:ilvl="1" w:tentative="0">
      <w:start w:val="1"/>
      <w:numFmt w:val="decimal"/>
      <w:lvlText w:val="%1.%2."/>
      <w:lvlJc w:val="left"/>
      <w:pPr>
        <w:tabs>
          <w:tab w:val="left" w:pos="567"/>
        </w:tabs>
        <w:ind w:left="567" w:hanging="567"/>
      </w:pPr>
      <w:rPr>
        <w:rFonts w:hint="default" w:ascii="Times New Roman" w:hAnsi="Times New Roman"/>
      </w:rPr>
    </w:lvl>
    <w:lvl w:ilvl="2" w:tentative="0">
      <w:start w:val="1"/>
      <w:numFmt w:val="decimal"/>
      <w:lvlText w:val="%1.%2.%3."/>
      <w:lvlJc w:val="left"/>
      <w:pPr>
        <w:tabs>
          <w:tab w:val="left" w:pos="709"/>
        </w:tabs>
        <w:ind w:left="709" w:hanging="709"/>
      </w:pPr>
      <w:rPr>
        <w:rFonts w:hint="eastAsia"/>
      </w:rPr>
    </w:lvl>
    <w:lvl w:ilvl="3" w:tentative="0">
      <w:start w:val="1"/>
      <w:numFmt w:val="decimal"/>
      <w:pStyle w:val="5"/>
      <w:lvlText w:val="%1.%2.%3.%4."/>
      <w:lvlJc w:val="left"/>
      <w:pPr>
        <w:tabs>
          <w:tab w:val="left" w:pos="3911"/>
        </w:tabs>
        <w:ind w:left="391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5">
    <w:nsid w:val="11F1731E"/>
    <w:multiLevelType w:val="multilevel"/>
    <w:tmpl w:val="11F1731E"/>
    <w:lvl w:ilvl="0" w:tentative="0">
      <w:start w:val="1"/>
      <w:numFmt w:val="decimal"/>
      <w:lvlText w:val="（%1）"/>
      <w:lvlJc w:val="left"/>
      <w:pPr>
        <w:ind w:left="3920" w:hanging="720"/>
      </w:pPr>
      <w:rPr>
        <w:rFonts w:hint="default"/>
      </w:rPr>
    </w:lvl>
    <w:lvl w:ilvl="1" w:tentative="0">
      <w:start w:val="1"/>
      <w:numFmt w:val="lowerLetter"/>
      <w:lvlText w:val="%2)"/>
      <w:lvlJc w:val="left"/>
      <w:pPr>
        <w:ind w:left="4080" w:hanging="440"/>
      </w:pPr>
    </w:lvl>
    <w:lvl w:ilvl="2" w:tentative="0">
      <w:start w:val="1"/>
      <w:numFmt w:val="lowerRoman"/>
      <w:lvlText w:val="%3."/>
      <w:lvlJc w:val="right"/>
      <w:pPr>
        <w:ind w:left="4520" w:hanging="440"/>
      </w:pPr>
    </w:lvl>
    <w:lvl w:ilvl="3" w:tentative="0">
      <w:start w:val="1"/>
      <w:numFmt w:val="decimal"/>
      <w:lvlText w:val="%4."/>
      <w:lvlJc w:val="left"/>
      <w:pPr>
        <w:ind w:left="4960" w:hanging="440"/>
      </w:pPr>
    </w:lvl>
    <w:lvl w:ilvl="4" w:tentative="0">
      <w:start w:val="1"/>
      <w:numFmt w:val="lowerLetter"/>
      <w:lvlText w:val="%5)"/>
      <w:lvlJc w:val="left"/>
      <w:pPr>
        <w:ind w:left="5400" w:hanging="440"/>
      </w:pPr>
    </w:lvl>
    <w:lvl w:ilvl="5" w:tentative="0">
      <w:start w:val="1"/>
      <w:numFmt w:val="lowerRoman"/>
      <w:lvlText w:val="%6."/>
      <w:lvlJc w:val="right"/>
      <w:pPr>
        <w:ind w:left="5840" w:hanging="440"/>
      </w:pPr>
    </w:lvl>
    <w:lvl w:ilvl="6" w:tentative="0">
      <w:start w:val="1"/>
      <w:numFmt w:val="decimal"/>
      <w:lvlText w:val="%7."/>
      <w:lvlJc w:val="left"/>
      <w:pPr>
        <w:ind w:left="6280" w:hanging="440"/>
      </w:pPr>
    </w:lvl>
    <w:lvl w:ilvl="7" w:tentative="0">
      <w:start w:val="1"/>
      <w:numFmt w:val="lowerLetter"/>
      <w:lvlText w:val="%8)"/>
      <w:lvlJc w:val="left"/>
      <w:pPr>
        <w:ind w:left="6720" w:hanging="440"/>
      </w:pPr>
    </w:lvl>
    <w:lvl w:ilvl="8" w:tentative="0">
      <w:start w:val="1"/>
      <w:numFmt w:val="lowerRoman"/>
      <w:lvlText w:val="%9."/>
      <w:lvlJc w:val="right"/>
      <w:pPr>
        <w:ind w:left="7160" w:hanging="440"/>
      </w:pPr>
    </w:lvl>
  </w:abstractNum>
  <w:abstractNum w:abstractNumId="6">
    <w:nsid w:val="238731C4"/>
    <w:multiLevelType w:val="multilevel"/>
    <w:tmpl w:val="238731C4"/>
    <w:lvl w:ilvl="0" w:tentative="0">
      <w:start w:val="1"/>
      <w:numFmt w:val="upperRoman"/>
      <w:pStyle w:val="87"/>
      <w:lvlText w:val="PART %1:"/>
      <w:lvlJc w:val="left"/>
      <w:pPr>
        <w:ind w:left="720" w:hanging="360"/>
      </w:pPr>
      <w:rPr>
        <w:rFonts w:hint="eastAsia"/>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331A2D25"/>
    <w:multiLevelType w:val="multilevel"/>
    <w:tmpl w:val="331A2D25"/>
    <w:lvl w:ilvl="0" w:tentative="0">
      <w:start w:val="1"/>
      <w:numFmt w:val="bullet"/>
      <w:pStyle w:val="68"/>
      <w:lvlText w:val=""/>
      <w:lvlJc w:val="left"/>
      <w:pPr>
        <w:ind w:left="720" w:hanging="360"/>
      </w:pPr>
      <w:rPr>
        <w:rFonts w:hint="default" w:ascii="Wingdings" w:hAnsi="Wingdings"/>
        <w:b w:val="0"/>
        <w:i w:val="0"/>
        <w:color w:val="A5879B"/>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38A55B35"/>
    <w:multiLevelType w:val="multilevel"/>
    <w:tmpl w:val="38A55B35"/>
    <w:lvl w:ilvl="0" w:tentative="0">
      <w:start w:val="1"/>
      <w:numFmt w:val="bullet"/>
      <w:pStyle w:val="92"/>
      <w:lvlText w:val=""/>
      <w:lvlJc w:val="left"/>
      <w:pPr>
        <w:ind w:left="480" w:hanging="480"/>
      </w:pPr>
      <w:rPr>
        <w:rFonts w:hint="default" w:ascii="Symbol" w:hAnsi="Symbol"/>
        <w:b/>
        <w:color w:val="23558C"/>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9">
    <w:nsid w:val="41772804"/>
    <w:multiLevelType w:val="multilevel"/>
    <w:tmpl w:val="41772804"/>
    <w:lvl w:ilvl="0" w:tentative="0">
      <w:start w:val="1"/>
      <w:numFmt w:val="bullet"/>
      <w:pStyle w:val="67"/>
      <w:lvlText w:val=""/>
      <w:lvlJc w:val="left"/>
      <w:pPr>
        <w:ind w:left="720" w:hanging="360"/>
      </w:pPr>
      <w:rPr>
        <w:rFonts w:hint="default" w:ascii="Wingdings" w:hAnsi="Wingdings"/>
        <w:b w:val="0"/>
        <w:i w:val="0"/>
        <w:color w:val="99CCFF"/>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41EA01BD"/>
    <w:multiLevelType w:val="multilevel"/>
    <w:tmpl w:val="41EA01BD"/>
    <w:lvl w:ilvl="0" w:tentative="0">
      <w:start w:val="1"/>
      <w:numFmt w:val="bullet"/>
      <w:pStyle w:val="84"/>
      <w:lvlText w:val=""/>
      <w:lvlJc w:val="left"/>
      <w:pPr>
        <w:ind w:left="720" w:hanging="360"/>
      </w:pPr>
      <w:rPr>
        <w:rFonts w:hint="default" w:ascii="Wingdings 3" w:hAnsi="Wingdings 3"/>
        <w:sz w:val="2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479321DC"/>
    <w:multiLevelType w:val="multilevel"/>
    <w:tmpl w:val="479321DC"/>
    <w:lvl w:ilvl="0" w:tentative="0">
      <w:start w:val="1"/>
      <w:numFmt w:val="bullet"/>
      <w:pStyle w:val="39"/>
      <w:lvlText w:val=""/>
      <w:lvlJc w:val="left"/>
      <w:pPr>
        <w:ind w:left="720" w:hanging="360"/>
      </w:pPr>
      <w:rPr>
        <w:rFonts w:hint="default" w:ascii="Wingdings 3" w:hAnsi="Wingdings 3"/>
        <w:sz w:val="2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48B20CCA"/>
    <w:multiLevelType w:val="multilevel"/>
    <w:tmpl w:val="48B20CCA"/>
    <w:lvl w:ilvl="0" w:tentative="0">
      <w:start w:val="1"/>
      <w:numFmt w:val="decimal"/>
      <w:lvlText w:val="%1）"/>
      <w:lvlJc w:val="left"/>
      <w:pPr>
        <w:ind w:left="3560" w:hanging="360"/>
      </w:pPr>
      <w:rPr>
        <w:rFonts w:hint="default"/>
      </w:rPr>
    </w:lvl>
    <w:lvl w:ilvl="1" w:tentative="0">
      <w:start w:val="1"/>
      <w:numFmt w:val="lowerLetter"/>
      <w:lvlText w:val="%2)"/>
      <w:lvlJc w:val="left"/>
      <w:pPr>
        <w:ind w:left="4080" w:hanging="440"/>
      </w:pPr>
    </w:lvl>
    <w:lvl w:ilvl="2" w:tentative="0">
      <w:start w:val="1"/>
      <w:numFmt w:val="lowerRoman"/>
      <w:lvlText w:val="%3."/>
      <w:lvlJc w:val="right"/>
      <w:pPr>
        <w:ind w:left="4520" w:hanging="440"/>
      </w:pPr>
    </w:lvl>
    <w:lvl w:ilvl="3" w:tentative="0">
      <w:start w:val="1"/>
      <w:numFmt w:val="decimal"/>
      <w:lvlText w:val="%4."/>
      <w:lvlJc w:val="left"/>
      <w:pPr>
        <w:ind w:left="4960" w:hanging="440"/>
      </w:pPr>
    </w:lvl>
    <w:lvl w:ilvl="4" w:tentative="0">
      <w:start w:val="1"/>
      <w:numFmt w:val="lowerLetter"/>
      <w:lvlText w:val="%5)"/>
      <w:lvlJc w:val="left"/>
      <w:pPr>
        <w:ind w:left="5400" w:hanging="440"/>
      </w:pPr>
    </w:lvl>
    <w:lvl w:ilvl="5" w:tentative="0">
      <w:start w:val="1"/>
      <w:numFmt w:val="lowerRoman"/>
      <w:lvlText w:val="%6."/>
      <w:lvlJc w:val="right"/>
      <w:pPr>
        <w:ind w:left="5840" w:hanging="440"/>
      </w:pPr>
    </w:lvl>
    <w:lvl w:ilvl="6" w:tentative="0">
      <w:start w:val="1"/>
      <w:numFmt w:val="decimal"/>
      <w:lvlText w:val="%7."/>
      <w:lvlJc w:val="left"/>
      <w:pPr>
        <w:ind w:left="6280" w:hanging="440"/>
      </w:pPr>
    </w:lvl>
    <w:lvl w:ilvl="7" w:tentative="0">
      <w:start w:val="1"/>
      <w:numFmt w:val="lowerLetter"/>
      <w:lvlText w:val="%8)"/>
      <w:lvlJc w:val="left"/>
      <w:pPr>
        <w:ind w:left="6720" w:hanging="440"/>
      </w:pPr>
    </w:lvl>
    <w:lvl w:ilvl="8" w:tentative="0">
      <w:start w:val="1"/>
      <w:numFmt w:val="lowerRoman"/>
      <w:lvlText w:val="%9."/>
      <w:lvlJc w:val="right"/>
      <w:pPr>
        <w:ind w:left="7160" w:hanging="440"/>
      </w:pPr>
    </w:lvl>
  </w:abstractNum>
  <w:abstractNum w:abstractNumId="13">
    <w:nsid w:val="662B5102"/>
    <w:multiLevelType w:val="multilevel"/>
    <w:tmpl w:val="662B5102"/>
    <w:lvl w:ilvl="0" w:tentative="0">
      <w:start w:val="1"/>
      <w:numFmt w:val="bullet"/>
      <w:pStyle w:val="93"/>
      <w:lvlText w:val=""/>
      <w:lvlJc w:val="left"/>
      <w:pPr>
        <w:ind w:left="280" w:hanging="280"/>
      </w:pPr>
      <w:rPr>
        <w:rFonts w:hint="default" w:ascii="Symbol" w:hAnsi="Symbol"/>
        <w:b/>
        <w:color w:val="23558C"/>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14">
    <w:nsid w:val="6B531506"/>
    <w:multiLevelType w:val="multilevel"/>
    <w:tmpl w:val="6B531506"/>
    <w:lvl w:ilvl="0" w:tentative="0">
      <w:start w:val="1"/>
      <w:numFmt w:val="upperRoman"/>
      <w:pStyle w:val="99"/>
      <w:lvlText w:val="PART %1."/>
      <w:lvlJc w:val="left"/>
      <w:pPr>
        <w:ind w:left="480" w:hanging="480"/>
      </w:pPr>
      <w:rPr>
        <w:rFonts w:hint="eastAsia"/>
      </w:rPr>
    </w:lvl>
    <w:lvl w:ilvl="1" w:tentative="0">
      <w:start w:val="1"/>
      <w:numFmt w:val="ideographTraditional"/>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ideographTraditional"/>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ideographTraditional"/>
      <w:lvlText w:val="%8、"/>
      <w:lvlJc w:val="left"/>
      <w:pPr>
        <w:ind w:left="3840" w:hanging="480"/>
      </w:pPr>
    </w:lvl>
    <w:lvl w:ilvl="8" w:tentative="0">
      <w:start w:val="1"/>
      <w:numFmt w:val="lowerRoman"/>
      <w:lvlText w:val="%9."/>
      <w:lvlJc w:val="right"/>
      <w:pPr>
        <w:ind w:left="4320" w:hanging="480"/>
      </w:pPr>
    </w:lvl>
  </w:abstractNum>
  <w:abstractNum w:abstractNumId="15">
    <w:nsid w:val="6C4E34EC"/>
    <w:multiLevelType w:val="multilevel"/>
    <w:tmpl w:val="6C4E34EC"/>
    <w:lvl w:ilvl="0" w:tentative="0">
      <w:start w:val="1"/>
      <w:numFmt w:val="bullet"/>
      <w:pStyle w:val="66"/>
      <w:lvlText w:val=""/>
      <w:lvlJc w:val="left"/>
      <w:pPr>
        <w:ind w:left="720" w:hanging="360"/>
      </w:pPr>
      <w:rPr>
        <w:rFonts w:hint="default" w:ascii="Wingdings" w:hAnsi="Wingdings"/>
        <w:b w:val="0"/>
        <w:i w:val="0"/>
        <w:color w:val="86C091"/>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4"/>
  </w:num>
  <w:num w:numId="2">
    <w:abstractNumId w:val="11"/>
  </w:num>
  <w:num w:numId="3">
    <w:abstractNumId w:val="3"/>
  </w:num>
  <w:num w:numId="4">
    <w:abstractNumId w:val="15"/>
  </w:num>
  <w:num w:numId="5">
    <w:abstractNumId w:val="9"/>
  </w:num>
  <w:num w:numId="6">
    <w:abstractNumId w:val="7"/>
  </w:num>
  <w:num w:numId="7">
    <w:abstractNumId w:val="10"/>
  </w:num>
  <w:num w:numId="8">
    <w:abstractNumId w:val="6"/>
  </w:num>
  <w:num w:numId="9">
    <w:abstractNumId w:val="8"/>
  </w:num>
  <w:num w:numId="10">
    <w:abstractNumId w:val="13"/>
  </w:num>
  <w:num w:numId="11">
    <w:abstractNumId w:val="14"/>
  </w:num>
  <w:num w:numId="12">
    <w:abstractNumId w:val="2"/>
  </w:num>
  <w:num w:numId="13">
    <w:abstractNumId w:val="0"/>
  </w:num>
  <w:num w:numId="14">
    <w:abstractNumId w:val="5"/>
  </w:num>
  <w:num w:numId="15">
    <w:abstractNumId w:val="12"/>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B01" w:allStyles="1" w:customStyles="0" w:latentStyles="0" w:stylesInUse="0" w:headingStyles="0" w:numberingStyles="0" w:tableStyles="0" w:directFormattingOnRuns="1" w:directFormattingOnParagraphs="1" w:directFormattingOnNumbering="0" w:directFormattingOnTables="1" w:clearFormatting="1" w:top3HeadingStyles="1" w:visibleStyles="0" w:alternateStyleNames="0"/>
  <w:documentProtection w:enforcement="0"/>
  <w:defaultTabStop w:val="400"/>
  <w:drawingGridHorizontalSpacing w:val="80"/>
  <w:drawingGridVerticalSpacing w:val="200"/>
  <w:noPunctuationKerning w:val="1"/>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APWAFVersion" w:val="5.0"/>
    <w:docVar w:name="EFAAccountID" w:val="1010"/>
    <w:docVar w:name="EFAAnnMonth" w:val="12"/>
    <w:docVar w:name="EFAAnnualise" w:val="False"/>
    <w:docVar w:name="EFAAuthorEmails" w:val="andy.cy.so@htisec.com"/>
    <w:docVar w:name="EFAAuthorIDs" w:val="2081"/>
    <w:docVar w:name="EFAAuthorNames" w:val="Andy So, CFA"/>
    <w:docVar w:name="EFAComputerName" w:val="DESKTOP-RSKMA3J"/>
    <w:docVar w:name="EFACorpID" w:val="-1"/>
    <w:docVar w:name="EFADefaultPriceDate" w:val="True"/>
    <w:docVar w:name="EFADevData" w:val="False"/>
    <w:docVar w:name="EFADisclaimerHiddenTextStyle" w:val="EFADisclaimerHiddenText"/>
    <w:docVar w:name="EFADisclaimerTextStyle" w:val="EFADisclaimerText"/>
    <w:docVar w:name="EFADocID" w:val="38659"/>
    <w:docVar w:name="EFADocTemplateVer" w:val="HaiTong"/>
    <w:docVar w:name="EFAExcelVersion" w:val="14"/>
    <w:docVar w:name="EFAFirstIntOffset" w:val="1"/>
    <w:docVar w:name="EFAGUID" w:val="A0D1E583-EDD7-40CD-ACA9-CF552EE34C59"/>
    <w:docVar w:name="EFAIntEndYear" w:val="0"/>
    <w:docVar w:name="EFAIntPeriodNumber" w:val="0"/>
    <w:docVar w:name="EFAIntStartYear" w:val="0"/>
    <w:docVar w:name="EFALanguageID" w:val="2057"/>
    <w:docVar w:name="EFALastRefreshDate" w:val="20190728 11:52:34"/>
    <w:docVar w:name="EFALogonSvr" w:val="\\DESKTOP-RSKMA3J"/>
    <w:docVar w:name="EFAMarket" w:val="HK"/>
    <w:docVar w:name="EFAOperatingSys" w:val="Windows_NT"/>
    <w:docVar w:name="EFAPageCount" w:val="14"/>
    <w:docVar w:name="EFAPriceDate" w:val="20190727 00:00:00"/>
    <w:docVar w:name="EFASecurityIndex" w:val="0"/>
    <w:docVar w:name="EFAStartYear" w:val="0"/>
    <w:docVar w:name="EFATemplate" w:val="Macro note - HTI.dotx"/>
    <w:docVar w:name="EFATemplateID" w:val="203"/>
    <w:docVar w:name="EFAUnits" w:val="Use Default"/>
    <w:docVar w:name="EFAUseIntTables" w:val="False"/>
    <w:docVar w:name="EFAUserID" w:val="2100"/>
    <w:docVar w:name="EFAUserName" w:val="Nicolas Wang"/>
    <w:docVar w:name="EFAUsrDomain" w:val="DESKTOP-RSKMA3J"/>
    <w:docVar w:name="EFAWinUserName" w:val="zhoulinhong"/>
    <w:docVar w:name="EFAWordVersion" w:val="14"/>
  </w:docVars>
  <w:rsids>
    <w:rsidRoot w:val="00B006B9"/>
    <w:rsid w:val="0000020F"/>
    <w:rsid w:val="00000236"/>
    <w:rsid w:val="0000097F"/>
    <w:rsid w:val="00001979"/>
    <w:rsid w:val="000019ED"/>
    <w:rsid w:val="00001A27"/>
    <w:rsid w:val="00001C0E"/>
    <w:rsid w:val="0000224B"/>
    <w:rsid w:val="00002DDC"/>
    <w:rsid w:val="00003E75"/>
    <w:rsid w:val="00004BAA"/>
    <w:rsid w:val="00004FB5"/>
    <w:rsid w:val="0000558A"/>
    <w:rsid w:val="000063F1"/>
    <w:rsid w:val="00006910"/>
    <w:rsid w:val="0000732D"/>
    <w:rsid w:val="00010774"/>
    <w:rsid w:val="0001184F"/>
    <w:rsid w:val="00013043"/>
    <w:rsid w:val="000130D9"/>
    <w:rsid w:val="00013244"/>
    <w:rsid w:val="00014086"/>
    <w:rsid w:val="000146CB"/>
    <w:rsid w:val="00014976"/>
    <w:rsid w:val="000171D2"/>
    <w:rsid w:val="000201AE"/>
    <w:rsid w:val="00020B7A"/>
    <w:rsid w:val="00021DAC"/>
    <w:rsid w:val="00021DD0"/>
    <w:rsid w:val="00022C11"/>
    <w:rsid w:val="00022DB6"/>
    <w:rsid w:val="00023367"/>
    <w:rsid w:val="00024F59"/>
    <w:rsid w:val="0002500A"/>
    <w:rsid w:val="00025E71"/>
    <w:rsid w:val="00025F59"/>
    <w:rsid w:val="00026DCC"/>
    <w:rsid w:val="00027183"/>
    <w:rsid w:val="000275CC"/>
    <w:rsid w:val="00027FEF"/>
    <w:rsid w:val="0003028B"/>
    <w:rsid w:val="00032B31"/>
    <w:rsid w:val="000334F3"/>
    <w:rsid w:val="000336AF"/>
    <w:rsid w:val="00033DF7"/>
    <w:rsid w:val="000347D5"/>
    <w:rsid w:val="00034B8E"/>
    <w:rsid w:val="00035535"/>
    <w:rsid w:val="00035E45"/>
    <w:rsid w:val="0003686B"/>
    <w:rsid w:val="00036BDA"/>
    <w:rsid w:val="00040734"/>
    <w:rsid w:val="00041387"/>
    <w:rsid w:val="00041A6F"/>
    <w:rsid w:val="0004283E"/>
    <w:rsid w:val="00043062"/>
    <w:rsid w:val="00043657"/>
    <w:rsid w:val="00043D26"/>
    <w:rsid w:val="0004549E"/>
    <w:rsid w:val="00047D52"/>
    <w:rsid w:val="000516AD"/>
    <w:rsid w:val="00051EC9"/>
    <w:rsid w:val="00052838"/>
    <w:rsid w:val="00052DCF"/>
    <w:rsid w:val="00053373"/>
    <w:rsid w:val="00053BBB"/>
    <w:rsid w:val="00054224"/>
    <w:rsid w:val="00054451"/>
    <w:rsid w:val="00055381"/>
    <w:rsid w:val="000575A3"/>
    <w:rsid w:val="00057779"/>
    <w:rsid w:val="000640E9"/>
    <w:rsid w:val="00065200"/>
    <w:rsid w:val="000700E0"/>
    <w:rsid w:val="00070B53"/>
    <w:rsid w:val="00070F15"/>
    <w:rsid w:val="000729AF"/>
    <w:rsid w:val="0007309A"/>
    <w:rsid w:val="00073BEB"/>
    <w:rsid w:val="000749C7"/>
    <w:rsid w:val="00075B0A"/>
    <w:rsid w:val="00077BA0"/>
    <w:rsid w:val="00080296"/>
    <w:rsid w:val="000810B3"/>
    <w:rsid w:val="000842E6"/>
    <w:rsid w:val="00084B49"/>
    <w:rsid w:val="000860EA"/>
    <w:rsid w:val="00086E96"/>
    <w:rsid w:val="00090800"/>
    <w:rsid w:val="00091895"/>
    <w:rsid w:val="000920C4"/>
    <w:rsid w:val="000924C1"/>
    <w:rsid w:val="00094A4C"/>
    <w:rsid w:val="00094FAC"/>
    <w:rsid w:val="000950FF"/>
    <w:rsid w:val="00095F8B"/>
    <w:rsid w:val="00096909"/>
    <w:rsid w:val="00096986"/>
    <w:rsid w:val="00096A8E"/>
    <w:rsid w:val="00096FC5"/>
    <w:rsid w:val="000974BE"/>
    <w:rsid w:val="00097FD4"/>
    <w:rsid w:val="000A0550"/>
    <w:rsid w:val="000A1F58"/>
    <w:rsid w:val="000A23D4"/>
    <w:rsid w:val="000A2C9D"/>
    <w:rsid w:val="000A30E9"/>
    <w:rsid w:val="000A461B"/>
    <w:rsid w:val="000A6794"/>
    <w:rsid w:val="000A726A"/>
    <w:rsid w:val="000B13C1"/>
    <w:rsid w:val="000B18D6"/>
    <w:rsid w:val="000B2336"/>
    <w:rsid w:val="000B465C"/>
    <w:rsid w:val="000B6CF1"/>
    <w:rsid w:val="000B792D"/>
    <w:rsid w:val="000B7DE2"/>
    <w:rsid w:val="000C02F6"/>
    <w:rsid w:val="000C1F65"/>
    <w:rsid w:val="000C2B68"/>
    <w:rsid w:val="000C2E9E"/>
    <w:rsid w:val="000C39D2"/>
    <w:rsid w:val="000C3D03"/>
    <w:rsid w:val="000C3D77"/>
    <w:rsid w:val="000C4852"/>
    <w:rsid w:val="000C627B"/>
    <w:rsid w:val="000C7332"/>
    <w:rsid w:val="000C77D8"/>
    <w:rsid w:val="000C7E1A"/>
    <w:rsid w:val="000D1903"/>
    <w:rsid w:val="000D19B0"/>
    <w:rsid w:val="000D1A3C"/>
    <w:rsid w:val="000D3F1A"/>
    <w:rsid w:val="000E0A01"/>
    <w:rsid w:val="000E1FB8"/>
    <w:rsid w:val="000E35E3"/>
    <w:rsid w:val="000E3E8B"/>
    <w:rsid w:val="000E5287"/>
    <w:rsid w:val="000E664D"/>
    <w:rsid w:val="000E6BA6"/>
    <w:rsid w:val="000F098D"/>
    <w:rsid w:val="000F2165"/>
    <w:rsid w:val="000F2174"/>
    <w:rsid w:val="000F2DBB"/>
    <w:rsid w:val="000F2EEE"/>
    <w:rsid w:val="000F3079"/>
    <w:rsid w:val="000F344B"/>
    <w:rsid w:val="000F3823"/>
    <w:rsid w:val="000F3A9C"/>
    <w:rsid w:val="000F4524"/>
    <w:rsid w:val="000F4B02"/>
    <w:rsid w:val="000F4E66"/>
    <w:rsid w:val="000F4EF6"/>
    <w:rsid w:val="000F58C6"/>
    <w:rsid w:val="000F58F4"/>
    <w:rsid w:val="000F5BDB"/>
    <w:rsid w:val="000F6139"/>
    <w:rsid w:val="000F626D"/>
    <w:rsid w:val="000F6823"/>
    <w:rsid w:val="00100684"/>
    <w:rsid w:val="001009C1"/>
    <w:rsid w:val="00100F5F"/>
    <w:rsid w:val="001029E6"/>
    <w:rsid w:val="00103105"/>
    <w:rsid w:val="00103CDB"/>
    <w:rsid w:val="001059C9"/>
    <w:rsid w:val="0010656E"/>
    <w:rsid w:val="00106DF2"/>
    <w:rsid w:val="00110533"/>
    <w:rsid w:val="00110B26"/>
    <w:rsid w:val="00110FF3"/>
    <w:rsid w:val="0011245A"/>
    <w:rsid w:val="00113DC0"/>
    <w:rsid w:val="00114755"/>
    <w:rsid w:val="001154B0"/>
    <w:rsid w:val="0011588A"/>
    <w:rsid w:val="001164AF"/>
    <w:rsid w:val="00116626"/>
    <w:rsid w:val="00117571"/>
    <w:rsid w:val="00117C9F"/>
    <w:rsid w:val="001207E4"/>
    <w:rsid w:val="00120A7B"/>
    <w:rsid w:val="0012100A"/>
    <w:rsid w:val="00123AC1"/>
    <w:rsid w:val="0012412A"/>
    <w:rsid w:val="00124271"/>
    <w:rsid w:val="0012686A"/>
    <w:rsid w:val="00126871"/>
    <w:rsid w:val="0012751B"/>
    <w:rsid w:val="00127CD0"/>
    <w:rsid w:val="00130BC2"/>
    <w:rsid w:val="001311FC"/>
    <w:rsid w:val="00132285"/>
    <w:rsid w:val="001326E1"/>
    <w:rsid w:val="0013302A"/>
    <w:rsid w:val="00133D86"/>
    <w:rsid w:val="001345B6"/>
    <w:rsid w:val="00135A41"/>
    <w:rsid w:val="00137678"/>
    <w:rsid w:val="001434AA"/>
    <w:rsid w:val="00145B09"/>
    <w:rsid w:val="00145E14"/>
    <w:rsid w:val="0014788D"/>
    <w:rsid w:val="00147C4A"/>
    <w:rsid w:val="00147D4C"/>
    <w:rsid w:val="00147D9D"/>
    <w:rsid w:val="00150630"/>
    <w:rsid w:val="00150CA3"/>
    <w:rsid w:val="00151197"/>
    <w:rsid w:val="001513EB"/>
    <w:rsid w:val="0015270C"/>
    <w:rsid w:val="00152755"/>
    <w:rsid w:val="001529C2"/>
    <w:rsid w:val="00152A74"/>
    <w:rsid w:val="00153A16"/>
    <w:rsid w:val="00153A6A"/>
    <w:rsid w:val="00153CD1"/>
    <w:rsid w:val="00153D09"/>
    <w:rsid w:val="00155466"/>
    <w:rsid w:val="001565F2"/>
    <w:rsid w:val="00156799"/>
    <w:rsid w:val="001576B2"/>
    <w:rsid w:val="00160306"/>
    <w:rsid w:val="0016407E"/>
    <w:rsid w:val="00164CA4"/>
    <w:rsid w:val="00165FE3"/>
    <w:rsid w:val="001669C8"/>
    <w:rsid w:val="00166E15"/>
    <w:rsid w:val="00167695"/>
    <w:rsid w:val="00170C3B"/>
    <w:rsid w:val="00170DCB"/>
    <w:rsid w:val="001721EC"/>
    <w:rsid w:val="001763B0"/>
    <w:rsid w:val="001771D0"/>
    <w:rsid w:val="001807CA"/>
    <w:rsid w:val="00181893"/>
    <w:rsid w:val="00182B36"/>
    <w:rsid w:val="001849FE"/>
    <w:rsid w:val="0018583D"/>
    <w:rsid w:val="00185B06"/>
    <w:rsid w:val="001872F4"/>
    <w:rsid w:val="001875FC"/>
    <w:rsid w:val="00191469"/>
    <w:rsid w:val="001922CB"/>
    <w:rsid w:val="0019345E"/>
    <w:rsid w:val="0019383A"/>
    <w:rsid w:val="00194662"/>
    <w:rsid w:val="00195C32"/>
    <w:rsid w:val="00197CAF"/>
    <w:rsid w:val="001A1911"/>
    <w:rsid w:val="001A2C85"/>
    <w:rsid w:val="001A3692"/>
    <w:rsid w:val="001A4F63"/>
    <w:rsid w:val="001A563D"/>
    <w:rsid w:val="001A571E"/>
    <w:rsid w:val="001A6C17"/>
    <w:rsid w:val="001A7AE5"/>
    <w:rsid w:val="001B0473"/>
    <w:rsid w:val="001B0E69"/>
    <w:rsid w:val="001B1F03"/>
    <w:rsid w:val="001B27A0"/>
    <w:rsid w:val="001B2F6F"/>
    <w:rsid w:val="001B3090"/>
    <w:rsid w:val="001B31CA"/>
    <w:rsid w:val="001B3D32"/>
    <w:rsid w:val="001B3E45"/>
    <w:rsid w:val="001B45FD"/>
    <w:rsid w:val="001B77D2"/>
    <w:rsid w:val="001C020B"/>
    <w:rsid w:val="001C105A"/>
    <w:rsid w:val="001C20AC"/>
    <w:rsid w:val="001C2549"/>
    <w:rsid w:val="001C2BEB"/>
    <w:rsid w:val="001C3243"/>
    <w:rsid w:val="001C3BF9"/>
    <w:rsid w:val="001C3C78"/>
    <w:rsid w:val="001C577A"/>
    <w:rsid w:val="001C5D7B"/>
    <w:rsid w:val="001C62E1"/>
    <w:rsid w:val="001C637C"/>
    <w:rsid w:val="001C7FED"/>
    <w:rsid w:val="001D00D0"/>
    <w:rsid w:val="001D2DEF"/>
    <w:rsid w:val="001D345B"/>
    <w:rsid w:val="001D4C97"/>
    <w:rsid w:val="001D58D6"/>
    <w:rsid w:val="001D663F"/>
    <w:rsid w:val="001D6B4F"/>
    <w:rsid w:val="001D6F5B"/>
    <w:rsid w:val="001D7F4E"/>
    <w:rsid w:val="001E04EA"/>
    <w:rsid w:val="001E0900"/>
    <w:rsid w:val="001E4AE1"/>
    <w:rsid w:val="001E4BA2"/>
    <w:rsid w:val="001E59E2"/>
    <w:rsid w:val="001E60AA"/>
    <w:rsid w:val="001E6C6E"/>
    <w:rsid w:val="001E7BEF"/>
    <w:rsid w:val="001E7FF3"/>
    <w:rsid w:val="001F0651"/>
    <w:rsid w:val="001F1906"/>
    <w:rsid w:val="001F1C59"/>
    <w:rsid w:val="001F3F20"/>
    <w:rsid w:val="001F4135"/>
    <w:rsid w:val="001F5572"/>
    <w:rsid w:val="001F5A51"/>
    <w:rsid w:val="001F75AC"/>
    <w:rsid w:val="00200B71"/>
    <w:rsid w:val="00201113"/>
    <w:rsid w:val="00201302"/>
    <w:rsid w:val="002017C5"/>
    <w:rsid w:val="0020268B"/>
    <w:rsid w:val="00203E93"/>
    <w:rsid w:val="00205F60"/>
    <w:rsid w:val="0020724C"/>
    <w:rsid w:val="00210A0C"/>
    <w:rsid w:val="0021325D"/>
    <w:rsid w:val="00214810"/>
    <w:rsid w:val="00214CA6"/>
    <w:rsid w:val="00215AB9"/>
    <w:rsid w:val="00215D4D"/>
    <w:rsid w:val="002179B7"/>
    <w:rsid w:val="0022007B"/>
    <w:rsid w:val="002207F6"/>
    <w:rsid w:val="00221CAF"/>
    <w:rsid w:val="00221D28"/>
    <w:rsid w:val="002229E1"/>
    <w:rsid w:val="0022396B"/>
    <w:rsid w:val="00225267"/>
    <w:rsid w:val="00225ADD"/>
    <w:rsid w:val="00226246"/>
    <w:rsid w:val="00227B8A"/>
    <w:rsid w:val="00227E8E"/>
    <w:rsid w:val="0023015F"/>
    <w:rsid w:val="002323DB"/>
    <w:rsid w:val="00232C95"/>
    <w:rsid w:val="002333C1"/>
    <w:rsid w:val="002334CD"/>
    <w:rsid w:val="00237306"/>
    <w:rsid w:val="00237325"/>
    <w:rsid w:val="00237463"/>
    <w:rsid w:val="002408B0"/>
    <w:rsid w:val="002409CB"/>
    <w:rsid w:val="00240D3A"/>
    <w:rsid w:val="00240FE3"/>
    <w:rsid w:val="0024314C"/>
    <w:rsid w:val="00243985"/>
    <w:rsid w:val="00243BC1"/>
    <w:rsid w:val="00244462"/>
    <w:rsid w:val="00247965"/>
    <w:rsid w:val="00247BCD"/>
    <w:rsid w:val="002501F5"/>
    <w:rsid w:val="00250E07"/>
    <w:rsid w:val="0025139A"/>
    <w:rsid w:val="00251CD4"/>
    <w:rsid w:val="00251EC5"/>
    <w:rsid w:val="00253320"/>
    <w:rsid w:val="00253D92"/>
    <w:rsid w:val="0025406B"/>
    <w:rsid w:val="00255E22"/>
    <w:rsid w:val="00256095"/>
    <w:rsid w:val="002562BC"/>
    <w:rsid w:val="002567B0"/>
    <w:rsid w:val="00257140"/>
    <w:rsid w:val="00257AC0"/>
    <w:rsid w:val="00257F10"/>
    <w:rsid w:val="00261434"/>
    <w:rsid w:val="002617C7"/>
    <w:rsid w:val="00262A58"/>
    <w:rsid w:val="00262C21"/>
    <w:rsid w:val="0026432E"/>
    <w:rsid w:val="00264B84"/>
    <w:rsid w:val="002666AC"/>
    <w:rsid w:val="00267EFE"/>
    <w:rsid w:val="00273FB3"/>
    <w:rsid w:val="00274E8C"/>
    <w:rsid w:val="00275A6D"/>
    <w:rsid w:val="00275B79"/>
    <w:rsid w:val="00275FBC"/>
    <w:rsid w:val="00276A7D"/>
    <w:rsid w:val="002772E9"/>
    <w:rsid w:val="002777FE"/>
    <w:rsid w:val="00280FB4"/>
    <w:rsid w:val="002817A0"/>
    <w:rsid w:val="00281946"/>
    <w:rsid w:val="0028248E"/>
    <w:rsid w:val="00282B2F"/>
    <w:rsid w:val="00282B6C"/>
    <w:rsid w:val="002833B6"/>
    <w:rsid w:val="002843D0"/>
    <w:rsid w:val="002846D0"/>
    <w:rsid w:val="00284BE9"/>
    <w:rsid w:val="00285753"/>
    <w:rsid w:val="00286353"/>
    <w:rsid w:val="00286E37"/>
    <w:rsid w:val="002870CD"/>
    <w:rsid w:val="00290715"/>
    <w:rsid w:val="00293E45"/>
    <w:rsid w:val="00296000"/>
    <w:rsid w:val="002968E7"/>
    <w:rsid w:val="00296930"/>
    <w:rsid w:val="002969CE"/>
    <w:rsid w:val="00297780"/>
    <w:rsid w:val="00297C2B"/>
    <w:rsid w:val="00297EF5"/>
    <w:rsid w:val="002A0BCF"/>
    <w:rsid w:val="002A0FF7"/>
    <w:rsid w:val="002A1AF8"/>
    <w:rsid w:val="002A20F7"/>
    <w:rsid w:val="002A2A17"/>
    <w:rsid w:val="002A2EB2"/>
    <w:rsid w:val="002A30AA"/>
    <w:rsid w:val="002A3710"/>
    <w:rsid w:val="002A3E5A"/>
    <w:rsid w:val="002A5BD9"/>
    <w:rsid w:val="002A6465"/>
    <w:rsid w:val="002A7BB7"/>
    <w:rsid w:val="002B03B4"/>
    <w:rsid w:val="002B15B5"/>
    <w:rsid w:val="002B1747"/>
    <w:rsid w:val="002B1CC9"/>
    <w:rsid w:val="002B2C18"/>
    <w:rsid w:val="002B3B08"/>
    <w:rsid w:val="002B40A7"/>
    <w:rsid w:val="002B4AC7"/>
    <w:rsid w:val="002B516B"/>
    <w:rsid w:val="002B6571"/>
    <w:rsid w:val="002B68AF"/>
    <w:rsid w:val="002B709B"/>
    <w:rsid w:val="002C07D1"/>
    <w:rsid w:val="002C0CCE"/>
    <w:rsid w:val="002C0D89"/>
    <w:rsid w:val="002C2D27"/>
    <w:rsid w:val="002C3E56"/>
    <w:rsid w:val="002C44EB"/>
    <w:rsid w:val="002C4E72"/>
    <w:rsid w:val="002C51E2"/>
    <w:rsid w:val="002C5BFC"/>
    <w:rsid w:val="002C6FAE"/>
    <w:rsid w:val="002D1C70"/>
    <w:rsid w:val="002D2336"/>
    <w:rsid w:val="002D2431"/>
    <w:rsid w:val="002D4A31"/>
    <w:rsid w:val="002D524C"/>
    <w:rsid w:val="002D761C"/>
    <w:rsid w:val="002D78E2"/>
    <w:rsid w:val="002D7CB8"/>
    <w:rsid w:val="002E0E93"/>
    <w:rsid w:val="002E29EA"/>
    <w:rsid w:val="002E2D7C"/>
    <w:rsid w:val="002E400B"/>
    <w:rsid w:val="002E4090"/>
    <w:rsid w:val="002E4D19"/>
    <w:rsid w:val="002E53C1"/>
    <w:rsid w:val="002E5AF9"/>
    <w:rsid w:val="002E6704"/>
    <w:rsid w:val="002E6900"/>
    <w:rsid w:val="002E7FF0"/>
    <w:rsid w:val="002F09F8"/>
    <w:rsid w:val="002F0EEC"/>
    <w:rsid w:val="002F1534"/>
    <w:rsid w:val="002F3F48"/>
    <w:rsid w:val="002F437F"/>
    <w:rsid w:val="002F65E1"/>
    <w:rsid w:val="0030077C"/>
    <w:rsid w:val="003007A4"/>
    <w:rsid w:val="0030101D"/>
    <w:rsid w:val="003015C5"/>
    <w:rsid w:val="0030327A"/>
    <w:rsid w:val="00304467"/>
    <w:rsid w:val="00304E2E"/>
    <w:rsid w:val="003104B3"/>
    <w:rsid w:val="003137DC"/>
    <w:rsid w:val="003142B9"/>
    <w:rsid w:val="003170E4"/>
    <w:rsid w:val="00317AD1"/>
    <w:rsid w:val="003200D1"/>
    <w:rsid w:val="00320995"/>
    <w:rsid w:val="00320FC6"/>
    <w:rsid w:val="003226E3"/>
    <w:rsid w:val="0032349C"/>
    <w:rsid w:val="003246B4"/>
    <w:rsid w:val="003248CF"/>
    <w:rsid w:val="0032665B"/>
    <w:rsid w:val="0032754A"/>
    <w:rsid w:val="0033051D"/>
    <w:rsid w:val="0033069E"/>
    <w:rsid w:val="0033080E"/>
    <w:rsid w:val="00330915"/>
    <w:rsid w:val="00330EE9"/>
    <w:rsid w:val="0033109E"/>
    <w:rsid w:val="00331A3F"/>
    <w:rsid w:val="0033253A"/>
    <w:rsid w:val="0033260F"/>
    <w:rsid w:val="00332816"/>
    <w:rsid w:val="00332B39"/>
    <w:rsid w:val="00333D24"/>
    <w:rsid w:val="00334FEB"/>
    <w:rsid w:val="003353E1"/>
    <w:rsid w:val="00335FB1"/>
    <w:rsid w:val="00336395"/>
    <w:rsid w:val="00337886"/>
    <w:rsid w:val="00337CD7"/>
    <w:rsid w:val="003408AF"/>
    <w:rsid w:val="003418D2"/>
    <w:rsid w:val="00342E7B"/>
    <w:rsid w:val="0034304F"/>
    <w:rsid w:val="00343447"/>
    <w:rsid w:val="00343583"/>
    <w:rsid w:val="00344135"/>
    <w:rsid w:val="00346D6E"/>
    <w:rsid w:val="00347720"/>
    <w:rsid w:val="0035072E"/>
    <w:rsid w:val="003514ED"/>
    <w:rsid w:val="003516DE"/>
    <w:rsid w:val="003519F8"/>
    <w:rsid w:val="00352D75"/>
    <w:rsid w:val="003533A0"/>
    <w:rsid w:val="00353500"/>
    <w:rsid w:val="0035369E"/>
    <w:rsid w:val="00353FA6"/>
    <w:rsid w:val="00356FAA"/>
    <w:rsid w:val="00357651"/>
    <w:rsid w:val="00357B9C"/>
    <w:rsid w:val="00360383"/>
    <w:rsid w:val="00360BD6"/>
    <w:rsid w:val="00360E3F"/>
    <w:rsid w:val="00363BD9"/>
    <w:rsid w:val="00364B54"/>
    <w:rsid w:val="00365E9C"/>
    <w:rsid w:val="00366288"/>
    <w:rsid w:val="00366310"/>
    <w:rsid w:val="00366ED6"/>
    <w:rsid w:val="003677DE"/>
    <w:rsid w:val="00372B4C"/>
    <w:rsid w:val="00373624"/>
    <w:rsid w:val="00373BBC"/>
    <w:rsid w:val="003747D4"/>
    <w:rsid w:val="00375270"/>
    <w:rsid w:val="00375A75"/>
    <w:rsid w:val="00375F8D"/>
    <w:rsid w:val="003807D7"/>
    <w:rsid w:val="0038264E"/>
    <w:rsid w:val="003827A2"/>
    <w:rsid w:val="00382E5B"/>
    <w:rsid w:val="00383DC8"/>
    <w:rsid w:val="003856F2"/>
    <w:rsid w:val="00385A0D"/>
    <w:rsid w:val="0038635C"/>
    <w:rsid w:val="00386CC7"/>
    <w:rsid w:val="00387C20"/>
    <w:rsid w:val="003902FB"/>
    <w:rsid w:val="00392793"/>
    <w:rsid w:val="00393CDF"/>
    <w:rsid w:val="003946A4"/>
    <w:rsid w:val="0039579D"/>
    <w:rsid w:val="00396480"/>
    <w:rsid w:val="003965D7"/>
    <w:rsid w:val="00397950"/>
    <w:rsid w:val="00397E5D"/>
    <w:rsid w:val="003A019D"/>
    <w:rsid w:val="003A0567"/>
    <w:rsid w:val="003A0765"/>
    <w:rsid w:val="003A16B2"/>
    <w:rsid w:val="003A3982"/>
    <w:rsid w:val="003A5479"/>
    <w:rsid w:val="003A5A36"/>
    <w:rsid w:val="003A61BB"/>
    <w:rsid w:val="003A6201"/>
    <w:rsid w:val="003A6448"/>
    <w:rsid w:val="003A6917"/>
    <w:rsid w:val="003A76FD"/>
    <w:rsid w:val="003A7A6B"/>
    <w:rsid w:val="003A7FED"/>
    <w:rsid w:val="003B0274"/>
    <w:rsid w:val="003B05D3"/>
    <w:rsid w:val="003B3DFE"/>
    <w:rsid w:val="003B3E37"/>
    <w:rsid w:val="003B42E0"/>
    <w:rsid w:val="003B509D"/>
    <w:rsid w:val="003B583F"/>
    <w:rsid w:val="003B5DAD"/>
    <w:rsid w:val="003B69AF"/>
    <w:rsid w:val="003B78FD"/>
    <w:rsid w:val="003B7A01"/>
    <w:rsid w:val="003C2B67"/>
    <w:rsid w:val="003C3701"/>
    <w:rsid w:val="003C3ED1"/>
    <w:rsid w:val="003C50EE"/>
    <w:rsid w:val="003C635C"/>
    <w:rsid w:val="003C6529"/>
    <w:rsid w:val="003C704F"/>
    <w:rsid w:val="003D0442"/>
    <w:rsid w:val="003D0A11"/>
    <w:rsid w:val="003D0FF4"/>
    <w:rsid w:val="003D1349"/>
    <w:rsid w:val="003D2FBC"/>
    <w:rsid w:val="003D5B68"/>
    <w:rsid w:val="003D60E8"/>
    <w:rsid w:val="003E0384"/>
    <w:rsid w:val="003E1544"/>
    <w:rsid w:val="003E1742"/>
    <w:rsid w:val="003E1947"/>
    <w:rsid w:val="003E20CF"/>
    <w:rsid w:val="003E356D"/>
    <w:rsid w:val="003E46AE"/>
    <w:rsid w:val="003E6A30"/>
    <w:rsid w:val="003E70FD"/>
    <w:rsid w:val="003E7202"/>
    <w:rsid w:val="003E7E4D"/>
    <w:rsid w:val="003F0606"/>
    <w:rsid w:val="003F0B9B"/>
    <w:rsid w:val="003F3133"/>
    <w:rsid w:val="003F3890"/>
    <w:rsid w:val="003F3B50"/>
    <w:rsid w:val="003F3D61"/>
    <w:rsid w:val="003F4470"/>
    <w:rsid w:val="003F471A"/>
    <w:rsid w:val="003F6107"/>
    <w:rsid w:val="003F6324"/>
    <w:rsid w:val="00401A4E"/>
    <w:rsid w:val="00401B4F"/>
    <w:rsid w:val="00402599"/>
    <w:rsid w:val="00402B6F"/>
    <w:rsid w:val="00402BC7"/>
    <w:rsid w:val="00402DAC"/>
    <w:rsid w:val="004040BC"/>
    <w:rsid w:val="00407691"/>
    <w:rsid w:val="00410565"/>
    <w:rsid w:val="00411712"/>
    <w:rsid w:val="00411FBC"/>
    <w:rsid w:val="0041212F"/>
    <w:rsid w:val="0041231B"/>
    <w:rsid w:val="004128B0"/>
    <w:rsid w:val="00415733"/>
    <w:rsid w:val="00417818"/>
    <w:rsid w:val="00420FFA"/>
    <w:rsid w:val="00422FA4"/>
    <w:rsid w:val="00424051"/>
    <w:rsid w:val="00424323"/>
    <w:rsid w:val="00425738"/>
    <w:rsid w:val="00425799"/>
    <w:rsid w:val="004268E2"/>
    <w:rsid w:val="00426E9A"/>
    <w:rsid w:val="00426F97"/>
    <w:rsid w:val="0043142D"/>
    <w:rsid w:val="004317E7"/>
    <w:rsid w:val="00432736"/>
    <w:rsid w:val="0043381E"/>
    <w:rsid w:val="00436E43"/>
    <w:rsid w:val="00437AE7"/>
    <w:rsid w:val="00437C5D"/>
    <w:rsid w:val="004401E6"/>
    <w:rsid w:val="004419D5"/>
    <w:rsid w:val="00442011"/>
    <w:rsid w:val="004427CF"/>
    <w:rsid w:val="004455BA"/>
    <w:rsid w:val="004459F7"/>
    <w:rsid w:val="00445B35"/>
    <w:rsid w:val="00446E1E"/>
    <w:rsid w:val="00447892"/>
    <w:rsid w:val="00447F55"/>
    <w:rsid w:val="00451B81"/>
    <w:rsid w:val="00451D9F"/>
    <w:rsid w:val="004522CB"/>
    <w:rsid w:val="00453AA2"/>
    <w:rsid w:val="00454315"/>
    <w:rsid w:val="00454CC4"/>
    <w:rsid w:val="0045656D"/>
    <w:rsid w:val="004614F7"/>
    <w:rsid w:val="0046476B"/>
    <w:rsid w:val="00465CDD"/>
    <w:rsid w:val="00465F11"/>
    <w:rsid w:val="00465F7C"/>
    <w:rsid w:val="00466070"/>
    <w:rsid w:val="00471BD4"/>
    <w:rsid w:val="00471D17"/>
    <w:rsid w:val="00476676"/>
    <w:rsid w:val="00477B76"/>
    <w:rsid w:val="0048066D"/>
    <w:rsid w:val="00480CEB"/>
    <w:rsid w:val="00482B8A"/>
    <w:rsid w:val="00482E33"/>
    <w:rsid w:val="00483D89"/>
    <w:rsid w:val="00484733"/>
    <w:rsid w:val="004858DE"/>
    <w:rsid w:val="00486709"/>
    <w:rsid w:val="00487D32"/>
    <w:rsid w:val="00490D07"/>
    <w:rsid w:val="00491C58"/>
    <w:rsid w:val="004921D5"/>
    <w:rsid w:val="00493228"/>
    <w:rsid w:val="00493ED4"/>
    <w:rsid w:val="004957E9"/>
    <w:rsid w:val="00496F1D"/>
    <w:rsid w:val="004974F4"/>
    <w:rsid w:val="004A16A4"/>
    <w:rsid w:val="004A41E3"/>
    <w:rsid w:val="004A5616"/>
    <w:rsid w:val="004A5666"/>
    <w:rsid w:val="004A58D1"/>
    <w:rsid w:val="004A69D0"/>
    <w:rsid w:val="004A7634"/>
    <w:rsid w:val="004B0D20"/>
    <w:rsid w:val="004B1788"/>
    <w:rsid w:val="004B1AB5"/>
    <w:rsid w:val="004B2AB5"/>
    <w:rsid w:val="004B3CEA"/>
    <w:rsid w:val="004B4238"/>
    <w:rsid w:val="004B6529"/>
    <w:rsid w:val="004B7BB5"/>
    <w:rsid w:val="004C095C"/>
    <w:rsid w:val="004C349E"/>
    <w:rsid w:val="004C4436"/>
    <w:rsid w:val="004C4CA4"/>
    <w:rsid w:val="004C581E"/>
    <w:rsid w:val="004C5D85"/>
    <w:rsid w:val="004C6485"/>
    <w:rsid w:val="004C6939"/>
    <w:rsid w:val="004C6B74"/>
    <w:rsid w:val="004D04E2"/>
    <w:rsid w:val="004D07D7"/>
    <w:rsid w:val="004D0B93"/>
    <w:rsid w:val="004D11C3"/>
    <w:rsid w:val="004D179A"/>
    <w:rsid w:val="004D2B04"/>
    <w:rsid w:val="004D3BD5"/>
    <w:rsid w:val="004D414B"/>
    <w:rsid w:val="004D7E88"/>
    <w:rsid w:val="004E1DBE"/>
    <w:rsid w:val="004E2483"/>
    <w:rsid w:val="004E24CF"/>
    <w:rsid w:val="004E42A4"/>
    <w:rsid w:val="004E44EA"/>
    <w:rsid w:val="004E503B"/>
    <w:rsid w:val="004E5961"/>
    <w:rsid w:val="004E6DFD"/>
    <w:rsid w:val="004F01A1"/>
    <w:rsid w:val="004F045F"/>
    <w:rsid w:val="004F10EF"/>
    <w:rsid w:val="004F240C"/>
    <w:rsid w:val="004F2539"/>
    <w:rsid w:val="004F43A8"/>
    <w:rsid w:val="004F4D03"/>
    <w:rsid w:val="004F54F7"/>
    <w:rsid w:val="004F68C4"/>
    <w:rsid w:val="00501811"/>
    <w:rsid w:val="0050337A"/>
    <w:rsid w:val="00504579"/>
    <w:rsid w:val="0050661D"/>
    <w:rsid w:val="00506C1E"/>
    <w:rsid w:val="00507CBE"/>
    <w:rsid w:val="00510770"/>
    <w:rsid w:val="005121D1"/>
    <w:rsid w:val="00512B60"/>
    <w:rsid w:val="00513B31"/>
    <w:rsid w:val="00514459"/>
    <w:rsid w:val="0051447F"/>
    <w:rsid w:val="005162B9"/>
    <w:rsid w:val="00516335"/>
    <w:rsid w:val="005168A7"/>
    <w:rsid w:val="0051783A"/>
    <w:rsid w:val="005208AE"/>
    <w:rsid w:val="00521943"/>
    <w:rsid w:val="0052229B"/>
    <w:rsid w:val="005232E3"/>
    <w:rsid w:val="00526866"/>
    <w:rsid w:val="005345BE"/>
    <w:rsid w:val="00535196"/>
    <w:rsid w:val="00535B57"/>
    <w:rsid w:val="00535FC6"/>
    <w:rsid w:val="00537FCA"/>
    <w:rsid w:val="00540A1F"/>
    <w:rsid w:val="00540E1E"/>
    <w:rsid w:val="00541053"/>
    <w:rsid w:val="00541FF6"/>
    <w:rsid w:val="00543C68"/>
    <w:rsid w:val="00546269"/>
    <w:rsid w:val="00546EDD"/>
    <w:rsid w:val="005470AD"/>
    <w:rsid w:val="00547190"/>
    <w:rsid w:val="00547212"/>
    <w:rsid w:val="00550819"/>
    <w:rsid w:val="00551E3D"/>
    <w:rsid w:val="00552ABB"/>
    <w:rsid w:val="00552EA0"/>
    <w:rsid w:val="00553786"/>
    <w:rsid w:val="0055395D"/>
    <w:rsid w:val="00553ED4"/>
    <w:rsid w:val="00554097"/>
    <w:rsid w:val="00554174"/>
    <w:rsid w:val="005554D3"/>
    <w:rsid w:val="00555A69"/>
    <w:rsid w:val="00556102"/>
    <w:rsid w:val="0055730F"/>
    <w:rsid w:val="00560063"/>
    <w:rsid w:val="005600C6"/>
    <w:rsid w:val="00561FC9"/>
    <w:rsid w:val="00564CBC"/>
    <w:rsid w:val="0056504D"/>
    <w:rsid w:val="005654CF"/>
    <w:rsid w:val="00565A42"/>
    <w:rsid w:val="005706CD"/>
    <w:rsid w:val="00570BC4"/>
    <w:rsid w:val="00570D9C"/>
    <w:rsid w:val="00570E72"/>
    <w:rsid w:val="00570EC0"/>
    <w:rsid w:val="00571862"/>
    <w:rsid w:val="00571CB9"/>
    <w:rsid w:val="00573577"/>
    <w:rsid w:val="0057520F"/>
    <w:rsid w:val="005779C2"/>
    <w:rsid w:val="00580930"/>
    <w:rsid w:val="00580CF8"/>
    <w:rsid w:val="0058321A"/>
    <w:rsid w:val="00584671"/>
    <w:rsid w:val="005854F9"/>
    <w:rsid w:val="00585ECA"/>
    <w:rsid w:val="0058688D"/>
    <w:rsid w:val="00586ED1"/>
    <w:rsid w:val="00587EA1"/>
    <w:rsid w:val="00590E48"/>
    <w:rsid w:val="00591701"/>
    <w:rsid w:val="00591B49"/>
    <w:rsid w:val="0059391C"/>
    <w:rsid w:val="00594CC3"/>
    <w:rsid w:val="00596D1A"/>
    <w:rsid w:val="0059729D"/>
    <w:rsid w:val="00597D00"/>
    <w:rsid w:val="005A1166"/>
    <w:rsid w:val="005A16E9"/>
    <w:rsid w:val="005A171B"/>
    <w:rsid w:val="005A1749"/>
    <w:rsid w:val="005A1AE3"/>
    <w:rsid w:val="005A1ECE"/>
    <w:rsid w:val="005A37E8"/>
    <w:rsid w:val="005A4568"/>
    <w:rsid w:val="005A5B64"/>
    <w:rsid w:val="005A6BC2"/>
    <w:rsid w:val="005A70A6"/>
    <w:rsid w:val="005A77B9"/>
    <w:rsid w:val="005B0456"/>
    <w:rsid w:val="005B0707"/>
    <w:rsid w:val="005B0BAC"/>
    <w:rsid w:val="005B174E"/>
    <w:rsid w:val="005B2D1A"/>
    <w:rsid w:val="005B3DD7"/>
    <w:rsid w:val="005B403B"/>
    <w:rsid w:val="005B4BA6"/>
    <w:rsid w:val="005B5EA9"/>
    <w:rsid w:val="005B63F0"/>
    <w:rsid w:val="005B6506"/>
    <w:rsid w:val="005B6591"/>
    <w:rsid w:val="005C04B0"/>
    <w:rsid w:val="005C1540"/>
    <w:rsid w:val="005C18C3"/>
    <w:rsid w:val="005C1CF1"/>
    <w:rsid w:val="005C31A9"/>
    <w:rsid w:val="005C4930"/>
    <w:rsid w:val="005C4CDC"/>
    <w:rsid w:val="005C61D7"/>
    <w:rsid w:val="005C6F27"/>
    <w:rsid w:val="005D054C"/>
    <w:rsid w:val="005D27B4"/>
    <w:rsid w:val="005D419C"/>
    <w:rsid w:val="005D53CD"/>
    <w:rsid w:val="005D5E45"/>
    <w:rsid w:val="005D6BB5"/>
    <w:rsid w:val="005E2F8C"/>
    <w:rsid w:val="005E322A"/>
    <w:rsid w:val="005E3B8F"/>
    <w:rsid w:val="005E3F8F"/>
    <w:rsid w:val="005E420F"/>
    <w:rsid w:val="005E46DB"/>
    <w:rsid w:val="005E665B"/>
    <w:rsid w:val="005E699B"/>
    <w:rsid w:val="005F0FB2"/>
    <w:rsid w:val="005F1C13"/>
    <w:rsid w:val="005F204A"/>
    <w:rsid w:val="005F2F76"/>
    <w:rsid w:val="005F33EE"/>
    <w:rsid w:val="005F3BA0"/>
    <w:rsid w:val="005F4C10"/>
    <w:rsid w:val="005F5414"/>
    <w:rsid w:val="005F59A7"/>
    <w:rsid w:val="005F5CBE"/>
    <w:rsid w:val="005F6E38"/>
    <w:rsid w:val="0060090A"/>
    <w:rsid w:val="00600D92"/>
    <w:rsid w:val="00600DB7"/>
    <w:rsid w:val="00601EA2"/>
    <w:rsid w:val="00602D99"/>
    <w:rsid w:val="00602DD5"/>
    <w:rsid w:val="006037B8"/>
    <w:rsid w:val="00603F0D"/>
    <w:rsid w:val="00604EA4"/>
    <w:rsid w:val="0060511B"/>
    <w:rsid w:val="00605334"/>
    <w:rsid w:val="0060590D"/>
    <w:rsid w:val="0060756F"/>
    <w:rsid w:val="00607E41"/>
    <w:rsid w:val="006103E2"/>
    <w:rsid w:val="0061378B"/>
    <w:rsid w:val="00613888"/>
    <w:rsid w:val="00613A82"/>
    <w:rsid w:val="00616808"/>
    <w:rsid w:val="006203C0"/>
    <w:rsid w:val="00620A28"/>
    <w:rsid w:val="00620A80"/>
    <w:rsid w:val="00621E59"/>
    <w:rsid w:val="00622772"/>
    <w:rsid w:val="0062285F"/>
    <w:rsid w:val="006229CA"/>
    <w:rsid w:val="006234FF"/>
    <w:rsid w:val="00624DB1"/>
    <w:rsid w:val="00624FCF"/>
    <w:rsid w:val="00625A26"/>
    <w:rsid w:val="006260CE"/>
    <w:rsid w:val="006260F8"/>
    <w:rsid w:val="0063008E"/>
    <w:rsid w:val="00630818"/>
    <w:rsid w:val="0063311F"/>
    <w:rsid w:val="00633456"/>
    <w:rsid w:val="00633C40"/>
    <w:rsid w:val="00634861"/>
    <w:rsid w:val="00634A29"/>
    <w:rsid w:val="00634D33"/>
    <w:rsid w:val="00634D92"/>
    <w:rsid w:val="00634E90"/>
    <w:rsid w:val="00635858"/>
    <w:rsid w:val="00636FAA"/>
    <w:rsid w:val="00636FEA"/>
    <w:rsid w:val="0063744B"/>
    <w:rsid w:val="00637601"/>
    <w:rsid w:val="00637824"/>
    <w:rsid w:val="00640F23"/>
    <w:rsid w:val="00641930"/>
    <w:rsid w:val="00641BC0"/>
    <w:rsid w:val="00643125"/>
    <w:rsid w:val="00643831"/>
    <w:rsid w:val="00644D44"/>
    <w:rsid w:val="00647178"/>
    <w:rsid w:val="0064748B"/>
    <w:rsid w:val="00647698"/>
    <w:rsid w:val="00647E4C"/>
    <w:rsid w:val="00647E9E"/>
    <w:rsid w:val="0065015C"/>
    <w:rsid w:val="00651357"/>
    <w:rsid w:val="00653CE0"/>
    <w:rsid w:val="00654941"/>
    <w:rsid w:val="006554AB"/>
    <w:rsid w:val="00656A25"/>
    <w:rsid w:val="00657881"/>
    <w:rsid w:val="00657A98"/>
    <w:rsid w:val="0066094D"/>
    <w:rsid w:val="006627A7"/>
    <w:rsid w:val="00665B6E"/>
    <w:rsid w:val="00665CA9"/>
    <w:rsid w:val="00666BD8"/>
    <w:rsid w:val="006671B2"/>
    <w:rsid w:val="006700EB"/>
    <w:rsid w:val="00670489"/>
    <w:rsid w:val="00671B9B"/>
    <w:rsid w:val="006726FB"/>
    <w:rsid w:val="0067272A"/>
    <w:rsid w:val="00672D5A"/>
    <w:rsid w:val="006754D5"/>
    <w:rsid w:val="00675F54"/>
    <w:rsid w:val="00676DE9"/>
    <w:rsid w:val="006772FC"/>
    <w:rsid w:val="00680135"/>
    <w:rsid w:val="0068066B"/>
    <w:rsid w:val="00681037"/>
    <w:rsid w:val="006819DE"/>
    <w:rsid w:val="00681D43"/>
    <w:rsid w:val="00682641"/>
    <w:rsid w:val="006832EE"/>
    <w:rsid w:val="00683475"/>
    <w:rsid w:val="00683A2A"/>
    <w:rsid w:val="00683D44"/>
    <w:rsid w:val="00683E9C"/>
    <w:rsid w:val="0068626B"/>
    <w:rsid w:val="00687E1E"/>
    <w:rsid w:val="0069079A"/>
    <w:rsid w:val="00690DED"/>
    <w:rsid w:val="0069142C"/>
    <w:rsid w:val="00692634"/>
    <w:rsid w:val="00692771"/>
    <w:rsid w:val="006939A2"/>
    <w:rsid w:val="00694022"/>
    <w:rsid w:val="00695726"/>
    <w:rsid w:val="006962D7"/>
    <w:rsid w:val="00696EF6"/>
    <w:rsid w:val="006A091F"/>
    <w:rsid w:val="006A3270"/>
    <w:rsid w:val="006A4D7D"/>
    <w:rsid w:val="006A5DC7"/>
    <w:rsid w:val="006A63C1"/>
    <w:rsid w:val="006A654F"/>
    <w:rsid w:val="006A6A56"/>
    <w:rsid w:val="006A7843"/>
    <w:rsid w:val="006A78F5"/>
    <w:rsid w:val="006B0DB1"/>
    <w:rsid w:val="006B11A7"/>
    <w:rsid w:val="006B1CF6"/>
    <w:rsid w:val="006B1F33"/>
    <w:rsid w:val="006B276F"/>
    <w:rsid w:val="006B5712"/>
    <w:rsid w:val="006B59B3"/>
    <w:rsid w:val="006B5F1F"/>
    <w:rsid w:val="006B62B1"/>
    <w:rsid w:val="006B677D"/>
    <w:rsid w:val="006B6DC6"/>
    <w:rsid w:val="006B72FC"/>
    <w:rsid w:val="006B746D"/>
    <w:rsid w:val="006B797F"/>
    <w:rsid w:val="006C05F9"/>
    <w:rsid w:val="006C09B8"/>
    <w:rsid w:val="006C1052"/>
    <w:rsid w:val="006C2C62"/>
    <w:rsid w:val="006C319B"/>
    <w:rsid w:val="006C34CB"/>
    <w:rsid w:val="006C4687"/>
    <w:rsid w:val="006C5C78"/>
    <w:rsid w:val="006C61E6"/>
    <w:rsid w:val="006C7548"/>
    <w:rsid w:val="006C78AD"/>
    <w:rsid w:val="006D14C1"/>
    <w:rsid w:val="006D14EC"/>
    <w:rsid w:val="006D1E8A"/>
    <w:rsid w:val="006D3905"/>
    <w:rsid w:val="006D3D1D"/>
    <w:rsid w:val="006D3F3A"/>
    <w:rsid w:val="006D56D4"/>
    <w:rsid w:val="006D709B"/>
    <w:rsid w:val="006D7950"/>
    <w:rsid w:val="006D797C"/>
    <w:rsid w:val="006E0668"/>
    <w:rsid w:val="006E0FB2"/>
    <w:rsid w:val="006E3C9A"/>
    <w:rsid w:val="006E4225"/>
    <w:rsid w:val="006E4752"/>
    <w:rsid w:val="006E4B44"/>
    <w:rsid w:val="006E6710"/>
    <w:rsid w:val="006E6A4C"/>
    <w:rsid w:val="006E6C49"/>
    <w:rsid w:val="006E6FA6"/>
    <w:rsid w:val="006E746C"/>
    <w:rsid w:val="006F2022"/>
    <w:rsid w:val="006F4323"/>
    <w:rsid w:val="006F5B75"/>
    <w:rsid w:val="006F7F16"/>
    <w:rsid w:val="00700FFC"/>
    <w:rsid w:val="007014EB"/>
    <w:rsid w:val="00701859"/>
    <w:rsid w:val="00701FA5"/>
    <w:rsid w:val="0070263D"/>
    <w:rsid w:val="00702F23"/>
    <w:rsid w:val="0070326F"/>
    <w:rsid w:val="00703F83"/>
    <w:rsid w:val="007056D7"/>
    <w:rsid w:val="00705EB0"/>
    <w:rsid w:val="00706C26"/>
    <w:rsid w:val="00706EC1"/>
    <w:rsid w:val="00707403"/>
    <w:rsid w:val="00707768"/>
    <w:rsid w:val="00710759"/>
    <w:rsid w:val="00710F76"/>
    <w:rsid w:val="00712178"/>
    <w:rsid w:val="0071239E"/>
    <w:rsid w:val="00712606"/>
    <w:rsid w:val="007133D1"/>
    <w:rsid w:val="00714ABF"/>
    <w:rsid w:val="00715528"/>
    <w:rsid w:val="00716363"/>
    <w:rsid w:val="00717115"/>
    <w:rsid w:val="0072046F"/>
    <w:rsid w:val="007207EC"/>
    <w:rsid w:val="0072126C"/>
    <w:rsid w:val="007224DE"/>
    <w:rsid w:val="007234E6"/>
    <w:rsid w:val="00726DA5"/>
    <w:rsid w:val="00730428"/>
    <w:rsid w:val="00731B12"/>
    <w:rsid w:val="00731D6D"/>
    <w:rsid w:val="00732258"/>
    <w:rsid w:val="00733A7D"/>
    <w:rsid w:val="007344D3"/>
    <w:rsid w:val="00735B26"/>
    <w:rsid w:val="0073669C"/>
    <w:rsid w:val="0073677A"/>
    <w:rsid w:val="007371D7"/>
    <w:rsid w:val="0073771D"/>
    <w:rsid w:val="007402BF"/>
    <w:rsid w:val="007405CD"/>
    <w:rsid w:val="007408FD"/>
    <w:rsid w:val="00740E08"/>
    <w:rsid w:val="007414B7"/>
    <w:rsid w:val="00741671"/>
    <w:rsid w:val="00741E18"/>
    <w:rsid w:val="00745155"/>
    <w:rsid w:val="00745FDB"/>
    <w:rsid w:val="00746511"/>
    <w:rsid w:val="00750797"/>
    <w:rsid w:val="007509E8"/>
    <w:rsid w:val="0075187E"/>
    <w:rsid w:val="00752269"/>
    <w:rsid w:val="00752480"/>
    <w:rsid w:val="00752ED0"/>
    <w:rsid w:val="0075313B"/>
    <w:rsid w:val="00753930"/>
    <w:rsid w:val="00753B92"/>
    <w:rsid w:val="0075418A"/>
    <w:rsid w:val="00756C7C"/>
    <w:rsid w:val="00756CCA"/>
    <w:rsid w:val="0076152D"/>
    <w:rsid w:val="00761FB9"/>
    <w:rsid w:val="007632A8"/>
    <w:rsid w:val="007635F6"/>
    <w:rsid w:val="00764320"/>
    <w:rsid w:val="00764F27"/>
    <w:rsid w:val="00765210"/>
    <w:rsid w:val="00765F03"/>
    <w:rsid w:val="00765F9E"/>
    <w:rsid w:val="00766973"/>
    <w:rsid w:val="0076715E"/>
    <w:rsid w:val="0077482E"/>
    <w:rsid w:val="0077501D"/>
    <w:rsid w:val="00775636"/>
    <w:rsid w:val="00776FDA"/>
    <w:rsid w:val="00781411"/>
    <w:rsid w:val="00781690"/>
    <w:rsid w:val="00783043"/>
    <w:rsid w:val="0078393B"/>
    <w:rsid w:val="007849F9"/>
    <w:rsid w:val="00784ACD"/>
    <w:rsid w:val="00784C5B"/>
    <w:rsid w:val="00784F28"/>
    <w:rsid w:val="0078589A"/>
    <w:rsid w:val="00785D74"/>
    <w:rsid w:val="0078790B"/>
    <w:rsid w:val="00787B46"/>
    <w:rsid w:val="00787E95"/>
    <w:rsid w:val="00791E51"/>
    <w:rsid w:val="007928DE"/>
    <w:rsid w:val="00792CE3"/>
    <w:rsid w:val="00793273"/>
    <w:rsid w:val="007938EA"/>
    <w:rsid w:val="00793AD5"/>
    <w:rsid w:val="00795A24"/>
    <w:rsid w:val="00795AC2"/>
    <w:rsid w:val="00795D4C"/>
    <w:rsid w:val="00796FE4"/>
    <w:rsid w:val="007A03CF"/>
    <w:rsid w:val="007A0AE0"/>
    <w:rsid w:val="007A0C8E"/>
    <w:rsid w:val="007A0ED1"/>
    <w:rsid w:val="007A385B"/>
    <w:rsid w:val="007A42AA"/>
    <w:rsid w:val="007A4335"/>
    <w:rsid w:val="007A5035"/>
    <w:rsid w:val="007A6C47"/>
    <w:rsid w:val="007B14F2"/>
    <w:rsid w:val="007B49B6"/>
    <w:rsid w:val="007B4A58"/>
    <w:rsid w:val="007B6782"/>
    <w:rsid w:val="007B6957"/>
    <w:rsid w:val="007B7581"/>
    <w:rsid w:val="007B7A7A"/>
    <w:rsid w:val="007C06C1"/>
    <w:rsid w:val="007C070F"/>
    <w:rsid w:val="007C180E"/>
    <w:rsid w:val="007C1812"/>
    <w:rsid w:val="007C1AF4"/>
    <w:rsid w:val="007C29E7"/>
    <w:rsid w:val="007C49CD"/>
    <w:rsid w:val="007C4B87"/>
    <w:rsid w:val="007C5422"/>
    <w:rsid w:val="007C56ED"/>
    <w:rsid w:val="007C60BE"/>
    <w:rsid w:val="007C60F0"/>
    <w:rsid w:val="007C75E7"/>
    <w:rsid w:val="007C7BA8"/>
    <w:rsid w:val="007D0947"/>
    <w:rsid w:val="007D0B3A"/>
    <w:rsid w:val="007D20BA"/>
    <w:rsid w:val="007D22AA"/>
    <w:rsid w:val="007D3B05"/>
    <w:rsid w:val="007D5851"/>
    <w:rsid w:val="007D64F5"/>
    <w:rsid w:val="007D6A4B"/>
    <w:rsid w:val="007D6FBB"/>
    <w:rsid w:val="007D71D0"/>
    <w:rsid w:val="007D7F76"/>
    <w:rsid w:val="007D7FF3"/>
    <w:rsid w:val="007E0534"/>
    <w:rsid w:val="007E0753"/>
    <w:rsid w:val="007E0825"/>
    <w:rsid w:val="007E26E2"/>
    <w:rsid w:val="007E3865"/>
    <w:rsid w:val="007E3C27"/>
    <w:rsid w:val="007E429C"/>
    <w:rsid w:val="007E49E1"/>
    <w:rsid w:val="007E744F"/>
    <w:rsid w:val="007E7869"/>
    <w:rsid w:val="007E7F70"/>
    <w:rsid w:val="007F17DD"/>
    <w:rsid w:val="007F239F"/>
    <w:rsid w:val="007F25B0"/>
    <w:rsid w:val="007F276A"/>
    <w:rsid w:val="007F2DA7"/>
    <w:rsid w:val="007F4DC9"/>
    <w:rsid w:val="007F6648"/>
    <w:rsid w:val="007F706B"/>
    <w:rsid w:val="007F79AC"/>
    <w:rsid w:val="008003F4"/>
    <w:rsid w:val="00800589"/>
    <w:rsid w:val="008011EA"/>
    <w:rsid w:val="00802223"/>
    <w:rsid w:val="00802793"/>
    <w:rsid w:val="008029D0"/>
    <w:rsid w:val="00804BE0"/>
    <w:rsid w:val="0080519A"/>
    <w:rsid w:val="00805ED6"/>
    <w:rsid w:val="00806538"/>
    <w:rsid w:val="00806D1E"/>
    <w:rsid w:val="00810151"/>
    <w:rsid w:val="008102A6"/>
    <w:rsid w:val="0081109E"/>
    <w:rsid w:val="00811498"/>
    <w:rsid w:val="00811534"/>
    <w:rsid w:val="00811597"/>
    <w:rsid w:val="00811A5B"/>
    <w:rsid w:val="008120F8"/>
    <w:rsid w:val="008124F4"/>
    <w:rsid w:val="00815141"/>
    <w:rsid w:val="008157EC"/>
    <w:rsid w:val="0081608B"/>
    <w:rsid w:val="00816811"/>
    <w:rsid w:val="00816CE0"/>
    <w:rsid w:val="008204F1"/>
    <w:rsid w:val="008205E9"/>
    <w:rsid w:val="00821304"/>
    <w:rsid w:val="00823286"/>
    <w:rsid w:val="0082334C"/>
    <w:rsid w:val="00823B5C"/>
    <w:rsid w:val="008259DF"/>
    <w:rsid w:val="00825F4A"/>
    <w:rsid w:val="00826CA7"/>
    <w:rsid w:val="008271D6"/>
    <w:rsid w:val="00827430"/>
    <w:rsid w:val="008276D2"/>
    <w:rsid w:val="00830CAF"/>
    <w:rsid w:val="00831529"/>
    <w:rsid w:val="00833019"/>
    <w:rsid w:val="008336DD"/>
    <w:rsid w:val="00833FF4"/>
    <w:rsid w:val="00834875"/>
    <w:rsid w:val="008352A7"/>
    <w:rsid w:val="00836421"/>
    <w:rsid w:val="00836F18"/>
    <w:rsid w:val="00837129"/>
    <w:rsid w:val="008372A1"/>
    <w:rsid w:val="00837B3D"/>
    <w:rsid w:val="008433DF"/>
    <w:rsid w:val="008442F5"/>
    <w:rsid w:val="0084438E"/>
    <w:rsid w:val="00844992"/>
    <w:rsid w:val="00844EDE"/>
    <w:rsid w:val="0084555C"/>
    <w:rsid w:val="008472D0"/>
    <w:rsid w:val="0085064A"/>
    <w:rsid w:val="00850BF8"/>
    <w:rsid w:val="00851C99"/>
    <w:rsid w:val="00851FD3"/>
    <w:rsid w:val="00852341"/>
    <w:rsid w:val="00852CCF"/>
    <w:rsid w:val="00852D66"/>
    <w:rsid w:val="00855A34"/>
    <w:rsid w:val="0085641F"/>
    <w:rsid w:val="008613BF"/>
    <w:rsid w:val="00861A3A"/>
    <w:rsid w:val="00861E51"/>
    <w:rsid w:val="0086276F"/>
    <w:rsid w:val="00862E13"/>
    <w:rsid w:val="00863349"/>
    <w:rsid w:val="00863DAF"/>
    <w:rsid w:val="0086487A"/>
    <w:rsid w:val="00864B11"/>
    <w:rsid w:val="00864B81"/>
    <w:rsid w:val="0086689F"/>
    <w:rsid w:val="00870F1C"/>
    <w:rsid w:val="0087310F"/>
    <w:rsid w:val="00873693"/>
    <w:rsid w:val="00874319"/>
    <w:rsid w:val="00874D24"/>
    <w:rsid w:val="00875335"/>
    <w:rsid w:val="008760E1"/>
    <w:rsid w:val="00877C59"/>
    <w:rsid w:val="008801BA"/>
    <w:rsid w:val="008806D4"/>
    <w:rsid w:val="0088093C"/>
    <w:rsid w:val="00880A4E"/>
    <w:rsid w:val="00881B0F"/>
    <w:rsid w:val="00881B5D"/>
    <w:rsid w:val="0088398F"/>
    <w:rsid w:val="00883CEC"/>
    <w:rsid w:val="008849C6"/>
    <w:rsid w:val="00886B9B"/>
    <w:rsid w:val="00887950"/>
    <w:rsid w:val="00887955"/>
    <w:rsid w:val="00890CDB"/>
    <w:rsid w:val="00891FDB"/>
    <w:rsid w:val="008920E3"/>
    <w:rsid w:val="00892D3F"/>
    <w:rsid w:val="00893041"/>
    <w:rsid w:val="00894248"/>
    <w:rsid w:val="00895031"/>
    <w:rsid w:val="00895E8A"/>
    <w:rsid w:val="00897D5C"/>
    <w:rsid w:val="008A053A"/>
    <w:rsid w:val="008A1623"/>
    <w:rsid w:val="008A3ED4"/>
    <w:rsid w:val="008A4555"/>
    <w:rsid w:val="008A5B6E"/>
    <w:rsid w:val="008A6029"/>
    <w:rsid w:val="008A6FC2"/>
    <w:rsid w:val="008B07CC"/>
    <w:rsid w:val="008B0DBE"/>
    <w:rsid w:val="008B156A"/>
    <w:rsid w:val="008B1576"/>
    <w:rsid w:val="008B25C0"/>
    <w:rsid w:val="008B272B"/>
    <w:rsid w:val="008B3093"/>
    <w:rsid w:val="008B3BC9"/>
    <w:rsid w:val="008B462F"/>
    <w:rsid w:val="008B6ED2"/>
    <w:rsid w:val="008C034F"/>
    <w:rsid w:val="008C0421"/>
    <w:rsid w:val="008C130F"/>
    <w:rsid w:val="008C13D7"/>
    <w:rsid w:val="008C198F"/>
    <w:rsid w:val="008C4022"/>
    <w:rsid w:val="008C55B9"/>
    <w:rsid w:val="008C7E04"/>
    <w:rsid w:val="008D00A2"/>
    <w:rsid w:val="008D00B7"/>
    <w:rsid w:val="008D046B"/>
    <w:rsid w:val="008D04A2"/>
    <w:rsid w:val="008D1C72"/>
    <w:rsid w:val="008D2B18"/>
    <w:rsid w:val="008D360C"/>
    <w:rsid w:val="008D479D"/>
    <w:rsid w:val="008D5CBB"/>
    <w:rsid w:val="008D6ABE"/>
    <w:rsid w:val="008E02C4"/>
    <w:rsid w:val="008E0A2E"/>
    <w:rsid w:val="008E1B77"/>
    <w:rsid w:val="008E2C86"/>
    <w:rsid w:val="008E2F9B"/>
    <w:rsid w:val="008E3170"/>
    <w:rsid w:val="008E33C0"/>
    <w:rsid w:val="008E3C50"/>
    <w:rsid w:val="008E4920"/>
    <w:rsid w:val="008E5F12"/>
    <w:rsid w:val="008E5F49"/>
    <w:rsid w:val="008F0D41"/>
    <w:rsid w:val="008F11D8"/>
    <w:rsid w:val="008F1B58"/>
    <w:rsid w:val="008F2B0C"/>
    <w:rsid w:val="008F52E0"/>
    <w:rsid w:val="008F5519"/>
    <w:rsid w:val="008F56EE"/>
    <w:rsid w:val="008F6392"/>
    <w:rsid w:val="008F63A9"/>
    <w:rsid w:val="008F67DB"/>
    <w:rsid w:val="008F6ADC"/>
    <w:rsid w:val="008F6EE5"/>
    <w:rsid w:val="009004AA"/>
    <w:rsid w:val="00900647"/>
    <w:rsid w:val="00900F7A"/>
    <w:rsid w:val="009013F5"/>
    <w:rsid w:val="00904623"/>
    <w:rsid w:val="009049C8"/>
    <w:rsid w:val="0090788B"/>
    <w:rsid w:val="009117F0"/>
    <w:rsid w:val="00912B3D"/>
    <w:rsid w:val="0091317C"/>
    <w:rsid w:val="00913433"/>
    <w:rsid w:val="00913F76"/>
    <w:rsid w:val="0091421D"/>
    <w:rsid w:val="009143F7"/>
    <w:rsid w:val="00914EE9"/>
    <w:rsid w:val="00915DDC"/>
    <w:rsid w:val="009160D7"/>
    <w:rsid w:val="00920C04"/>
    <w:rsid w:val="0092240B"/>
    <w:rsid w:val="009228B4"/>
    <w:rsid w:val="00922908"/>
    <w:rsid w:val="00922BEA"/>
    <w:rsid w:val="00923797"/>
    <w:rsid w:val="00924F38"/>
    <w:rsid w:val="00927DBB"/>
    <w:rsid w:val="00930445"/>
    <w:rsid w:val="009311CE"/>
    <w:rsid w:val="00932222"/>
    <w:rsid w:val="00932DC8"/>
    <w:rsid w:val="00932DE9"/>
    <w:rsid w:val="00934232"/>
    <w:rsid w:val="00934D58"/>
    <w:rsid w:val="00934EB1"/>
    <w:rsid w:val="00934FDB"/>
    <w:rsid w:val="00935283"/>
    <w:rsid w:val="009352A6"/>
    <w:rsid w:val="009358D9"/>
    <w:rsid w:val="00935F05"/>
    <w:rsid w:val="00937073"/>
    <w:rsid w:val="009411B9"/>
    <w:rsid w:val="00944DC6"/>
    <w:rsid w:val="009468BF"/>
    <w:rsid w:val="0094759D"/>
    <w:rsid w:val="009476DE"/>
    <w:rsid w:val="00954096"/>
    <w:rsid w:val="00955101"/>
    <w:rsid w:val="009552BF"/>
    <w:rsid w:val="009557B6"/>
    <w:rsid w:val="0095597C"/>
    <w:rsid w:val="009566AB"/>
    <w:rsid w:val="00956744"/>
    <w:rsid w:val="00957131"/>
    <w:rsid w:val="00960B97"/>
    <w:rsid w:val="00962ADE"/>
    <w:rsid w:val="00963062"/>
    <w:rsid w:val="00963506"/>
    <w:rsid w:val="00963963"/>
    <w:rsid w:val="009642A3"/>
    <w:rsid w:val="00967118"/>
    <w:rsid w:val="00967931"/>
    <w:rsid w:val="0097094C"/>
    <w:rsid w:val="00972CE0"/>
    <w:rsid w:val="009731D6"/>
    <w:rsid w:val="0097356D"/>
    <w:rsid w:val="009735D2"/>
    <w:rsid w:val="009736D7"/>
    <w:rsid w:val="00974333"/>
    <w:rsid w:val="009743DE"/>
    <w:rsid w:val="0097633E"/>
    <w:rsid w:val="0097686A"/>
    <w:rsid w:val="009772F1"/>
    <w:rsid w:val="00977FEE"/>
    <w:rsid w:val="009801CE"/>
    <w:rsid w:val="009812AA"/>
    <w:rsid w:val="00981726"/>
    <w:rsid w:val="00981943"/>
    <w:rsid w:val="00982E03"/>
    <w:rsid w:val="00982EFE"/>
    <w:rsid w:val="00984EDD"/>
    <w:rsid w:val="0098612C"/>
    <w:rsid w:val="009864DF"/>
    <w:rsid w:val="0098686E"/>
    <w:rsid w:val="00986907"/>
    <w:rsid w:val="0099085E"/>
    <w:rsid w:val="00990BF0"/>
    <w:rsid w:val="009915DD"/>
    <w:rsid w:val="0099480C"/>
    <w:rsid w:val="00994A9A"/>
    <w:rsid w:val="00995D4D"/>
    <w:rsid w:val="00995E92"/>
    <w:rsid w:val="00996AAC"/>
    <w:rsid w:val="009970F9"/>
    <w:rsid w:val="0099780E"/>
    <w:rsid w:val="009A03A3"/>
    <w:rsid w:val="009A430D"/>
    <w:rsid w:val="009A4935"/>
    <w:rsid w:val="009A4E27"/>
    <w:rsid w:val="009A5625"/>
    <w:rsid w:val="009A6A61"/>
    <w:rsid w:val="009B19B4"/>
    <w:rsid w:val="009B1E6D"/>
    <w:rsid w:val="009B30B8"/>
    <w:rsid w:val="009B614A"/>
    <w:rsid w:val="009B6BCE"/>
    <w:rsid w:val="009B7610"/>
    <w:rsid w:val="009C35E1"/>
    <w:rsid w:val="009C3ACD"/>
    <w:rsid w:val="009C5224"/>
    <w:rsid w:val="009C5D54"/>
    <w:rsid w:val="009C63CD"/>
    <w:rsid w:val="009C76B8"/>
    <w:rsid w:val="009D0597"/>
    <w:rsid w:val="009D16A8"/>
    <w:rsid w:val="009D2A8F"/>
    <w:rsid w:val="009D3F59"/>
    <w:rsid w:val="009D4CB6"/>
    <w:rsid w:val="009D6000"/>
    <w:rsid w:val="009D71D0"/>
    <w:rsid w:val="009D7291"/>
    <w:rsid w:val="009D7F09"/>
    <w:rsid w:val="009E0380"/>
    <w:rsid w:val="009E11AD"/>
    <w:rsid w:val="009E250E"/>
    <w:rsid w:val="009E2B8F"/>
    <w:rsid w:val="009E38A0"/>
    <w:rsid w:val="009E3F27"/>
    <w:rsid w:val="009E40CD"/>
    <w:rsid w:val="009E5144"/>
    <w:rsid w:val="009E7854"/>
    <w:rsid w:val="009F2B81"/>
    <w:rsid w:val="009F3412"/>
    <w:rsid w:val="009F399F"/>
    <w:rsid w:val="009F41E5"/>
    <w:rsid w:val="009F4B84"/>
    <w:rsid w:val="009F5B76"/>
    <w:rsid w:val="009F5E85"/>
    <w:rsid w:val="009F62BD"/>
    <w:rsid w:val="009F667A"/>
    <w:rsid w:val="009F68EE"/>
    <w:rsid w:val="00A0269F"/>
    <w:rsid w:val="00A029B0"/>
    <w:rsid w:val="00A0555E"/>
    <w:rsid w:val="00A0603A"/>
    <w:rsid w:val="00A077C5"/>
    <w:rsid w:val="00A07E9F"/>
    <w:rsid w:val="00A108FA"/>
    <w:rsid w:val="00A109FF"/>
    <w:rsid w:val="00A1275A"/>
    <w:rsid w:val="00A12B20"/>
    <w:rsid w:val="00A13C3E"/>
    <w:rsid w:val="00A13DED"/>
    <w:rsid w:val="00A15467"/>
    <w:rsid w:val="00A15859"/>
    <w:rsid w:val="00A167A3"/>
    <w:rsid w:val="00A16E45"/>
    <w:rsid w:val="00A220A2"/>
    <w:rsid w:val="00A23AB7"/>
    <w:rsid w:val="00A24EC6"/>
    <w:rsid w:val="00A25D98"/>
    <w:rsid w:val="00A30D22"/>
    <w:rsid w:val="00A32571"/>
    <w:rsid w:val="00A35C44"/>
    <w:rsid w:val="00A36AC4"/>
    <w:rsid w:val="00A37F08"/>
    <w:rsid w:val="00A40F4A"/>
    <w:rsid w:val="00A41855"/>
    <w:rsid w:val="00A42474"/>
    <w:rsid w:val="00A4299A"/>
    <w:rsid w:val="00A43113"/>
    <w:rsid w:val="00A43A56"/>
    <w:rsid w:val="00A469B1"/>
    <w:rsid w:val="00A46BAE"/>
    <w:rsid w:val="00A47406"/>
    <w:rsid w:val="00A474ED"/>
    <w:rsid w:val="00A47AD1"/>
    <w:rsid w:val="00A502C7"/>
    <w:rsid w:val="00A5101E"/>
    <w:rsid w:val="00A518E4"/>
    <w:rsid w:val="00A538D8"/>
    <w:rsid w:val="00A54E3C"/>
    <w:rsid w:val="00A55D34"/>
    <w:rsid w:val="00A56331"/>
    <w:rsid w:val="00A56429"/>
    <w:rsid w:val="00A5693F"/>
    <w:rsid w:val="00A57BB5"/>
    <w:rsid w:val="00A610CE"/>
    <w:rsid w:val="00A630C4"/>
    <w:rsid w:val="00A63499"/>
    <w:rsid w:val="00A6535D"/>
    <w:rsid w:val="00A6698E"/>
    <w:rsid w:val="00A66C44"/>
    <w:rsid w:val="00A702A0"/>
    <w:rsid w:val="00A70D62"/>
    <w:rsid w:val="00A718C0"/>
    <w:rsid w:val="00A7204F"/>
    <w:rsid w:val="00A728B6"/>
    <w:rsid w:val="00A748D2"/>
    <w:rsid w:val="00A76340"/>
    <w:rsid w:val="00A766C3"/>
    <w:rsid w:val="00A769FE"/>
    <w:rsid w:val="00A7717F"/>
    <w:rsid w:val="00A77BAE"/>
    <w:rsid w:val="00A80990"/>
    <w:rsid w:val="00A80E75"/>
    <w:rsid w:val="00A81543"/>
    <w:rsid w:val="00A81DF9"/>
    <w:rsid w:val="00A832FB"/>
    <w:rsid w:val="00A83BC7"/>
    <w:rsid w:val="00A84238"/>
    <w:rsid w:val="00A861EE"/>
    <w:rsid w:val="00A8751B"/>
    <w:rsid w:val="00A875A2"/>
    <w:rsid w:val="00A93235"/>
    <w:rsid w:val="00A96347"/>
    <w:rsid w:val="00A97E9A"/>
    <w:rsid w:val="00AA04F0"/>
    <w:rsid w:val="00AA3A64"/>
    <w:rsid w:val="00AA6479"/>
    <w:rsid w:val="00AB0A54"/>
    <w:rsid w:val="00AB14A9"/>
    <w:rsid w:val="00AB2AB5"/>
    <w:rsid w:val="00AB337B"/>
    <w:rsid w:val="00AB6B96"/>
    <w:rsid w:val="00AB7470"/>
    <w:rsid w:val="00AB7AA7"/>
    <w:rsid w:val="00AC0E4C"/>
    <w:rsid w:val="00AC11C4"/>
    <w:rsid w:val="00AC133B"/>
    <w:rsid w:val="00AC1564"/>
    <w:rsid w:val="00AC1818"/>
    <w:rsid w:val="00AC227D"/>
    <w:rsid w:val="00AC2CDC"/>
    <w:rsid w:val="00AC3F0A"/>
    <w:rsid w:val="00AC5182"/>
    <w:rsid w:val="00AC590D"/>
    <w:rsid w:val="00AC5D5D"/>
    <w:rsid w:val="00AC6E35"/>
    <w:rsid w:val="00AC796C"/>
    <w:rsid w:val="00AC7BD2"/>
    <w:rsid w:val="00AD0245"/>
    <w:rsid w:val="00AD04F0"/>
    <w:rsid w:val="00AD1581"/>
    <w:rsid w:val="00AD1DE8"/>
    <w:rsid w:val="00AD24B4"/>
    <w:rsid w:val="00AD2734"/>
    <w:rsid w:val="00AD2D06"/>
    <w:rsid w:val="00AD3520"/>
    <w:rsid w:val="00AD3BBC"/>
    <w:rsid w:val="00AD6253"/>
    <w:rsid w:val="00AD6310"/>
    <w:rsid w:val="00AD7F41"/>
    <w:rsid w:val="00AE1D91"/>
    <w:rsid w:val="00AE3992"/>
    <w:rsid w:val="00AE56D3"/>
    <w:rsid w:val="00AE5BE3"/>
    <w:rsid w:val="00AE6CAB"/>
    <w:rsid w:val="00AE6EDE"/>
    <w:rsid w:val="00AE70BF"/>
    <w:rsid w:val="00AE77DF"/>
    <w:rsid w:val="00AF009B"/>
    <w:rsid w:val="00AF18E4"/>
    <w:rsid w:val="00AF219E"/>
    <w:rsid w:val="00AF2696"/>
    <w:rsid w:val="00AF2AD8"/>
    <w:rsid w:val="00AF38E9"/>
    <w:rsid w:val="00AF3A97"/>
    <w:rsid w:val="00AF4FDD"/>
    <w:rsid w:val="00AF608F"/>
    <w:rsid w:val="00AF6F59"/>
    <w:rsid w:val="00B0053A"/>
    <w:rsid w:val="00B006B9"/>
    <w:rsid w:val="00B00EE7"/>
    <w:rsid w:val="00B01140"/>
    <w:rsid w:val="00B02045"/>
    <w:rsid w:val="00B04931"/>
    <w:rsid w:val="00B051F8"/>
    <w:rsid w:val="00B05EED"/>
    <w:rsid w:val="00B0667C"/>
    <w:rsid w:val="00B06B06"/>
    <w:rsid w:val="00B07984"/>
    <w:rsid w:val="00B107CE"/>
    <w:rsid w:val="00B118EB"/>
    <w:rsid w:val="00B126F7"/>
    <w:rsid w:val="00B13DF4"/>
    <w:rsid w:val="00B15A48"/>
    <w:rsid w:val="00B16DBE"/>
    <w:rsid w:val="00B17B0D"/>
    <w:rsid w:val="00B20715"/>
    <w:rsid w:val="00B21427"/>
    <w:rsid w:val="00B22CD8"/>
    <w:rsid w:val="00B22E62"/>
    <w:rsid w:val="00B24A34"/>
    <w:rsid w:val="00B25BB7"/>
    <w:rsid w:val="00B26CC0"/>
    <w:rsid w:val="00B26E58"/>
    <w:rsid w:val="00B315FB"/>
    <w:rsid w:val="00B31F3C"/>
    <w:rsid w:val="00B327E6"/>
    <w:rsid w:val="00B33824"/>
    <w:rsid w:val="00B341BA"/>
    <w:rsid w:val="00B341D2"/>
    <w:rsid w:val="00B342BA"/>
    <w:rsid w:val="00B342FA"/>
    <w:rsid w:val="00B361F6"/>
    <w:rsid w:val="00B37006"/>
    <w:rsid w:val="00B40C36"/>
    <w:rsid w:val="00B42732"/>
    <w:rsid w:val="00B43126"/>
    <w:rsid w:val="00B43723"/>
    <w:rsid w:val="00B4508B"/>
    <w:rsid w:val="00B45322"/>
    <w:rsid w:val="00B4661E"/>
    <w:rsid w:val="00B46C01"/>
    <w:rsid w:val="00B47A38"/>
    <w:rsid w:val="00B5065C"/>
    <w:rsid w:val="00B516D4"/>
    <w:rsid w:val="00B51B91"/>
    <w:rsid w:val="00B51CF1"/>
    <w:rsid w:val="00B52274"/>
    <w:rsid w:val="00B53150"/>
    <w:rsid w:val="00B554CA"/>
    <w:rsid w:val="00B556DA"/>
    <w:rsid w:val="00B561AB"/>
    <w:rsid w:val="00B56359"/>
    <w:rsid w:val="00B56B85"/>
    <w:rsid w:val="00B56E8B"/>
    <w:rsid w:val="00B60541"/>
    <w:rsid w:val="00B6066B"/>
    <w:rsid w:val="00B61A7B"/>
    <w:rsid w:val="00B63D00"/>
    <w:rsid w:val="00B646F2"/>
    <w:rsid w:val="00B64F5F"/>
    <w:rsid w:val="00B670F9"/>
    <w:rsid w:val="00B677AF"/>
    <w:rsid w:val="00B70836"/>
    <w:rsid w:val="00B71E5D"/>
    <w:rsid w:val="00B724A6"/>
    <w:rsid w:val="00B72AEA"/>
    <w:rsid w:val="00B73D63"/>
    <w:rsid w:val="00B740DB"/>
    <w:rsid w:val="00B75C2D"/>
    <w:rsid w:val="00B76378"/>
    <w:rsid w:val="00B76523"/>
    <w:rsid w:val="00B779A3"/>
    <w:rsid w:val="00B77B9A"/>
    <w:rsid w:val="00B77DF3"/>
    <w:rsid w:val="00B8103E"/>
    <w:rsid w:val="00B8145D"/>
    <w:rsid w:val="00B821C4"/>
    <w:rsid w:val="00B82347"/>
    <w:rsid w:val="00B826A6"/>
    <w:rsid w:val="00B8334B"/>
    <w:rsid w:val="00B83A29"/>
    <w:rsid w:val="00B83BD6"/>
    <w:rsid w:val="00B83EC3"/>
    <w:rsid w:val="00B84E01"/>
    <w:rsid w:val="00B8757A"/>
    <w:rsid w:val="00B90DE5"/>
    <w:rsid w:val="00B939FD"/>
    <w:rsid w:val="00B952DD"/>
    <w:rsid w:val="00B9593D"/>
    <w:rsid w:val="00B96024"/>
    <w:rsid w:val="00B96E45"/>
    <w:rsid w:val="00B9729F"/>
    <w:rsid w:val="00BA006E"/>
    <w:rsid w:val="00BA110C"/>
    <w:rsid w:val="00BA23F7"/>
    <w:rsid w:val="00BA3DFB"/>
    <w:rsid w:val="00BA4DAF"/>
    <w:rsid w:val="00BA53AB"/>
    <w:rsid w:val="00BA5875"/>
    <w:rsid w:val="00BA59FB"/>
    <w:rsid w:val="00BA746F"/>
    <w:rsid w:val="00BA7ADC"/>
    <w:rsid w:val="00BB15C0"/>
    <w:rsid w:val="00BB1AB3"/>
    <w:rsid w:val="00BB3511"/>
    <w:rsid w:val="00BB3653"/>
    <w:rsid w:val="00BB3D1F"/>
    <w:rsid w:val="00BB50EF"/>
    <w:rsid w:val="00BB547C"/>
    <w:rsid w:val="00BB5CDE"/>
    <w:rsid w:val="00BB663A"/>
    <w:rsid w:val="00BC03A0"/>
    <w:rsid w:val="00BC0901"/>
    <w:rsid w:val="00BC0BE9"/>
    <w:rsid w:val="00BC1B2A"/>
    <w:rsid w:val="00BC278D"/>
    <w:rsid w:val="00BC2F60"/>
    <w:rsid w:val="00BC3DF7"/>
    <w:rsid w:val="00BC3FF0"/>
    <w:rsid w:val="00BC4E3A"/>
    <w:rsid w:val="00BC55E1"/>
    <w:rsid w:val="00BC5879"/>
    <w:rsid w:val="00BC5E68"/>
    <w:rsid w:val="00BC5FA2"/>
    <w:rsid w:val="00BC726E"/>
    <w:rsid w:val="00BD0140"/>
    <w:rsid w:val="00BD19BF"/>
    <w:rsid w:val="00BD1A1F"/>
    <w:rsid w:val="00BD444B"/>
    <w:rsid w:val="00BD45A1"/>
    <w:rsid w:val="00BD4933"/>
    <w:rsid w:val="00BD5EE3"/>
    <w:rsid w:val="00BD7907"/>
    <w:rsid w:val="00BE0730"/>
    <w:rsid w:val="00BE1986"/>
    <w:rsid w:val="00BE211C"/>
    <w:rsid w:val="00BE3047"/>
    <w:rsid w:val="00BE38C9"/>
    <w:rsid w:val="00BE42FB"/>
    <w:rsid w:val="00BE5756"/>
    <w:rsid w:val="00BE657A"/>
    <w:rsid w:val="00BE6F02"/>
    <w:rsid w:val="00BF2D5C"/>
    <w:rsid w:val="00BF3C85"/>
    <w:rsid w:val="00BF425F"/>
    <w:rsid w:val="00BF668F"/>
    <w:rsid w:val="00BF6B22"/>
    <w:rsid w:val="00C03C87"/>
    <w:rsid w:val="00C04A80"/>
    <w:rsid w:val="00C05571"/>
    <w:rsid w:val="00C06235"/>
    <w:rsid w:val="00C07480"/>
    <w:rsid w:val="00C07E3A"/>
    <w:rsid w:val="00C10DF4"/>
    <w:rsid w:val="00C1119D"/>
    <w:rsid w:val="00C11BC3"/>
    <w:rsid w:val="00C11BEE"/>
    <w:rsid w:val="00C12446"/>
    <w:rsid w:val="00C134C5"/>
    <w:rsid w:val="00C13584"/>
    <w:rsid w:val="00C13919"/>
    <w:rsid w:val="00C139EE"/>
    <w:rsid w:val="00C13CE0"/>
    <w:rsid w:val="00C145D4"/>
    <w:rsid w:val="00C150CB"/>
    <w:rsid w:val="00C16FF4"/>
    <w:rsid w:val="00C20CEA"/>
    <w:rsid w:val="00C217A5"/>
    <w:rsid w:val="00C22B4F"/>
    <w:rsid w:val="00C23BAD"/>
    <w:rsid w:val="00C24702"/>
    <w:rsid w:val="00C247B9"/>
    <w:rsid w:val="00C24833"/>
    <w:rsid w:val="00C256EE"/>
    <w:rsid w:val="00C25700"/>
    <w:rsid w:val="00C26927"/>
    <w:rsid w:val="00C27899"/>
    <w:rsid w:val="00C300AC"/>
    <w:rsid w:val="00C30EF4"/>
    <w:rsid w:val="00C31FD3"/>
    <w:rsid w:val="00C324DA"/>
    <w:rsid w:val="00C33D63"/>
    <w:rsid w:val="00C402B6"/>
    <w:rsid w:val="00C4087E"/>
    <w:rsid w:val="00C40F41"/>
    <w:rsid w:val="00C41B0C"/>
    <w:rsid w:val="00C430F8"/>
    <w:rsid w:val="00C439E9"/>
    <w:rsid w:val="00C4424F"/>
    <w:rsid w:val="00C46B02"/>
    <w:rsid w:val="00C47A39"/>
    <w:rsid w:val="00C47D60"/>
    <w:rsid w:val="00C47D70"/>
    <w:rsid w:val="00C50235"/>
    <w:rsid w:val="00C51A6C"/>
    <w:rsid w:val="00C52B39"/>
    <w:rsid w:val="00C53C26"/>
    <w:rsid w:val="00C547B7"/>
    <w:rsid w:val="00C54B6B"/>
    <w:rsid w:val="00C55164"/>
    <w:rsid w:val="00C55C55"/>
    <w:rsid w:val="00C55E58"/>
    <w:rsid w:val="00C56346"/>
    <w:rsid w:val="00C57013"/>
    <w:rsid w:val="00C570BE"/>
    <w:rsid w:val="00C57F58"/>
    <w:rsid w:val="00C62DCD"/>
    <w:rsid w:val="00C63719"/>
    <w:rsid w:val="00C63AB1"/>
    <w:rsid w:val="00C64010"/>
    <w:rsid w:val="00C64242"/>
    <w:rsid w:val="00C64815"/>
    <w:rsid w:val="00C6550C"/>
    <w:rsid w:val="00C66182"/>
    <w:rsid w:val="00C6630B"/>
    <w:rsid w:val="00C6664A"/>
    <w:rsid w:val="00C675B7"/>
    <w:rsid w:val="00C676E5"/>
    <w:rsid w:val="00C70D01"/>
    <w:rsid w:val="00C7112A"/>
    <w:rsid w:val="00C71718"/>
    <w:rsid w:val="00C71904"/>
    <w:rsid w:val="00C720DE"/>
    <w:rsid w:val="00C72546"/>
    <w:rsid w:val="00C73688"/>
    <w:rsid w:val="00C746A5"/>
    <w:rsid w:val="00C74734"/>
    <w:rsid w:val="00C74745"/>
    <w:rsid w:val="00C75573"/>
    <w:rsid w:val="00C75704"/>
    <w:rsid w:val="00C7574E"/>
    <w:rsid w:val="00C75ADD"/>
    <w:rsid w:val="00C81010"/>
    <w:rsid w:val="00C819A6"/>
    <w:rsid w:val="00C81A01"/>
    <w:rsid w:val="00C82085"/>
    <w:rsid w:val="00C823F2"/>
    <w:rsid w:val="00C8347C"/>
    <w:rsid w:val="00C8383F"/>
    <w:rsid w:val="00C839DC"/>
    <w:rsid w:val="00C842FE"/>
    <w:rsid w:val="00C845EB"/>
    <w:rsid w:val="00C8641D"/>
    <w:rsid w:val="00C866C6"/>
    <w:rsid w:val="00C86A89"/>
    <w:rsid w:val="00C86F65"/>
    <w:rsid w:val="00C9093D"/>
    <w:rsid w:val="00C91F21"/>
    <w:rsid w:val="00C93A4E"/>
    <w:rsid w:val="00C94A7B"/>
    <w:rsid w:val="00C95A9C"/>
    <w:rsid w:val="00CA2B69"/>
    <w:rsid w:val="00CA332A"/>
    <w:rsid w:val="00CA3591"/>
    <w:rsid w:val="00CA3A94"/>
    <w:rsid w:val="00CA3E00"/>
    <w:rsid w:val="00CA684F"/>
    <w:rsid w:val="00CA7E34"/>
    <w:rsid w:val="00CB1204"/>
    <w:rsid w:val="00CB218A"/>
    <w:rsid w:val="00CB2CC0"/>
    <w:rsid w:val="00CB2DFD"/>
    <w:rsid w:val="00CB344D"/>
    <w:rsid w:val="00CB514A"/>
    <w:rsid w:val="00CB73B5"/>
    <w:rsid w:val="00CB76EF"/>
    <w:rsid w:val="00CC046B"/>
    <w:rsid w:val="00CC22A7"/>
    <w:rsid w:val="00CC274D"/>
    <w:rsid w:val="00CC31E2"/>
    <w:rsid w:val="00CC5170"/>
    <w:rsid w:val="00CC5EDE"/>
    <w:rsid w:val="00CC6182"/>
    <w:rsid w:val="00CC6DD5"/>
    <w:rsid w:val="00CC7992"/>
    <w:rsid w:val="00CD0F83"/>
    <w:rsid w:val="00CD1F57"/>
    <w:rsid w:val="00CD24EB"/>
    <w:rsid w:val="00CD451A"/>
    <w:rsid w:val="00CD52B2"/>
    <w:rsid w:val="00CD554B"/>
    <w:rsid w:val="00CD5B8F"/>
    <w:rsid w:val="00CD6E99"/>
    <w:rsid w:val="00CE05C9"/>
    <w:rsid w:val="00CE0ED0"/>
    <w:rsid w:val="00CE1DA5"/>
    <w:rsid w:val="00CE2B6B"/>
    <w:rsid w:val="00CE2C2E"/>
    <w:rsid w:val="00CE3183"/>
    <w:rsid w:val="00CE35FC"/>
    <w:rsid w:val="00CE47AB"/>
    <w:rsid w:val="00CE539F"/>
    <w:rsid w:val="00CE55D8"/>
    <w:rsid w:val="00CE5783"/>
    <w:rsid w:val="00CE5E93"/>
    <w:rsid w:val="00CE61F4"/>
    <w:rsid w:val="00CF0592"/>
    <w:rsid w:val="00CF15BC"/>
    <w:rsid w:val="00CF15F2"/>
    <w:rsid w:val="00CF16D6"/>
    <w:rsid w:val="00CF18BE"/>
    <w:rsid w:val="00CF199B"/>
    <w:rsid w:val="00CF277D"/>
    <w:rsid w:val="00CF3B96"/>
    <w:rsid w:val="00CF59C9"/>
    <w:rsid w:val="00CF5E5C"/>
    <w:rsid w:val="00D03123"/>
    <w:rsid w:val="00D033EA"/>
    <w:rsid w:val="00D037DA"/>
    <w:rsid w:val="00D03987"/>
    <w:rsid w:val="00D03DA8"/>
    <w:rsid w:val="00D04B94"/>
    <w:rsid w:val="00D04CB7"/>
    <w:rsid w:val="00D06043"/>
    <w:rsid w:val="00D06B9A"/>
    <w:rsid w:val="00D12D8B"/>
    <w:rsid w:val="00D136E5"/>
    <w:rsid w:val="00D148F1"/>
    <w:rsid w:val="00D149E0"/>
    <w:rsid w:val="00D151FF"/>
    <w:rsid w:val="00D15962"/>
    <w:rsid w:val="00D15F89"/>
    <w:rsid w:val="00D16F8F"/>
    <w:rsid w:val="00D172DA"/>
    <w:rsid w:val="00D1781A"/>
    <w:rsid w:val="00D20308"/>
    <w:rsid w:val="00D21943"/>
    <w:rsid w:val="00D222D3"/>
    <w:rsid w:val="00D22F72"/>
    <w:rsid w:val="00D231D5"/>
    <w:rsid w:val="00D2493A"/>
    <w:rsid w:val="00D24A86"/>
    <w:rsid w:val="00D24E76"/>
    <w:rsid w:val="00D24F4A"/>
    <w:rsid w:val="00D272C3"/>
    <w:rsid w:val="00D27520"/>
    <w:rsid w:val="00D31565"/>
    <w:rsid w:val="00D31645"/>
    <w:rsid w:val="00D3443F"/>
    <w:rsid w:val="00D34687"/>
    <w:rsid w:val="00D34911"/>
    <w:rsid w:val="00D36541"/>
    <w:rsid w:val="00D366F4"/>
    <w:rsid w:val="00D36D40"/>
    <w:rsid w:val="00D37962"/>
    <w:rsid w:val="00D37D96"/>
    <w:rsid w:val="00D40C87"/>
    <w:rsid w:val="00D40EDC"/>
    <w:rsid w:val="00D410EF"/>
    <w:rsid w:val="00D425A4"/>
    <w:rsid w:val="00D4270C"/>
    <w:rsid w:val="00D4273D"/>
    <w:rsid w:val="00D42972"/>
    <w:rsid w:val="00D450F3"/>
    <w:rsid w:val="00D45610"/>
    <w:rsid w:val="00D45E85"/>
    <w:rsid w:val="00D46012"/>
    <w:rsid w:val="00D46484"/>
    <w:rsid w:val="00D46F34"/>
    <w:rsid w:val="00D507B7"/>
    <w:rsid w:val="00D51093"/>
    <w:rsid w:val="00D51A51"/>
    <w:rsid w:val="00D52894"/>
    <w:rsid w:val="00D54C4A"/>
    <w:rsid w:val="00D56236"/>
    <w:rsid w:val="00D563AE"/>
    <w:rsid w:val="00D57D4F"/>
    <w:rsid w:val="00D57DB7"/>
    <w:rsid w:val="00D60FAC"/>
    <w:rsid w:val="00D61312"/>
    <w:rsid w:val="00D61D31"/>
    <w:rsid w:val="00D6265D"/>
    <w:rsid w:val="00D63A1D"/>
    <w:rsid w:val="00D649CF"/>
    <w:rsid w:val="00D64FB1"/>
    <w:rsid w:val="00D65820"/>
    <w:rsid w:val="00D6637C"/>
    <w:rsid w:val="00D67436"/>
    <w:rsid w:val="00D70B3A"/>
    <w:rsid w:val="00D71850"/>
    <w:rsid w:val="00D731EE"/>
    <w:rsid w:val="00D734D0"/>
    <w:rsid w:val="00D74513"/>
    <w:rsid w:val="00D74B98"/>
    <w:rsid w:val="00D761C2"/>
    <w:rsid w:val="00D764BC"/>
    <w:rsid w:val="00D769B4"/>
    <w:rsid w:val="00D76BDD"/>
    <w:rsid w:val="00D81068"/>
    <w:rsid w:val="00D811F9"/>
    <w:rsid w:val="00D8128D"/>
    <w:rsid w:val="00D82A41"/>
    <w:rsid w:val="00D83134"/>
    <w:rsid w:val="00D840B6"/>
    <w:rsid w:val="00D840BE"/>
    <w:rsid w:val="00D8525F"/>
    <w:rsid w:val="00D856C9"/>
    <w:rsid w:val="00D85E50"/>
    <w:rsid w:val="00D875F3"/>
    <w:rsid w:val="00D87829"/>
    <w:rsid w:val="00D90C06"/>
    <w:rsid w:val="00D91250"/>
    <w:rsid w:val="00D92E24"/>
    <w:rsid w:val="00D93FAE"/>
    <w:rsid w:val="00D94043"/>
    <w:rsid w:val="00D95AA6"/>
    <w:rsid w:val="00D95BBB"/>
    <w:rsid w:val="00D95DA2"/>
    <w:rsid w:val="00D9634B"/>
    <w:rsid w:val="00D974BE"/>
    <w:rsid w:val="00DA0556"/>
    <w:rsid w:val="00DA0E1F"/>
    <w:rsid w:val="00DA0E91"/>
    <w:rsid w:val="00DA2ED0"/>
    <w:rsid w:val="00DA5795"/>
    <w:rsid w:val="00DA63A1"/>
    <w:rsid w:val="00DA6755"/>
    <w:rsid w:val="00DA6AE3"/>
    <w:rsid w:val="00DA6D39"/>
    <w:rsid w:val="00DA72A4"/>
    <w:rsid w:val="00DB0086"/>
    <w:rsid w:val="00DB05C0"/>
    <w:rsid w:val="00DB0846"/>
    <w:rsid w:val="00DB11AA"/>
    <w:rsid w:val="00DB1945"/>
    <w:rsid w:val="00DB1A45"/>
    <w:rsid w:val="00DB39CD"/>
    <w:rsid w:val="00DB42A5"/>
    <w:rsid w:val="00DB4566"/>
    <w:rsid w:val="00DB4CA5"/>
    <w:rsid w:val="00DB5579"/>
    <w:rsid w:val="00DB582C"/>
    <w:rsid w:val="00DB6247"/>
    <w:rsid w:val="00DB7B99"/>
    <w:rsid w:val="00DC0526"/>
    <w:rsid w:val="00DC05CD"/>
    <w:rsid w:val="00DC15AA"/>
    <w:rsid w:val="00DC16A9"/>
    <w:rsid w:val="00DC1B4A"/>
    <w:rsid w:val="00DC26F3"/>
    <w:rsid w:val="00DC2833"/>
    <w:rsid w:val="00DC3031"/>
    <w:rsid w:val="00DC42BD"/>
    <w:rsid w:val="00DC53B9"/>
    <w:rsid w:val="00DC54D4"/>
    <w:rsid w:val="00DC5D39"/>
    <w:rsid w:val="00DC6DA6"/>
    <w:rsid w:val="00DC6F1D"/>
    <w:rsid w:val="00DC72BA"/>
    <w:rsid w:val="00DC7749"/>
    <w:rsid w:val="00DC790A"/>
    <w:rsid w:val="00DC7C03"/>
    <w:rsid w:val="00DD012A"/>
    <w:rsid w:val="00DD0630"/>
    <w:rsid w:val="00DD06F9"/>
    <w:rsid w:val="00DD2540"/>
    <w:rsid w:val="00DD2DF9"/>
    <w:rsid w:val="00DD2EBD"/>
    <w:rsid w:val="00DD61C1"/>
    <w:rsid w:val="00DD65CD"/>
    <w:rsid w:val="00DE0A1B"/>
    <w:rsid w:val="00DE109D"/>
    <w:rsid w:val="00DE1D00"/>
    <w:rsid w:val="00DE2114"/>
    <w:rsid w:val="00DE2151"/>
    <w:rsid w:val="00DE2A5D"/>
    <w:rsid w:val="00DE5966"/>
    <w:rsid w:val="00DF053D"/>
    <w:rsid w:val="00DF132E"/>
    <w:rsid w:val="00DF1E1E"/>
    <w:rsid w:val="00DF45F7"/>
    <w:rsid w:val="00DF5B27"/>
    <w:rsid w:val="00DF5E62"/>
    <w:rsid w:val="00DF62EB"/>
    <w:rsid w:val="00E00B1A"/>
    <w:rsid w:val="00E00BB5"/>
    <w:rsid w:val="00E02523"/>
    <w:rsid w:val="00E026BA"/>
    <w:rsid w:val="00E03417"/>
    <w:rsid w:val="00E03B14"/>
    <w:rsid w:val="00E04368"/>
    <w:rsid w:val="00E044E3"/>
    <w:rsid w:val="00E047B3"/>
    <w:rsid w:val="00E060F9"/>
    <w:rsid w:val="00E075B9"/>
    <w:rsid w:val="00E105AC"/>
    <w:rsid w:val="00E112D0"/>
    <w:rsid w:val="00E1258A"/>
    <w:rsid w:val="00E12D6F"/>
    <w:rsid w:val="00E130B4"/>
    <w:rsid w:val="00E13356"/>
    <w:rsid w:val="00E13B5E"/>
    <w:rsid w:val="00E13BAE"/>
    <w:rsid w:val="00E13CF8"/>
    <w:rsid w:val="00E13E4E"/>
    <w:rsid w:val="00E13F06"/>
    <w:rsid w:val="00E14465"/>
    <w:rsid w:val="00E14935"/>
    <w:rsid w:val="00E21913"/>
    <w:rsid w:val="00E2231A"/>
    <w:rsid w:val="00E22407"/>
    <w:rsid w:val="00E23031"/>
    <w:rsid w:val="00E23901"/>
    <w:rsid w:val="00E24FF2"/>
    <w:rsid w:val="00E30523"/>
    <w:rsid w:val="00E3076A"/>
    <w:rsid w:val="00E3141A"/>
    <w:rsid w:val="00E31B7A"/>
    <w:rsid w:val="00E3267C"/>
    <w:rsid w:val="00E33385"/>
    <w:rsid w:val="00E3347D"/>
    <w:rsid w:val="00E34219"/>
    <w:rsid w:val="00E34981"/>
    <w:rsid w:val="00E3525D"/>
    <w:rsid w:val="00E35902"/>
    <w:rsid w:val="00E36A82"/>
    <w:rsid w:val="00E36E68"/>
    <w:rsid w:val="00E37B9D"/>
    <w:rsid w:val="00E40D18"/>
    <w:rsid w:val="00E43AD4"/>
    <w:rsid w:val="00E44494"/>
    <w:rsid w:val="00E44E7C"/>
    <w:rsid w:val="00E4525B"/>
    <w:rsid w:val="00E46939"/>
    <w:rsid w:val="00E476A3"/>
    <w:rsid w:val="00E51172"/>
    <w:rsid w:val="00E51AD3"/>
    <w:rsid w:val="00E51E14"/>
    <w:rsid w:val="00E528A5"/>
    <w:rsid w:val="00E55C6C"/>
    <w:rsid w:val="00E56D4D"/>
    <w:rsid w:val="00E60005"/>
    <w:rsid w:val="00E60F0A"/>
    <w:rsid w:val="00E629E3"/>
    <w:rsid w:val="00E663FB"/>
    <w:rsid w:val="00E6700A"/>
    <w:rsid w:val="00E71FF3"/>
    <w:rsid w:val="00E73423"/>
    <w:rsid w:val="00E73754"/>
    <w:rsid w:val="00E74672"/>
    <w:rsid w:val="00E74E8C"/>
    <w:rsid w:val="00E7566C"/>
    <w:rsid w:val="00E75E13"/>
    <w:rsid w:val="00E76521"/>
    <w:rsid w:val="00E7663C"/>
    <w:rsid w:val="00E772D4"/>
    <w:rsid w:val="00E77F4C"/>
    <w:rsid w:val="00E80493"/>
    <w:rsid w:val="00E806C6"/>
    <w:rsid w:val="00E8208F"/>
    <w:rsid w:val="00E8219A"/>
    <w:rsid w:val="00E82255"/>
    <w:rsid w:val="00E82757"/>
    <w:rsid w:val="00E837B8"/>
    <w:rsid w:val="00E85527"/>
    <w:rsid w:val="00E85DE8"/>
    <w:rsid w:val="00E85E6C"/>
    <w:rsid w:val="00E912F1"/>
    <w:rsid w:val="00E91320"/>
    <w:rsid w:val="00E919C6"/>
    <w:rsid w:val="00E924E8"/>
    <w:rsid w:val="00E943CB"/>
    <w:rsid w:val="00E96EB7"/>
    <w:rsid w:val="00E97D80"/>
    <w:rsid w:val="00EA0E02"/>
    <w:rsid w:val="00EA1C8E"/>
    <w:rsid w:val="00EA2950"/>
    <w:rsid w:val="00EA2CD4"/>
    <w:rsid w:val="00EA30F0"/>
    <w:rsid w:val="00EA39AF"/>
    <w:rsid w:val="00EA439C"/>
    <w:rsid w:val="00EA6802"/>
    <w:rsid w:val="00EA69AA"/>
    <w:rsid w:val="00EA6A11"/>
    <w:rsid w:val="00EA6C77"/>
    <w:rsid w:val="00EB02B4"/>
    <w:rsid w:val="00EB12CA"/>
    <w:rsid w:val="00EB22F0"/>
    <w:rsid w:val="00EB259D"/>
    <w:rsid w:val="00EB2B2D"/>
    <w:rsid w:val="00EB2E83"/>
    <w:rsid w:val="00EB40ED"/>
    <w:rsid w:val="00EB422B"/>
    <w:rsid w:val="00EB56CD"/>
    <w:rsid w:val="00EB5EB0"/>
    <w:rsid w:val="00EB671E"/>
    <w:rsid w:val="00EB7131"/>
    <w:rsid w:val="00EB75F1"/>
    <w:rsid w:val="00EC0627"/>
    <w:rsid w:val="00EC08E6"/>
    <w:rsid w:val="00EC0BC9"/>
    <w:rsid w:val="00EC10D0"/>
    <w:rsid w:val="00EC26E3"/>
    <w:rsid w:val="00EC3AD3"/>
    <w:rsid w:val="00EC4DE6"/>
    <w:rsid w:val="00EC5F94"/>
    <w:rsid w:val="00EC61CF"/>
    <w:rsid w:val="00EC7B38"/>
    <w:rsid w:val="00EC7BDB"/>
    <w:rsid w:val="00EC7C78"/>
    <w:rsid w:val="00ED00C4"/>
    <w:rsid w:val="00ED224C"/>
    <w:rsid w:val="00ED2B5D"/>
    <w:rsid w:val="00ED3C1B"/>
    <w:rsid w:val="00ED4501"/>
    <w:rsid w:val="00ED48C9"/>
    <w:rsid w:val="00ED51D9"/>
    <w:rsid w:val="00ED6D16"/>
    <w:rsid w:val="00ED7773"/>
    <w:rsid w:val="00ED7950"/>
    <w:rsid w:val="00EE1978"/>
    <w:rsid w:val="00EE2014"/>
    <w:rsid w:val="00EE2781"/>
    <w:rsid w:val="00EE2CDE"/>
    <w:rsid w:val="00EE3A25"/>
    <w:rsid w:val="00EE3A3D"/>
    <w:rsid w:val="00EE3DD7"/>
    <w:rsid w:val="00EE5166"/>
    <w:rsid w:val="00EE569C"/>
    <w:rsid w:val="00EE5CCC"/>
    <w:rsid w:val="00EE72DF"/>
    <w:rsid w:val="00EE7B1A"/>
    <w:rsid w:val="00EF18CB"/>
    <w:rsid w:val="00EF235D"/>
    <w:rsid w:val="00EF23AF"/>
    <w:rsid w:val="00EF25F7"/>
    <w:rsid w:val="00EF2E9C"/>
    <w:rsid w:val="00EF3182"/>
    <w:rsid w:val="00EF3C31"/>
    <w:rsid w:val="00EF5927"/>
    <w:rsid w:val="00EF6176"/>
    <w:rsid w:val="00EF7D8F"/>
    <w:rsid w:val="00F00043"/>
    <w:rsid w:val="00F0032C"/>
    <w:rsid w:val="00F00C33"/>
    <w:rsid w:val="00F01184"/>
    <w:rsid w:val="00F01234"/>
    <w:rsid w:val="00F02424"/>
    <w:rsid w:val="00F02C9B"/>
    <w:rsid w:val="00F03A18"/>
    <w:rsid w:val="00F044F5"/>
    <w:rsid w:val="00F0497A"/>
    <w:rsid w:val="00F04BD6"/>
    <w:rsid w:val="00F053DC"/>
    <w:rsid w:val="00F05948"/>
    <w:rsid w:val="00F102AD"/>
    <w:rsid w:val="00F1092C"/>
    <w:rsid w:val="00F10A55"/>
    <w:rsid w:val="00F1179A"/>
    <w:rsid w:val="00F1180A"/>
    <w:rsid w:val="00F120C8"/>
    <w:rsid w:val="00F123CA"/>
    <w:rsid w:val="00F12549"/>
    <w:rsid w:val="00F12723"/>
    <w:rsid w:val="00F12E46"/>
    <w:rsid w:val="00F133F1"/>
    <w:rsid w:val="00F13A83"/>
    <w:rsid w:val="00F1524B"/>
    <w:rsid w:val="00F169DB"/>
    <w:rsid w:val="00F170B0"/>
    <w:rsid w:val="00F1772A"/>
    <w:rsid w:val="00F218A0"/>
    <w:rsid w:val="00F21EBF"/>
    <w:rsid w:val="00F21F0F"/>
    <w:rsid w:val="00F23F12"/>
    <w:rsid w:val="00F252D3"/>
    <w:rsid w:val="00F256D1"/>
    <w:rsid w:val="00F27459"/>
    <w:rsid w:val="00F27705"/>
    <w:rsid w:val="00F30CC0"/>
    <w:rsid w:val="00F31667"/>
    <w:rsid w:val="00F325C3"/>
    <w:rsid w:val="00F32BFD"/>
    <w:rsid w:val="00F32FA8"/>
    <w:rsid w:val="00F33E79"/>
    <w:rsid w:val="00F344EE"/>
    <w:rsid w:val="00F34EAD"/>
    <w:rsid w:val="00F353D2"/>
    <w:rsid w:val="00F363B2"/>
    <w:rsid w:val="00F4208D"/>
    <w:rsid w:val="00F42E84"/>
    <w:rsid w:val="00F44026"/>
    <w:rsid w:val="00F45B43"/>
    <w:rsid w:val="00F4678A"/>
    <w:rsid w:val="00F46A7D"/>
    <w:rsid w:val="00F47BEC"/>
    <w:rsid w:val="00F5054D"/>
    <w:rsid w:val="00F51153"/>
    <w:rsid w:val="00F53669"/>
    <w:rsid w:val="00F54B1C"/>
    <w:rsid w:val="00F55DEA"/>
    <w:rsid w:val="00F56671"/>
    <w:rsid w:val="00F56C7C"/>
    <w:rsid w:val="00F57666"/>
    <w:rsid w:val="00F60267"/>
    <w:rsid w:val="00F60304"/>
    <w:rsid w:val="00F604A0"/>
    <w:rsid w:val="00F61248"/>
    <w:rsid w:val="00F64195"/>
    <w:rsid w:val="00F65C6C"/>
    <w:rsid w:val="00F65EAD"/>
    <w:rsid w:val="00F66B4E"/>
    <w:rsid w:val="00F67EED"/>
    <w:rsid w:val="00F70294"/>
    <w:rsid w:val="00F7075E"/>
    <w:rsid w:val="00F7089C"/>
    <w:rsid w:val="00F70ED2"/>
    <w:rsid w:val="00F712E4"/>
    <w:rsid w:val="00F715EB"/>
    <w:rsid w:val="00F71DFF"/>
    <w:rsid w:val="00F7264F"/>
    <w:rsid w:val="00F73412"/>
    <w:rsid w:val="00F737C8"/>
    <w:rsid w:val="00F776F8"/>
    <w:rsid w:val="00F77FCE"/>
    <w:rsid w:val="00F81D07"/>
    <w:rsid w:val="00F821DB"/>
    <w:rsid w:val="00F83579"/>
    <w:rsid w:val="00F8438F"/>
    <w:rsid w:val="00F85263"/>
    <w:rsid w:val="00F85772"/>
    <w:rsid w:val="00F85A9D"/>
    <w:rsid w:val="00F85F67"/>
    <w:rsid w:val="00F86C95"/>
    <w:rsid w:val="00F8706F"/>
    <w:rsid w:val="00F90448"/>
    <w:rsid w:val="00F90D29"/>
    <w:rsid w:val="00F917FF"/>
    <w:rsid w:val="00F93A03"/>
    <w:rsid w:val="00F94D99"/>
    <w:rsid w:val="00F94E89"/>
    <w:rsid w:val="00F95308"/>
    <w:rsid w:val="00FA0819"/>
    <w:rsid w:val="00FA1BC0"/>
    <w:rsid w:val="00FA2298"/>
    <w:rsid w:val="00FA2786"/>
    <w:rsid w:val="00FA2DAD"/>
    <w:rsid w:val="00FA41CF"/>
    <w:rsid w:val="00FA440B"/>
    <w:rsid w:val="00FA5022"/>
    <w:rsid w:val="00FA5F67"/>
    <w:rsid w:val="00FA5FF1"/>
    <w:rsid w:val="00FA64B9"/>
    <w:rsid w:val="00FA6557"/>
    <w:rsid w:val="00FA6D4D"/>
    <w:rsid w:val="00FA705E"/>
    <w:rsid w:val="00FA73CC"/>
    <w:rsid w:val="00FB0362"/>
    <w:rsid w:val="00FB052F"/>
    <w:rsid w:val="00FB132D"/>
    <w:rsid w:val="00FB1BC9"/>
    <w:rsid w:val="00FB1FEE"/>
    <w:rsid w:val="00FB27C0"/>
    <w:rsid w:val="00FB4401"/>
    <w:rsid w:val="00FB5AA2"/>
    <w:rsid w:val="00FB7A30"/>
    <w:rsid w:val="00FC0073"/>
    <w:rsid w:val="00FC0BF9"/>
    <w:rsid w:val="00FC18A6"/>
    <w:rsid w:val="00FC435B"/>
    <w:rsid w:val="00FC474F"/>
    <w:rsid w:val="00FC5466"/>
    <w:rsid w:val="00FC54F6"/>
    <w:rsid w:val="00FC5E3E"/>
    <w:rsid w:val="00FC628B"/>
    <w:rsid w:val="00FC6339"/>
    <w:rsid w:val="00FC7DA5"/>
    <w:rsid w:val="00FC7E91"/>
    <w:rsid w:val="00FD0780"/>
    <w:rsid w:val="00FD0E83"/>
    <w:rsid w:val="00FD2B5C"/>
    <w:rsid w:val="00FD3008"/>
    <w:rsid w:val="00FD3120"/>
    <w:rsid w:val="00FD3B9C"/>
    <w:rsid w:val="00FD4102"/>
    <w:rsid w:val="00FD6993"/>
    <w:rsid w:val="00FD6A65"/>
    <w:rsid w:val="00FD7A36"/>
    <w:rsid w:val="00FE0E28"/>
    <w:rsid w:val="00FE0E49"/>
    <w:rsid w:val="00FE0EA2"/>
    <w:rsid w:val="00FE443A"/>
    <w:rsid w:val="00FE4954"/>
    <w:rsid w:val="00FE4B61"/>
    <w:rsid w:val="00FE4BBD"/>
    <w:rsid w:val="00FE5FB5"/>
    <w:rsid w:val="00FE61E2"/>
    <w:rsid w:val="00FE6A57"/>
    <w:rsid w:val="00FE77E4"/>
    <w:rsid w:val="00FF01C2"/>
    <w:rsid w:val="00FF1124"/>
    <w:rsid w:val="00FF22EF"/>
    <w:rsid w:val="00FF2B31"/>
    <w:rsid w:val="00FF35D4"/>
    <w:rsid w:val="00FF55FD"/>
    <w:rsid w:val="00FF5CC4"/>
    <w:rsid w:val="00FF6BF5"/>
    <w:rsid w:val="00FF6C6A"/>
    <w:rsid w:val="00FF7280"/>
    <w:rsid w:val="03D66BA6"/>
    <w:rsid w:val="0E0A401C"/>
    <w:rsid w:val="11FD58A0"/>
    <w:rsid w:val="152476E5"/>
    <w:rsid w:val="156B5856"/>
    <w:rsid w:val="17E7195A"/>
    <w:rsid w:val="193C4CB6"/>
    <w:rsid w:val="20362250"/>
    <w:rsid w:val="2D216218"/>
    <w:rsid w:val="2DAE16C6"/>
    <w:rsid w:val="307849BD"/>
    <w:rsid w:val="30FA5A3A"/>
    <w:rsid w:val="35E978AA"/>
    <w:rsid w:val="3BB4D1B6"/>
    <w:rsid w:val="3D001756"/>
    <w:rsid w:val="41E579D9"/>
    <w:rsid w:val="4BB72AB2"/>
    <w:rsid w:val="4D0B5C4E"/>
    <w:rsid w:val="52491E8D"/>
    <w:rsid w:val="57281E1C"/>
    <w:rsid w:val="59C471CD"/>
    <w:rsid w:val="5FAF4BC7"/>
    <w:rsid w:val="607E751E"/>
    <w:rsid w:val="63F61AE1"/>
    <w:rsid w:val="65B2419B"/>
    <w:rsid w:val="67A42616"/>
    <w:rsid w:val="68CC1793"/>
    <w:rsid w:val="6ABD123E"/>
    <w:rsid w:val="6F5054C9"/>
    <w:rsid w:val="72326CC5"/>
    <w:rsid w:val="78613BAF"/>
    <w:rsid w:val="7A717F49"/>
    <w:rsid w:val="7B7989CB"/>
    <w:rsid w:val="7BC90EC6"/>
    <w:rsid w:val="7C6B4F9D"/>
    <w:rsid w:val="E7FF8281"/>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0" w:name="index heading"/>
    <w:lsdException w:qFormat="1" w:unhideWhenUsed="0" w:uiPriority="0" w:semiHidden="0" w:name="caption"/>
    <w:lsdException w:qFormat="1" w:unhideWhenUsed="0" w:uiPriority="99" w:semiHidden="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MS Mincho" w:cs="Times New Roman"/>
      <w:snapToGrid w:val="0"/>
      <w:sz w:val="16"/>
      <w:szCs w:val="16"/>
      <w:lang w:val="en-GB" w:eastAsia="ja-JP" w:bidi="ar-SA"/>
    </w:rPr>
  </w:style>
  <w:style w:type="paragraph" w:styleId="2">
    <w:name w:val="heading 1"/>
    <w:basedOn w:val="1"/>
    <w:next w:val="1"/>
    <w:link w:val="123"/>
    <w:qFormat/>
    <w:uiPriority w:val="0"/>
    <w:pPr>
      <w:keepNext/>
      <w:spacing w:before="240" w:after="60"/>
      <w:outlineLvl w:val="0"/>
    </w:pPr>
    <w:rPr>
      <w:rFonts w:cs="Arial"/>
      <w:b/>
      <w:bCs/>
      <w:kern w:val="32"/>
      <w:sz w:val="24"/>
      <w:szCs w:val="32"/>
    </w:rPr>
  </w:style>
  <w:style w:type="paragraph" w:styleId="3">
    <w:name w:val="heading 2"/>
    <w:basedOn w:val="1"/>
    <w:next w:val="1"/>
    <w:link w:val="156"/>
    <w:qFormat/>
    <w:uiPriority w:val="0"/>
    <w:pPr>
      <w:keepNext/>
      <w:spacing w:before="120" w:after="60"/>
      <w:outlineLvl w:val="1"/>
    </w:pPr>
    <w:rPr>
      <w:rFonts w:cs="Arial"/>
      <w:b/>
      <w:bCs/>
      <w:iCs/>
      <w:sz w:val="20"/>
      <w:szCs w:val="28"/>
    </w:rPr>
  </w:style>
  <w:style w:type="paragraph" w:styleId="4">
    <w:name w:val="heading 3"/>
    <w:basedOn w:val="1"/>
    <w:next w:val="1"/>
    <w:link w:val="140"/>
    <w:qFormat/>
    <w:uiPriority w:val="0"/>
    <w:pPr>
      <w:keepNext/>
      <w:spacing w:before="60" w:after="60"/>
      <w:outlineLvl w:val="2"/>
    </w:pPr>
    <w:rPr>
      <w:rFonts w:cs="Arial"/>
      <w:b/>
      <w:bCs/>
      <w:szCs w:val="26"/>
    </w:rPr>
  </w:style>
  <w:style w:type="paragraph" w:styleId="5">
    <w:name w:val="heading 4"/>
    <w:basedOn w:val="1"/>
    <w:next w:val="1"/>
    <w:link w:val="124"/>
    <w:qFormat/>
    <w:uiPriority w:val="0"/>
    <w:pPr>
      <w:keepNext/>
      <w:keepLines/>
      <w:widowControl w:val="0"/>
      <w:numPr>
        <w:ilvl w:val="3"/>
        <w:numId w:val="1"/>
      </w:numPr>
      <w:spacing w:before="280" w:after="290" w:line="376" w:lineRule="auto"/>
      <w:jc w:val="both"/>
      <w:outlineLvl w:val="3"/>
    </w:pPr>
    <w:rPr>
      <w:rFonts w:ascii="Cambria" w:hAnsi="Cambria" w:eastAsia="宋体"/>
      <w:b/>
      <w:bCs/>
      <w:snapToGrid/>
      <w:kern w:val="2"/>
      <w:sz w:val="28"/>
      <w:szCs w:val="28"/>
      <w:lang w:val="zh-CN" w:eastAsia="zh-CN"/>
    </w:rPr>
  </w:style>
  <w:style w:type="character" w:default="1" w:styleId="28">
    <w:name w:val="Default Paragraph Font"/>
    <w:semiHidden/>
    <w:unhideWhenUsed/>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6">
    <w:name w:val="Normal Indent"/>
    <w:basedOn w:val="1"/>
    <w:qFormat/>
    <w:uiPriority w:val="0"/>
    <w:pPr>
      <w:widowControl w:val="0"/>
      <w:spacing w:beforeLines="50" w:line="288" w:lineRule="auto"/>
      <w:ind w:left="1199" w:leftChars="1199" w:firstLine="200" w:firstLineChars="200"/>
      <w:jc w:val="both"/>
    </w:pPr>
    <w:rPr>
      <w:rFonts w:ascii="Times New Roman" w:hAnsi="Times New Roman" w:eastAsia="楷体_GB2312"/>
      <w:snapToGrid/>
      <w:kern w:val="2"/>
      <w:sz w:val="21"/>
      <w:szCs w:val="20"/>
      <w:lang w:val="en-US" w:eastAsia="zh-CN"/>
    </w:rPr>
  </w:style>
  <w:style w:type="paragraph" w:styleId="7">
    <w:name w:val="caption"/>
    <w:basedOn w:val="1"/>
    <w:next w:val="1"/>
    <w:qFormat/>
    <w:uiPriority w:val="0"/>
    <w:pPr>
      <w:widowControl w:val="0"/>
      <w:spacing w:before="120" w:line="300" w:lineRule="auto"/>
      <w:ind w:left="2520" w:leftChars="1200"/>
      <w:jc w:val="center"/>
    </w:pPr>
    <w:rPr>
      <w:rFonts w:ascii="楷体_GB2312" w:hAnsi="Arial" w:eastAsia="楷体_GB2312" w:cs="Arial"/>
      <w:b/>
      <w:bCs/>
      <w:snapToGrid/>
      <w:kern w:val="2"/>
      <w:sz w:val="20"/>
      <w:szCs w:val="20"/>
      <w:lang w:val="en-US" w:eastAsia="zh-CN"/>
    </w:rPr>
  </w:style>
  <w:style w:type="paragraph" w:styleId="8">
    <w:name w:val="annotation text"/>
    <w:basedOn w:val="1"/>
    <w:link w:val="136"/>
    <w:qFormat/>
    <w:uiPriority w:val="0"/>
    <w:pPr>
      <w:widowControl w:val="0"/>
    </w:pPr>
    <w:rPr>
      <w:rFonts w:ascii="Times New Roman" w:hAnsi="Times New Roman" w:eastAsia="宋体"/>
      <w:snapToGrid/>
      <w:kern w:val="2"/>
      <w:sz w:val="21"/>
      <w:szCs w:val="24"/>
      <w:lang w:val="zh-CN" w:eastAsia="zh-CN"/>
    </w:rPr>
  </w:style>
  <w:style w:type="paragraph" w:styleId="9">
    <w:name w:val="Body Text 3"/>
    <w:basedOn w:val="1"/>
    <w:link w:val="128"/>
    <w:qFormat/>
    <w:uiPriority w:val="0"/>
    <w:pPr>
      <w:widowControl w:val="0"/>
      <w:jc w:val="both"/>
    </w:pPr>
    <w:rPr>
      <w:rFonts w:ascii="汉仪楷体简" w:hAnsi="Times New Roman" w:eastAsia="汉仪楷体简"/>
      <w:snapToGrid/>
      <w:color w:val="000000"/>
      <w:sz w:val="18"/>
      <w:lang w:val="en-US" w:eastAsia="zh-CN"/>
    </w:rPr>
  </w:style>
  <w:style w:type="paragraph" w:styleId="10">
    <w:name w:val="Body Text"/>
    <w:basedOn w:val="1"/>
    <w:link w:val="125"/>
    <w:qFormat/>
    <w:uiPriority w:val="0"/>
    <w:pPr>
      <w:widowControl w:val="0"/>
      <w:tabs>
        <w:tab w:val="left" w:pos="3045"/>
      </w:tabs>
      <w:ind w:right="7159" w:rightChars="3409"/>
      <w:jc w:val="both"/>
    </w:pPr>
    <w:rPr>
      <w:rFonts w:ascii="Times New Roman" w:hAnsi="Times New Roman" w:eastAsia="宋体"/>
      <w:snapToGrid/>
      <w:kern w:val="2"/>
      <w:sz w:val="21"/>
      <w:szCs w:val="24"/>
      <w:lang w:val="en-US" w:eastAsia="zh-CN"/>
    </w:rPr>
  </w:style>
  <w:style w:type="paragraph" w:styleId="11">
    <w:name w:val="Body Text Indent"/>
    <w:basedOn w:val="1"/>
    <w:link w:val="126"/>
    <w:qFormat/>
    <w:uiPriority w:val="0"/>
    <w:pPr>
      <w:widowControl w:val="0"/>
      <w:ind w:left="3150" w:leftChars="1500"/>
      <w:jc w:val="both"/>
    </w:pPr>
    <w:rPr>
      <w:rFonts w:ascii="汉仪楷体简" w:hAnsi="Times New Roman" w:eastAsia="汉仪楷体简"/>
      <w:snapToGrid/>
      <w:color w:val="000000"/>
      <w:sz w:val="18"/>
      <w:lang w:val="en-US" w:eastAsia="zh-CN"/>
    </w:rPr>
  </w:style>
  <w:style w:type="paragraph" w:styleId="12">
    <w:name w:val="Block Text"/>
    <w:basedOn w:val="1"/>
    <w:qFormat/>
    <w:uiPriority w:val="0"/>
    <w:pPr>
      <w:widowControl w:val="0"/>
      <w:ind w:left="3261" w:leftChars="1553" w:right="55" w:rightChars="26" w:firstLine="1"/>
    </w:pPr>
    <w:rPr>
      <w:rFonts w:ascii="Times New Roman" w:hAnsi="Times New Roman" w:eastAsia="汉仪大黑简"/>
      <w:snapToGrid/>
      <w:color w:val="000000"/>
      <w:kern w:val="2"/>
      <w:sz w:val="18"/>
      <w:szCs w:val="24"/>
      <w:lang w:val="en-US" w:eastAsia="zh-CN"/>
    </w:rPr>
  </w:style>
  <w:style w:type="paragraph" w:styleId="13">
    <w:name w:val="toc 3"/>
    <w:basedOn w:val="1"/>
    <w:next w:val="1"/>
    <w:qFormat/>
    <w:uiPriority w:val="39"/>
    <w:pPr>
      <w:widowControl w:val="0"/>
      <w:tabs>
        <w:tab w:val="left" w:pos="3150"/>
        <w:tab w:val="right" w:leader="dot" w:pos="10537"/>
      </w:tabs>
      <w:spacing w:line="440" w:lineRule="exact"/>
      <w:ind w:left="1700" w:leftChars="1700"/>
      <w:jc w:val="both"/>
    </w:pPr>
    <w:rPr>
      <w:rFonts w:ascii="Arial" w:hAnsi="Arial" w:eastAsia="楷体_GB2312"/>
      <w:snapToGrid/>
      <w:kern w:val="2"/>
      <w:sz w:val="20"/>
      <w:szCs w:val="24"/>
      <w:lang w:val="en-US" w:eastAsia="zh-CN"/>
    </w:rPr>
  </w:style>
  <w:style w:type="paragraph" w:styleId="14">
    <w:name w:val="Date"/>
    <w:basedOn w:val="1"/>
    <w:next w:val="1"/>
    <w:link w:val="131"/>
    <w:qFormat/>
    <w:uiPriority w:val="0"/>
    <w:pPr>
      <w:widowControl w:val="0"/>
      <w:autoSpaceDE w:val="0"/>
      <w:autoSpaceDN w:val="0"/>
      <w:adjustRightInd w:val="0"/>
      <w:jc w:val="both"/>
      <w:textAlignment w:val="baseline"/>
    </w:pPr>
    <w:rPr>
      <w:rFonts w:ascii="宋体" w:hAnsi="Times New Roman" w:eastAsia="宋体"/>
      <w:snapToGrid/>
      <w:kern w:val="2"/>
      <w:sz w:val="28"/>
      <w:szCs w:val="20"/>
      <w:lang w:val="en-US" w:eastAsia="zh-CN"/>
    </w:rPr>
  </w:style>
  <w:style w:type="paragraph" w:styleId="15">
    <w:name w:val="Body Text Indent 2"/>
    <w:basedOn w:val="1"/>
    <w:link w:val="129"/>
    <w:qFormat/>
    <w:uiPriority w:val="0"/>
    <w:pPr>
      <w:widowControl w:val="0"/>
      <w:autoSpaceDE w:val="0"/>
      <w:autoSpaceDN w:val="0"/>
      <w:adjustRightInd w:val="0"/>
      <w:ind w:left="2520" w:leftChars="1200" w:firstLine="360" w:firstLineChars="150"/>
    </w:pPr>
    <w:rPr>
      <w:rFonts w:ascii="楷体_GB2312" w:hAnsi="Times New Roman" w:eastAsia="楷体_GB2312"/>
      <w:snapToGrid/>
      <w:sz w:val="24"/>
      <w:szCs w:val="24"/>
      <w:lang w:val="en-US" w:eastAsia="zh-CN"/>
    </w:rPr>
  </w:style>
  <w:style w:type="paragraph" w:styleId="16">
    <w:name w:val="Balloon Text"/>
    <w:basedOn w:val="1"/>
    <w:link w:val="34"/>
    <w:qFormat/>
    <w:uiPriority w:val="0"/>
    <w:rPr>
      <w:rFonts w:ascii="Tahoma" w:hAnsi="Tahoma" w:cs="Tahoma"/>
    </w:rPr>
  </w:style>
  <w:style w:type="paragraph" w:styleId="17">
    <w:name w:val="footer"/>
    <w:basedOn w:val="1"/>
    <w:qFormat/>
    <w:uiPriority w:val="0"/>
    <w:pPr>
      <w:tabs>
        <w:tab w:val="center" w:pos="4419"/>
        <w:tab w:val="right" w:pos="8838"/>
      </w:tabs>
    </w:pPr>
  </w:style>
  <w:style w:type="paragraph" w:styleId="18">
    <w:name w:val="header"/>
    <w:basedOn w:val="1"/>
    <w:qFormat/>
    <w:uiPriority w:val="0"/>
    <w:pPr>
      <w:tabs>
        <w:tab w:val="center" w:pos="4419"/>
        <w:tab w:val="right" w:pos="8838"/>
      </w:tabs>
    </w:pPr>
  </w:style>
  <w:style w:type="paragraph" w:styleId="19">
    <w:name w:val="toc 1"/>
    <w:basedOn w:val="1"/>
    <w:next w:val="1"/>
    <w:qFormat/>
    <w:uiPriority w:val="39"/>
    <w:pPr>
      <w:widowControl w:val="0"/>
      <w:tabs>
        <w:tab w:val="left" w:pos="2835"/>
        <w:tab w:val="left" w:pos="3325"/>
        <w:tab w:val="right" w:leader="dot" w:pos="10537"/>
      </w:tabs>
      <w:overflowPunct w:val="0"/>
      <w:spacing w:line="440" w:lineRule="exact"/>
      <w:ind w:left="1300" w:leftChars="1300"/>
      <w:jc w:val="both"/>
    </w:pPr>
    <w:rPr>
      <w:rFonts w:ascii="Arial" w:hAnsi="Arial" w:eastAsia="楷体_GB2312"/>
      <w:snapToGrid/>
      <w:kern w:val="2"/>
      <w:sz w:val="21"/>
      <w:szCs w:val="24"/>
      <w:lang w:val="en-US" w:eastAsia="zh-CN"/>
    </w:rPr>
  </w:style>
  <w:style w:type="paragraph" w:styleId="20">
    <w:name w:val="Body Text Indent 3"/>
    <w:basedOn w:val="1"/>
    <w:link w:val="130"/>
    <w:qFormat/>
    <w:uiPriority w:val="0"/>
    <w:pPr>
      <w:framePr w:hSpace="180" w:wrap="around" w:vAnchor="text" w:hAnchor="text" w:xAlign="right" w:y="1"/>
      <w:suppressOverlap/>
      <w:widowControl w:val="0"/>
      <w:spacing w:line="320" w:lineRule="exact"/>
      <w:ind w:left="50" w:leftChars="24" w:firstLine="485" w:firstLineChars="202"/>
      <w:jc w:val="both"/>
    </w:pPr>
    <w:rPr>
      <w:rFonts w:ascii="楷体_GB2312" w:hAnsi="Times New Roman" w:eastAsia="楷体_GB2312"/>
      <w:snapToGrid/>
      <w:color w:val="000000"/>
      <w:kern w:val="2"/>
      <w:sz w:val="24"/>
      <w:szCs w:val="24"/>
      <w:lang w:val="en-US" w:eastAsia="zh-CN"/>
    </w:rPr>
  </w:style>
  <w:style w:type="paragraph" w:styleId="21">
    <w:name w:val="table of figures"/>
    <w:basedOn w:val="1"/>
    <w:next w:val="1"/>
    <w:qFormat/>
    <w:uiPriority w:val="99"/>
    <w:pPr>
      <w:widowControl w:val="0"/>
      <w:spacing w:line="440" w:lineRule="exact"/>
      <w:ind w:left="1300" w:leftChars="1300"/>
    </w:pPr>
    <w:rPr>
      <w:rFonts w:ascii="Arial" w:hAnsi="Arial" w:eastAsia="楷体_GB2312"/>
      <w:snapToGrid/>
      <w:kern w:val="2"/>
      <w:sz w:val="20"/>
      <w:szCs w:val="24"/>
      <w:lang w:val="en-US" w:eastAsia="zh-CN"/>
    </w:rPr>
  </w:style>
  <w:style w:type="paragraph" w:styleId="22">
    <w:name w:val="toc 2"/>
    <w:basedOn w:val="1"/>
    <w:next w:val="1"/>
    <w:qFormat/>
    <w:uiPriority w:val="39"/>
    <w:pPr>
      <w:widowControl w:val="0"/>
      <w:tabs>
        <w:tab w:val="left" w:pos="2835"/>
        <w:tab w:val="right" w:leader="dot" w:pos="10500"/>
      </w:tabs>
      <w:overflowPunct w:val="0"/>
      <w:spacing w:line="440" w:lineRule="exact"/>
      <w:ind w:left="1500" w:leftChars="1500"/>
      <w:jc w:val="both"/>
    </w:pPr>
    <w:rPr>
      <w:rFonts w:ascii="Arial" w:hAnsi="Arial" w:eastAsia="楷体_GB2312"/>
      <w:snapToGrid/>
      <w:kern w:val="2"/>
      <w:sz w:val="20"/>
      <w:szCs w:val="24"/>
      <w:lang w:val="en-US" w:eastAsia="zh-CN"/>
    </w:rPr>
  </w:style>
  <w:style w:type="paragraph" w:styleId="23">
    <w:name w:val="Body Text 2"/>
    <w:basedOn w:val="1"/>
    <w:link w:val="127"/>
    <w:qFormat/>
    <w:uiPriority w:val="0"/>
    <w:pPr>
      <w:widowControl w:val="0"/>
      <w:jc w:val="both"/>
    </w:pPr>
    <w:rPr>
      <w:rFonts w:ascii="Times New Roman" w:hAnsi="Times New Roman" w:eastAsia="汉仪楷体简"/>
      <w:snapToGrid/>
      <w:sz w:val="18"/>
      <w:szCs w:val="24"/>
      <w:lang w:val="en-US" w:eastAsia="zh-CN"/>
    </w:rPr>
  </w:style>
  <w:style w:type="paragraph" w:styleId="24">
    <w:name w:val="Normal (Web)"/>
    <w:basedOn w:val="1"/>
    <w:qFormat/>
    <w:uiPriority w:val="0"/>
    <w:pPr>
      <w:spacing w:before="100" w:beforeAutospacing="1" w:after="100" w:afterAutospacing="1"/>
    </w:pPr>
    <w:rPr>
      <w:rFonts w:ascii="宋体" w:hAnsi="宋体" w:eastAsia="宋体" w:cs="宋体"/>
      <w:snapToGrid/>
      <w:sz w:val="24"/>
      <w:szCs w:val="24"/>
      <w:lang w:val="en-US" w:eastAsia="zh-CN"/>
    </w:rPr>
  </w:style>
  <w:style w:type="paragraph" w:styleId="25">
    <w:name w:val="annotation subject"/>
    <w:basedOn w:val="8"/>
    <w:next w:val="8"/>
    <w:link w:val="137"/>
    <w:qFormat/>
    <w:uiPriority w:val="0"/>
    <w:rPr>
      <w:b/>
      <w:bCs/>
    </w:rPr>
  </w:style>
  <w:style w:type="table" w:styleId="27">
    <w:name w:val="Table Grid"/>
    <w:basedOn w:val="2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Strong"/>
    <w:qFormat/>
    <w:uiPriority w:val="0"/>
    <w:rPr>
      <w:b/>
      <w:bCs/>
    </w:rPr>
  </w:style>
  <w:style w:type="character" w:styleId="30">
    <w:name w:val="page number"/>
    <w:basedOn w:val="28"/>
    <w:qFormat/>
    <w:uiPriority w:val="0"/>
  </w:style>
  <w:style w:type="character" w:styleId="31">
    <w:name w:val="FollowedHyperlink"/>
    <w:qFormat/>
    <w:uiPriority w:val="0"/>
    <w:rPr>
      <w:color w:val="800080"/>
      <w:u w:val="single"/>
    </w:rPr>
  </w:style>
  <w:style w:type="character" w:styleId="32">
    <w:name w:val="Hyperlink"/>
    <w:basedOn w:val="28"/>
    <w:qFormat/>
    <w:uiPriority w:val="99"/>
    <w:rPr>
      <w:color w:val="0000FF"/>
      <w:u w:val="single"/>
    </w:rPr>
  </w:style>
  <w:style w:type="character" w:styleId="33">
    <w:name w:val="annotation reference"/>
    <w:qFormat/>
    <w:uiPriority w:val="0"/>
    <w:rPr>
      <w:sz w:val="21"/>
      <w:szCs w:val="21"/>
    </w:rPr>
  </w:style>
  <w:style w:type="character" w:customStyle="1" w:styleId="34">
    <w:name w:val="批注框文本 字符"/>
    <w:basedOn w:val="28"/>
    <w:link w:val="16"/>
    <w:qFormat/>
    <w:uiPriority w:val="0"/>
    <w:rPr>
      <w:rFonts w:ascii="Tahoma" w:hAnsi="Tahoma" w:cs="Tahoma"/>
      <w:lang w:eastAsia="ja-JP"/>
    </w:rPr>
  </w:style>
  <w:style w:type="paragraph" w:customStyle="1" w:styleId="35">
    <w:name w:val="EFAFPCompanyName"/>
    <w:next w:val="36"/>
    <w:qFormat/>
    <w:uiPriority w:val="0"/>
    <w:pPr>
      <w:framePr w:w="10858" w:h="1920" w:hRule="exact" w:wrap="around" w:vAnchor="page" w:hAnchor="page" w:x="341" w:y="1107" w:anchorLock="1"/>
      <w:adjustRightInd w:val="0"/>
      <w:snapToGrid w:val="0"/>
    </w:pPr>
    <w:rPr>
      <w:rFonts w:ascii="Calibri" w:hAnsi="Calibri" w:eastAsia="MS Mincho" w:cs="Times New Roman"/>
      <w:b/>
      <w:snapToGrid w:val="0"/>
      <w:sz w:val="36"/>
      <w:szCs w:val="40"/>
      <w:lang w:val="en-US" w:eastAsia="ja-JP" w:bidi="ar-SA"/>
    </w:rPr>
  </w:style>
  <w:style w:type="paragraph" w:customStyle="1" w:styleId="36">
    <w:name w:val="Style EFAFPFrameText_11.5pt + Right"/>
    <w:basedOn w:val="37"/>
    <w:qFormat/>
    <w:uiPriority w:val="0"/>
    <w:pPr>
      <w:framePr w:wrap="around"/>
      <w:jc w:val="right"/>
    </w:pPr>
    <w:rPr>
      <w:bCs/>
      <w:szCs w:val="20"/>
    </w:rPr>
  </w:style>
  <w:style w:type="paragraph" w:customStyle="1" w:styleId="37">
    <w:name w:val="EFAFPFrameText_11.5pt"/>
    <w:basedOn w:val="38"/>
    <w:qFormat/>
    <w:uiPriority w:val="0"/>
    <w:pPr>
      <w:framePr w:h="1520" w:hRule="exact" w:wrap="around" w:x="357" w:y="1072"/>
    </w:pPr>
    <w:rPr>
      <w:color w:val="23558C"/>
    </w:rPr>
  </w:style>
  <w:style w:type="paragraph" w:customStyle="1" w:styleId="38">
    <w:name w:val="EFAFPCompanyInfo"/>
    <w:basedOn w:val="1"/>
    <w:qFormat/>
    <w:uiPriority w:val="0"/>
    <w:pPr>
      <w:framePr w:w="10858" w:h="1920" w:hRule="exact" w:wrap="around" w:vAnchor="page" w:hAnchor="page" w:x="341" w:y="1107" w:anchorLock="1"/>
      <w:adjustRightInd w:val="0"/>
      <w:snapToGrid w:val="0"/>
    </w:pPr>
    <w:rPr>
      <w:b/>
      <w:sz w:val="24"/>
    </w:rPr>
  </w:style>
  <w:style w:type="paragraph" w:customStyle="1" w:styleId="39">
    <w:name w:val="EFABullet"/>
    <w:basedOn w:val="40"/>
    <w:qFormat/>
    <w:uiPriority w:val="0"/>
    <w:pPr>
      <w:numPr>
        <w:ilvl w:val="0"/>
        <w:numId w:val="2"/>
      </w:numPr>
      <w:tabs>
        <w:tab w:val="left" w:pos="480"/>
      </w:tabs>
      <w:ind w:left="192" w:firstLine="0"/>
    </w:pPr>
  </w:style>
  <w:style w:type="paragraph" w:customStyle="1" w:styleId="40">
    <w:name w:val="EFABodyText"/>
    <w:link w:val="56"/>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41">
    <w:name w:val="EFAButton"/>
    <w:basedOn w:val="42"/>
    <w:qFormat/>
    <w:uiPriority w:val="0"/>
    <w:rPr>
      <w:b/>
    </w:rPr>
  </w:style>
  <w:style w:type="paragraph" w:customStyle="1" w:styleId="42">
    <w:name w:val="EFANormal"/>
    <w:link w:val="55"/>
    <w:qFormat/>
    <w:uiPriority w:val="0"/>
    <w:pPr>
      <w:widowControl w:val="0"/>
      <w:adjustRightInd w:val="0"/>
      <w:snapToGrid w:val="0"/>
    </w:pPr>
    <w:rPr>
      <w:rFonts w:ascii="Calibri" w:hAnsi="Calibri" w:eastAsia="MS Mincho" w:cs="Times New Roman"/>
      <w:snapToGrid w:val="0"/>
      <w:sz w:val="16"/>
      <w:szCs w:val="16"/>
      <w:lang w:val="en-US" w:eastAsia="ja-JP" w:bidi="ar-SA"/>
    </w:rPr>
  </w:style>
  <w:style w:type="paragraph" w:customStyle="1" w:styleId="43">
    <w:name w:val="Style EFAFPFrameText_11.5pt_Right"/>
    <w:basedOn w:val="37"/>
    <w:qFormat/>
    <w:uiPriority w:val="0"/>
    <w:pPr>
      <w:framePr w:wrap="around"/>
      <w:jc w:val="right"/>
    </w:pPr>
    <w:rPr>
      <w:bCs/>
      <w:szCs w:val="20"/>
    </w:rPr>
  </w:style>
  <w:style w:type="paragraph" w:customStyle="1" w:styleId="44">
    <w:name w:val="EFADisclaimerText"/>
    <w:basedOn w:val="42"/>
    <w:link w:val="112"/>
    <w:qFormat/>
    <w:uiPriority w:val="99"/>
    <w:pPr>
      <w:jc w:val="both"/>
    </w:pPr>
  </w:style>
  <w:style w:type="paragraph" w:styleId="45">
    <w:name w:val="List Paragraph"/>
    <w:basedOn w:val="1"/>
    <w:qFormat/>
    <w:uiPriority w:val="34"/>
    <w:pPr>
      <w:ind w:left="720"/>
      <w:contextualSpacing/>
    </w:pPr>
  </w:style>
  <w:style w:type="paragraph" w:customStyle="1" w:styleId="46">
    <w:name w:val="EFABullet_Red"/>
    <w:basedOn w:val="47"/>
    <w:qFormat/>
    <w:uiPriority w:val="0"/>
    <w:pPr>
      <w:numPr>
        <w:ilvl w:val="0"/>
        <w:numId w:val="3"/>
      </w:numPr>
      <w:tabs>
        <w:tab w:val="left" w:pos="481"/>
      </w:tabs>
    </w:pPr>
  </w:style>
  <w:style w:type="paragraph" w:customStyle="1" w:styleId="47">
    <w:name w:val="EFAFP_BodyText"/>
    <w:link w:val="57"/>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48">
    <w:name w:val="EFA2ndPageHeader"/>
    <w:basedOn w:val="42"/>
    <w:qFormat/>
    <w:uiPriority w:val="0"/>
    <w:pPr>
      <w:spacing w:before="40" w:after="40"/>
      <w:jc w:val="right"/>
    </w:pPr>
    <w:rPr>
      <w:color w:val="FF0000"/>
      <w:sz w:val="24"/>
    </w:rPr>
  </w:style>
  <w:style w:type="paragraph" w:customStyle="1" w:styleId="49">
    <w:name w:val="EFAPageFooter"/>
    <w:basedOn w:val="42"/>
    <w:qFormat/>
    <w:uiPriority w:val="0"/>
    <w:pPr>
      <w:framePr w:wrap="around" w:vAnchor="page" w:hAnchor="page" w:x="347" w:y="15481"/>
      <w:suppressOverlap/>
      <w:tabs>
        <w:tab w:val="center" w:pos="5165"/>
      </w:tabs>
    </w:pPr>
    <w:rPr>
      <w:b/>
      <w:sz w:val="20"/>
      <w:szCs w:val="20"/>
    </w:rPr>
  </w:style>
  <w:style w:type="paragraph" w:customStyle="1" w:styleId="50">
    <w:name w:val="EFAPageHeader"/>
    <w:basedOn w:val="42"/>
    <w:qFormat/>
    <w:uiPriority w:val="0"/>
    <w:pPr>
      <w:tabs>
        <w:tab w:val="right" w:pos="10692"/>
      </w:tabs>
      <w:spacing w:before="40" w:after="40"/>
    </w:pPr>
    <w:rPr>
      <w:b/>
      <w:bCs/>
      <w:color w:val="005BAC"/>
      <w:sz w:val="24"/>
    </w:rPr>
  </w:style>
  <w:style w:type="paragraph" w:customStyle="1" w:styleId="51">
    <w:name w:val="EFAHiddenBookmark"/>
    <w:basedOn w:val="1"/>
    <w:link w:val="52"/>
    <w:qFormat/>
    <w:uiPriority w:val="99"/>
    <w:pPr>
      <w:adjustRightInd w:val="0"/>
      <w:snapToGrid w:val="0"/>
      <w:spacing w:after="40" w:line="180" w:lineRule="exact"/>
    </w:pPr>
    <w:rPr>
      <w:rFonts w:ascii="Arial" w:hAnsi="Arial" w:eastAsia="Times New Roman"/>
      <w:vanish/>
      <w:kern w:val="2"/>
      <w:sz w:val="14"/>
      <w:szCs w:val="19"/>
      <w:lang w:eastAsia="en-US"/>
    </w:rPr>
  </w:style>
  <w:style w:type="character" w:customStyle="1" w:styleId="52">
    <w:name w:val="EFAHiddenBookmark Char"/>
    <w:link w:val="51"/>
    <w:qFormat/>
    <w:uiPriority w:val="99"/>
    <w:rPr>
      <w:rFonts w:ascii="Arial" w:hAnsi="Arial" w:eastAsia="Times New Roman"/>
      <w:vanish/>
      <w:kern w:val="2"/>
      <w:sz w:val="14"/>
      <w:szCs w:val="19"/>
      <w:lang w:val="en-GB" w:eastAsia="en-US"/>
    </w:rPr>
  </w:style>
  <w:style w:type="paragraph" w:customStyle="1" w:styleId="53">
    <w:name w:val="EFAPoweredByEFA"/>
    <w:link w:val="54"/>
    <w:qFormat/>
    <w:uiPriority w:val="0"/>
    <w:pPr>
      <w:widowControl w:val="0"/>
      <w:tabs>
        <w:tab w:val="right" w:pos="6490"/>
      </w:tabs>
      <w:adjustRightInd w:val="0"/>
      <w:snapToGrid w:val="0"/>
      <w:ind w:left="-4186"/>
    </w:pPr>
    <w:rPr>
      <w:rFonts w:ascii="Arial" w:hAnsi="Arial" w:eastAsia="PMingLiU" w:cs="Times New Roman"/>
      <w:snapToGrid w:val="0"/>
      <w:color w:val="5A5A5A"/>
      <w:sz w:val="9"/>
      <w:szCs w:val="9"/>
      <w:lang w:val="en-US" w:eastAsia="zh-TW" w:bidi="ar-SA"/>
    </w:rPr>
  </w:style>
  <w:style w:type="character" w:customStyle="1" w:styleId="54">
    <w:name w:val="EFAPoweredByEFA Char"/>
    <w:link w:val="53"/>
    <w:qFormat/>
    <w:uiPriority w:val="0"/>
    <w:rPr>
      <w:rFonts w:ascii="Arial" w:hAnsi="Arial" w:eastAsia="PMingLiU"/>
      <w:color w:val="5A5A5A"/>
      <w:sz w:val="9"/>
      <w:szCs w:val="9"/>
      <w:lang w:eastAsia="zh-TW"/>
    </w:rPr>
  </w:style>
  <w:style w:type="character" w:customStyle="1" w:styleId="55">
    <w:name w:val="EFANormal Char"/>
    <w:basedOn w:val="28"/>
    <w:link w:val="42"/>
    <w:qFormat/>
    <w:uiPriority w:val="0"/>
    <w:rPr>
      <w:lang w:eastAsia="ja-JP"/>
    </w:rPr>
  </w:style>
  <w:style w:type="character" w:customStyle="1" w:styleId="56">
    <w:name w:val="EFABodyText Char"/>
    <w:basedOn w:val="28"/>
    <w:link w:val="40"/>
    <w:qFormat/>
    <w:uiPriority w:val="0"/>
    <w:rPr>
      <w:sz w:val="20"/>
      <w:lang w:eastAsia="ja-JP"/>
    </w:rPr>
  </w:style>
  <w:style w:type="character" w:customStyle="1" w:styleId="57">
    <w:name w:val="EFAFP_BodyText Char"/>
    <w:basedOn w:val="28"/>
    <w:link w:val="47"/>
    <w:qFormat/>
    <w:uiPriority w:val="0"/>
    <w:rPr>
      <w:sz w:val="20"/>
      <w:lang w:eastAsia="ja-JP"/>
    </w:rPr>
  </w:style>
  <w:style w:type="paragraph" w:customStyle="1" w:styleId="58">
    <w:name w:val="EFAFPTag"/>
    <w:basedOn w:val="42"/>
    <w:qFormat/>
    <w:uiPriority w:val="0"/>
    <w:pPr>
      <w:jc w:val="center"/>
    </w:pPr>
    <w:rPr>
      <w:b/>
    </w:rPr>
  </w:style>
  <w:style w:type="paragraph" w:customStyle="1" w:styleId="59">
    <w:name w:val="EFAFPFooter"/>
    <w:basedOn w:val="42"/>
    <w:qFormat/>
    <w:uiPriority w:val="0"/>
    <w:pPr>
      <w:tabs>
        <w:tab w:val="right" w:pos="10679"/>
      </w:tabs>
      <w:autoSpaceDE w:val="0"/>
      <w:autoSpaceDN w:val="0"/>
      <w:jc w:val="both"/>
    </w:pPr>
    <w:rPr>
      <w:rFonts w:cs="Arial"/>
      <w:b/>
      <w:sz w:val="14"/>
    </w:rPr>
  </w:style>
  <w:style w:type="character" w:customStyle="1" w:styleId="60">
    <w:name w:val="EFACharGrey"/>
    <w:qFormat/>
    <w:uiPriority w:val="1"/>
    <w:rPr>
      <w:color w:val="808080"/>
    </w:rPr>
  </w:style>
  <w:style w:type="paragraph" w:customStyle="1" w:styleId="61">
    <w:name w:val="EFAFPColFrameText_Left2"/>
    <w:link w:val="80"/>
    <w:qFormat/>
    <w:uiPriority w:val="0"/>
    <w:pPr>
      <w:framePr w:w="3045" w:h="12804" w:hRule="exact" w:hSpace="180" w:wrap="around" w:vAnchor="page" w:hAnchor="page" w:x="340" w:y="2765" w:anchorLock="1"/>
      <w:adjustRightInd w:val="0"/>
      <w:snapToGrid w:val="0"/>
    </w:pPr>
    <w:rPr>
      <w:rFonts w:ascii="Calibri" w:hAnsi="Calibri" w:eastAsia="MS Mincho" w:cs="Times New Roman"/>
      <w:snapToGrid w:val="0"/>
      <w:sz w:val="14"/>
      <w:szCs w:val="14"/>
      <w:lang w:val="en-US" w:eastAsia="zh-CN" w:bidi="ar-SA"/>
    </w:rPr>
  </w:style>
  <w:style w:type="character" w:customStyle="1" w:styleId="62">
    <w:name w:val="EFACharBold"/>
    <w:basedOn w:val="28"/>
    <w:qFormat/>
    <w:uiPriority w:val="1"/>
    <w:rPr>
      <w:b/>
    </w:rPr>
  </w:style>
  <w:style w:type="paragraph" w:customStyle="1" w:styleId="63">
    <w:name w:val="EFAFPColFrame_AnalystName2"/>
    <w:basedOn w:val="61"/>
    <w:link w:val="101"/>
    <w:qFormat/>
    <w:uiPriority w:val="0"/>
    <w:pPr>
      <w:framePr w:wrap="around"/>
    </w:pPr>
    <w:rPr>
      <w:b/>
      <w:sz w:val="16"/>
    </w:rPr>
  </w:style>
  <w:style w:type="paragraph" w:customStyle="1" w:styleId="64">
    <w:name w:val="EFAFP_Source"/>
    <w:basedOn w:val="42"/>
    <w:qFormat/>
    <w:uiPriority w:val="0"/>
    <w:rPr>
      <w:sz w:val="12"/>
      <w:szCs w:val="12"/>
    </w:rPr>
  </w:style>
  <w:style w:type="paragraph" w:customStyle="1" w:styleId="65">
    <w:name w:val="EFAFP_Abstract"/>
    <w:qFormat/>
    <w:uiPriority w:val="0"/>
    <w:rPr>
      <w:rFonts w:ascii="Calibri" w:hAnsi="Calibri" w:eastAsia="MS Mincho" w:cs="Times New Roman"/>
      <w:snapToGrid w:val="0"/>
      <w:sz w:val="18"/>
      <w:szCs w:val="16"/>
      <w:lang w:val="en-US" w:eastAsia="ja-JP" w:bidi="ar-SA"/>
    </w:rPr>
  </w:style>
  <w:style w:type="paragraph" w:customStyle="1" w:styleId="66">
    <w:name w:val="EFABullet_Green"/>
    <w:basedOn w:val="47"/>
    <w:qFormat/>
    <w:uiPriority w:val="0"/>
    <w:pPr>
      <w:numPr>
        <w:ilvl w:val="0"/>
        <w:numId w:val="4"/>
      </w:numPr>
      <w:tabs>
        <w:tab w:val="left" w:pos="468"/>
      </w:tabs>
    </w:pPr>
  </w:style>
  <w:style w:type="paragraph" w:customStyle="1" w:styleId="67">
    <w:name w:val="EFABullet_Blue"/>
    <w:basedOn w:val="47"/>
    <w:qFormat/>
    <w:uiPriority w:val="0"/>
    <w:pPr>
      <w:numPr>
        <w:ilvl w:val="0"/>
        <w:numId w:val="5"/>
      </w:numPr>
      <w:tabs>
        <w:tab w:val="left" w:pos="468"/>
      </w:tabs>
    </w:pPr>
  </w:style>
  <w:style w:type="paragraph" w:customStyle="1" w:styleId="68">
    <w:name w:val="EFABullet_Yellow"/>
    <w:basedOn w:val="47"/>
    <w:qFormat/>
    <w:uiPriority w:val="0"/>
    <w:pPr>
      <w:numPr>
        <w:ilvl w:val="0"/>
        <w:numId w:val="6"/>
      </w:numPr>
      <w:tabs>
        <w:tab w:val="left" w:pos="468"/>
      </w:tabs>
    </w:pPr>
  </w:style>
  <w:style w:type="paragraph" w:customStyle="1" w:styleId="69">
    <w:name w:val="EFASource"/>
    <w:basedOn w:val="40"/>
    <w:qFormat/>
    <w:uiPriority w:val="0"/>
    <w:rPr>
      <w:sz w:val="12"/>
      <w:szCs w:val="14"/>
    </w:rPr>
  </w:style>
  <w:style w:type="paragraph" w:customStyle="1" w:styleId="70">
    <w:name w:val="EFAHeading"/>
    <w:basedOn w:val="1"/>
    <w:next w:val="40"/>
    <w:qFormat/>
    <w:uiPriority w:val="0"/>
    <w:pPr>
      <w:widowControl w:val="0"/>
      <w:adjustRightInd w:val="0"/>
      <w:snapToGrid w:val="0"/>
    </w:pPr>
    <w:rPr>
      <w:b/>
      <w:color w:val="000000"/>
      <w:kern w:val="28"/>
      <w:sz w:val="24"/>
    </w:rPr>
  </w:style>
  <w:style w:type="paragraph" w:customStyle="1" w:styleId="71">
    <w:name w:val="EFADisclaimerHeading"/>
    <w:basedOn w:val="44"/>
    <w:next w:val="44"/>
    <w:qFormat/>
    <w:uiPriority w:val="99"/>
    <w:rPr>
      <w:b/>
    </w:rPr>
  </w:style>
  <w:style w:type="paragraph" w:customStyle="1" w:styleId="72">
    <w:name w:val="EFADisclaimerHeading2"/>
    <w:basedOn w:val="44"/>
    <w:next w:val="44"/>
    <w:qFormat/>
    <w:uiPriority w:val="0"/>
    <w:rPr>
      <w:b/>
      <w:sz w:val="20"/>
      <w:szCs w:val="20"/>
    </w:rPr>
  </w:style>
  <w:style w:type="paragraph" w:customStyle="1" w:styleId="73">
    <w:name w:val="EFADisclaimerHeading3"/>
    <w:basedOn w:val="44"/>
    <w:qFormat/>
    <w:uiPriority w:val="0"/>
    <w:rPr>
      <w:b/>
      <w:sz w:val="18"/>
      <w:szCs w:val="18"/>
    </w:rPr>
  </w:style>
  <w:style w:type="paragraph" w:customStyle="1" w:styleId="74">
    <w:name w:val="EFASideComment"/>
    <w:basedOn w:val="40"/>
    <w:qFormat/>
    <w:uiPriority w:val="0"/>
    <w:pPr>
      <w:framePr w:w="2980" w:hSpace="180" w:wrap="around" w:vAnchor="text" w:hAnchor="text" w:x="-3250" w:y="160"/>
    </w:pPr>
  </w:style>
  <w:style w:type="character" w:customStyle="1" w:styleId="75">
    <w:name w:val="EFACharBold_and_AllCap"/>
    <w:qFormat/>
    <w:uiPriority w:val="1"/>
    <w:rPr>
      <w:b/>
      <w:caps/>
    </w:rPr>
  </w:style>
  <w:style w:type="paragraph" w:customStyle="1" w:styleId="76">
    <w:name w:val="__Table_Normal"/>
    <w:basedOn w:val="1"/>
    <w:link w:val="77"/>
    <w:qFormat/>
    <w:uiPriority w:val="0"/>
    <w:rPr>
      <w:snapToGrid/>
      <w:color w:val="000000"/>
      <w:kern w:val="28"/>
    </w:rPr>
  </w:style>
  <w:style w:type="character" w:customStyle="1" w:styleId="77">
    <w:name w:val="__Table_Normal Char"/>
    <w:basedOn w:val="28"/>
    <w:link w:val="76"/>
    <w:qFormat/>
    <w:uiPriority w:val="0"/>
    <w:rPr>
      <w:snapToGrid/>
      <w:color w:val="000000"/>
      <w:kern w:val="28"/>
      <w:lang w:eastAsia="ja-JP"/>
    </w:rPr>
  </w:style>
  <w:style w:type="paragraph" w:customStyle="1" w:styleId="78">
    <w:name w:val="Front pg Tbl left just 7 pt"/>
    <w:basedOn w:val="1"/>
    <w:link w:val="79"/>
    <w:qFormat/>
    <w:uiPriority w:val="0"/>
    <w:rPr>
      <w:snapToGrid/>
      <w:sz w:val="14"/>
      <w:szCs w:val="24"/>
    </w:rPr>
  </w:style>
  <w:style w:type="character" w:customStyle="1" w:styleId="79">
    <w:name w:val="Front pg Tbl left just 7 pt Char Char"/>
    <w:basedOn w:val="28"/>
    <w:link w:val="78"/>
    <w:qFormat/>
    <w:uiPriority w:val="0"/>
    <w:rPr>
      <w:snapToGrid/>
      <w:sz w:val="14"/>
      <w:szCs w:val="24"/>
      <w:lang w:eastAsia="ja-JP"/>
    </w:rPr>
  </w:style>
  <w:style w:type="character" w:customStyle="1" w:styleId="80">
    <w:name w:val="EFAFPColFrameText_Left2 Char"/>
    <w:basedOn w:val="28"/>
    <w:link w:val="61"/>
    <w:qFormat/>
    <w:uiPriority w:val="0"/>
    <w:rPr>
      <w:sz w:val="14"/>
      <w:szCs w:val="14"/>
    </w:rPr>
  </w:style>
  <w:style w:type="paragraph" w:customStyle="1" w:styleId="81">
    <w:name w:val="EFAAnchor"/>
    <w:basedOn w:val="42"/>
    <w:qFormat/>
    <w:uiPriority w:val="0"/>
    <w:rPr>
      <w:sz w:val="4"/>
      <w:lang w:eastAsia="zh-CN"/>
    </w:rPr>
  </w:style>
  <w:style w:type="paragraph" w:customStyle="1" w:styleId="82">
    <w:name w:val="EFAReportTitle"/>
    <w:basedOn w:val="42"/>
    <w:qFormat/>
    <w:uiPriority w:val="0"/>
    <w:rPr>
      <w:b/>
      <w:sz w:val="48"/>
    </w:rPr>
  </w:style>
  <w:style w:type="paragraph" w:customStyle="1" w:styleId="83">
    <w:name w:val="EFAM_Title"/>
    <w:basedOn w:val="42"/>
    <w:qFormat/>
    <w:uiPriority w:val="0"/>
    <w:pPr>
      <w:framePr w:wrap="around" w:vAnchor="margin" w:hAnchor="text" w:xAlign="right" w:y="1"/>
      <w:suppressOverlap/>
    </w:pPr>
    <w:rPr>
      <w:b/>
      <w:sz w:val="32"/>
      <w:szCs w:val="28"/>
    </w:rPr>
  </w:style>
  <w:style w:type="paragraph" w:customStyle="1" w:styleId="84">
    <w:name w:val="EFABullet_Indent"/>
    <w:basedOn w:val="40"/>
    <w:qFormat/>
    <w:uiPriority w:val="0"/>
    <w:pPr>
      <w:numPr>
        <w:ilvl w:val="0"/>
        <w:numId w:val="7"/>
      </w:numPr>
      <w:tabs>
        <w:tab w:val="left" w:pos="240"/>
      </w:tabs>
      <w:ind w:left="240" w:hanging="240"/>
    </w:pPr>
  </w:style>
  <w:style w:type="paragraph" w:customStyle="1" w:styleId="85">
    <w:name w:val="EFAM_Abstract"/>
    <w:basedOn w:val="40"/>
    <w:next w:val="40"/>
    <w:qFormat/>
    <w:uiPriority w:val="0"/>
  </w:style>
  <w:style w:type="paragraph" w:customStyle="1" w:styleId="86">
    <w:name w:val="EFAM_Synopsis"/>
    <w:basedOn w:val="40"/>
    <w:next w:val="40"/>
    <w:qFormat/>
    <w:uiPriority w:val="0"/>
    <w:rPr>
      <w:b/>
      <w:sz w:val="24"/>
    </w:rPr>
  </w:style>
  <w:style w:type="paragraph" w:customStyle="1" w:styleId="87">
    <w:name w:val="EFAHeading1"/>
    <w:basedOn w:val="40"/>
    <w:next w:val="40"/>
    <w:qFormat/>
    <w:uiPriority w:val="0"/>
    <w:pPr>
      <w:numPr>
        <w:ilvl w:val="0"/>
        <w:numId w:val="8"/>
      </w:numPr>
      <w:tabs>
        <w:tab w:val="left" w:pos="1044"/>
      </w:tabs>
      <w:spacing w:after="60"/>
      <w:ind w:left="0" w:firstLine="0"/>
      <w:outlineLvl w:val="0"/>
    </w:pPr>
    <w:rPr>
      <w:b/>
      <w:sz w:val="24"/>
      <w:szCs w:val="24"/>
    </w:rPr>
  </w:style>
  <w:style w:type="paragraph" w:customStyle="1" w:styleId="88">
    <w:name w:val="EFAFPCol_Hdr3"/>
    <w:link w:val="90"/>
    <w:qFormat/>
    <w:uiPriority w:val="0"/>
    <w:pPr>
      <w:framePr w:w="2980" w:h="11080" w:hRule="exact" w:hSpace="180" w:wrap="around" w:vAnchor="text" w:hAnchor="page" w:x="370" w:y="1621"/>
    </w:pPr>
    <w:rPr>
      <w:rFonts w:ascii="Calibri" w:hAnsi="Calibri" w:eastAsia="MS Mincho" w:cs="Times New Roman"/>
      <w:b/>
      <w:snapToGrid w:val="0"/>
      <w:color w:val="808080"/>
      <w:sz w:val="24"/>
      <w:szCs w:val="24"/>
      <w:lang w:val="en-US" w:eastAsia="ja-JP" w:bidi="ar-SA"/>
    </w:rPr>
  </w:style>
  <w:style w:type="paragraph" w:customStyle="1" w:styleId="89">
    <w:name w:val="EFAFPReportType2"/>
    <w:link w:val="91"/>
    <w:qFormat/>
    <w:uiPriority w:val="0"/>
    <w:pPr>
      <w:framePr w:w="10858" w:h="1520" w:hRule="exact" w:wrap="around" w:vAnchor="page" w:hAnchor="page" w:x="357" w:y="1072" w:anchorLock="1"/>
      <w:adjustRightInd w:val="0"/>
      <w:snapToGrid w:val="0"/>
    </w:pPr>
    <w:rPr>
      <w:rFonts w:ascii="Calibri" w:hAnsi="Calibri" w:eastAsia="MS Mincho" w:cs="Times New Roman"/>
      <w:snapToGrid w:val="0"/>
      <w:color w:val="23558C"/>
      <w:sz w:val="44"/>
      <w:szCs w:val="44"/>
      <w:lang w:val="en-US" w:eastAsia="ja-JP" w:bidi="ar-SA"/>
    </w:rPr>
  </w:style>
  <w:style w:type="character" w:customStyle="1" w:styleId="90">
    <w:name w:val="EFAFPCol_Hdr3 Char"/>
    <w:basedOn w:val="28"/>
    <w:link w:val="88"/>
    <w:qFormat/>
    <w:uiPriority w:val="0"/>
    <w:rPr>
      <w:b/>
      <w:color w:val="808080"/>
      <w:sz w:val="24"/>
      <w:szCs w:val="24"/>
      <w:lang w:eastAsia="ja-JP"/>
    </w:rPr>
  </w:style>
  <w:style w:type="character" w:customStyle="1" w:styleId="91">
    <w:name w:val="EFAFPReportType2 Char"/>
    <w:basedOn w:val="28"/>
    <w:link w:val="89"/>
    <w:qFormat/>
    <w:uiPriority w:val="0"/>
    <w:rPr>
      <w:color w:val="23558C"/>
      <w:sz w:val="44"/>
      <w:szCs w:val="44"/>
      <w:lang w:eastAsia="ja-JP"/>
    </w:rPr>
  </w:style>
  <w:style w:type="paragraph" w:customStyle="1" w:styleId="92">
    <w:name w:val="EFAFPTitle3"/>
    <w:link w:val="95"/>
    <w:qFormat/>
    <w:uiPriority w:val="0"/>
    <w:pPr>
      <w:framePr w:wrap="around" w:vAnchor="margin" w:hAnchor="text" w:xAlign="right" w:y="1"/>
      <w:suppressOverlap/>
      <w:numPr>
        <w:ilvl w:val="0"/>
        <w:numId w:val="9"/>
      </w:numPr>
      <w:ind w:left="360" w:hanging="360"/>
    </w:pPr>
    <w:rPr>
      <w:rFonts w:ascii="Calibri" w:hAnsi="Calibri" w:eastAsia="MS Mincho" w:cs="Times New Roman"/>
      <w:b/>
      <w:snapToGrid w:val="0"/>
      <w:sz w:val="44"/>
      <w:szCs w:val="60"/>
      <w:lang w:val="en-US" w:eastAsia="ja-JP" w:bidi="ar-SA"/>
    </w:rPr>
  </w:style>
  <w:style w:type="paragraph" w:customStyle="1" w:styleId="93">
    <w:name w:val="EFAFP_Headline"/>
    <w:next w:val="94"/>
    <w:link w:val="96"/>
    <w:qFormat/>
    <w:uiPriority w:val="0"/>
    <w:pPr>
      <w:numPr>
        <w:ilvl w:val="0"/>
        <w:numId w:val="10"/>
      </w:numPr>
      <w:adjustRightInd w:val="0"/>
      <w:snapToGrid w:val="0"/>
    </w:pPr>
    <w:rPr>
      <w:rFonts w:ascii="Calibri" w:hAnsi="Calibri" w:eastAsia="Times New Roman" w:cs="Times New Roman"/>
      <w:b/>
      <w:bCs/>
      <w:color w:val="23558C"/>
      <w:kern w:val="28"/>
      <w:sz w:val="28"/>
      <w:lang w:val="en-US" w:eastAsia="ja-JP" w:bidi="ar-SA"/>
    </w:rPr>
  </w:style>
  <w:style w:type="paragraph" w:customStyle="1" w:styleId="94">
    <w:name w:val="EFAFP_BodyText2"/>
    <w:link w:val="97"/>
    <w:qFormat/>
    <w:uiPriority w:val="0"/>
    <w:pPr>
      <w:adjustRightInd w:val="0"/>
      <w:snapToGrid w:val="0"/>
      <w:spacing w:after="120"/>
      <w:jc w:val="both"/>
    </w:pPr>
    <w:rPr>
      <w:rFonts w:ascii="Calibri" w:hAnsi="Calibri" w:eastAsia="Times New Roman" w:cs="PMingLiU"/>
      <w:sz w:val="22"/>
      <w:lang w:val="en-US" w:eastAsia="ja-JP" w:bidi="ar-SA"/>
    </w:rPr>
  </w:style>
  <w:style w:type="character" w:customStyle="1" w:styleId="95">
    <w:name w:val="EFAFPTitle3 Char"/>
    <w:basedOn w:val="28"/>
    <w:link w:val="92"/>
    <w:qFormat/>
    <w:uiPriority w:val="0"/>
    <w:rPr>
      <w:b/>
      <w:sz w:val="44"/>
      <w:szCs w:val="60"/>
      <w:lang w:eastAsia="ja-JP"/>
    </w:rPr>
  </w:style>
  <w:style w:type="character" w:customStyle="1" w:styleId="96">
    <w:name w:val="EFAFP_Headline Char"/>
    <w:basedOn w:val="28"/>
    <w:link w:val="93"/>
    <w:qFormat/>
    <w:uiPriority w:val="0"/>
    <w:rPr>
      <w:rFonts w:eastAsia="Times New Roman"/>
      <w:b/>
      <w:bCs/>
      <w:snapToGrid/>
      <w:color w:val="23558C"/>
      <w:kern w:val="28"/>
      <w:sz w:val="28"/>
      <w:szCs w:val="20"/>
      <w:lang w:eastAsia="ja-JP"/>
    </w:rPr>
  </w:style>
  <w:style w:type="character" w:customStyle="1" w:styleId="97">
    <w:name w:val="EFAFP_BodyText2 Char"/>
    <w:basedOn w:val="28"/>
    <w:link w:val="94"/>
    <w:qFormat/>
    <w:uiPriority w:val="0"/>
    <w:rPr>
      <w:rFonts w:eastAsia="Times New Roman" w:cs="PMingLiU"/>
      <w:snapToGrid/>
      <w:sz w:val="22"/>
      <w:szCs w:val="20"/>
      <w:lang w:eastAsia="ja-JP"/>
    </w:rPr>
  </w:style>
  <w:style w:type="character" w:customStyle="1" w:styleId="98">
    <w:name w:val="EFABlueChar"/>
    <w:qFormat/>
    <w:uiPriority w:val="1"/>
    <w:rPr>
      <w:b/>
      <w:color w:val="23508C"/>
    </w:rPr>
  </w:style>
  <w:style w:type="paragraph" w:customStyle="1" w:styleId="99">
    <w:name w:val="EFAHeading5"/>
    <w:next w:val="40"/>
    <w:qFormat/>
    <w:uiPriority w:val="0"/>
    <w:pPr>
      <w:numPr>
        <w:ilvl w:val="0"/>
        <w:numId w:val="11"/>
      </w:numPr>
      <w:adjustRightInd w:val="0"/>
      <w:snapToGrid w:val="0"/>
      <w:ind w:left="972" w:hanging="972"/>
      <w:outlineLvl w:val="0"/>
    </w:pPr>
    <w:rPr>
      <w:rFonts w:ascii="Calibri" w:hAnsi="Calibri" w:eastAsia="MS Mincho" w:cs="Times New Roman"/>
      <w:b/>
      <w:bCs/>
      <w:snapToGrid w:val="0"/>
      <w:color w:val="23558C"/>
      <w:sz w:val="24"/>
      <w:szCs w:val="24"/>
      <w:lang w:val="en-US" w:eastAsia="ja-JP" w:bidi="ar-SA"/>
    </w:rPr>
  </w:style>
  <w:style w:type="paragraph" w:customStyle="1" w:styleId="100">
    <w:name w:val="EFAMacroTitle"/>
    <w:basedOn w:val="88"/>
    <w:qFormat/>
    <w:uiPriority w:val="0"/>
    <w:pPr>
      <w:framePr w:wrap="around"/>
    </w:pPr>
  </w:style>
  <w:style w:type="character" w:customStyle="1" w:styleId="101">
    <w:name w:val="EFAFPColFrame_AnalystName2 Char"/>
    <w:basedOn w:val="80"/>
    <w:link w:val="63"/>
    <w:qFormat/>
    <w:uiPriority w:val="0"/>
    <w:rPr>
      <w:b/>
      <w:sz w:val="14"/>
      <w:szCs w:val="14"/>
    </w:rPr>
  </w:style>
  <w:style w:type="paragraph" w:customStyle="1" w:styleId="102">
    <w:name w:val="EFAFPTitle"/>
    <w:link w:val="103"/>
    <w:qFormat/>
    <w:uiPriority w:val="0"/>
    <w:pPr>
      <w:framePr w:wrap="around" w:vAnchor="margin" w:hAnchor="text" w:xAlign="right" w:y="1"/>
      <w:suppressOverlap/>
      <w:tabs>
        <w:tab w:val="left" w:pos="240"/>
      </w:tabs>
      <w:ind w:left="240" w:right="220"/>
    </w:pPr>
    <w:rPr>
      <w:rFonts w:ascii="Calibri" w:hAnsi="Calibri" w:eastAsia="MS Mincho" w:cs="Times New Roman"/>
      <w:b/>
      <w:snapToGrid w:val="0"/>
      <w:color w:val="FFFFFF"/>
      <w:sz w:val="32"/>
      <w:szCs w:val="32"/>
      <w:lang w:val="en-US" w:eastAsia="ja-JP" w:bidi="ar-SA"/>
    </w:rPr>
  </w:style>
  <w:style w:type="character" w:customStyle="1" w:styleId="103">
    <w:name w:val="EFAFPTitle Char"/>
    <w:basedOn w:val="28"/>
    <w:link w:val="102"/>
    <w:qFormat/>
    <w:uiPriority w:val="0"/>
    <w:rPr>
      <w:b/>
      <w:color w:val="FFFFFF"/>
      <w:sz w:val="32"/>
      <w:szCs w:val="32"/>
      <w:lang w:eastAsia="ja-JP"/>
    </w:rPr>
  </w:style>
  <w:style w:type="paragraph" w:customStyle="1" w:styleId="104">
    <w:name w:val="EFAFPReportType"/>
    <w:link w:val="105"/>
    <w:qFormat/>
    <w:uiPriority w:val="0"/>
    <w:pPr>
      <w:framePr w:w="10858" w:h="1520" w:hRule="exact" w:wrap="around" w:vAnchor="page" w:hAnchor="page" w:x="366" w:y="1071" w:anchorLock="1"/>
      <w:adjustRightInd w:val="0"/>
      <w:snapToGrid w:val="0"/>
    </w:pPr>
    <w:rPr>
      <w:rFonts w:ascii="Calibri" w:hAnsi="Calibri" w:eastAsia="MS Mincho" w:cs="Times New Roman"/>
      <w:snapToGrid w:val="0"/>
      <w:color w:val="23558C"/>
      <w:sz w:val="44"/>
      <w:szCs w:val="44"/>
      <w:lang w:val="en-US" w:eastAsia="ja-JP" w:bidi="ar-SA"/>
    </w:rPr>
  </w:style>
  <w:style w:type="character" w:customStyle="1" w:styleId="105">
    <w:name w:val="EFAFPReportType Char"/>
    <w:basedOn w:val="28"/>
    <w:link w:val="104"/>
    <w:qFormat/>
    <w:uiPriority w:val="0"/>
    <w:rPr>
      <w:color w:val="23558C"/>
      <w:sz w:val="44"/>
      <w:szCs w:val="44"/>
      <w:lang w:eastAsia="ja-JP"/>
    </w:rPr>
  </w:style>
  <w:style w:type="paragraph" w:customStyle="1" w:styleId="106">
    <w:name w:val="EFAFPHdrInfo2"/>
    <w:link w:val="107"/>
    <w:qFormat/>
    <w:uiPriority w:val="0"/>
    <w:pPr>
      <w:framePr w:wrap="auto" w:vAnchor="margin" w:hAnchor="text" w:xAlign="right" w:y="-239"/>
      <w:suppressOverlap/>
      <w:ind w:left="240"/>
    </w:pPr>
    <w:rPr>
      <w:rFonts w:ascii="Calibri" w:hAnsi="Calibri" w:eastAsia="MS Mincho" w:cs="Times New Roman"/>
      <w:snapToGrid w:val="0"/>
      <w:color w:val="000000"/>
      <w:szCs w:val="44"/>
      <w:lang w:val="en-US" w:eastAsia="ja-JP" w:bidi="ar-SA"/>
    </w:rPr>
  </w:style>
  <w:style w:type="character" w:customStyle="1" w:styleId="107">
    <w:name w:val="EFAFPHdrInfo2 Char"/>
    <w:basedOn w:val="28"/>
    <w:link w:val="106"/>
    <w:qFormat/>
    <w:uiPriority w:val="0"/>
    <w:rPr>
      <w:color w:val="000000"/>
      <w:sz w:val="20"/>
      <w:szCs w:val="44"/>
      <w:lang w:eastAsia="ja-JP"/>
    </w:rPr>
  </w:style>
  <w:style w:type="paragraph" w:customStyle="1" w:styleId="108">
    <w:name w:val="EFADisclaimerHiddenText"/>
    <w:link w:val="109"/>
    <w:qFormat/>
    <w:uiPriority w:val="0"/>
    <w:pPr>
      <w:spacing w:line="20" w:lineRule="exact"/>
    </w:pPr>
    <w:rPr>
      <w:rFonts w:ascii="Calibri" w:hAnsi="Calibri" w:eastAsia="MS Mincho" w:cs="Times New Roman"/>
      <w:snapToGrid w:val="0"/>
      <w:vanish/>
      <w:color w:val="FFFFFF"/>
      <w:sz w:val="2"/>
      <w:szCs w:val="16"/>
      <w:lang w:val="en-US" w:eastAsia="ja-JP" w:bidi="ar-SA"/>
    </w:rPr>
  </w:style>
  <w:style w:type="character" w:customStyle="1" w:styleId="109">
    <w:name w:val="EFADisclaimerHiddenText Char"/>
    <w:basedOn w:val="28"/>
    <w:link w:val="108"/>
    <w:qFormat/>
    <w:uiPriority w:val="0"/>
    <w:rPr>
      <w:vanish/>
      <w:color w:val="FFFFFF"/>
      <w:sz w:val="2"/>
      <w:lang w:eastAsia="ja-JP"/>
    </w:rPr>
  </w:style>
  <w:style w:type="paragraph" w:customStyle="1" w:styleId="110">
    <w:name w:val="EFAFPFooter2"/>
    <w:link w:val="111"/>
    <w:qFormat/>
    <w:uiPriority w:val="0"/>
    <w:pPr>
      <w:tabs>
        <w:tab w:val="right" w:pos="11544"/>
      </w:tabs>
      <w:autoSpaceDE w:val="0"/>
      <w:autoSpaceDN w:val="0"/>
      <w:adjustRightInd w:val="0"/>
      <w:snapToGrid w:val="0"/>
      <w:spacing w:line="200" w:lineRule="exact"/>
      <w:jc w:val="both"/>
    </w:pPr>
    <w:rPr>
      <w:rFonts w:ascii="Calibri" w:hAnsi="Calibri" w:eastAsia="MS Mincho" w:cs="Arial"/>
      <w:snapToGrid w:val="0"/>
      <w:sz w:val="21"/>
      <w:szCs w:val="16"/>
      <w:lang w:val="en-US" w:eastAsia="ja-JP" w:bidi="ar-SA"/>
    </w:rPr>
  </w:style>
  <w:style w:type="character" w:customStyle="1" w:styleId="111">
    <w:name w:val="EFAFPFooter2 Char"/>
    <w:basedOn w:val="28"/>
    <w:link w:val="110"/>
    <w:qFormat/>
    <w:uiPriority w:val="0"/>
    <w:rPr>
      <w:rFonts w:cs="Arial"/>
      <w:sz w:val="21"/>
      <w:lang w:eastAsia="ja-JP"/>
    </w:rPr>
  </w:style>
  <w:style w:type="character" w:customStyle="1" w:styleId="112">
    <w:name w:val="EFADisclaimerText Char"/>
    <w:basedOn w:val="28"/>
    <w:link w:val="44"/>
    <w:qFormat/>
    <w:locked/>
    <w:uiPriority w:val="99"/>
    <w:rPr>
      <w:lang w:eastAsia="ja-JP"/>
    </w:rPr>
  </w:style>
  <w:style w:type="paragraph" w:customStyle="1" w:styleId="113">
    <w:name w:val="EFAFPColFrameText_Left"/>
    <w:basedOn w:val="1"/>
    <w:link w:val="116"/>
    <w:qFormat/>
    <w:uiPriority w:val="0"/>
    <w:pPr>
      <w:framePr w:w="3045" w:h="12844" w:hRule="exact" w:hSpace="180" w:wrap="around" w:vAnchor="page" w:hAnchor="page" w:x="336" w:y="2721" w:anchorLock="1"/>
      <w:adjustRightInd w:val="0"/>
      <w:snapToGrid w:val="0"/>
    </w:pPr>
    <w:rPr>
      <w:sz w:val="14"/>
      <w:szCs w:val="14"/>
      <w:lang w:val="en-US" w:eastAsia="zh-CN"/>
    </w:rPr>
  </w:style>
  <w:style w:type="paragraph" w:customStyle="1" w:styleId="114">
    <w:name w:val="EFAFPColFrame_AnalystName"/>
    <w:basedOn w:val="113"/>
    <w:qFormat/>
    <w:uiPriority w:val="0"/>
    <w:pPr>
      <w:framePr w:wrap="around"/>
    </w:pPr>
    <w:rPr>
      <w:b/>
      <w:sz w:val="16"/>
    </w:rPr>
  </w:style>
  <w:style w:type="paragraph" w:customStyle="1" w:styleId="115">
    <w:name w:val="EFAFPColFrameText_8pt"/>
    <w:basedOn w:val="113"/>
    <w:qFormat/>
    <w:uiPriority w:val="0"/>
    <w:pPr>
      <w:framePr w:wrap="around"/>
    </w:pPr>
    <w:rPr>
      <w:sz w:val="16"/>
    </w:rPr>
  </w:style>
  <w:style w:type="character" w:customStyle="1" w:styleId="116">
    <w:name w:val="EFAFPColFrameText_Left Char"/>
    <w:basedOn w:val="28"/>
    <w:link w:val="113"/>
    <w:qFormat/>
    <w:uiPriority w:val="0"/>
    <w:rPr>
      <w:sz w:val="14"/>
      <w:szCs w:val="14"/>
    </w:rPr>
  </w:style>
  <w:style w:type="paragraph" w:customStyle="1" w:styleId="117">
    <w:name w:val="表1"/>
    <w:basedOn w:val="1"/>
    <w:link w:val="118"/>
    <w:qFormat/>
    <w:uiPriority w:val="0"/>
    <w:pPr>
      <w:widowControl w:val="0"/>
      <w:tabs>
        <w:tab w:val="left" w:pos="3819"/>
      </w:tabs>
      <w:ind w:right="55" w:rightChars="26"/>
    </w:pPr>
    <w:rPr>
      <w:rFonts w:ascii="Arial" w:hAnsi="Arial" w:eastAsia="楷体_GB2312"/>
      <w:b/>
      <w:bCs/>
      <w:snapToGrid/>
      <w:color w:val="000000"/>
      <w:kern w:val="2"/>
      <w:sz w:val="18"/>
      <w:szCs w:val="24"/>
      <w:lang w:val="zh-CN" w:eastAsia="zh-CN"/>
    </w:rPr>
  </w:style>
  <w:style w:type="character" w:customStyle="1" w:styleId="118">
    <w:name w:val="表1 Char"/>
    <w:link w:val="117"/>
    <w:qFormat/>
    <w:uiPriority w:val="0"/>
    <w:rPr>
      <w:rFonts w:ascii="Arial" w:hAnsi="Arial" w:eastAsia="楷体_GB2312"/>
      <w:b/>
      <w:bCs/>
      <w:snapToGrid/>
      <w:color w:val="000000"/>
      <w:kern w:val="2"/>
      <w:sz w:val="18"/>
      <w:szCs w:val="24"/>
      <w:lang w:val="zh-CN" w:eastAsia="zh-CN"/>
    </w:rPr>
  </w:style>
  <w:style w:type="paragraph" w:customStyle="1" w:styleId="119">
    <w:name w:val="EFABodyText(CN)"/>
    <w:link w:val="120"/>
    <w:qFormat/>
    <w:uiPriority w:val="0"/>
    <w:pPr>
      <w:widowControl w:val="0"/>
      <w:adjustRightInd w:val="0"/>
      <w:snapToGrid w:val="0"/>
    </w:pPr>
    <w:rPr>
      <w:rFonts w:ascii="Calibri" w:hAnsi="Calibri" w:eastAsia="宋体" w:cs="Times New Roman"/>
      <w:snapToGrid w:val="0"/>
      <w:szCs w:val="16"/>
      <w:lang w:val="en-US" w:eastAsia="zh-CN" w:bidi="ar-SA"/>
    </w:rPr>
  </w:style>
  <w:style w:type="character" w:customStyle="1" w:styleId="120">
    <w:name w:val="EFABodyText(CN) Char"/>
    <w:basedOn w:val="28"/>
    <w:link w:val="119"/>
    <w:qFormat/>
    <w:uiPriority w:val="0"/>
    <w:rPr>
      <w:rFonts w:eastAsia="宋体"/>
      <w:sz w:val="20"/>
    </w:rPr>
  </w:style>
  <w:style w:type="paragraph" w:customStyle="1" w:styleId="121">
    <w:name w:val="图序号"/>
    <w:basedOn w:val="1"/>
    <w:link w:val="122"/>
    <w:qFormat/>
    <w:uiPriority w:val="0"/>
    <w:pPr>
      <w:widowControl w:val="0"/>
      <w:ind w:right="55" w:rightChars="26"/>
      <w:jc w:val="both"/>
    </w:pPr>
    <w:rPr>
      <w:rFonts w:ascii="Arial" w:hAnsi="Arial" w:eastAsia="楷体_GB2312"/>
      <w:b/>
      <w:bCs/>
      <w:snapToGrid/>
      <w:color w:val="000000"/>
      <w:kern w:val="2"/>
      <w:sz w:val="18"/>
      <w:szCs w:val="18"/>
      <w:lang w:val="zh-CN" w:eastAsia="zh-CN"/>
    </w:rPr>
  </w:style>
  <w:style w:type="character" w:customStyle="1" w:styleId="122">
    <w:name w:val="图序号 字符"/>
    <w:link w:val="121"/>
    <w:qFormat/>
    <w:uiPriority w:val="0"/>
    <w:rPr>
      <w:rFonts w:ascii="Arial" w:hAnsi="Arial" w:eastAsia="楷体_GB2312"/>
      <w:b/>
      <w:bCs/>
      <w:snapToGrid/>
      <w:color w:val="000000"/>
      <w:kern w:val="2"/>
      <w:sz w:val="18"/>
      <w:szCs w:val="18"/>
      <w:lang w:val="zh-CN" w:eastAsia="zh-CN"/>
    </w:rPr>
  </w:style>
  <w:style w:type="character" w:customStyle="1" w:styleId="123">
    <w:name w:val="标题 1 字符1"/>
    <w:link w:val="2"/>
    <w:qFormat/>
    <w:uiPriority w:val="0"/>
    <w:rPr>
      <w:rFonts w:cs="Arial"/>
      <w:b/>
      <w:bCs/>
      <w:kern w:val="32"/>
      <w:sz w:val="24"/>
      <w:szCs w:val="32"/>
      <w:lang w:val="en-GB" w:eastAsia="ja-JP"/>
    </w:rPr>
  </w:style>
  <w:style w:type="character" w:customStyle="1" w:styleId="124">
    <w:name w:val="标题 4 字符"/>
    <w:basedOn w:val="28"/>
    <w:link w:val="5"/>
    <w:qFormat/>
    <w:uiPriority w:val="0"/>
    <w:rPr>
      <w:rFonts w:ascii="Cambria" w:hAnsi="Cambria" w:eastAsia="宋体"/>
      <w:b/>
      <w:bCs/>
      <w:snapToGrid/>
      <w:kern w:val="2"/>
      <w:sz w:val="28"/>
      <w:szCs w:val="28"/>
      <w:lang w:val="zh-CN" w:eastAsia="zh-CN"/>
    </w:rPr>
  </w:style>
  <w:style w:type="character" w:customStyle="1" w:styleId="125">
    <w:name w:val="正文文本 字符"/>
    <w:basedOn w:val="28"/>
    <w:link w:val="10"/>
    <w:qFormat/>
    <w:uiPriority w:val="0"/>
    <w:rPr>
      <w:rFonts w:ascii="Times New Roman" w:hAnsi="Times New Roman" w:eastAsia="宋体"/>
      <w:snapToGrid/>
      <w:kern w:val="2"/>
      <w:sz w:val="21"/>
      <w:szCs w:val="24"/>
    </w:rPr>
  </w:style>
  <w:style w:type="character" w:customStyle="1" w:styleId="126">
    <w:name w:val="正文文本缩进 字符"/>
    <w:basedOn w:val="28"/>
    <w:link w:val="11"/>
    <w:qFormat/>
    <w:uiPriority w:val="0"/>
    <w:rPr>
      <w:rFonts w:ascii="汉仪楷体简" w:hAnsi="Times New Roman" w:eastAsia="汉仪楷体简"/>
      <w:snapToGrid/>
      <w:color w:val="000000"/>
      <w:sz w:val="18"/>
    </w:rPr>
  </w:style>
  <w:style w:type="character" w:customStyle="1" w:styleId="127">
    <w:name w:val="正文文本 2 字符"/>
    <w:basedOn w:val="28"/>
    <w:link w:val="23"/>
    <w:qFormat/>
    <w:uiPriority w:val="0"/>
    <w:rPr>
      <w:rFonts w:ascii="Times New Roman" w:hAnsi="Times New Roman" w:eastAsia="汉仪楷体简"/>
      <w:snapToGrid/>
      <w:sz w:val="18"/>
      <w:szCs w:val="24"/>
    </w:rPr>
  </w:style>
  <w:style w:type="character" w:customStyle="1" w:styleId="128">
    <w:name w:val="正文文本 3 字符"/>
    <w:basedOn w:val="28"/>
    <w:link w:val="9"/>
    <w:qFormat/>
    <w:uiPriority w:val="0"/>
    <w:rPr>
      <w:rFonts w:ascii="汉仪楷体简" w:hAnsi="Times New Roman" w:eastAsia="汉仪楷体简"/>
      <w:snapToGrid/>
      <w:color w:val="000000"/>
      <w:sz w:val="18"/>
    </w:rPr>
  </w:style>
  <w:style w:type="character" w:customStyle="1" w:styleId="129">
    <w:name w:val="正文文本缩进 2 字符"/>
    <w:basedOn w:val="28"/>
    <w:link w:val="15"/>
    <w:qFormat/>
    <w:uiPriority w:val="0"/>
    <w:rPr>
      <w:rFonts w:ascii="楷体_GB2312" w:hAnsi="Times New Roman" w:eastAsia="楷体_GB2312"/>
      <w:snapToGrid/>
      <w:sz w:val="24"/>
      <w:szCs w:val="24"/>
    </w:rPr>
  </w:style>
  <w:style w:type="character" w:customStyle="1" w:styleId="130">
    <w:name w:val="正文文本缩进 3 字符"/>
    <w:basedOn w:val="28"/>
    <w:link w:val="20"/>
    <w:qFormat/>
    <w:uiPriority w:val="0"/>
    <w:rPr>
      <w:rFonts w:ascii="楷体_GB2312" w:hAnsi="Times New Roman" w:eastAsia="楷体_GB2312"/>
      <w:snapToGrid/>
      <w:color w:val="000000"/>
      <w:kern w:val="2"/>
      <w:sz w:val="24"/>
      <w:szCs w:val="24"/>
    </w:rPr>
  </w:style>
  <w:style w:type="character" w:customStyle="1" w:styleId="131">
    <w:name w:val="日期 字符"/>
    <w:basedOn w:val="28"/>
    <w:link w:val="14"/>
    <w:qFormat/>
    <w:uiPriority w:val="0"/>
    <w:rPr>
      <w:rFonts w:ascii="宋体" w:hAnsi="Times New Roman" w:eastAsia="宋体"/>
      <w:snapToGrid/>
      <w:kern w:val="2"/>
      <w:sz w:val="28"/>
      <w:szCs w:val="20"/>
    </w:rPr>
  </w:style>
  <w:style w:type="character" w:customStyle="1" w:styleId="132">
    <w:name w:val="style12"/>
    <w:basedOn w:val="28"/>
    <w:qFormat/>
    <w:uiPriority w:val="0"/>
  </w:style>
  <w:style w:type="character" w:customStyle="1" w:styleId="133">
    <w:name w:val="style13"/>
    <w:basedOn w:val="28"/>
    <w:qFormat/>
    <w:uiPriority w:val="0"/>
  </w:style>
  <w:style w:type="paragraph" w:customStyle="1" w:styleId="134">
    <w:name w:val="默认段落字体 Para Char Char Char Char Char Char 字元 Char"/>
    <w:basedOn w:val="1"/>
    <w:qFormat/>
    <w:uiPriority w:val="0"/>
    <w:pPr>
      <w:widowControl w:val="0"/>
      <w:tabs>
        <w:tab w:val="left" w:pos="840"/>
      </w:tabs>
      <w:ind w:left="840" w:hanging="360"/>
      <w:jc w:val="both"/>
    </w:pPr>
    <w:rPr>
      <w:rFonts w:ascii="Times New Roman" w:hAnsi="Times New Roman" w:eastAsia="宋体"/>
      <w:snapToGrid/>
      <w:kern w:val="2"/>
      <w:sz w:val="24"/>
      <w:szCs w:val="24"/>
      <w:lang w:val="en-US" w:eastAsia="zh-CN"/>
    </w:rPr>
  </w:style>
  <w:style w:type="paragraph" w:customStyle="1" w:styleId="135">
    <w:name w:val="二级目录"/>
    <w:basedOn w:val="12"/>
    <w:qFormat/>
    <w:uiPriority w:val="0"/>
    <w:pPr>
      <w:spacing w:before="240" w:beforeLines="100" w:after="240" w:afterLines="100" w:line="320" w:lineRule="exact"/>
      <w:ind w:left="2977" w:leftChars="0" w:right="0" w:rightChars="0" w:firstLine="0"/>
    </w:pPr>
    <w:rPr>
      <w:rFonts w:eastAsia="楷体_GB2312"/>
      <w:b/>
      <w:color w:val="000080"/>
      <w:sz w:val="24"/>
    </w:rPr>
  </w:style>
  <w:style w:type="character" w:customStyle="1" w:styleId="136">
    <w:name w:val="批注文字 字符"/>
    <w:basedOn w:val="28"/>
    <w:link w:val="8"/>
    <w:qFormat/>
    <w:uiPriority w:val="0"/>
    <w:rPr>
      <w:rFonts w:ascii="Times New Roman" w:hAnsi="Times New Roman" w:eastAsia="宋体"/>
      <w:snapToGrid/>
      <w:kern w:val="2"/>
      <w:sz w:val="21"/>
      <w:szCs w:val="24"/>
      <w:lang w:val="zh-CN" w:eastAsia="zh-CN"/>
    </w:rPr>
  </w:style>
  <w:style w:type="character" w:customStyle="1" w:styleId="137">
    <w:name w:val="批注主题 字符"/>
    <w:basedOn w:val="136"/>
    <w:link w:val="25"/>
    <w:qFormat/>
    <w:uiPriority w:val="0"/>
    <w:rPr>
      <w:rFonts w:ascii="Times New Roman" w:hAnsi="Times New Roman" w:eastAsia="宋体"/>
      <w:b/>
      <w:bCs/>
      <w:snapToGrid/>
      <w:kern w:val="2"/>
      <w:sz w:val="21"/>
      <w:szCs w:val="24"/>
      <w:lang w:val="zh-CN" w:eastAsia="zh-CN"/>
    </w:rPr>
  </w:style>
  <w:style w:type="paragraph" w:customStyle="1" w:styleId="138">
    <w:name w:val="HUS封面正文"/>
    <w:qFormat/>
    <w:uiPriority w:val="0"/>
    <w:pPr>
      <w:numPr>
        <w:ilvl w:val="0"/>
        <w:numId w:val="12"/>
      </w:numPr>
      <w:spacing w:after="120"/>
      <w:jc w:val="both"/>
    </w:pPr>
    <w:rPr>
      <w:rFonts w:ascii="Arial" w:hAnsi="Arial" w:eastAsia="楷体_GB2312" w:cs="Times New Roman"/>
      <w:kern w:val="2"/>
      <w:lang w:val="en-US" w:eastAsia="zh-CN" w:bidi="ar-SA"/>
    </w:rPr>
  </w:style>
  <w:style w:type="paragraph" w:customStyle="1" w:styleId="139">
    <w:name w:val="Default"/>
    <w:qFormat/>
    <w:uiPriority w:val="0"/>
    <w:pPr>
      <w:widowControl w:val="0"/>
      <w:autoSpaceDE w:val="0"/>
      <w:autoSpaceDN w:val="0"/>
      <w:adjustRightInd w:val="0"/>
    </w:pPr>
    <w:rPr>
      <w:rFonts w:ascii="楷体_GB2312" w:hAnsi="Times New Roman" w:eastAsia="楷体_GB2312" w:cs="楷体_GB2312"/>
      <w:color w:val="000000"/>
      <w:sz w:val="24"/>
      <w:szCs w:val="24"/>
      <w:lang w:val="en-US" w:eastAsia="zh-CN" w:bidi="ar-SA"/>
    </w:rPr>
  </w:style>
  <w:style w:type="character" w:customStyle="1" w:styleId="140">
    <w:name w:val="标题 3 字符"/>
    <w:link w:val="4"/>
    <w:qFormat/>
    <w:uiPriority w:val="0"/>
    <w:rPr>
      <w:rFonts w:cs="Arial"/>
      <w:b/>
      <w:bCs/>
      <w:szCs w:val="26"/>
      <w:lang w:val="en-GB" w:eastAsia="ja-JP"/>
    </w:rPr>
  </w:style>
  <w:style w:type="paragraph" w:customStyle="1" w:styleId="141">
    <w:name w:val="国泰君安题注"/>
    <w:basedOn w:val="1"/>
    <w:qFormat/>
    <w:uiPriority w:val="0"/>
    <w:pPr>
      <w:widowControl w:val="0"/>
      <w:jc w:val="both"/>
    </w:pPr>
    <w:rPr>
      <w:rFonts w:ascii="Times New Roman" w:hAnsi="Times New Roman" w:eastAsia="楷体_GB2312" w:cs="宋体"/>
      <w:b/>
      <w:bCs/>
      <w:snapToGrid/>
      <w:kern w:val="2"/>
      <w:sz w:val="21"/>
      <w:szCs w:val="20"/>
      <w:lang w:val="en-US" w:eastAsia="zh-CN"/>
    </w:rPr>
  </w:style>
  <w:style w:type="paragraph" w:customStyle="1" w:styleId="142">
    <w:name w:val="国泰君安报告正文"/>
    <w:basedOn w:val="1"/>
    <w:qFormat/>
    <w:uiPriority w:val="0"/>
    <w:pPr>
      <w:widowControl w:val="0"/>
      <w:jc w:val="both"/>
    </w:pPr>
    <w:rPr>
      <w:rFonts w:ascii="Times New Roman" w:hAnsi="Times New Roman" w:eastAsia="楷体_GB2312" w:cs="宋体"/>
      <w:snapToGrid/>
      <w:kern w:val="2"/>
      <w:sz w:val="21"/>
      <w:szCs w:val="20"/>
      <w:lang w:val="en-US" w:eastAsia="zh-CN"/>
    </w:rPr>
  </w:style>
  <w:style w:type="paragraph" w:customStyle="1" w:styleId="143">
    <w:name w:val="国泰君安数据来源"/>
    <w:basedOn w:val="142"/>
    <w:qFormat/>
    <w:uiPriority w:val="0"/>
    <w:rPr>
      <w:sz w:val="18"/>
    </w:rPr>
  </w:style>
  <w:style w:type="paragraph" w:customStyle="1" w:styleId="144">
    <w:name w:val="表"/>
    <w:basedOn w:val="1"/>
    <w:qFormat/>
    <w:uiPriority w:val="0"/>
    <w:pPr>
      <w:widowControl w:val="0"/>
    </w:pPr>
    <w:rPr>
      <w:rFonts w:ascii="Arial" w:hAnsi="Arial" w:eastAsia="楷体_GB2312" w:cs="宋体"/>
      <w:b/>
      <w:bCs/>
      <w:snapToGrid/>
      <w:color w:val="000000"/>
      <w:kern w:val="2"/>
      <w:sz w:val="18"/>
      <w:szCs w:val="20"/>
      <w:lang w:val="en-US" w:eastAsia="zh-CN"/>
    </w:rPr>
  </w:style>
  <w:style w:type="character" w:customStyle="1" w:styleId="145">
    <w:name w:val="标题 1 字符"/>
    <w:qFormat/>
    <w:uiPriority w:val="0"/>
    <w:rPr>
      <w:rFonts w:eastAsia="楷体_GB2312"/>
      <w:b/>
      <w:bCs/>
      <w:color w:val="000080"/>
      <w:sz w:val="30"/>
      <w:szCs w:val="24"/>
    </w:rPr>
  </w:style>
  <w:style w:type="table" w:customStyle="1" w:styleId="146">
    <w:name w:val="网格表 2 - 着色 11"/>
    <w:basedOn w:val="26"/>
    <w:qFormat/>
    <w:uiPriority w:val="47"/>
    <w:tblPr>
      <w:tblBorders>
        <w:top w:val="single" w:color="8EAADB" w:sz="2" w:space="0"/>
        <w:bottom w:val="single" w:color="8EAADB" w:sz="2" w:space="0"/>
        <w:insideH w:val="single" w:color="8EAADB" w:sz="2" w:space="0"/>
        <w:insideV w:val="single" w:color="8EAADB" w:sz="2" w:space="0"/>
      </w:tblBorders>
    </w:tblPr>
    <w:tblStylePr w:type="firstRow">
      <w:rPr>
        <w:b/>
        <w:bCs/>
      </w:rPr>
      <w:tcPr>
        <w:tcBorders>
          <w:top w:val="nil"/>
          <w:bottom w:val="single" w:color="8EAADB" w:sz="12" w:space="0"/>
          <w:insideH w:val="nil"/>
          <w:insideV w:val="nil"/>
        </w:tcBorders>
        <w:shd w:val="clear" w:color="auto" w:fill="FFFFFF"/>
      </w:tcPr>
    </w:tblStylePr>
    <w:tblStylePr w:type="lastRow">
      <w:rPr>
        <w:b/>
        <w:bCs/>
      </w:rPr>
      <w:tcPr>
        <w:tcBorders>
          <w:top w:val="double" w:color="8EAADB" w:sz="2" w:space="0"/>
          <w:bottom w:val="nil"/>
          <w:insideH w:val="nil"/>
          <w:insideV w:val="nil"/>
        </w:tcBorders>
        <w:shd w:val="clear" w:color="auto" w:fill="FFFFFF"/>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147">
    <w:name w:val="网格表 3 - 着色 31"/>
    <w:basedOn w:val="26"/>
    <w:qFormat/>
    <w:uiPriority w:val="48"/>
    <w:tblPr>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Pr>
    <w:tblStylePr w:type="firstRow">
      <w:rPr>
        <w:b/>
        <w:bCs/>
      </w:rPr>
      <w:tcPr>
        <w:tcBorders>
          <w:top w:val="nil"/>
          <w:left w:val="nil"/>
          <w:right w:val="nil"/>
          <w:insideH w:val="nil"/>
          <w:insideV w:val="nil"/>
        </w:tcBorders>
        <w:shd w:val="clear" w:color="auto" w:fill="FFFFFF"/>
      </w:tcPr>
    </w:tblStylePr>
    <w:tblStylePr w:type="lastRow">
      <w:rPr>
        <w:b/>
        <w:bCs/>
      </w:rPr>
      <w:tcPr>
        <w:tcBorders>
          <w:left w:val="nil"/>
          <w:bottom w:val="nil"/>
          <w:right w:val="nil"/>
          <w:insideH w:val="nil"/>
          <w:insideV w:val="nil"/>
        </w:tcBorders>
        <w:shd w:val="clear" w:color="auto" w:fill="FFFFFF"/>
      </w:tcPr>
    </w:tblStylePr>
    <w:tblStylePr w:type="firstCol">
      <w:pPr>
        <w:jc w:val="right"/>
      </w:pPr>
      <w:rPr>
        <w:i/>
        <w:iCs/>
      </w:rPr>
      <w:tcPr>
        <w:tcBorders>
          <w:top w:val="nil"/>
          <w:left w:val="nil"/>
          <w:bottom w:val="nil"/>
          <w:insideH w:val="nil"/>
          <w:insideV w:val="nil"/>
        </w:tcBorders>
        <w:shd w:val="clear" w:color="auto" w:fill="FFFFFF"/>
      </w:tcPr>
    </w:tblStylePr>
    <w:tblStylePr w:type="lastCol">
      <w:rPr>
        <w:i/>
        <w:iCs/>
      </w:rPr>
      <w:tcPr>
        <w:tcBorders>
          <w:top w:val="nil"/>
          <w:bottom w:val="nil"/>
          <w:right w:val="nil"/>
          <w:insideH w:val="nil"/>
          <w:insideV w:val="nil"/>
        </w:tcBorders>
        <w:shd w:val="clear" w:color="auto" w:fill="FFFFFF"/>
      </w:tcPr>
    </w:tblStylePr>
    <w:tblStylePr w:type="band1Vert">
      <w:tcPr>
        <w:shd w:val="clear" w:color="auto" w:fill="EDEDED"/>
      </w:tcPr>
    </w:tblStylePr>
    <w:tblStylePr w:type="band1Horz">
      <w:tcPr>
        <w:shd w:val="clear" w:color="auto" w:fill="EDEDED"/>
      </w:tcPr>
    </w:tblStylePr>
    <w:tblStylePr w:type="neCell">
      <w:tcPr>
        <w:tcBorders>
          <w:bottom w:val="single" w:color="C9C9C9" w:sz="4" w:space="0"/>
        </w:tcBorders>
      </w:tcPr>
    </w:tblStylePr>
    <w:tblStylePr w:type="nwCell">
      <w:tcPr>
        <w:tcBorders>
          <w:bottom w:val="single" w:color="C9C9C9" w:sz="4" w:space="0"/>
        </w:tcBorders>
      </w:tcPr>
    </w:tblStylePr>
    <w:tblStylePr w:type="seCell">
      <w:tcPr>
        <w:tcBorders>
          <w:top w:val="single" w:color="C9C9C9" w:sz="4" w:space="0"/>
        </w:tcBorders>
      </w:tcPr>
    </w:tblStylePr>
    <w:tblStylePr w:type="swCell">
      <w:tcPr>
        <w:tcBorders>
          <w:top w:val="single" w:color="C9C9C9" w:sz="4" w:space="0"/>
        </w:tcBorders>
      </w:tcPr>
    </w:tblStylePr>
  </w:style>
  <w:style w:type="table" w:customStyle="1" w:styleId="148">
    <w:name w:val="网格表 2 - 着色 51"/>
    <w:basedOn w:val="26"/>
    <w:qFormat/>
    <w:uiPriority w:val="47"/>
    <w:tblPr>
      <w:tblBorders>
        <w:top w:val="single" w:color="9CC2E5" w:sz="2" w:space="0"/>
        <w:bottom w:val="single" w:color="9CC2E5" w:sz="2" w:space="0"/>
        <w:insideH w:val="single" w:color="9CC2E5" w:sz="2" w:space="0"/>
        <w:insideV w:val="single" w:color="9CC2E5" w:sz="2" w:space="0"/>
      </w:tblBorders>
    </w:tblPr>
    <w:tblStylePr w:type="firstRow">
      <w:rPr>
        <w:b/>
        <w:bCs/>
      </w:rPr>
      <w:tcPr>
        <w:tcBorders>
          <w:top w:val="nil"/>
          <w:bottom w:val="single" w:color="9CC2E5" w:sz="12" w:space="0"/>
          <w:insideH w:val="nil"/>
          <w:insideV w:val="nil"/>
        </w:tcBorders>
        <w:shd w:val="clear" w:color="auto" w:fill="FFFFFF"/>
      </w:tcPr>
    </w:tblStylePr>
    <w:tblStylePr w:type="lastRow">
      <w:rPr>
        <w:b/>
        <w:bCs/>
      </w:rPr>
      <w:tcPr>
        <w:tcBorders>
          <w:top w:val="double" w:color="9CC2E5" w:sz="2" w:space="0"/>
          <w:bottom w:val="nil"/>
          <w:insideH w:val="nil"/>
          <w:insideV w:val="nil"/>
        </w:tcBorders>
        <w:shd w:val="clear" w:color="auto" w:fill="FFFFFF"/>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table" w:customStyle="1" w:styleId="149">
    <w:name w:val="清单表 1 浅色 - 着色 51"/>
    <w:basedOn w:val="26"/>
    <w:qFormat/>
    <w:uiPriority w:val="46"/>
    <w:tblStylePr w:type="firstRow">
      <w:rPr>
        <w:b/>
        <w:bCs/>
      </w:rPr>
      <w:tcPr>
        <w:tcBorders>
          <w:bottom w:val="single" w:color="9CC2E5" w:sz="4" w:space="0"/>
        </w:tcBorders>
      </w:tcPr>
    </w:tblStylePr>
    <w:tblStylePr w:type="lastRow">
      <w:rPr>
        <w:b/>
        <w:bCs/>
      </w:rPr>
      <w:tcPr>
        <w:tcBorders>
          <w:top w:val="single" w:color="9CC2E5" w:sz="4" w:space="0"/>
        </w:tcBorders>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paragraph" w:customStyle="1" w:styleId="150">
    <w:name w:val="EFAFPColFrameText_Right"/>
    <w:basedOn w:val="1"/>
    <w:qFormat/>
    <w:uiPriority w:val="0"/>
    <w:pPr>
      <w:framePr w:w="3045" w:h="12844" w:hRule="exact" w:hSpace="180" w:wrap="around" w:vAnchor="page" w:hAnchor="page" w:x="336" w:y="2721" w:anchorLock="1"/>
      <w:adjustRightInd w:val="0"/>
      <w:snapToGrid w:val="0"/>
      <w:jc w:val="right"/>
    </w:pPr>
    <w:rPr>
      <w:sz w:val="14"/>
      <w:szCs w:val="14"/>
      <w:lang w:val="en-US" w:eastAsia="zh-CN"/>
    </w:rPr>
  </w:style>
  <w:style w:type="paragraph" w:customStyle="1" w:styleId="151">
    <w:name w:val="EFAFPHdrInfo"/>
    <w:link w:val="152"/>
    <w:qFormat/>
    <w:uiPriority w:val="0"/>
    <w:pPr>
      <w:framePr w:wrap="around" w:vAnchor="margin" w:hAnchor="text" w:xAlign="right" w:y="1"/>
      <w:suppressOverlap/>
      <w:ind w:left="240"/>
    </w:pPr>
    <w:rPr>
      <w:rFonts w:ascii="Calibri" w:hAnsi="Calibri" w:eastAsia="MS Mincho" w:cs="Times New Roman"/>
      <w:b/>
      <w:bCs/>
      <w:snapToGrid w:val="0"/>
      <w:color w:val="000000"/>
      <w:sz w:val="32"/>
      <w:szCs w:val="32"/>
      <w:lang w:val="en-US" w:eastAsia="ja-JP" w:bidi="ar-SA"/>
    </w:rPr>
  </w:style>
  <w:style w:type="character" w:customStyle="1" w:styleId="152">
    <w:name w:val="EFAFPHdrInfo Char"/>
    <w:basedOn w:val="105"/>
    <w:link w:val="151"/>
    <w:qFormat/>
    <w:uiPriority w:val="0"/>
    <w:rPr>
      <w:b/>
      <w:bCs/>
      <w:color w:val="000000"/>
      <w:sz w:val="32"/>
      <w:szCs w:val="32"/>
      <w:lang w:eastAsia="ja-JP"/>
    </w:rPr>
  </w:style>
  <w:style w:type="paragraph" w:customStyle="1" w:styleId="153">
    <w:name w:val="EFAFPTitle6"/>
    <w:link w:val="154"/>
    <w:qFormat/>
    <w:uiPriority w:val="0"/>
    <w:rPr>
      <w:rFonts w:ascii="Calibri" w:hAnsi="Calibri" w:eastAsia="MS Mincho" w:cs="Times New Roman"/>
      <w:b/>
      <w:bCs/>
      <w:snapToGrid w:val="0"/>
      <w:color w:val="FFFFFF"/>
      <w:sz w:val="32"/>
      <w:lang w:val="en-US" w:eastAsia="ja-JP" w:bidi="ar-SA"/>
    </w:rPr>
  </w:style>
  <w:style w:type="character" w:customStyle="1" w:styleId="154">
    <w:name w:val="EFAFPTitle6 Char"/>
    <w:basedOn w:val="28"/>
    <w:link w:val="153"/>
    <w:qFormat/>
    <w:uiPriority w:val="0"/>
    <w:rPr>
      <w:b/>
      <w:bCs/>
      <w:color w:val="FFFFFF"/>
      <w:sz w:val="32"/>
      <w:szCs w:val="20"/>
      <w:lang w:eastAsia="ja-JP"/>
    </w:rPr>
  </w:style>
  <w:style w:type="character" w:customStyle="1" w:styleId="155">
    <w:name w:val="未处理的提及1"/>
    <w:basedOn w:val="28"/>
    <w:semiHidden/>
    <w:unhideWhenUsed/>
    <w:qFormat/>
    <w:uiPriority w:val="99"/>
    <w:rPr>
      <w:color w:val="605E5C"/>
      <w:shd w:val="clear" w:color="auto" w:fill="E1DFDD"/>
    </w:rPr>
  </w:style>
  <w:style w:type="character" w:customStyle="1" w:styleId="156">
    <w:name w:val="标题 2 字符"/>
    <w:basedOn w:val="28"/>
    <w:link w:val="3"/>
    <w:qFormat/>
    <w:uiPriority w:val="0"/>
    <w:rPr>
      <w:rFonts w:cs="Arial"/>
      <w:b/>
      <w:bCs/>
      <w:iCs/>
      <w:snapToGrid w:val="0"/>
      <w:szCs w:val="28"/>
      <w:lang w:val="en-GB" w:eastAsia="ja-JP"/>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5" Type="http://schemas.openxmlformats.org/officeDocument/2006/relationships/fontTable" Target="fontTable.xml"/><Relationship Id="rId64" Type="http://schemas.openxmlformats.org/officeDocument/2006/relationships/customXml" Target="../customXml/item2.xml"/><Relationship Id="rId63" Type="http://schemas.openxmlformats.org/officeDocument/2006/relationships/numbering" Target="numbering.xml"/><Relationship Id="rId62" Type="http://schemas.openxmlformats.org/officeDocument/2006/relationships/customXml" Target="../customXml/item1.xml"/><Relationship Id="rId61" Type="http://schemas.openxmlformats.org/officeDocument/2006/relationships/chart" Target="charts/chart14.xml"/><Relationship Id="rId60" Type="http://schemas.openxmlformats.org/officeDocument/2006/relationships/chart" Target="charts/chart13.xml"/><Relationship Id="rId6" Type="http://schemas.openxmlformats.org/officeDocument/2006/relationships/footer" Target="footer2.xml"/><Relationship Id="rId59" Type="http://schemas.openxmlformats.org/officeDocument/2006/relationships/chart" Target="charts/chart12.xml"/><Relationship Id="rId58" Type="http://schemas.openxmlformats.org/officeDocument/2006/relationships/chart" Target="charts/chart11.xml"/><Relationship Id="rId57" Type="http://schemas.openxmlformats.org/officeDocument/2006/relationships/chart" Target="charts/chart10.xml"/><Relationship Id="rId56" Type="http://schemas.openxmlformats.org/officeDocument/2006/relationships/chart" Target="charts/chart9.xml"/><Relationship Id="rId55" Type="http://schemas.openxmlformats.org/officeDocument/2006/relationships/chart" Target="charts/chart8.xml"/><Relationship Id="rId54" Type="http://schemas.openxmlformats.org/officeDocument/2006/relationships/chart" Target="charts/chart7.xml"/><Relationship Id="rId53" Type="http://schemas.openxmlformats.org/officeDocument/2006/relationships/chart" Target="charts/chart6.xml"/><Relationship Id="rId52" Type="http://schemas.openxmlformats.org/officeDocument/2006/relationships/image" Target="media/image38.png"/><Relationship Id="rId51" Type="http://schemas.openxmlformats.org/officeDocument/2006/relationships/image" Target="media/image37.png"/><Relationship Id="rId50" Type="http://schemas.openxmlformats.org/officeDocument/2006/relationships/image" Target="media/image36.png"/><Relationship Id="rId5" Type="http://schemas.openxmlformats.org/officeDocument/2006/relationships/header" Target="header2.xml"/><Relationship Id="rId49" Type="http://schemas.openxmlformats.org/officeDocument/2006/relationships/image" Target="media/image35.png"/><Relationship Id="rId48" Type="http://schemas.openxmlformats.org/officeDocument/2006/relationships/image" Target="media/image34.png"/><Relationship Id="rId47" Type="http://schemas.openxmlformats.org/officeDocument/2006/relationships/image" Target="media/image33.emf"/><Relationship Id="rId46" Type="http://schemas.openxmlformats.org/officeDocument/2006/relationships/image" Target="media/image32.png"/><Relationship Id="rId45" Type="http://schemas.openxmlformats.org/officeDocument/2006/relationships/image" Target="media/image31.png"/><Relationship Id="rId44" Type="http://schemas.openxmlformats.org/officeDocument/2006/relationships/image" Target="media/image30.png"/><Relationship Id="rId43" Type="http://schemas.openxmlformats.org/officeDocument/2006/relationships/image" Target="media/image29.png"/><Relationship Id="rId42" Type="http://schemas.openxmlformats.org/officeDocument/2006/relationships/image" Target="media/image28.png"/><Relationship Id="rId41" Type="http://schemas.openxmlformats.org/officeDocument/2006/relationships/image" Target="media/image27.png"/><Relationship Id="rId40" Type="http://schemas.openxmlformats.org/officeDocument/2006/relationships/image" Target="media/image26.png"/><Relationship Id="rId4" Type="http://schemas.openxmlformats.org/officeDocument/2006/relationships/footer" Target="footer1.xml"/><Relationship Id="rId39" Type="http://schemas.openxmlformats.org/officeDocument/2006/relationships/image" Target="media/image25.png"/><Relationship Id="rId38" Type="http://schemas.openxmlformats.org/officeDocument/2006/relationships/image" Target="media/image24.png"/><Relationship Id="rId37" Type="http://schemas.openxmlformats.org/officeDocument/2006/relationships/image" Target="media/image23.png"/><Relationship Id="rId36" Type="http://schemas.openxmlformats.org/officeDocument/2006/relationships/image" Target="media/image22.jpeg"/><Relationship Id="rId35" Type="http://schemas.openxmlformats.org/officeDocument/2006/relationships/image" Target="media/image21.png"/><Relationship Id="rId34" Type="http://schemas.openxmlformats.org/officeDocument/2006/relationships/image" Target="media/image20.png"/><Relationship Id="rId33" Type="http://schemas.openxmlformats.org/officeDocument/2006/relationships/image" Target="media/image19.png"/><Relationship Id="rId32" Type="http://schemas.openxmlformats.org/officeDocument/2006/relationships/image" Target="media/image18.png"/><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header" Target="header1.xml"/><Relationship Id="rId29" Type="http://schemas.openxmlformats.org/officeDocument/2006/relationships/image" Target="media/image15.png"/><Relationship Id="rId28" Type="http://schemas.openxmlformats.org/officeDocument/2006/relationships/chart" Target="charts/chart5.xml"/><Relationship Id="rId27" Type="http://schemas.openxmlformats.org/officeDocument/2006/relationships/chart" Target="charts/chart4.xml"/><Relationship Id="rId26" Type="http://schemas.openxmlformats.org/officeDocument/2006/relationships/chart" Target="charts/chart3.xml"/><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emf"/><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chart" Target="charts/chart2.xml"/><Relationship Id="rId12" Type="http://schemas.openxmlformats.org/officeDocument/2006/relationships/chart" Target="charts/chart1.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Users/victoria/Library/Containers/com.tencent.xinWeChat/Data/Library/Application%20Support/com.tencent.xinWeChat/2.0b4.0.9/a77bb698393b94660e428d89d4adee9b/Message/MessageTemp/8ce60c9ae8a15df1dd2088e69b7f85bb/File/&#21608;&#25253;&#31532;&#19968;&#37096;&#20998;&#24213;&#31295;.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Users/victoria/Library/Containers/com.tencent.xinWeChat/Data/Library/Application%20Support/com.tencent.xinWeChat/2.0b4.0.9/a77bb698393b94660e428d89d4adee9b/Message/MessageTemp/8ce60c9ae8a15df1dd2088e69b7f85bb/File/&#21608;&#25253;&#31532;&#19968;&#37096;&#20998;&#24213;&#31295;.xlsx"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D:\HuaweiMoveData\Users\Zipline\Desktop\&#21464;&#21387;&#22120;&#20986;&#21475;&#37329;&#39069;&#21271;&#32654;&#27954;&#24403;&#26376;&#20540;&#31561;_20260213_170615.xlsx"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24037;&#20316;&#31807;1" TargetMode="External"/></Relationships>
</file>

<file path=word/charts/_rels/chart5.xml.rels><?xml version="1.0" encoding="UTF-8" standalone="yes"?>
<Relationships xmlns="http://schemas.openxmlformats.org/package/2006/relationships"><Relationship Id="rId3" Type="http://schemas.microsoft.com/office/2011/relationships/chartColorStyle" Target="colors10.xml"/><Relationship Id="rId2" Type="http://schemas.microsoft.com/office/2011/relationships/chartStyle" Target="style10.xml"/><Relationship Id="rId1" Type="http://schemas.openxmlformats.org/officeDocument/2006/relationships/oleObject" Target="&#24037;&#20316;&#31807;1" TargetMode="External"/></Relationships>
</file>

<file path=word/charts/_rels/chart6.xml.rels><?xml version="1.0" encoding="UTF-8" standalone="yes"?>
<Relationships xmlns="http://schemas.openxmlformats.org/package/2006/relationships"><Relationship Id="rId4" Type="http://schemas.microsoft.com/office/2011/relationships/chartColorStyle" Target="colors5.xml"/><Relationship Id="rId3" Type="http://schemas.microsoft.com/office/2011/relationships/chartStyle" Target="style5.xml"/><Relationship Id="rId2" Type="http://schemas.openxmlformats.org/officeDocument/2006/relationships/themeOverride" Target="../theme/themeOverride1.xml"/><Relationship Id="rId1" Type="http://schemas.openxmlformats.org/officeDocument/2006/relationships/oleObject" Target="file:///C:\Users\HSJ\Desktop\&#21608;&#25253;&#24213;&#31295;-&#36890;&#29992;&#33322;&#31354;&#37096;&#20998;.xlsx" TargetMode="External"/></Relationships>
</file>

<file path=word/charts/_rels/chart7.xml.rels><?xml version="1.0" encoding="UTF-8" standalone="yes"?>
<Relationships xmlns="http://schemas.openxmlformats.org/package/2006/relationships"><Relationship Id="rId4" Type="http://schemas.microsoft.com/office/2011/relationships/chartColorStyle" Target="colors6.xml"/><Relationship Id="rId3" Type="http://schemas.microsoft.com/office/2011/relationships/chartStyle" Target="style6.xml"/><Relationship Id="rId2" Type="http://schemas.openxmlformats.org/officeDocument/2006/relationships/themeOverride" Target="../theme/themeOverride2.xml"/><Relationship Id="rId1" Type="http://schemas.openxmlformats.org/officeDocument/2006/relationships/oleObject" Target="file:///C:\Users\HSJ\Desktop\&#21608;&#25253;&#24213;&#31295;-&#36890;&#29992;&#33322;&#31354;&#37096;&#20998;.xlsx" TargetMode="External"/></Relationships>
</file>

<file path=word/charts/_rels/chart8.xml.rels><?xml version="1.0" encoding="UTF-8" standalone="yes"?>
<Relationships xmlns="http://schemas.openxmlformats.org/package/2006/relationships"><Relationship Id="rId4" Type="http://schemas.microsoft.com/office/2011/relationships/chartColorStyle" Target="colors7.xml"/><Relationship Id="rId3" Type="http://schemas.microsoft.com/office/2011/relationships/chartStyle" Target="style7.xml"/><Relationship Id="rId2" Type="http://schemas.openxmlformats.org/officeDocument/2006/relationships/themeOverride" Target="../theme/themeOverride3.xml"/><Relationship Id="rId1" Type="http://schemas.openxmlformats.org/officeDocument/2006/relationships/package" Target="../embeddings/Workbook1.xlsx"/></Relationships>
</file>

<file path=word/charts/_rels/chart9.xml.rels><?xml version="1.0" encoding="UTF-8" standalone="yes"?>
<Relationships xmlns="http://schemas.openxmlformats.org/package/2006/relationships"><Relationship Id="rId4" Type="http://schemas.microsoft.com/office/2011/relationships/chartColorStyle" Target="colors8.xml"/><Relationship Id="rId3" Type="http://schemas.microsoft.com/office/2011/relationships/chartStyle" Target="style8.xml"/><Relationship Id="rId2" Type="http://schemas.openxmlformats.org/officeDocument/2006/relationships/themeOverride" Target="../theme/themeOverride4.xml"/><Relationship Id="rId1" Type="http://schemas.openxmlformats.org/officeDocument/2006/relationships/oleObject" Target="file:///C:\Users\HSJ\Desktop\&#21608;&#25253;&#24213;&#31295;-&#36890;&#29992;&#33322;&#31354;&#37096;&#20998;.xlsx" TargetMode="External"/></Relationships>
</file>

<file path=word/charts/_rels/chart10.xml.rels><?xml version="1.0" encoding="UTF-8" standalone="yes"?>
<Relationships xmlns="http://schemas.openxmlformats.org/package/2006/relationships"><Relationship Id="rId4" Type="http://schemas.microsoft.com/office/2011/relationships/chartColorStyle" Target="colors9.xml"/><Relationship Id="rId3" Type="http://schemas.microsoft.com/office/2011/relationships/chartStyle" Target="style9.xml"/><Relationship Id="rId2" Type="http://schemas.openxmlformats.org/officeDocument/2006/relationships/themeOverride" Target="../theme/themeOverride5.xml"/><Relationship Id="rId1" Type="http://schemas.openxmlformats.org/officeDocument/2006/relationships/oleObject" Target="file:///C:\Users\HSJ\Desktop\&#21608;&#25253;&#24213;&#31295;-&#36890;&#29992;&#33322;&#31354;&#37096;&#20998;.xlsx" TargetMode="External"/></Relationships>
</file>

<file path=word/charts/_rels/chart11.xml.rels><?xml version="1.0" encoding="UTF-8" standalone="yes"?>
<Relationships xmlns="http://schemas.openxmlformats.org/package/2006/relationships"><Relationship Id="rId4" Type="http://schemas.microsoft.com/office/2011/relationships/chartColorStyle" Target="colors11.xml"/><Relationship Id="rId3" Type="http://schemas.microsoft.com/office/2011/relationships/chartStyle" Target="style11.xml"/><Relationship Id="rId2" Type="http://schemas.openxmlformats.org/officeDocument/2006/relationships/themeOverride" Target="../theme/themeOverride6.xml"/><Relationship Id="rId1" Type="http://schemas.openxmlformats.org/officeDocument/2006/relationships/package" Target="../embeddings/Workbook2.xlsx"/></Relationships>
</file>

<file path=word/charts/_rels/chart12.xml.rels><?xml version="1.0" encoding="UTF-8" standalone="yes"?>
<Relationships xmlns="http://schemas.openxmlformats.org/package/2006/relationships"><Relationship Id="rId4" Type="http://schemas.microsoft.com/office/2011/relationships/chartColorStyle" Target="colors14.xml"/><Relationship Id="rId3" Type="http://schemas.microsoft.com/office/2011/relationships/chartStyle" Target="style14.xml"/><Relationship Id="rId2" Type="http://schemas.openxmlformats.org/officeDocument/2006/relationships/themeOverride" Target="../theme/themeOverride9.xml"/><Relationship Id="rId1" Type="http://schemas.openxmlformats.org/officeDocument/2006/relationships/package" Target="../embeddings/Workbook5.xlsx"/></Relationships>
</file>

<file path=word/charts/_rels/chart13.xml.rels><?xml version="1.0" encoding="UTF-8" standalone="yes"?>
<Relationships xmlns="http://schemas.openxmlformats.org/package/2006/relationships"><Relationship Id="rId4" Type="http://schemas.microsoft.com/office/2011/relationships/chartColorStyle" Target="colors13.xml"/><Relationship Id="rId3" Type="http://schemas.microsoft.com/office/2011/relationships/chartStyle" Target="style13.xml"/><Relationship Id="rId2" Type="http://schemas.openxmlformats.org/officeDocument/2006/relationships/themeOverride" Target="../theme/themeOverride8.xml"/><Relationship Id="rId1" Type="http://schemas.openxmlformats.org/officeDocument/2006/relationships/package" Target="../embeddings/Workbook4.xlsx"/></Relationships>
</file>

<file path=word/charts/_rels/chart14.xml.rels><?xml version="1.0" encoding="UTF-8" standalone="yes"?>
<Relationships xmlns="http://schemas.openxmlformats.org/package/2006/relationships"><Relationship Id="rId4" Type="http://schemas.microsoft.com/office/2011/relationships/chartColorStyle" Target="colors12.xml"/><Relationship Id="rId3" Type="http://schemas.microsoft.com/office/2011/relationships/chartStyle" Target="style12.xml"/><Relationship Id="rId2" Type="http://schemas.openxmlformats.org/officeDocument/2006/relationships/themeOverride" Target="../theme/themeOverride7.xml"/><Relationship Id="rId1" Type="http://schemas.openxmlformats.org/officeDocument/2006/relationships/package" Target="../embeddings/Workbook3.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cked"/>
        <c:varyColors val="0"/>
        <c:ser>
          <c:idx val="0"/>
          <c:order val="0"/>
          <c:tx>
            <c:strRef>
              <c:f>[周报第一部分底稿.xlsx]标普历史价格!$B$1</c:f>
              <c:strCache>
                <c:ptCount val="1"/>
                <c:pt idx="0">
                  <c:v>收盘价</c:v>
                </c:pt>
              </c:strCache>
            </c:strRef>
          </c:tx>
          <c:spPr>
            <a:ln w="28575" cap="rnd">
              <a:solidFill>
                <a:schemeClr val="tx2">
                  <a:lumMod val="50000"/>
                  <a:lumOff val="50000"/>
                </a:schemeClr>
              </a:solidFill>
              <a:round/>
            </a:ln>
            <a:effectLst/>
          </c:spPr>
          <c:marker>
            <c:symbol val="none"/>
          </c:marker>
          <c:dLbls>
            <c:delete val="1"/>
          </c:dLbls>
          <c:cat>
            <c:strRef>
              <c:f>[周报第一部分底稿.xlsx]标普历史价格!$A$2:$A$38</c:f>
              <c:strCache>
                <c:ptCount val="37"/>
                <c:pt idx="0">
                  <c:v>2026-01-02</c:v>
                </c:pt>
                <c:pt idx="1">
                  <c:v>2026-01-05</c:v>
                </c:pt>
                <c:pt idx="2">
                  <c:v>2026-01-06</c:v>
                </c:pt>
                <c:pt idx="3">
                  <c:v>2026-01-07</c:v>
                </c:pt>
                <c:pt idx="4">
                  <c:v>2026-01-08</c:v>
                </c:pt>
                <c:pt idx="5">
                  <c:v>2026-01-09</c:v>
                </c:pt>
                <c:pt idx="6">
                  <c:v>2026-01-12</c:v>
                </c:pt>
                <c:pt idx="7">
                  <c:v>2026-01-13</c:v>
                </c:pt>
                <c:pt idx="8">
                  <c:v>2026-01-14</c:v>
                </c:pt>
                <c:pt idx="9">
                  <c:v>2026-01-15</c:v>
                </c:pt>
                <c:pt idx="10">
                  <c:v>2026-01-16</c:v>
                </c:pt>
                <c:pt idx="11">
                  <c:v>2026-01-20</c:v>
                </c:pt>
                <c:pt idx="12">
                  <c:v>2026-01-21</c:v>
                </c:pt>
                <c:pt idx="13">
                  <c:v>2026-01-22</c:v>
                </c:pt>
                <c:pt idx="14">
                  <c:v>2026-01-23</c:v>
                </c:pt>
                <c:pt idx="15">
                  <c:v>2026-01-26</c:v>
                </c:pt>
                <c:pt idx="16">
                  <c:v>2026-01-27</c:v>
                </c:pt>
                <c:pt idx="17">
                  <c:v>2026-01-28</c:v>
                </c:pt>
                <c:pt idx="18">
                  <c:v>2026-01-29</c:v>
                </c:pt>
                <c:pt idx="19">
                  <c:v>2026-01-30</c:v>
                </c:pt>
                <c:pt idx="20">
                  <c:v>2026-02-02</c:v>
                </c:pt>
                <c:pt idx="21">
                  <c:v>2026-02-03</c:v>
                </c:pt>
                <c:pt idx="22">
                  <c:v>2026-02-04</c:v>
                </c:pt>
                <c:pt idx="23">
                  <c:v>2026-02-05</c:v>
                </c:pt>
                <c:pt idx="24">
                  <c:v>2026-02-06</c:v>
                </c:pt>
                <c:pt idx="25">
                  <c:v>2026-02-09</c:v>
                </c:pt>
                <c:pt idx="26">
                  <c:v>2026-02-10</c:v>
                </c:pt>
                <c:pt idx="27">
                  <c:v>2026-02-11</c:v>
                </c:pt>
                <c:pt idx="28">
                  <c:v>2026-02-12</c:v>
                </c:pt>
                <c:pt idx="29">
                  <c:v>2026-02-13</c:v>
                </c:pt>
                <c:pt idx="30">
                  <c:v>2026-02-17</c:v>
                </c:pt>
                <c:pt idx="31">
                  <c:v>2026-02-18</c:v>
                </c:pt>
                <c:pt idx="32">
                  <c:v>2026-02-19</c:v>
                </c:pt>
                <c:pt idx="33">
                  <c:v>2026-02-20</c:v>
                </c:pt>
                <c:pt idx="34">
                  <c:v>2026-02-23</c:v>
                </c:pt>
                <c:pt idx="35">
                  <c:v>2026-02-24</c:v>
                </c:pt>
                <c:pt idx="36">
                  <c:v>2026-02-25</c:v>
                </c:pt>
              </c:strCache>
            </c:strRef>
          </c:cat>
          <c:val>
            <c:numRef>
              <c:f>[周报第一部分底稿.xlsx]标普历史价格!$B$2:$B$38</c:f>
              <c:numCache>
                <c:formatCode>#,##0.00</c:formatCode>
                <c:ptCount val="37"/>
                <c:pt idx="0">
                  <c:v>6858.47</c:v>
                </c:pt>
                <c:pt idx="1">
                  <c:v>6902.05</c:v>
                </c:pt>
                <c:pt idx="2">
                  <c:v>6944.82</c:v>
                </c:pt>
                <c:pt idx="3">
                  <c:v>6920.93</c:v>
                </c:pt>
                <c:pt idx="4">
                  <c:v>6921.46</c:v>
                </c:pt>
                <c:pt idx="5">
                  <c:v>6966.28</c:v>
                </c:pt>
                <c:pt idx="6">
                  <c:v>6977.27</c:v>
                </c:pt>
                <c:pt idx="7">
                  <c:v>6963.74</c:v>
                </c:pt>
                <c:pt idx="8">
                  <c:v>6926.6</c:v>
                </c:pt>
                <c:pt idx="9">
                  <c:v>6944.47</c:v>
                </c:pt>
                <c:pt idx="10">
                  <c:v>6940.01</c:v>
                </c:pt>
                <c:pt idx="11">
                  <c:v>6796.86</c:v>
                </c:pt>
                <c:pt idx="12">
                  <c:v>6875.62</c:v>
                </c:pt>
                <c:pt idx="13">
                  <c:v>6913.35</c:v>
                </c:pt>
                <c:pt idx="14">
                  <c:v>6915.61</c:v>
                </c:pt>
                <c:pt idx="15">
                  <c:v>6950.23</c:v>
                </c:pt>
                <c:pt idx="16">
                  <c:v>6978.6</c:v>
                </c:pt>
                <c:pt idx="17">
                  <c:v>6978.03</c:v>
                </c:pt>
                <c:pt idx="18">
                  <c:v>6969.01</c:v>
                </c:pt>
                <c:pt idx="19">
                  <c:v>6939.03</c:v>
                </c:pt>
                <c:pt idx="20">
                  <c:v>6976.44</c:v>
                </c:pt>
                <c:pt idx="21">
                  <c:v>6917.81</c:v>
                </c:pt>
                <c:pt idx="22">
                  <c:v>6882.72</c:v>
                </c:pt>
                <c:pt idx="23">
                  <c:v>6798.4</c:v>
                </c:pt>
                <c:pt idx="24">
                  <c:v>6932.3</c:v>
                </c:pt>
                <c:pt idx="25">
                  <c:v>6964.82</c:v>
                </c:pt>
                <c:pt idx="26">
                  <c:v>6941.81</c:v>
                </c:pt>
                <c:pt idx="27">
                  <c:v>6941.47</c:v>
                </c:pt>
                <c:pt idx="28">
                  <c:v>6832.76</c:v>
                </c:pt>
                <c:pt idx="29">
                  <c:v>6836.17</c:v>
                </c:pt>
                <c:pt idx="30">
                  <c:v>6843.22</c:v>
                </c:pt>
                <c:pt idx="31">
                  <c:v>6881.31</c:v>
                </c:pt>
                <c:pt idx="32">
                  <c:v>6861.89</c:v>
                </c:pt>
                <c:pt idx="33">
                  <c:v>6909.51</c:v>
                </c:pt>
                <c:pt idx="34">
                  <c:v>6837.75</c:v>
                </c:pt>
                <c:pt idx="35">
                  <c:v>6890.07</c:v>
                </c:pt>
                <c:pt idx="36">
                  <c:v>6946.13</c:v>
                </c:pt>
              </c:numCache>
            </c:numRef>
          </c:val>
          <c:smooth val="0"/>
        </c:ser>
        <c:dLbls>
          <c:showLegendKey val="0"/>
          <c:showVal val="0"/>
          <c:showCatName val="0"/>
          <c:showSerName val="0"/>
          <c:showPercent val="0"/>
          <c:showBubbleSize val="0"/>
        </c:dLbls>
        <c:marker val="0"/>
        <c:smooth val="0"/>
        <c:axId val="169343520"/>
        <c:axId val="335000144"/>
      </c:lineChart>
      <c:catAx>
        <c:axId val="169343520"/>
        <c:scaling>
          <c:orientation val="minMax"/>
        </c:scaling>
        <c:delete val="0"/>
        <c:axPos val="b"/>
        <c:title>
          <c:tx>
            <c:rich>
              <a:bodyPr rot="0" spcFirstLastPara="1" vertOverflow="ellipsis" vert="horz" wrap="square" anchor="ctr" anchorCtr="1"/>
              <a:lstStyle/>
              <a:p>
                <a:pPr>
                  <a:defRPr lang="zh-CN" sz="1000" b="0" i="0" u="none" strike="noStrike" kern="1200" baseline="0">
                    <a:solidFill>
                      <a:sysClr val="windowText" lastClr="000000"/>
                    </a:solidFill>
                    <a:latin typeface="楷体" panose="02010609060101010101" pitchFamily="49" charset="-122"/>
                    <a:ea typeface="楷体" panose="02010609060101010101" pitchFamily="49" charset="-122"/>
                    <a:cs typeface="+mn-cs"/>
                  </a:defRPr>
                </a:pPr>
                <a:r>
                  <a:rPr lang="zh-CN">
                    <a:latin typeface="楷体" panose="02010609060101010101" pitchFamily="49" charset="-122"/>
                    <a:ea typeface="楷体" panose="02010609060101010101" pitchFamily="49" charset="-122"/>
                  </a:rPr>
                  <a:t>标普</a:t>
                </a:r>
                <a:r>
                  <a:rPr lang="en-US">
                    <a:latin typeface="楷体" panose="02010609060101010101" pitchFamily="49" charset="-122"/>
                    <a:ea typeface="楷体" panose="02010609060101010101" pitchFamily="49" charset="-122"/>
                  </a:rPr>
                  <a:t>500</a:t>
                </a:r>
                <a:r>
                  <a:rPr lang="zh-CN">
                    <a:latin typeface="楷体" panose="02010609060101010101" pitchFamily="49" charset="-122"/>
                    <a:ea typeface="楷体" panose="02010609060101010101" pitchFamily="49" charset="-122"/>
                  </a:rPr>
                  <a:t>指数</a:t>
                </a:r>
                <a:endParaRPr lang="zh-CN">
                  <a:latin typeface="楷体" panose="02010609060101010101" pitchFamily="49" charset="-122"/>
                  <a:ea typeface="楷体" panose="02010609060101010101" pitchFamily="49" charset="-122"/>
                </a:endParaRPr>
              </a:p>
            </c:rich>
          </c:tx>
          <c:layout>
            <c:manualLayout>
              <c:xMode val="edge"/>
              <c:yMode val="edge"/>
              <c:x val="0.417524236726395"/>
              <c:y val="0.884797768479777"/>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p>
        </c:txPr>
        <c:crossAx val="335000144"/>
        <c:crosses val="autoZero"/>
        <c:auto val="1"/>
        <c:lblAlgn val="ctr"/>
        <c:lblOffset val="100"/>
        <c:noMultiLvlLbl val="0"/>
      </c:catAx>
      <c:valAx>
        <c:axId val="33500014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p>
        </c:txPr>
        <c:crossAx val="169343520"/>
        <c:crosses val="autoZero"/>
        <c:crossBetween val="between"/>
      </c:valAx>
      <c:spPr>
        <a:noFill/>
        <a:ln>
          <a:noFill/>
        </a:ln>
        <a:effectLst/>
      </c:spPr>
    </c:plotArea>
    <c:plotVisOnly val="1"/>
    <c:dispBlanksAs val="gap"/>
    <c:showDLblsOverMax val="0"/>
    <c:extLst>
      <c:ext uri="{0b15fc19-7d7d-44ad-8c2d-2c3a37ce22c3}">
        <chartProps xmlns="https://web.wps.cn/et/2018/main" chartId="{2a4f98b6-0f68-432e-bdc6-6a408bec6054}"/>
      </c:ext>
    </c:extLst>
  </c:chart>
  <c:spPr>
    <a:solidFill>
      <a:schemeClr val="bg1"/>
    </a:solidFill>
    <a:ln w="9525" cap="flat" cmpd="sng" algn="ctr">
      <a:noFill/>
      <a:round/>
    </a:ln>
    <a:effectLst/>
  </c:spPr>
  <c:txPr>
    <a:bodyPr/>
    <a:lstStyle/>
    <a:p>
      <a:pPr>
        <a:defRPr lang="zh-CN">
          <a:solidFill>
            <a:sysClr val="windowText" lastClr="000000"/>
          </a:solidFill>
        </a:defRPr>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cked"/>
        <c:varyColors val="0"/>
        <c:ser>
          <c:idx val="0"/>
          <c:order val="0"/>
          <c:tx>
            <c:strRef>
              <c:f>[周报第一部分底稿.xlsx]道琼斯历史价格!$B$1</c:f>
              <c:strCache>
                <c:ptCount val="1"/>
                <c:pt idx="0">
                  <c:v>收盘价</c:v>
                </c:pt>
              </c:strCache>
            </c:strRef>
          </c:tx>
          <c:spPr>
            <a:ln w="28575" cap="rnd">
              <a:solidFill>
                <a:schemeClr val="tx2">
                  <a:lumMod val="50000"/>
                  <a:lumOff val="50000"/>
                </a:schemeClr>
              </a:solidFill>
              <a:round/>
            </a:ln>
            <a:effectLst/>
          </c:spPr>
          <c:marker>
            <c:symbol val="none"/>
          </c:marker>
          <c:dLbls>
            <c:delete val="1"/>
          </c:dLbls>
          <c:cat>
            <c:strRef>
              <c:f>[周报第一部分底稿.xlsx]道琼斯历史价格!$A$2:$A$38</c:f>
              <c:strCache>
                <c:ptCount val="37"/>
                <c:pt idx="0">
                  <c:v>2026-01-02</c:v>
                </c:pt>
                <c:pt idx="1">
                  <c:v>2026-01-05</c:v>
                </c:pt>
                <c:pt idx="2">
                  <c:v>2026-01-06</c:v>
                </c:pt>
                <c:pt idx="3">
                  <c:v>2026-01-07</c:v>
                </c:pt>
                <c:pt idx="4">
                  <c:v>2026-01-08</c:v>
                </c:pt>
                <c:pt idx="5">
                  <c:v>2026-01-09</c:v>
                </c:pt>
                <c:pt idx="6">
                  <c:v>2026-01-12</c:v>
                </c:pt>
                <c:pt idx="7">
                  <c:v>2026-01-13</c:v>
                </c:pt>
                <c:pt idx="8">
                  <c:v>2026-01-14</c:v>
                </c:pt>
                <c:pt idx="9">
                  <c:v>2026-01-15</c:v>
                </c:pt>
                <c:pt idx="10">
                  <c:v>2026-01-16</c:v>
                </c:pt>
                <c:pt idx="11">
                  <c:v>2026-01-20</c:v>
                </c:pt>
                <c:pt idx="12">
                  <c:v>2026-01-21</c:v>
                </c:pt>
                <c:pt idx="13">
                  <c:v>2026-01-22</c:v>
                </c:pt>
                <c:pt idx="14">
                  <c:v>2026-01-23</c:v>
                </c:pt>
                <c:pt idx="15">
                  <c:v>2026-01-26</c:v>
                </c:pt>
                <c:pt idx="16">
                  <c:v>2026-01-27</c:v>
                </c:pt>
                <c:pt idx="17">
                  <c:v>2026-01-28</c:v>
                </c:pt>
                <c:pt idx="18">
                  <c:v>2026-01-29</c:v>
                </c:pt>
                <c:pt idx="19">
                  <c:v>2026-01-30</c:v>
                </c:pt>
                <c:pt idx="20">
                  <c:v>2026-02-02</c:v>
                </c:pt>
                <c:pt idx="21">
                  <c:v>2026-02-03</c:v>
                </c:pt>
                <c:pt idx="22">
                  <c:v>2026-02-04</c:v>
                </c:pt>
                <c:pt idx="23">
                  <c:v>2026-02-05</c:v>
                </c:pt>
                <c:pt idx="24">
                  <c:v>2026-02-06</c:v>
                </c:pt>
                <c:pt idx="25">
                  <c:v>2026-02-09</c:v>
                </c:pt>
                <c:pt idx="26">
                  <c:v>2026-02-10</c:v>
                </c:pt>
                <c:pt idx="27">
                  <c:v>2026-02-11</c:v>
                </c:pt>
                <c:pt idx="28">
                  <c:v>2026-02-12</c:v>
                </c:pt>
                <c:pt idx="29">
                  <c:v>2026-02-13</c:v>
                </c:pt>
                <c:pt idx="30">
                  <c:v>2026-02-17</c:v>
                </c:pt>
                <c:pt idx="31">
                  <c:v>2026-02-18</c:v>
                </c:pt>
                <c:pt idx="32">
                  <c:v>2026-02-19</c:v>
                </c:pt>
                <c:pt idx="33">
                  <c:v>2026-02-20</c:v>
                </c:pt>
                <c:pt idx="34">
                  <c:v>2026-02-23</c:v>
                </c:pt>
                <c:pt idx="35">
                  <c:v>2026-02-24</c:v>
                </c:pt>
                <c:pt idx="36">
                  <c:v>2026-02-25</c:v>
                </c:pt>
              </c:strCache>
            </c:strRef>
          </c:cat>
          <c:val>
            <c:numRef>
              <c:f>[周报第一部分底稿.xlsx]道琼斯历史价格!$B$2:$B$38</c:f>
              <c:numCache>
                <c:formatCode>#,##0.00</c:formatCode>
                <c:ptCount val="37"/>
                <c:pt idx="0">
                  <c:v>48382.39</c:v>
                </c:pt>
                <c:pt idx="1">
                  <c:v>48977.18</c:v>
                </c:pt>
                <c:pt idx="2">
                  <c:v>49462.08</c:v>
                </c:pt>
                <c:pt idx="3">
                  <c:v>48996.08</c:v>
                </c:pt>
                <c:pt idx="4">
                  <c:v>49266.11</c:v>
                </c:pt>
                <c:pt idx="5">
                  <c:v>49504.07</c:v>
                </c:pt>
                <c:pt idx="6">
                  <c:v>49590.2</c:v>
                </c:pt>
                <c:pt idx="7">
                  <c:v>49191.99</c:v>
                </c:pt>
                <c:pt idx="8">
                  <c:v>49149.63</c:v>
                </c:pt>
                <c:pt idx="9">
                  <c:v>49442.44</c:v>
                </c:pt>
                <c:pt idx="10">
                  <c:v>49359.33</c:v>
                </c:pt>
                <c:pt idx="11">
                  <c:v>48488.59</c:v>
                </c:pt>
                <c:pt idx="12">
                  <c:v>49077.23</c:v>
                </c:pt>
                <c:pt idx="13">
                  <c:v>49384.01</c:v>
                </c:pt>
                <c:pt idx="14">
                  <c:v>49098.71</c:v>
                </c:pt>
                <c:pt idx="15">
                  <c:v>49412.4</c:v>
                </c:pt>
                <c:pt idx="16">
                  <c:v>49003.41</c:v>
                </c:pt>
                <c:pt idx="17">
                  <c:v>49015.6</c:v>
                </c:pt>
                <c:pt idx="18">
                  <c:v>49071.56</c:v>
                </c:pt>
                <c:pt idx="19">
                  <c:v>48892.47</c:v>
                </c:pt>
                <c:pt idx="20">
                  <c:v>49407.66</c:v>
                </c:pt>
                <c:pt idx="21">
                  <c:v>49240.99</c:v>
                </c:pt>
                <c:pt idx="22">
                  <c:v>49501.3</c:v>
                </c:pt>
                <c:pt idx="23">
                  <c:v>48908.72</c:v>
                </c:pt>
                <c:pt idx="24">
                  <c:v>50115.67</c:v>
                </c:pt>
                <c:pt idx="25">
                  <c:v>50135.87</c:v>
                </c:pt>
                <c:pt idx="26">
                  <c:v>50188.14</c:v>
                </c:pt>
                <c:pt idx="27">
                  <c:v>50121.4</c:v>
                </c:pt>
                <c:pt idx="28">
                  <c:v>49451.98</c:v>
                </c:pt>
                <c:pt idx="29">
                  <c:v>49500.93</c:v>
                </c:pt>
                <c:pt idx="30">
                  <c:v>49533.19</c:v>
                </c:pt>
                <c:pt idx="31">
                  <c:v>49662.66</c:v>
                </c:pt>
                <c:pt idx="32">
                  <c:v>49395.16</c:v>
                </c:pt>
                <c:pt idx="33">
                  <c:v>49625.97</c:v>
                </c:pt>
                <c:pt idx="34">
                  <c:v>48804.06</c:v>
                </c:pt>
                <c:pt idx="35">
                  <c:v>49174.5</c:v>
                </c:pt>
                <c:pt idx="36">
                  <c:v>49482.15</c:v>
                </c:pt>
              </c:numCache>
            </c:numRef>
          </c:val>
          <c:smooth val="0"/>
        </c:ser>
        <c:dLbls>
          <c:showLegendKey val="0"/>
          <c:showVal val="0"/>
          <c:showCatName val="0"/>
          <c:showSerName val="0"/>
          <c:showPercent val="0"/>
          <c:showBubbleSize val="0"/>
        </c:dLbls>
        <c:marker val="0"/>
        <c:smooth val="0"/>
        <c:axId val="475594864"/>
        <c:axId val="475595344"/>
      </c:lineChart>
      <c:catAx>
        <c:axId val="475594864"/>
        <c:scaling>
          <c:orientation val="minMax"/>
        </c:scaling>
        <c:delete val="0"/>
        <c:axPos val="b"/>
        <c:title>
          <c:tx>
            <c:rich>
              <a:bodyPr rot="0" spcFirstLastPara="1" vertOverflow="ellipsis" vert="horz" wrap="square" anchor="ctr" anchorCtr="1"/>
              <a:lstStyle/>
              <a:p>
                <a:pPr algn="ctr">
                  <a:defRPr lang="zh-CN" sz="1000" b="0" i="0" u="none" strike="noStrike" kern="1200" baseline="0">
                    <a:solidFill>
                      <a:sysClr val="windowText" lastClr="000000"/>
                    </a:solidFill>
                    <a:latin typeface="楷体" panose="02010609060101010101" pitchFamily="49" charset="-122"/>
                    <a:ea typeface="楷体" panose="02010609060101010101" pitchFamily="49" charset="-122"/>
                    <a:cs typeface="+mn-cs"/>
                  </a:defRPr>
                </a:pPr>
                <a:r>
                  <a:rPr lang="zh-CN">
                    <a:latin typeface="楷体" panose="02010609060101010101" pitchFamily="49" charset="-122"/>
                    <a:ea typeface="楷体" panose="02010609060101010101" pitchFamily="49" charset="-122"/>
                  </a:rPr>
                  <a:t>道琼斯指数</a:t>
                </a:r>
                <a:endParaRPr lang="zh-CN">
                  <a:latin typeface="楷体" panose="02010609060101010101" pitchFamily="49" charset="-122"/>
                  <a:ea typeface="楷体" panose="02010609060101010101" pitchFamily="49" charset="-122"/>
                </a:endParaRPr>
              </a:p>
            </c:rich>
          </c:tx>
          <c:layout>
            <c:manualLayout>
              <c:xMode val="edge"/>
              <c:yMode val="edge"/>
              <c:x val="0.445269042181086"/>
              <c:y val="0.881712946832973"/>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p>
        </c:txPr>
        <c:crossAx val="475595344"/>
        <c:crosses val="autoZero"/>
        <c:auto val="1"/>
        <c:lblAlgn val="ctr"/>
        <c:lblOffset val="100"/>
        <c:noMultiLvlLbl val="0"/>
      </c:catAx>
      <c:valAx>
        <c:axId val="47559534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p>
        </c:txPr>
        <c:crossAx val="475594864"/>
        <c:crosses val="autoZero"/>
        <c:crossBetween val="between"/>
      </c:valAx>
      <c:spPr>
        <a:noFill/>
        <a:ln>
          <a:noFill/>
        </a:ln>
        <a:effectLst/>
      </c:spPr>
    </c:plotArea>
    <c:plotVisOnly val="1"/>
    <c:dispBlanksAs val="gap"/>
    <c:showDLblsOverMax val="0"/>
    <c:extLst>
      <c:ext uri="{0b15fc19-7d7d-44ad-8c2d-2c3a37ce22c3}">
        <chartProps xmlns="https://web.wps.cn/et/2018/main" chartId="{43055ba7-4719-4a09-bcba-a3537ab28d67}"/>
      </c:ext>
    </c:extLst>
  </c:chart>
  <c:spPr>
    <a:solidFill>
      <a:schemeClr val="bg1"/>
    </a:solidFill>
    <a:ln w="9525" cap="flat" cmpd="sng" algn="ctr">
      <a:noFill/>
      <a:round/>
    </a:ln>
    <a:effectLst/>
  </c:spPr>
  <c:txPr>
    <a:bodyPr/>
    <a:lstStyle/>
    <a:p>
      <a:pPr>
        <a:defRPr lang="zh-CN">
          <a:solidFill>
            <a:sysClr val="windowText" lastClr="000000"/>
          </a:solidFill>
        </a:defRPr>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551007790280697"/>
          <c:y val="0.0415437561455261"/>
          <c:w val="0.906566093730679"/>
          <c:h val="0.606784660766962"/>
        </c:manualLayout>
      </c:layout>
      <c:barChart>
        <c:barDir val="col"/>
        <c:grouping val="stacked"/>
        <c:varyColors val="0"/>
        <c:ser>
          <c:idx val="0"/>
          <c:order val="0"/>
          <c:tx>
            <c:strRef>
              <c:f>[变压器出口金额北美洲当月值等_20260213_170615.xlsx]Sheet1!$B$22</c:f>
              <c:strCache>
                <c:ptCount val="1"/>
                <c:pt idx="0">
                  <c:v>北美洲</c:v>
                </c:pt>
              </c:strCache>
            </c:strRef>
          </c:tx>
          <c:spPr>
            <a:solidFill>
              <a:schemeClr val="accent1"/>
            </a:solidFill>
            <a:ln>
              <a:solidFill>
                <a:schemeClr val="bg1"/>
              </a:solidFill>
            </a:ln>
            <a:effectLst/>
          </c:spPr>
          <c:invertIfNegative val="0"/>
          <c:dLbls>
            <c:delete val="1"/>
          </c:dLbls>
          <c:cat>
            <c:numRef>
              <c:f>[变压器出口金额北美洲当月值等_20260213_170615.xlsx]Sheet1!$A$23:$A$35</c:f>
              <c:numCache>
                <c:formatCode>yyyy/mm;@</c:formatCode>
                <c:ptCount val="13"/>
                <c:pt idx="0" c:formatCode="yyyy/mm;@">
                  <c:v>46022</c:v>
                </c:pt>
                <c:pt idx="1" c:formatCode="yyyy/mm;@">
                  <c:v>45991</c:v>
                </c:pt>
                <c:pt idx="2" c:formatCode="yyyy/mm;@">
                  <c:v>45961</c:v>
                </c:pt>
                <c:pt idx="3" c:formatCode="yyyy/mm;@">
                  <c:v>45930</c:v>
                </c:pt>
                <c:pt idx="4" c:formatCode="yyyy/mm;@">
                  <c:v>45900</c:v>
                </c:pt>
                <c:pt idx="5" c:formatCode="yyyy/mm;@">
                  <c:v>45869</c:v>
                </c:pt>
                <c:pt idx="6" c:formatCode="yyyy/mm;@">
                  <c:v>45838</c:v>
                </c:pt>
                <c:pt idx="7" c:formatCode="yyyy/mm;@">
                  <c:v>45808</c:v>
                </c:pt>
                <c:pt idx="8" c:formatCode="yyyy/mm;@">
                  <c:v>45777</c:v>
                </c:pt>
                <c:pt idx="9" c:formatCode="yyyy/mm;@">
                  <c:v>45747</c:v>
                </c:pt>
                <c:pt idx="10" c:formatCode="yyyy/mm;@">
                  <c:v>45716</c:v>
                </c:pt>
                <c:pt idx="11" c:formatCode="yyyy/mm;@">
                  <c:v>45688</c:v>
                </c:pt>
                <c:pt idx="12" c:formatCode="yyyy/mm;@">
                  <c:v>45657</c:v>
                </c:pt>
              </c:numCache>
            </c:numRef>
          </c:cat>
          <c:val>
            <c:numRef>
              <c:f>[变压器出口金额北美洲当月值等_20260213_170615.xlsx]Sheet1!$B$23:$B$35</c:f>
              <c:numCache>
                <c:formatCode>General</c:formatCode>
                <c:ptCount val="13"/>
                <c:pt idx="0">
                  <c:v>9.183531</c:v>
                </c:pt>
                <c:pt idx="1">
                  <c:v>10.3230664</c:v>
                </c:pt>
                <c:pt idx="2">
                  <c:v>14.2596435</c:v>
                </c:pt>
                <c:pt idx="3">
                  <c:v>9.8165976</c:v>
                </c:pt>
                <c:pt idx="4">
                  <c:v>8.6567967</c:v>
                </c:pt>
                <c:pt idx="5">
                  <c:v>14.7843536</c:v>
                </c:pt>
                <c:pt idx="6">
                  <c:v>14.2741553</c:v>
                </c:pt>
                <c:pt idx="7">
                  <c:v>10.6435783</c:v>
                </c:pt>
                <c:pt idx="8">
                  <c:v>10.0089844</c:v>
                </c:pt>
                <c:pt idx="9">
                  <c:v>10.7563442</c:v>
                </c:pt>
                <c:pt idx="10">
                  <c:v>8.8354351</c:v>
                </c:pt>
                <c:pt idx="11">
                  <c:v>10.8237484</c:v>
                </c:pt>
                <c:pt idx="12">
                  <c:v>13.741968</c:v>
                </c:pt>
              </c:numCache>
            </c:numRef>
          </c:val>
        </c:ser>
        <c:ser>
          <c:idx val="1"/>
          <c:order val="1"/>
          <c:tx>
            <c:strRef>
              <c:f>[变压器出口金额北美洲当月值等_20260213_170615.xlsx]Sheet1!$C$22</c:f>
              <c:strCache>
                <c:ptCount val="1"/>
                <c:pt idx="0">
                  <c:v>欧洲</c:v>
                </c:pt>
              </c:strCache>
            </c:strRef>
          </c:tx>
          <c:spPr>
            <a:solidFill>
              <a:schemeClr val="accent3"/>
            </a:solidFill>
            <a:ln>
              <a:solidFill>
                <a:schemeClr val="bg1"/>
              </a:solidFill>
            </a:ln>
            <a:effectLst/>
          </c:spPr>
          <c:invertIfNegative val="0"/>
          <c:dLbls>
            <c:delete val="1"/>
          </c:dLbls>
          <c:cat>
            <c:numRef>
              <c:f>[变压器出口金额北美洲当月值等_20260213_170615.xlsx]Sheet1!$A$23:$A$35</c:f>
              <c:numCache>
                <c:formatCode>yyyy/mm;@</c:formatCode>
                <c:ptCount val="13"/>
                <c:pt idx="0" c:formatCode="yyyy/mm;@">
                  <c:v>46022</c:v>
                </c:pt>
                <c:pt idx="1" c:formatCode="yyyy/mm;@">
                  <c:v>45991</c:v>
                </c:pt>
                <c:pt idx="2" c:formatCode="yyyy/mm;@">
                  <c:v>45961</c:v>
                </c:pt>
                <c:pt idx="3" c:formatCode="yyyy/mm;@">
                  <c:v>45930</c:v>
                </c:pt>
                <c:pt idx="4" c:formatCode="yyyy/mm;@">
                  <c:v>45900</c:v>
                </c:pt>
                <c:pt idx="5" c:formatCode="yyyy/mm;@">
                  <c:v>45869</c:v>
                </c:pt>
                <c:pt idx="6" c:formatCode="yyyy/mm;@">
                  <c:v>45838</c:v>
                </c:pt>
                <c:pt idx="7" c:formatCode="yyyy/mm;@">
                  <c:v>45808</c:v>
                </c:pt>
                <c:pt idx="8" c:formatCode="yyyy/mm;@">
                  <c:v>45777</c:v>
                </c:pt>
                <c:pt idx="9" c:formatCode="yyyy/mm;@">
                  <c:v>45747</c:v>
                </c:pt>
                <c:pt idx="10" c:formatCode="yyyy/mm;@">
                  <c:v>45716</c:v>
                </c:pt>
                <c:pt idx="11" c:formatCode="yyyy/mm;@">
                  <c:v>45688</c:v>
                </c:pt>
                <c:pt idx="12" c:formatCode="yyyy/mm;@">
                  <c:v>45657</c:v>
                </c:pt>
              </c:numCache>
            </c:numRef>
          </c:cat>
          <c:val>
            <c:numRef>
              <c:f>[变压器出口金额北美洲当月值等_20260213_170615.xlsx]Sheet1!$C$23:$C$35</c:f>
              <c:numCache>
                <c:formatCode>General</c:formatCode>
                <c:ptCount val="13"/>
                <c:pt idx="0">
                  <c:v>15.9210363</c:v>
                </c:pt>
                <c:pt idx="1">
                  <c:v>14.248486</c:v>
                </c:pt>
                <c:pt idx="2">
                  <c:v>16.2602236</c:v>
                </c:pt>
                <c:pt idx="3">
                  <c:v>18.3771696</c:v>
                </c:pt>
                <c:pt idx="4">
                  <c:v>23.4660234</c:v>
                </c:pt>
                <c:pt idx="5">
                  <c:v>13.864544</c:v>
                </c:pt>
                <c:pt idx="6">
                  <c:v>17.3187995</c:v>
                </c:pt>
                <c:pt idx="7">
                  <c:v>14.5175875</c:v>
                </c:pt>
                <c:pt idx="8">
                  <c:v>13.385597</c:v>
                </c:pt>
                <c:pt idx="9">
                  <c:v>9.9630322</c:v>
                </c:pt>
                <c:pt idx="10">
                  <c:v>11.5020001</c:v>
                </c:pt>
                <c:pt idx="11">
                  <c:v>14.8614408</c:v>
                </c:pt>
                <c:pt idx="12">
                  <c:v>15.1216921</c:v>
                </c:pt>
              </c:numCache>
            </c:numRef>
          </c:val>
        </c:ser>
        <c:ser>
          <c:idx val="2"/>
          <c:order val="2"/>
          <c:tx>
            <c:strRef>
              <c:f>[变压器出口金额北美洲当月值等_20260213_170615.xlsx]Sheet1!$D$22</c:f>
              <c:strCache>
                <c:ptCount val="1"/>
                <c:pt idx="0">
                  <c:v>亚洲</c:v>
                </c:pt>
              </c:strCache>
            </c:strRef>
          </c:tx>
          <c:spPr>
            <a:solidFill>
              <a:schemeClr val="accent5"/>
            </a:solidFill>
            <a:ln>
              <a:solidFill>
                <a:schemeClr val="bg1"/>
              </a:solidFill>
            </a:ln>
            <a:effectLst/>
          </c:spPr>
          <c:invertIfNegative val="0"/>
          <c:dLbls>
            <c:delete val="1"/>
          </c:dLbls>
          <c:cat>
            <c:numRef>
              <c:f>[变压器出口金额北美洲当月值等_20260213_170615.xlsx]Sheet1!$A$23:$A$35</c:f>
              <c:numCache>
                <c:formatCode>yyyy/mm;@</c:formatCode>
                <c:ptCount val="13"/>
                <c:pt idx="0" c:formatCode="yyyy/mm;@">
                  <c:v>46022</c:v>
                </c:pt>
                <c:pt idx="1" c:formatCode="yyyy/mm;@">
                  <c:v>45991</c:v>
                </c:pt>
                <c:pt idx="2" c:formatCode="yyyy/mm;@">
                  <c:v>45961</c:v>
                </c:pt>
                <c:pt idx="3" c:formatCode="yyyy/mm;@">
                  <c:v>45930</c:v>
                </c:pt>
                <c:pt idx="4" c:formatCode="yyyy/mm;@">
                  <c:v>45900</c:v>
                </c:pt>
                <c:pt idx="5" c:formatCode="yyyy/mm;@">
                  <c:v>45869</c:v>
                </c:pt>
                <c:pt idx="6" c:formatCode="yyyy/mm;@">
                  <c:v>45838</c:v>
                </c:pt>
                <c:pt idx="7" c:formatCode="yyyy/mm;@">
                  <c:v>45808</c:v>
                </c:pt>
                <c:pt idx="8" c:formatCode="yyyy/mm;@">
                  <c:v>45777</c:v>
                </c:pt>
                <c:pt idx="9" c:formatCode="yyyy/mm;@">
                  <c:v>45747</c:v>
                </c:pt>
                <c:pt idx="10" c:formatCode="yyyy/mm;@">
                  <c:v>45716</c:v>
                </c:pt>
                <c:pt idx="11" c:formatCode="yyyy/mm;@">
                  <c:v>45688</c:v>
                </c:pt>
                <c:pt idx="12" c:formatCode="yyyy/mm;@">
                  <c:v>45657</c:v>
                </c:pt>
              </c:numCache>
            </c:numRef>
          </c:cat>
          <c:val>
            <c:numRef>
              <c:f>[变压器出口金额北美洲当月值等_20260213_170615.xlsx]Sheet1!$D$23:$D$35</c:f>
              <c:numCache>
                <c:formatCode>General</c:formatCode>
                <c:ptCount val="13"/>
                <c:pt idx="0">
                  <c:v>53.247232</c:v>
                </c:pt>
                <c:pt idx="1">
                  <c:v>40.6198862</c:v>
                </c:pt>
                <c:pt idx="2">
                  <c:v>39.2916946</c:v>
                </c:pt>
                <c:pt idx="3">
                  <c:v>49.1677918</c:v>
                </c:pt>
                <c:pt idx="4">
                  <c:v>40.2602867</c:v>
                </c:pt>
                <c:pt idx="5">
                  <c:v>39.0789547</c:v>
                </c:pt>
                <c:pt idx="6">
                  <c:v>36.0547684</c:v>
                </c:pt>
                <c:pt idx="7">
                  <c:v>30.0712475</c:v>
                </c:pt>
                <c:pt idx="8">
                  <c:v>31.3483074</c:v>
                </c:pt>
                <c:pt idx="9">
                  <c:v>31.3131299</c:v>
                </c:pt>
                <c:pt idx="10">
                  <c:v>27.2791615</c:v>
                </c:pt>
                <c:pt idx="11">
                  <c:v>31.859003</c:v>
                </c:pt>
                <c:pt idx="12">
                  <c:v>30.3967909</c:v>
                </c:pt>
              </c:numCache>
            </c:numRef>
          </c:val>
        </c:ser>
        <c:ser>
          <c:idx val="3"/>
          <c:order val="3"/>
          <c:tx>
            <c:strRef>
              <c:f>[变压器出口金额北美洲当月值等_20260213_170615.xlsx]Sheet1!$E$22</c:f>
              <c:strCache>
                <c:ptCount val="1"/>
                <c:pt idx="0">
                  <c:v>南美洲</c:v>
                </c:pt>
              </c:strCache>
            </c:strRef>
          </c:tx>
          <c:spPr>
            <a:solidFill>
              <a:schemeClr val="accent1">
                <a:lumMod val="60000"/>
              </a:schemeClr>
            </a:solidFill>
            <a:ln>
              <a:solidFill>
                <a:schemeClr val="bg1"/>
              </a:solidFill>
            </a:ln>
            <a:effectLst/>
          </c:spPr>
          <c:invertIfNegative val="0"/>
          <c:dLbls>
            <c:delete val="1"/>
          </c:dLbls>
          <c:cat>
            <c:numRef>
              <c:f>[变压器出口金额北美洲当月值等_20260213_170615.xlsx]Sheet1!$A$23:$A$35</c:f>
              <c:numCache>
                <c:formatCode>yyyy/mm;@</c:formatCode>
                <c:ptCount val="13"/>
                <c:pt idx="0" c:formatCode="yyyy/mm;@">
                  <c:v>46022</c:v>
                </c:pt>
                <c:pt idx="1" c:formatCode="yyyy/mm;@">
                  <c:v>45991</c:v>
                </c:pt>
                <c:pt idx="2" c:formatCode="yyyy/mm;@">
                  <c:v>45961</c:v>
                </c:pt>
                <c:pt idx="3" c:formatCode="yyyy/mm;@">
                  <c:v>45930</c:v>
                </c:pt>
                <c:pt idx="4" c:formatCode="yyyy/mm;@">
                  <c:v>45900</c:v>
                </c:pt>
                <c:pt idx="5" c:formatCode="yyyy/mm;@">
                  <c:v>45869</c:v>
                </c:pt>
                <c:pt idx="6" c:formatCode="yyyy/mm;@">
                  <c:v>45838</c:v>
                </c:pt>
                <c:pt idx="7" c:formatCode="yyyy/mm;@">
                  <c:v>45808</c:v>
                </c:pt>
                <c:pt idx="8" c:formatCode="yyyy/mm;@">
                  <c:v>45777</c:v>
                </c:pt>
                <c:pt idx="9" c:formatCode="yyyy/mm;@">
                  <c:v>45747</c:v>
                </c:pt>
                <c:pt idx="10" c:formatCode="yyyy/mm;@">
                  <c:v>45716</c:v>
                </c:pt>
                <c:pt idx="11" c:formatCode="yyyy/mm;@">
                  <c:v>45688</c:v>
                </c:pt>
                <c:pt idx="12" c:formatCode="yyyy/mm;@">
                  <c:v>45657</c:v>
                </c:pt>
              </c:numCache>
            </c:numRef>
          </c:cat>
          <c:val>
            <c:numRef>
              <c:f>[变压器出口金额北美洲当月值等_20260213_170615.xlsx]Sheet1!$E$23:$E$35</c:f>
              <c:numCache>
                <c:formatCode>General</c:formatCode>
                <c:ptCount val="13"/>
                <c:pt idx="0">
                  <c:v>3.6052757</c:v>
                </c:pt>
                <c:pt idx="1">
                  <c:v>4.8470515</c:v>
                </c:pt>
                <c:pt idx="2">
                  <c:v>2.3869255</c:v>
                </c:pt>
                <c:pt idx="3">
                  <c:v>4.9447698</c:v>
                </c:pt>
                <c:pt idx="4">
                  <c:v>3.7054771</c:v>
                </c:pt>
                <c:pt idx="5">
                  <c:v>3.7145733</c:v>
                </c:pt>
                <c:pt idx="6">
                  <c:v>3.5699889</c:v>
                </c:pt>
                <c:pt idx="7">
                  <c:v>3.0127892</c:v>
                </c:pt>
                <c:pt idx="8">
                  <c:v>3.0667046</c:v>
                </c:pt>
                <c:pt idx="9">
                  <c:v>2.9545282</c:v>
                </c:pt>
                <c:pt idx="10">
                  <c:v>1.910025</c:v>
                </c:pt>
                <c:pt idx="11">
                  <c:v>3.4742687</c:v>
                </c:pt>
                <c:pt idx="12">
                  <c:v>5.9714205</c:v>
                </c:pt>
              </c:numCache>
            </c:numRef>
          </c:val>
        </c:ser>
        <c:ser>
          <c:idx val="4"/>
          <c:order val="4"/>
          <c:tx>
            <c:strRef>
              <c:f>[变压器出口金额北美洲当月值等_20260213_170615.xlsx]Sheet1!$F$22</c:f>
              <c:strCache>
                <c:ptCount val="1"/>
                <c:pt idx="0">
                  <c:v>非洲</c:v>
                </c:pt>
              </c:strCache>
            </c:strRef>
          </c:tx>
          <c:spPr>
            <a:solidFill>
              <a:schemeClr val="accent3">
                <a:lumMod val="60000"/>
              </a:schemeClr>
            </a:solidFill>
            <a:ln>
              <a:solidFill>
                <a:schemeClr val="bg1"/>
              </a:solidFill>
            </a:ln>
            <a:effectLst/>
          </c:spPr>
          <c:invertIfNegative val="0"/>
          <c:dLbls>
            <c:delete val="1"/>
          </c:dLbls>
          <c:cat>
            <c:numRef>
              <c:f>[变压器出口金额北美洲当月值等_20260213_170615.xlsx]Sheet1!$A$23:$A$35</c:f>
              <c:numCache>
                <c:formatCode>yyyy/mm;@</c:formatCode>
                <c:ptCount val="13"/>
                <c:pt idx="0" c:formatCode="yyyy/mm;@">
                  <c:v>46022</c:v>
                </c:pt>
                <c:pt idx="1" c:formatCode="yyyy/mm;@">
                  <c:v>45991</c:v>
                </c:pt>
                <c:pt idx="2" c:formatCode="yyyy/mm;@">
                  <c:v>45961</c:v>
                </c:pt>
                <c:pt idx="3" c:formatCode="yyyy/mm;@">
                  <c:v>45930</c:v>
                </c:pt>
                <c:pt idx="4" c:formatCode="yyyy/mm;@">
                  <c:v>45900</c:v>
                </c:pt>
                <c:pt idx="5" c:formatCode="yyyy/mm;@">
                  <c:v>45869</c:v>
                </c:pt>
                <c:pt idx="6" c:formatCode="yyyy/mm;@">
                  <c:v>45838</c:v>
                </c:pt>
                <c:pt idx="7" c:formatCode="yyyy/mm;@">
                  <c:v>45808</c:v>
                </c:pt>
                <c:pt idx="8" c:formatCode="yyyy/mm;@">
                  <c:v>45777</c:v>
                </c:pt>
                <c:pt idx="9" c:formatCode="yyyy/mm;@">
                  <c:v>45747</c:v>
                </c:pt>
                <c:pt idx="10" c:formatCode="yyyy/mm;@">
                  <c:v>45716</c:v>
                </c:pt>
                <c:pt idx="11" c:formatCode="yyyy/mm;@">
                  <c:v>45688</c:v>
                </c:pt>
                <c:pt idx="12" c:formatCode="yyyy/mm;@">
                  <c:v>45657</c:v>
                </c:pt>
              </c:numCache>
            </c:numRef>
          </c:cat>
          <c:val>
            <c:numRef>
              <c:f>[变压器出口金额北美洲当月值等_20260213_170615.xlsx]Sheet1!$F$23:$F$35</c:f>
              <c:numCache>
                <c:formatCode>General</c:formatCode>
                <c:ptCount val="13"/>
                <c:pt idx="0">
                  <c:v>12.243738</c:v>
                </c:pt>
                <c:pt idx="1">
                  <c:v>8.3421508</c:v>
                </c:pt>
                <c:pt idx="2">
                  <c:v>6.0689386</c:v>
                </c:pt>
                <c:pt idx="3">
                  <c:v>9.8323577</c:v>
                </c:pt>
                <c:pt idx="4">
                  <c:v>7.0264234</c:v>
                </c:pt>
                <c:pt idx="5">
                  <c:v>6.1915975</c:v>
                </c:pt>
                <c:pt idx="6">
                  <c:v>5.1546711</c:v>
                </c:pt>
                <c:pt idx="7">
                  <c:v>4.4227272</c:v>
                </c:pt>
                <c:pt idx="8">
                  <c:v>7.1872807</c:v>
                </c:pt>
                <c:pt idx="9">
                  <c:v>4.5761959</c:v>
                </c:pt>
                <c:pt idx="10">
                  <c:v>1.2276971</c:v>
                </c:pt>
                <c:pt idx="11">
                  <c:v>6.76372</c:v>
                </c:pt>
                <c:pt idx="12">
                  <c:v>5.7584042</c:v>
                </c:pt>
              </c:numCache>
            </c:numRef>
          </c:val>
        </c:ser>
        <c:ser>
          <c:idx val="5"/>
          <c:order val="5"/>
          <c:tx>
            <c:strRef>
              <c:f>[变压器出口金额北美洲当月值等_20260213_170615.xlsx]Sheet1!$G$22</c:f>
              <c:strCache>
                <c:ptCount val="1"/>
                <c:pt idx="0">
                  <c:v>大洋洲</c:v>
                </c:pt>
              </c:strCache>
            </c:strRef>
          </c:tx>
          <c:spPr>
            <a:solidFill>
              <a:schemeClr val="accent5">
                <a:lumMod val="60000"/>
              </a:schemeClr>
            </a:solidFill>
            <a:ln>
              <a:solidFill>
                <a:schemeClr val="bg1"/>
              </a:solidFill>
            </a:ln>
            <a:effectLst/>
          </c:spPr>
          <c:invertIfNegative val="0"/>
          <c:dLbls>
            <c:delete val="1"/>
          </c:dLbls>
          <c:cat>
            <c:numRef>
              <c:f>[变压器出口金额北美洲当月值等_20260213_170615.xlsx]Sheet1!$A$23:$A$35</c:f>
              <c:numCache>
                <c:formatCode>yyyy/mm;@</c:formatCode>
                <c:ptCount val="13"/>
                <c:pt idx="0" c:formatCode="yyyy/mm;@">
                  <c:v>46022</c:v>
                </c:pt>
                <c:pt idx="1" c:formatCode="yyyy/mm;@">
                  <c:v>45991</c:v>
                </c:pt>
                <c:pt idx="2" c:formatCode="yyyy/mm;@">
                  <c:v>45961</c:v>
                </c:pt>
                <c:pt idx="3" c:formatCode="yyyy/mm;@">
                  <c:v>45930</c:v>
                </c:pt>
                <c:pt idx="4" c:formatCode="yyyy/mm;@">
                  <c:v>45900</c:v>
                </c:pt>
                <c:pt idx="5" c:formatCode="yyyy/mm;@">
                  <c:v>45869</c:v>
                </c:pt>
                <c:pt idx="6" c:formatCode="yyyy/mm;@">
                  <c:v>45838</c:v>
                </c:pt>
                <c:pt idx="7" c:formatCode="yyyy/mm;@">
                  <c:v>45808</c:v>
                </c:pt>
                <c:pt idx="8" c:formatCode="yyyy/mm;@">
                  <c:v>45777</c:v>
                </c:pt>
                <c:pt idx="9" c:formatCode="yyyy/mm;@">
                  <c:v>45747</c:v>
                </c:pt>
                <c:pt idx="10" c:formatCode="yyyy/mm;@">
                  <c:v>45716</c:v>
                </c:pt>
                <c:pt idx="11" c:formatCode="yyyy/mm;@">
                  <c:v>45688</c:v>
                </c:pt>
                <c:pt idx="12" c:formatCode="yyyy/mm;@">
                  <c:v>45657</c:v>
                </c:pt>
              </c:numCache>
            </c:numRef>
          </c:cat>
          <c:val>
            <c:numRef>
              <c:f>[变压器出口金额北美洲当月值等_20260213_170615.xlsx]Sheet1!$G$23:$G$35</c:f>
              <c:numCache>
                <c:formatCode>General</c:formatCode>
                <c:ptCount val="13"/>
                <c:pt idx="0">
                  <c:v>1.3701255</c:v>
                </c:pt>
                <c:pt idx="1">
                  <c:v>1.0105386</c:v>
                </c:pt>
                <c:pt idx="2">
                  <c:v>2.5451648</c:v>
                </c:pt>
                <c:pt idx="3">
                  <c:v>0.7076382</c:v>
                </c:pt>
                <c:pt idx="4">
                  <c:v>0.5565021</c:v>
                </c:pt>
                <c:pt idx="5">
                  <c:v>1.7558231</c:v>
                </c:pt>
                <c:pt idx="6">
                  <c:v>2.1636746</c:v>
                </c:pt>
                <c:pt idx="7">
                  <c:v>2.4279997</c:v>
                </c:pt>
                <c:pt idx="8">
                  <c:v>1.5493091</c:v>
                </c:pt>
                <c:pt idx="9">
                  <c:v>1.3511801</c:v>
                </c:pt>
                <c:pt idx="10">
                  <c:v>0.6789581</c:v>
                </c:pt>
                <c:pt idx="11">
                  <c:v>1.5477141</c:v>
                </c:pt>
                <c:pt idx="12">
                  <c:v>1.4522239</c:v>
                </c:pt>
              </c:numCache>
            </c:numRef>
          </c:val>
        </c:ser>
        <c:dLbls>
          <c:showLegendKey val="0"/>
          <c:showVal val="0"/>
          <c:showCatName val="0"/>
          <c:showSerName val="0"/>
          <c:showPercent val="0"/>
          <c:showBubbleSize val="0"/>
        </c:dLbls>
        <c:gapWidth val="246"/>
        <c:overlap val="100"/>
        <c:axId val="528066269"/>
        <c:axId val="725964151"/>
      </c:barChart>
      <c:dateAx>
        <c:axId val="528066269"/>
        <c:scaling>
          <c:orientation val="minMax"/>
        </c:scaling>
        <c:delete val="0"/>
        <c:axPos val="b"/>
        <c:numFmt formatCode="yyyy/mm;@"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楷体" panose="02010609060101010101" pitchFamily="49" charset="-122"/>
                <a:ea typeface="楷体" panose="02010609060101010101" pitchFamily="49" charset="-122"/>
                <a:cs typeface="楷体" panose="02010609060101010101" pitchFamily="49" charset="-122"/>
                <a:sym typeface="楷体" panose="02010609060101010101" pitchFamily="49" charset="-122"/>
              </a:defRPr>
            </a:pPr>
          </a:p>
        </c:txPr>
        <c:crossAx val="725964151"/>
        <c:crosses val="autoZero"/>
        <c:auto val="1"/>
        <c:lblOffset val="100"/>
        <c:baseTimeUnit val="months"/>
      </c:dateAx>
      <c:valAx>
        <c:axId val="725964151"/>
        <c:scaling>
          <c:orientation val="minMax"/>
        </c:scaling>
        <c:delete val="0"/>
        <c:axPos val="l"/>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楷体" panose="02010609060101010101" pitchFamily="49" charset="-122"/>
                <a:ea typeface="楷体" panose="02010609060101010101" pitchFamily="49" charset="-122"/>
                <a:cs typeface="楷体" panose="02010609060101010101" pitchFamily="49" charset="-122"/>
                <a:sym typeface="楷体" panose="02010609060101010101" pitchFamily="49" charset="-122"/>
              </a:defRPr>
            </a:pPr>
          </a:p>
        </c:txPr>
        <c:crossAx val="528066269"/>
        <c:crosses val="autoZero"/>
        <c:crossBetween val="between"/>
      </c:valAx>
      <c:spPr>
        <a:noFill/>
        <a:ln>
          <a:noFill/>
        </a:ln>
        <a:effectLst/>
      </c:spPr>
    </c:plotArea>
    <c:legend>
      <c:legendPos val="b"/>
      <c:legendEntry>
        <c:idx val="0"/>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楷体" panose="02010609060101010101" pitchFamily="49" charset="-122"/>
                <a:ea typeface="楷体" panose="02010609060101010101" pitchFamily="49" charset="-122"/>
                <a:cs typeface="楷体" panose="02010609060101010101" pitchFamily="49" charset="-122"/>
                <a:sym typeface="楷体" panose="02010609060101010101" pitchFamily="49" charset="-122"/>
              </a:defRPr>
            </a:pPr>
          </a:p>
        </c:txPr>
      </c:legendEntry>
      <c:legendEntry>
        <c:idx val="1"/>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楷体" panose="02010609060101010101" pitchFamily="49" charset="-122"/>
                <a:ea typeface="楷体" panose="02010609060101010101" pitchFamily="49" charset="-122"/>
                <a:cs typeface="楷体" panose="02010609060101010101" pitchFamily="49" charset="-122"/>
                <a:sym typeface="楷体" panose="02010609060101010101" pitchFamily="49" charset="-122"/>
              </a:defRPr>
            </a:pPr>
          </a:p>
        </c:txPr>
      </c:legendEntry>
      <c:legendEntry>
        <c:idx val="2"/>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楷体" panose="02010609060101010101" pitchFamily="49" charset="-122"/>
                <a:ea typeface="楷体" panose="02010609060101010101" pitchFamily="49" charset="-122"/>
                <a:cs typeface="楷体" panose="02010609060101010101" pitchFamily="49" charset="-122"/>
                <a:sym typeface="楷体" panose="02010609060101010101" pitchFamily="49" charset="-122"/>
              </a:defRPr>
            </a:pPr>
          </a:p>
        </c:txPr>
      </c:legendEntry>
      <c:legendEntry>
        <c:idx val="3"/>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楷体" panose="02010609060101010101" pitchFamily="49" charset="-122"/>
                <a:ea typeface="楷体" panose="02010609060101010101" pitchFamily="49" charset="-122"/>
                <a:cs typeface="楷体" panose="02010609060101010101" pitchFamily="49" charset="-122"/>
                <a:sym typeface="楷体" panose="02010609060101010101" pitchFamily="49" charset="-122"/>
              </a:defRPr>
            </a:pPr>
          </a:p>
        </c:txPr>
      </c:legendEntry>
      <c:legendEntry>
        <c:idx val="4"/>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楷体" panose="02010609060101010101" pitchFamily="49" charset="-122"/>
                <a:ea typeface="楷体" panose="02010609060101010101" pitchFamily="49" charset="-122"/>
                <a:cs typeface="楷体" panose="02010609060101010101" pitchFamily="49" charset="-122"/>
                <a:sym typeface="楷体" panose="02010609060101010101" pitchFamily="49" charset="-122"/>
              </a:defRPr>
            </a:pPr>
          </a:p>
        </c:txPr>
      </c:legendEntry>
      <c:legendEntry>
        <c:idx val="5"/>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楷体" panose="02010609060101010101" pitchFamily="49" charset="-122"/>
                <a:ea typeface="楷体" panose="02010609060101010101" pitchFamily="49" charset="-122"/>
                <a:cs typeface="楷体" panose="02010609060101010101" pitchFamily="49" charset="-122"/>
                <a:sym typeface="楷体" panose="02010609060101010101" pitchFamily="49" charset="-122"/>
              </a:defRPr>
            </a:pPr>
          </a:p>
        </c:txPr>
      </c:legendEntry>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楷体" panose="02010609060101010101" pitchFamily="49" charset="-122"/>
              <a:ea typeface="楷体" panose="02010609060101010101" pitchFamily="49" charset="-122"/>
              <a:cs typeface="楷体" panose="02010609060101010101" pitchFamily="49" charset="-122"/>
              <a:sym typeface="楷体" panose="02010609060101010101" pitchFamily="49" charset="-122"/>
            </a:defRPr>
          </a:pPr>
        </a:p>
      </c:txPr>
    </c:legend>
    <c:plotVisOnly val="1"/>
    <c:dispBlanksAs val="gap"/>
    <c:showDLblsOverMax val="0"/>
    <c:extLst>
      <c:ext uri="{0b15fc19-7d7d-44ad-8c2d-2c3a37ce22c3}">
        <chartProps xmlns="https://web.wps.cn/et/2018/main" chartId="{820156e9-4a4b-46ff-a5db-1c44470c5389}"/>
      </c:ext>
    </c:extLst>
  </c:chart>
  <c:spPr>
    <a:solidFill>
      <a:schemeClr val="bg1"/>
    </a:solidFill>
    <a:ln w="9525" cap="flat" cmpd="sng" algn="ctr">
      <a:solidFill>
        <a:schemeClr val="tx1">
          <a:lumMod val="15000"/>
          <a:lumOff val="85000"/>
        </a:schemeClr>
      </a:solidFill>
      <a:round/>
    </a:ln>
    <a:effectLst/>
  </c:spPr>
  <c:txPr>
    <a:bodyPr/>
    <a:lstStyle/>
    <a:p>
      <a:pPr>
        <a:defRPr lang="zh-CN">
          <a:latin typeface="楷体" panose="02010609060101010101" pitchFamily="49" charset="-122"/>
          <a:ea typeface="楷体" panose="02010609060101010101" pitchFamily="49" charset="-122"/>
          <a:cs typeface="楷体" panose="02010609060101010101" pitchFamily="49" charset="-122"/>
          <a:sym typeface="楷体" panose="02010609060101010101" pitchFamily="49" charset="-122"/>
        </a:defRPr>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984817518248175"/>
          <c:y val="0.0659682899207248"/>
          <c:w val="0.770919708029197"/>
          <c:h val="0.80079275198188"/>
        </c:manualLayout>
      </c:layout>
      <c:barChart>
        <c:barDir val="col"/>
        <c:grouping val="clustered"/>
        <c:varyColors val="0"/>
        <c:ser>
          <c:idx val="0"/>
          <c:order val="0"/>
          <c:tx>
            <c:strRef>
              <c:f>[工作簿1]Sheet1!$B$1</c:f>
              <c:strCache>
                <c:ptCount val="1"/>
                <c:pt idx="0">
                  <c:v>指标值</c:v>
                </c:pt>
              </c:strCache>
            </c:strRef>
          </c:tx>
          <c:spPr>
            <a:solidFill>
              <a:srgbClr val="98CBFE"/>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8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[工作簿1]Sheet1!$A$2:$A$12</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[工作簿1]Sheet1!$B$2:$B$12</c:f>
              <c:numCache>
                <c:formatCode>General</c:formatCode>
                <c:ptCount val="11"/>
                <c:pt idx="0">
                  <c:v>10.23</c:v>
                </c:pt>
                <c:pt idx="1">
                  <c:v>9.62</c:v>
                </c:pt>
                <c:pt idx="2">
                  <c:v>8.63</c:v>
                </c:pt>
                <c:pt idx="3">
                  <c:v>6.3</c:v>
                </c:pt>
                <c:pt idx="4">
                  <c:v>6.17</c:v>
                </c:pt>
                <c:pt idx="5">
                  <c:v>5.81</c:v>
                </c:pt>
                <c:pt idx="6">
                  <c:v>5.45</c:v>
                </c:pt>
                <c:pt idx="7">
                  <c:v>8.19</c:v>
                </c:pt>
                <c:pt idx="8">
                  <c:v>15.08</c:v>
                </c:pt>
                <c:pt idx="9">
                  <c:v>22.37</c:v>
                </c:pt>
                <c:pt idx="10" c:formatCode="0.00_ ">
                  <c:v>21.1</c:v>
                </c:pt>
              </c:numCache>
            </c:numRef>
          </c:val>
        </c:ser>
        <c:dLbls>
          <c:showLegendKey val="0"/>
          <c:showVal val="1"/>
          <c:showCatName val="0"/>
          <c:showSerName val="0"/>
          <c:showPercent val="0"/>
          <c:showBubbleSize val="0"/>
        </c:dLbls>
        <c:gapWidth val="219"/>
        <c:overlap val="-27"/>
        <c:axId val="426221196"/>
        <c:axId val="731129421"/>
      </c:barChart>
      <c:lineChart>
        <c:grouping val="standard"/>
        <c:varyColors val="0"/>
        <c:ser>
          <c:idx val="1"/>
          <c:order val="1"/>
          <c:tx>
            <c:strRef>
              <c:f>[工作簿1]Sheet1!$C$1</c:f>
              <c:strCache>
                <c:ptCount val="1"/>
                <c:pt idx="0">
                  <c:v>同比增速</c:v>
                </c:pt>
              </c:strCache>
            </c:strRef>
          </c:tx>
          <c:spPr>
            <a:ln w="28575" cap="rnd">
              <a:solidFill>
                <a:srgbClr val="FF8080"/>
              </a:solidFill>
              <a:round/>
            </a:ln>
            <a:effectLst/>
          </c:spPr>
          <c:marker>
            <c:symbol val="none"/>
          </c:marker>
          <c:dLbls>
            <c:dLbl>
              <c:idx val="4"/>
              <c:layout>
                <c:manualLayout>
                  <c:x val="0.000790826413602214"/>
                  <c:y val="0.132075471698113"/>
                </c:manualLayout>
              </c:layout>
              <c:dLblPos val="t"/>
              <c:showLegendKey val="0"/>
              <c:showVal val="1"/>
              <c:showCatName val="0"/>
              <c:showSerName val="0"/>
              <c:showPercent val="0"/>
              <c:showBubbleSize val="0"/>
              <c:extLst>
                <c:ext xmlns:c15="http://schemas.microsoft.com/office/drawing/2012/chart" uri="{CE6537A1-D6FC-4f65-9D91-7224C49458BB}">
                  <c15:layout/>
                </c:ext>
              </c:extLst>
            </c:dLbl>
            <c:dLbl>
              <c:idx val="5"/>
              <c:layout>
                <c:manualLayout>
                  <c:x val="-0.00250428364307368"/>
                  <c:y val="0.112275797810389"/>
                </c:manualLayout>
              </c:layout>
              <c:dLblPos val="t"/>
              <c:showLegendKey val="0"/>
              <c:showVal val="1"/>
              <c:showCatName val="0"/>
              <c:showSerName val="0"/>
              <c:showPercent val="0"/>
              <c:showBubbleSize val="0"/>
              <c:extLst>
                <c:ext xmlns:c15="http://schemas.microsoft.com/office/drawing/2012/chart" uri="{CE6537A1-D6FC-4f65-9D91-7224C49458BB}">
                  <c15:layout/>
                </c:ext>
              </c:extLst>
            </c:dLbl>
            <c:dLbl>
              <c:idx val="6"/>
              <c:layout>
                <c:manualLayout>
                  <c:x val="0.00237247924080664"/>
                  <c:y val="0.0980666200791987"/>
                </c:manualLayout>
              </c:layout>
              <c:dLblPos val="t"/>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800" b="0" i="0" u="none" strike="noStrike" kern="1200" baseline="0">
                    <a:solidFill>
                      <a:schemeClr val="tx1">
                        <a:lumMod val="75000"/>
                        <a:lumOff val="25000"/>
                      </a:schemeClr>
                    </a:solidFill>
                    <a:latin typeface="+mn-lt"/>
                    <a:ea typeface="+mn-ea"/>
                    <a:cs typeface="+mn-cs"/>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val>
            <c:numRef>
              <c:f>[工作簿1]Sheet1!$C$2:$C$12</c:f>
              <c:numCache>
                <c:formatCode>0.00%</c:formatCode>
                <c:ptCount val="11"/>
                <c:pt idx="0">
                  <c:v>-0.006</c:v>
                </c:pt>
                <c:pt idx="1">
                  <c:v>-0.059</c:v>
                </c:pt>
                <c:pt idx="2">
                  <c:v>-0.103</c:v>
                </c:pt>
                <c:pt idx="3">
                  <c:v>-0.271</c:v>
                </c:pt>
                <c:pt idx="4">
                  <c:v>-0.02</c:v>
                </c:pt>
                <c:pt idx="5">
                  <c:v>-0.059</c:v>
                </c:pt>
                <c:pt idx="6">
                  <c:v>-0.061</c:v>
                </c:pt>
                <c:pt idx="7">
                  <c:v>0.502</c:v>
                </c:pt>
                <c:pt idx="8">
                  <c:v>0.841</c:v>
                </c:pt>
                <c:pt idx="9">
                  <c:v>0.483</c:v>
                </c:pt>
                <c:pt idx="10">
                  <c:v>0.15</c:v>
                </c:pt>
              </c:numCache>
            </c:numRef>
          </c:val>
          <c:smooth val="0"/>
        </c:ser>
        <c:dLbls>
          <c:showLegendKey val="0"/>
          <c:showVal val="1"/>
          <c:showCatName val="0"/>
          <c:showSerName val="0"/>
          <c:showPercent val="0"/>
          <c:showBubbleSize val="0"/>
        </c:dLbls>
        <c:marker val="0"/>
        <c:smooth val="0"/>
        <c:axId val="11242354"/>
        <c:axId val="153220351"/>
      </c:lineChart>
      <c:catAx>
        <c:axId val="426221196"/>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31129421"/>
        <c:crosses val="autoZero"/>
        <c:auto val="1"/>
        <c:lblAlgn val="ctr"/>
        <c:lblOffset val="100"/>
        <c:noMultiLvlLbl val="0"/>
      </c:catAx>
      <c:valAx>
        <c:axId val="731129421"/>
        <c:scaling>
          <c:orientation val="minMax"/>
          <c:max val="25"/>
        </c:scaling>
        <c:delete val="0"/>
        <c:axPos val="l"/>
        <c:numFmt formatCode="#,##0.00_);[Red]\(#,##0.00\)" sourceLinked="0"/>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26221196"/>
        <c:crosses val="autoZero"/>
        <c:crossBetween val="between"/>
      </c:valAx>
      <c:catAx>
        <c:axId val="11242354"/>
        <c:scaling>
          <c:orientation val="minMax"/>
        </c:scaling>
        <c:delete val="1"/>
        <c:axPos val="b"/>
        <c:majorTickMark val="out"/>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53220351"/>
        <c:crosses val="autoZero"/>
        <c:auto val="1"/>
        <c:lblAlgn val="ctr"/>
        <c:lblOffset val="100"/>
        <c:noMultiLvlLbl val="0"/>
      </c:catAx>
      <c:valAx>
        <c:axId val="153220351"/>
        <c:scaling>
          <c:orientation val="minMax"/>
        </c:scaling>
        <c:delete val="0"/>
        <c:axPos val="r"/>
        <c:numFmt formatCode="0.00%" sourceLinked="1"/>
        <c:majorTickMark val="out"/>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1242354"/>
        <c:crosses val="max"/>
        <c:crossBetween val="between"/>
      </c:valAx>
      <c:spPr>
        <a:solidFill>
          <a:schemeClr val="bg1"/>
        </a:solidFill>
        <a:ln>
          <a:noFill/>
        </a:ln>
        <a:effectLst/>
      </c:spPr>
    </c:plotArea>
    <c:plotVisOnly val="1"/>
    <c:dispBlanksAs val="gap"/>
    <c:showDLblsOverMax val="0"/>
    <c:extLst>
      <c:ext uri="{0b15fc19-7d7d-44ad-8c2d-2c3a37ce22c3}">
        <chartProps xmlns="https://web.wps.cn/et/2018/main" chartId="{f8286f61-0ff7-4222-9b64-89ae96c0cebb}"/>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0414421881475342"/>
          <c:y val="0.0625785373209349"/>
          <c:w val="0.939218124050283"/>
          <c:h val="0.708821311887409"/>
        </c:manualLayout>
      </c:layout>
      <c:barChart>
        <c:barDir val="col"/>
        <c:grouping val="clustered"/>
        <c:varyColors val="0"/>
        <c:ser>
          <c:idx val="0"/>
          <c:order val="0"/>
          <c:tx>
            <c:strRef>
              <c:f>[工作簿1]Sheet1!$A$2</c:f>
              <c:strCache>
                <c:ptCount val="1"/>
                <c:pt idx="0">
                  <c:v>Asia/Australia</c:v>
                </c:pt>
              </c:strCache>
            </c:strRef>
          </c:tx>
          <c:spPr>
            <a:solidFill>
              <a:schemeClr val="accent1">
                <a:lumMod val="50000"/>
              </a:schemeClr>
            </a:solidFill>
            <a:ln>
              <a:noFill/>
            </a:ln>
            <a:effectLst/>
          </c:spPr>
          <c:invertIfNegative val="0"/>
          <c:dLbls>
            <c:spPr>
              <a:noFill/>
              <a:ln>
                <a:noFill/>
              </a:ln>
              <a:effectLst/>
            </c:spPr>
            <c:txPr>
              <a:bodyPr rot="0" spcFirstLastPara="1" vertOverflow="ellipsis" vert="horz" wrap="square" lIns="38100" tIns="19050" rIns="38100" bIns="19050" anchor="ctr" anchorCtr="1"/>
              <a:lstStyle/>
              <a:p>
                <a:pPr>
                  <a:defRPr lang="zh-CN" sz="1000" b="0" i="0" u="none" strike="noStrike" kern="1200" baseline="0">
                    <a:solidFill>
                      <a:sysClr val="windowText" lastClr="000000"/>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[工作簿1]Sheet1!$B$1:$M$1</c:f>
              <c:numCache>
                <c:formatCode>General</c:formatCode>
                <c:ptCount val="12"/>
                <c:pt idx="0">
                  <c:v>2013</c:v>
                </c:pt>
                <c:pt idx="1">
                  <c:v>2014</c:v>
                </c:pt>
                <c:pt idx="2">
                  <c:v>2015</c:v>
                </c:pt>
                <c:pt idx="3">
                  <c:v>2016</c:v>
                </c:pt>
                <c:pt idx="4">
                  <c:v>2017</c:v>
                </c:pt>
                <c:pt idx="5">
                  <c:v>2018</c:v>
                </c:pt>
                <c:pt idx="6">
                  <c:v>2019</c:v>
                </c:pt>
                <c:pt idx="7">
                  <c:v>2020</c:v>
                </c:pt>
                <c:pt idx="8">
                  <c:v>2021</c:v>
                </c:pt>
                <c:pt idx="9">
                  <c:v>2022</c:v>
                </c:pt>
                <c:pt idx="10">
                  <c:v>2023</c:v>
                </c:pt>
                <c:pt idx="11">
                  <c:v>2024</c:v>
                </c:pt>
              </c:numCache>
            </c:numRef>
          </c:cat>
          <c:val>
            <c:numRef>
              <c:f>[工作簿1]Sheet1!$B$2:$M$2</c:f>
              <c:numCache>
                <c:formatCode>General</c:formatCode>
                <c:ptCount val="12"/>
                <c:pt idx="0">
                  <c:v>99</c:v>
                </c:pt>
                <c:pt idx="1">
                  <c:v>134</c:v>
                </c:pt>
                <c:pt idx="2">
                  <c:v>161</c:v>
                </c:pt>
                <c:pt idx="3">
                  <c:v>200</c:v>
                </c:pt>
                <c:pt idx="4">
                  <c:v>280</c:v>
                </c:pt>
                <c:pt idx="5">
                  <c:v>284</c:v>
                </c:pt>
                <c:pt idx="6">
                  <c:v>255</c:v>
                </c:pt>
                <c:pt idx="7">
                  <c:v>274</c:v>
                </c:pt>
                <c:pt idx="8">
                  <c:v>385</c:v>
                </c:pt>
                <c:pt idx="9">
                  <c:v>404</c:v>
                </c:pt>
                <c:pt idx="10">
                  <c:v>382</c:v>
                </c:pt>
                <c:pt idx="11">
                  <c:v>402</c:v>
                </c:pt>
              </c:numCache>
            </c:numRef>
          </c:val>
        </c:ser>
        <c:ser>
          <c:idx val="1"/>
          <c:order val="1"/>
          <c:tx>
            <c:strRef>
              <c:f>[工作簿1]Sheet1!$A$3</c:f>
              <c:strCache>
                <c:ptCount val="1"/>
                <c:pt idx="0">
                  <c:v>Europe</c:v>
                </c:pt>
              </c:strCache>
            </c:strRef>
          </c:tx>
          <c:spPr>
            <a:solidFill>
              <a:schemeClr val="accent2">
                <a:lumMod val="75000"/>
              </a:schemeClr>
            </a:solidFill>
            <a:ln>
              <a:noFill/>
            </a:ln>
            <a:effectLst/>
          </c:spPr>
          <c:invertIfNegative val="0"/>
          <c:dLbls>
            <c:dLbl>
              <c:idx val="0"/>
              <c:layout>
                <c:manualLayout>
                  <c:x val="0.00718331261223926"/>
                  <c:y val="0.00653430510178437"/>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0718331261223926"/>
                  <c:y val="0"/>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897914076529907"/>
                  <c:y val="0"/>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107749689183589"/>
                  <c:y val="0"/>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0897914076529907"/>
                  <c:y val="0.00326715255089218"/>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5"/>
              <c:layout>
                <c:manualLayout>
                  <c:x val="0.00538748445917945"/>
                  <c:y val="0.0196029153053531"/>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6"/>
              <c:layout>
                <c:manualLayout>
                  <c:x val="0.00704517198508081"/>
                  <c:y val="0.0130686102035687"/>
                </c:manualLayout>
              </c:layout>
              <c:dLblPos val="outEnd"/>
              <c:showLegendKey val="0"/>
              <c:showVal val="1"/>
              <c:showCatName val="0"/>
              <c:showSerName val="0"/>
              <c:showPercent val="0"/>
              <c:showBubbleSize val="0"/>
              <c:extLst>
                <c:ext xmlns:c15="http://schemas.microsoft.com/office/drawing/2012/chart" uri="{CE6537A1-D6FC-4f65-9D91-7224C49458BB}">
                  <c15:layout>
                    <c:manualLayout>
                      <c:w val="0.0442050006907031"/>
                      <c:h val="0.0600653430510178"/>
                    </c:manualLayout>
                  </c15:layout>
                </c:ext>
              </c:extLst>
            </c:dLbl>
            <c:dLbl>
              <c:idx val="7"/>
              <c:layout>
                <c:manualLayout>
                  <c:x val="0.00538748445917945"/>
                  <c:y val="0.0130686102035687"/>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8"/>
              <c:layout>
                <c:manualLayout>
                  <c:x val="0.00359165630611963"/>
                  <c:y val="0.0130686102035687"/>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9"/>
              <c:layout>
                <c:manualLayout>
                  <c:x val="0.0107749689183589"/>
                  <c:y val="0.00980145765267655"/>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0"/>
              <c:layout>
                <c:manualLayout>
                  <c:x val="0.00897914076529907"/>
                  <c:y val="0.0163357627544609"/>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1"/>
              <c:layout>
                <c:manualLayout>
                  <c:x val="0.0107749689183589"/>
                  <c:y val="0.00980145765267655"/>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lstStyle/>
              <a:p>
                <a:pPr>
                  <a:defRPr lang="zh-CN" sz="1000" b="0" i="0" u="none" strike="noStrike" kern="1200" baseline="0">
                    <a:solidFill>
                      <a:sysClr val="windowText" lastClr="000000"/>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[工作簿1]Sheet1!$B$1:$M$1</c:f>
              <c:numCache>
                <c:formatCode>General</c:formatCode>
                <c:ptCount val="12"/>
                <c:pt idx="0">
                  <c:v>2013</c:v>
                </c:pt>
                <c:pt idx="1">
                  <c:v>2014</c:v>
                </c:pt>
                <c:pt idx="2">
                  <c:v>2015</c:v>
                </c:pt>
                <c:pt idx="3">
                  <c:v>2016</c:v>
                </c:pt>
                <c:pt idx="4">
                  <c:v>2017</c:v>
                </c:pt>
                <c:pt idx="5">
                  <c:v>2018</c:v>
                </c:pt>
                <c:pt idx="6">
                  <c:v>2019</c:v>
                </c:pt>
                <c:pt idx="7">
                  <c:v>2020</c:v>
                </c:pt>
                <c:pt idx="8">
                  <c:v>2021</c:v>
                </c:pt>
                <c:pt idx="9">
                  <c:v>2022</c:v>
                </c:pt>
                <c:pt idx="10">
                  <c:v>2023</c:v>
                </c:pt>
                <c:pt idx="11">
                  <c:v>2024</c:v>
                </c:pt>
              </c:numCache>
            </c:numRef>
          </c:cat>
          <c:val>
            <c:numRef>
              <c:f>[工作簿1]Sheet1!$B$3:$M$3</c:f>
              <c:numCache>
                <c:formatCode>General</c:formatCode>
                <c:ptCount val="12"/>
                <c:pt idx="0">
                  <c:v>43</c:v>
                </c:pt>
                <c:pt idx="1">
                  <c:v>46</c:v>
                </c:pt>
                <c:pt idx="2">
                  <c:v>50</c:v>
                </c:pt>
                <c:pt idx="3">
                  <c:v>56</c:v>
                </c:pt>
                <c:pt idx="4">
                  <c:v>67</c:v>
                </c:pt>
                <c:pt idx="5">
                  <c:v>76</c:v>
                </c:pt>
                <c:pt idx="6">
                  <c:v>74</c:v>
                </c:pt>
                <c:pt idx="7">
                  <c:v>66</c:v>
                </c:pt>
                <c:pt idx="8">
                  <c:v>82</c:v>
                </c:pt>
                <c:pt idx="9">
                  <c:v>85</c:v>
                </c:pt>
                <c:pt idx="10">
                  <c:v>92</c:v>
                </c:pt>
                <c:pt idx="11">
                  <c:v>85</c:v>
                </c:pt>
              </c:numCache>
            </c:numRef>
          </c:val>
        </c:ser>
        <c:ser>
          <c:idx val="2"/>
          <c:order val="2"/>
          <c:tx>
            <c:strRef>
              <c:f>[工作簿1]Sheet1!$A$4</c:f>
              <c:strCache>
                <c:ptCount val="1"/>
                <c:pt idx="0">
                  <c:v>The Americas</c:v>
                </c:pt>
              </c:strCache>
            </c:strRef>
          </c:tx>
          <c:spPr>
            <a:solidFill>
              <a:schemeClr val="bg1">
                <a:lumMod val="65000"/>
              </a:schemeClr>
            </a:solidFill>
            <a:ln>
              <a:noFill/>
            </a:ln>
            <a:effectLst/>
          </c:spPr>
          <c:invertIfNegative val="0"/>
          <c:dLbls>
            <c:dLbl>
              <c:idx val="0"/>
              <c:layout>
                <c:manualLayout>
                  <c:x val="0.00897914076529907"/>
                  <c:y val="0.0261372204071375"/>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0718331261223926"/>
                  <c:y val="0.0261372204071375"/>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897914076529907"/>
                  <c:y val="0.0294043729580297"/>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0718331261223926"/>
                  <c:y val="0.0326715255089218"/>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0538748445917945"/>
                  <c:y val="0.0258859009801458"/>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5"/>
              <c:layout>
                <c:manualLayout>
                  <c:x val="0.00897914076529907"/>
                  <c:y val="0.0356873586328223"/>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6"/>
              <c:layout>
                <c:manualLayout>
                  <c:x val="0.0107749689183589"/>
                  <c:y val="0.0291530535310379"/>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7"/>
              <c:layout>
                <c:manualLayout>
                  <c:x val="0.0107749689183589"/>
                  <c:y val="0.035938678059814"/>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8"/>
              <c:layout>
                <c:manualLayout>
                  <c:x val="0.0107749689183589"/>
                  <c:y val="0.0258859009801458"/>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9"/>
              <c:layout>
                <c:manualLayout>
                  <c:x val="0.00718331261223926"/>
                  <c:y val="0.0356873586328223"/>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0"/>
              <c:layout>
                <c:manualLayout>
                  <c:x val="0.00897914076529907"/>
                  <c:y val="0.0226187484292536"/>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1"/>
              <c:layout>
                <c:manualLayout>
                  <c:x val="0.0124326564442603"/>
                  <c:y val="0.0291530535310379"/>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lstStyle/>
              <a:p>
                <a:pPr>
                  <a:defRPr lang="zh-CN" sz="1000" b="0" i="0" u="none" strike="noStrike" kern="1200" baseline="0">
                    <a:solidFill>
                      <a:sysClr val="windowText" lastClr="000000"/>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[工作簿1]Sheet1!$B$1:$M$1</c:f>
              <c:numCache>
                <c:formatCode>General</c:formatCode>
                <c:ptCount val="12"/>
                <c:pt idx="0">
                  <c:v>2013</c:v>
                </c:pt>
                <c:pt idx="1">
                  <c:v>2014</c:v>
                </c:pt>
                <c:pt idx="2">
                  <c:v>2015</c:v>
                </c:pt>
                <c:pt idx="3">
                  <c:v>2016</c:v>
                </c:pt>
                <c:pt idx="4">
                  <c:v>2017</c:v>
                </c:pt>
                <c:pt idx="5">
                  <c:v>2018</c:v>
                </c:pt>
                <c:pt idx="6">
                  <c:v>2019</c:v>
                </c:pt>
                <c:pt idx="7">
                  <c:v>2020</c:v>
                </c:pt>
                <c:pt idx="8">
                  <c:v>2021</c:v>
                </c:pt>
                <c:pt idx="9">
                  <c:v>2022</c:v>
                </c:pt>
                <c:pt idx="10">
                  <c:v>2023</c:v>
                </c:pt>
                <c:pt idx="11">
                  <c:v>2024</c:v>
                </c:pt>
              </c:numCache>
            </c:numRef>
          </c:cat>
          <c:val>
            <c:numRef>
              <c:f>[工作簿1]Sheet1!$B$4:$M$4</c:f>
              <c:numCache>
                <c:formatCode>General</c:formatCode>
                <c:ptCount val="12"/>
                <c:pt idx="0">
                  <c:v>30</c:v>
                </c:pt>
                <c:pt idx="1">
                  <c:v>33</c:v>
                </c:pt>
                <c:pt idx="2">
                  <c:v>38</c:v>
                </c:pt>
                <c:pt idx="3">
                  <c:v>41</c:v>
                </c:pt>
                <c:pt idx="4">
                  <c:v>46</c:v>
                </c:pt>
                <c:pt idx="5">
                  <c:v>55</c:v>
                </c:pt>
                <c:pt idx="6">
                  <c:v>47</c:v>
                </c:pt>
                <c:pt idx="7">
                  <c:v>39</c:v>
                </c:pt>
                <c:pt idx="8">
                  <c:v>52</c:v>
                </c:pt>
                <c:pt idx="9">
                  <c:v>56</c:v>
                </c:pt>
                <c:pt idx="10">
                  <c:v>55</c:v>
                </c:pt>
                <c:pt idx="11">
                  <c:v>50</c:v>
                </c:pt>
              </c:numCache>
            </c:numRef>
          </c:val>
        </c:ser>
        <c:dLbls>
          <c:showLegendKey val="0"/>
          <c:showVal val="1"/>
          <c:showCatName val="0"/>
          <c:showSerName val="0"/>
          <c:showPercent val="0"/>
          <c:showBubbleSize val="0"/>
        </c:dLbls>
        <c:gapWidth val="246"/>
        <c:overlap val="-28"/>
        <c:axId val="940018905"/>
        <c:axId val="209828599"/>
      </c:barChart>
      <c:catAx>
        <c:axId val="940018905"/>
        <c:scaling>
          <c:orientation val="minMax"/>
        </c:scaling>
        <c:delete val="0"/>
        <c:axPos val="b"/>
        <c:numFmt formatCode="General"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p>
        </c:txPr>
        <c:crossAx val="209828599"/>
        <c:crosses val="autoZero"/>
        <c:auto val="1"/>
        <c:lblAlgn val="ctr"/>
        <c:lblOffset val="100"/>
        <c:noMultiLvlLbl val="0"/>
      </c:catAx>
      <c:valAx>
        <c:axId val="209828599"/>
        <c:scaling>
          <c:orientation val="minMax"/>
        </c:scaling>
        <c:delete val="1"/>
        <c:axPos val="l"/>
        <c:numFmt formatCode="General" sourceLinked="1"/>
        <c:majorTickMark val="out"/>
        <c:minorTickMark val="none"/>
        <c:tickLblPos val="nextTo"/>
        <c:txPr>
          <a:bodyPr rot="-60000000" spcFirstLastPara="0" vertOverflow="ellipsis" vert="horz" wrap="square" anchor="ctr" anchorCtr="1"/>
          <a:lstStyle/>
          <a:p>
            <a:pPr>
              <a:defRPr lang="zh-CN" sz="900" b="0" i="0" u="none" strike="noStrike" kern="1200" baseline="0">
                <a:solidFill>
                  <a:sysClr val="windowText" lastClr="000000"/>
                </a:solidFill>
                <a:latin typeface="+mn-lt"/>
                <a:ea typeface="+mn-ea"/>
                <a:cs typeface="+mn-cs"/>
              </a:defRPr>
            </a:pPr>
          </a:p>
        </c:txPr>
        <c:crossAx val="940018905"/>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p>
      </c:txPr>
    </c:legend>
    <c:plotVisOnly val="1"/>
    <c:dispBlanksAs val="gap"/>
    <c:showDLblsOverMax val="0"/>
    <c:extLst>
      <c:ext uri="{0b15fc19-7d7d-44ad-8c2d-2c3a37ce22c3}">
        <chartProps xmlns="https://web.wps.cn/et/2018/main" chartId="{b91f058a-53f0-4527-b1db-5203f664cae8}"/>
      </c:ext>
    </c:extLst>
  </c:chart>
  <c:spPr>
    <a:solidFill>
      <a:schemeClr val="bg1"/>
    </a:solidFill>
    <a:ln w="9525" cap="flat" cmpd="sng" algn="ctr">
      <a:noFill/>
      <a:round/>
    </a:ln>
    <a:effectLst/>
  </c:spPr>
  <c:txPr>
    <a:bodyPr/>
    <a:lstStyle/>
    <a:p>
      <a:pPr>
        <a:defRPr lang="zh-CN">
          <a:solidFill>
            <a:sysClr val="windowText" lastClr="000000"/>
          </a:solidFill>
        </a:defRPr>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'图45-46'!$B$2</c:f>
              <c:strCache>
                <c:ptCount val="1"/>
                <c:pt idx="0">
                  <c:v>总交付量（架） （Piston + Turboprop + Business Jets）</c:v>
                </c:pt>
              </c:strCache>
            </c:strRef>
          </c:tx>
          <c:spPr>
            <a:solidFill>
              <a:srgbClr val="4472C4"/>
            </a:solidFill>
            <a:ln>
              <a:noFill/>
            </a:ln>
            <a:effectLst/>
          </c:spPr>
          <c:invertIfNegative val="0"/>
          <c:dLbls>
            <c:delete val="1"/>
          </c:dLbls>
          <c:cat>
            <c:strRef>
              <c:f>'图45-46'!$A$3:$A$12</c:f>
              <c:strCache>
                <c:ptCount val="10"/>
                <c:pt idx="0">
                  <c:v>2019</c:v>
                </c:pt>
                <c:pt idx="1">
                  <c:v>2020</c:v>
                </c:pt>
                <c:pt idx="2">
                  <c:v>2021</c:v>
                </c:pt>
                <c:pt idx="3">
                  <c:v>2022</c:v>
                </c:pt>
                <c:pt idx="4">
                  <c:v>2023</c:v>
                </c:pt>
                <c:pt idx="5">
                  <c:v>2024</c:v>
                </c:pt>
                <c:pt idx="6">
                  <c:v>2025</c:v>
                </c:pt>
                <c:pt idx="7">
                  <c:v>2026E</c:v>
                </c:pt>
                <c:pt idx="8">
                  <c:v>2027E</c:v>
                </c:pt>
                <c:pt idx="9">
                  <c:v>2028E</c:v>
                </c:pt>
              </c:strCache>
            </c:strRef>
          </c:cat>
          <c:val>
            <c:numRef>
              <c:f>'图45-46'!$B$3:$B$12</c:f>
              <c:numCache>
                <c:formatCode>General</c:formatCode>
                <c:ptCount val="10"/>
                <c:pt idx="0">
                  <c:v>2658</c:v>
                </c:pt>
                <c:pt idx="1">
                  <c:v>2408</c:v>
                </c:pt>
                <c:pt idx="2">
                  <c:v>2646</c:v>
                </c:pt>
                <c:pt idx="3">
                  <c:v>2813</c:v>
                </c:pt>
                <c:pt idx="4">
                  <c:v>3069</c:v>
                </c:pt>
                <c:pt idx="5">
                  <c:v>3162</c:v>
                </c:pt>
                <c:pt idx="6">
                  <c:v>3230</c:v>
                </c:pt>
                <c:pt idx="7">
                  <c:v>3410</c:v>
                </c:pt>
                <c:pt idx="8">
                  <c:v>3520</c:v>
                </c:pt>
                <c:pt idx="9">
                  <c:v>3650</c:v>
                </c:pt>
              </c:numCache>
            </c:numRef>
          </c:val>
        </c:ser>
        <c:dLbls>
          <c:showLegendKey val="0"/>
          <c:showVal val="0"/>
          <c:showCatName val="0"/>
          <c:showSerName val="0"/>
          <c:showPercent val="0"/>
          <c:showBubbleSize val="0"/>
        </c:dLbls>
        <c:gapWidth val="150"/>
        <c:axId val="1021593488"/>
        <c:axId val="1"/>
      </c:barChart>
      <c:lineChart>
        <c:grouping val="standard"/>
        <c:varyColors val="0"/>
        <c:ser>
          <c:idx val="1"/>
          <c:order val="1"/>
          <c:tx>
            <c:strRef>
              <c:f>'图45-46'!$C$2</c:f>
              <c:strCache>
                <c:ptCount val="1"/>
                <c:pt idx="0">
                  <c:v>YoY</c:v>
                </c:pt>
              </c:strCache>
            </c:strRef>
          </c:tx>
          <c:spPr>
            <a:ln w="19050" cap="rnd" cmpd="sng" algn="ctr">
              <a:solidFill>
                <a:sysClr val="windowText" lastClr="000000"/>
              </a:solidFill>
              <a:prstDash val="solid"/>
              <a:round/>
            </a:ln>
            <a:effectLst/>
          </c:spPr>
          <c:marker>
            <c:symbol val="none"/>
          </c:marker>
          <c:dLbls>
            <c:delete val="1"/>
          </c:dLbls>
          <c:cat>
            <c:strRef>
              <c:f>'图45-46'!$A$3:$A$12</c:f>
              <c:strCache>
                <c:ptCount val="10"/>
                <c:pt idx="0">
                  <c:v>2019</c:v>
                </c:pt>
                <c:pt idx="1">
                  <c:v>2020</c:v>
                </c:pt>
                <c:pt idx="2">
                  <c:v>2021</c:v>
                </c:pt>
                <c:pt idx="3">
                  <c:v>2022</c:v>
                </c:pt>
                <c:pt idx="4">
                  <c:v>2023</c:v>
                </c:pt>
                <c:pt idx="5">
                  <c:v>2024</c:v>
                </c:pt>
                <c:pt idx="6">
                  <c:v>2025</c:v>
                </c:pt>
                <c:pt idx="7">
                  <c:v>2026E</c:v>
                </c:pt>
                <c:pt idx="8">
                  <c:v>2027E</c:v>
                </c:pt>
                <c:pt idx="9">
                  <c:v>2028E</c:v>
                </c:pt>
              </c:strCache>
            </c:strRef>
          </c:cat>
          <c:val>
            <c:numRef>
              <c:f>'图45-46'!$C$3:$C$12</c:f>
              <c:numCache>
                <c:formatCode>General</c:formatCode>
                <c:ptCount val="10"/>
                <c:pt idx="1" c:formatCode="0.00%">
                  <c:v>-0.094</c:v>
                </c:pt>
                <c:pt idx="2" c:formatCode="0.00%">
                  <c:v>0.099</c:v>
                </c:pt>
                <c:pt idx="3" c:formatCode="0.00%">
                  <c:v>0.063</c:v>
                </c:pt>
                <c:pt idx="4" c:formatCode="0.00%">
                  <c:v>0.091</c:v>
                </c:pt>
                <c:pt idx="5" c:formatCode="0.00%">
                  <c:v>0.03</c:v>
                </c:pt>
                <c:pt idx="6" c:formatCode="0.00%">
                  <c:v>0.022</c:v>
                </c:pt>
                <c:pt idx="7" c:formatCode="0.00%">
                  <c:v>0.056</c:v>
                </c:pt>
                <c:pt idx="8" c:formatCode="0.00%">
                  <c:v>0.032</c:v>
                </c:pt>
                <c:pt idx="9" c:formatCode="0.00%">
                  <c:v>0.037</c:v>
                </c:pt>
              </c:numCache>
            </c:numRef>
          </c:val>
          <c:smooth val="0"/>
        </c:ser>
        <c:dLbls>
          <c:showLegendKey val="0"/>
          <c:showVal val="0"/>
          <c:showCatName val="0"/>
          <c:showSerName val="0"/>
          <c:showPercent val="0"/>
          <c:showBubbleSize val="0"/>
        </c:dLbls>
        <c:marker val="0"/>
        <c:smooth val="0"/>
        <c:axId val="259816367"/>
        <c:axId val="259820207"/>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800" b="0" i="0" u="none" strike="noStrike" kern="1200" baseline="0">
                <a:solidFill>
                  <a:srgbClr val="000000"/>
                </a:solidFill>
                <a:latin typeface="+mn-lt"/>
                <a:ea typeface="楷体" panose="02010609060101010101" pitchFamily="49"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800" b="0" i="0" u="none" strike="noStrike" kern="1200" baseline="0">
                <a:solidFill>
                  <a:srgbClr val="000000"/>
                </a:solidFill>
                <a:latin typeface="+mn-lt"/>
                <a:ea typeface="楷体" panose="02010609060101010101" pitchFamily="49" charset="-122"/>
                <a:cs typeface="Times New Roman" panose="02020603050405020304" charset="0"/>
              </a:defRPr>
            </a:pPr>
          </a:p>
        </c:txPr>
        <c:crossAx val="1021593488"/>
        <c:crosses val="autoZero"/>
        <c:crossBetween val="between"/>
      </c:valAx>
      <c:catAx>
        <c:axId val="259816367"/>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800" b="0" i="0" u="none" strike="noStrike" kern="1200" baseline="0">
                <a:solidFill>
                  <a:srgbClr val="000000"/>
                </a:solidFill>
                <a:latin typeface="+mn-lt"/>
                <a:ea typeface="楷体" panose="02010609060101010101" pitchFamily="49" charset="-122"/>
                <a:cs typeface="Times New Roman" panose="02020603050405020304" charset="0"/>
              </a:defRPr>
            </a:pPr>
          </a:p>
        </c:txPr>
        <c:crossAx val="259820207"/>
        <c:crosses val="autoZero"/>
        <c:auto val="1"/>
        <c:lblAlgn val="ctr"/>
        <c:lblOffset val="100"/>
        <c:noMultiLvlLbl val="0"/>
      </c:catAx>
      <c:valAx>
        <c:axId val="259820207"/>
        <c:scaling>
          <c:orientation val="minMax"/>
        </c:scaling>
        <c:delete val="0"/>
        <c:axPos val="r"/>
        <c:numFmt formatCode="0%" sourceLinked="0"/>
        <c:majorTickMark val="out"/>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lang="zh-CN" sz="800" b="0" i="0" u="none" strike="noStrike" kern="1200" baseline="0">
                <a:solidFill>
                  <a:srgbClr val="000000"/>
                </a:solidFill>
                <a:latin typeface="+mn-lt"/>
                <a:ea typeface="楷体" panose="02010609060101010101" pitchFamily="49" charset="-122"/>
                <a:cs typeface="Times New Roman" panose="02020603050405020304" charset="0"/>
              </a:defRPr>
            </a:pPr>
          </a:p>
        </c:txPr>
        <c:crossAx val="259816367"/>
        <c:crosses val="max"/>
        <c:crossBetween val="between"/>
      </c:valAx>
      <c:spPr>
        <a:noFill/>
        <a:ln w="25400">
          <a:noFill/>
        </a:ln>
        <a:effectLst/>
      </c:spPr>
    </c:plotArea>
    <c:legend>
      <c:legendPos val="t"/>
      <c:layout>
        <c:manualLayout>
          <c:xMode val="edge"/>
          <c:yMode val="edge"/>
          <c:x val="0.00475442043222004"/>
          <c:y val="0.0347826086956522"/>
          <c:w val="0.994420432220039"/>
          <c:h val="0.126577656053863"/>
        </c:manualLayout>
      </c:layout>
      <c:overlay val="0"/>
      <c:spPr>
        <a:solidFill>
          <a:srgbClr val="FFFFFF"/>
        </a:solidFill>
        <a:ln w="25400">
          <a:noFill/>
        </a:ln>
        <a:effectLst/>
      </c:spPr>
      <c:txPr>
        <a:bodyPr rot="0" spcFirstLastPara="1" vertOverflow="ellipsis" vert="horz" wrap="square" anchor="ctr" anchorCtr="1"/>
        <a:lstStyle/>
        <a:p>
          <a:pPr>
            <a:defRPr lang="zh-CN" sz="800" b="0" i="0" u="none" strike="noStrike" kern="1200" baseline="0">
              <a:solidFill>
                <a:srgbClr val="000000"/>
              </a:solidFill>
              <a:latin typeface="+mn-lt"/>
              <a:ea typeface="楷体" panose="02010609060101010101" pitchFamily="49" charset="-122"/>
              <a:cs typeface="Times New Roman" panose="02020603050405020304" charset="0"/>
            </a:defRPr>
          </a:pPr>
        </a:p>
      </c:txPr>
    </c:legend>
    <c:plotVisOnly val="1"/>
    <c:dispBlanksAs val="gap"/>
    <c:showDLblsOverMax val="0"/>
    <c:extLst>
      <c:ext uri="{0b15fc19-7d7d-44ad-8c2d-2c3a37ce22c3}">
        <chartProps xmlns="https://web.wps.cn/et/2018/main" chartId="{e61129af-35ed-47bf-a9a7-f2a4b110e9cb}"/>
      </c:ext>
    </c:extLst>
  </c:chart>
  <c:spPr>
    <a:solidFill>
      <a:srgbClr val="FFFFFF"/>
    </a:solidFill>
    <a:ln w="9525" cap="flat" cmpd="sng" algn="ctr">
      <a:noFill/>
      <a:prstDash val="solid"/>
      <a:round/>
    </a:ln>
    <a:effectLst/>
  </c:spPr>
  <c:txPr>
    <a:bodyPr/>
    <a:lstStyle/>
    <a:p>
      <a:pPr>
        <a:defRPr lang="zh-CN" sz="800" b="0" i="0" u="none" strike="noStrike" baseline="0">
          <a:solidFill>
            <a:srgbClr val="000000"/>
          </a:solidFill>
          <a:latin typeface="+mn-lt"/>
          <a:ea typeface="楷体" panose="02010609060101010101" pitchFamily="49" charset="-122"/>
          <a:cs typeface="Times New Roman" panose="02020603050405020304" charset="0"/>
        </a:defRPr>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'图45-46'!$F$2</c:f>
              <c:strCache>
                <c:ptCount val="1"/>
                <c:pt idx="0">
                  <c:v>总交付价值（十亿美元）</c:v>
                </c:pt>
              </c:strCache>
            </c:strRef>
          </c:tx>
          <c:spPr>
            <a:solidFill>
              <a:srgbClr val="4472C4"/>
            </a:solidFill>
            <a:ln>
              <a:noFill/>
            </a:ln>
            <a:effectLst/>
          </c:spPr>
          <c:invertIfNegative val="0"/>
          <c:dLbls>
            <c:delete val="1"/>
          </c:dLbls>
          <c:cat>
            <c:strRef>
              <c:f>'图45-46'!$E$3:$E$12</c:f>
              <c:strCache>
                <c:ptCount val="10"/>
                <c:pt idx="0">
                  <c:v>2019</c:v>
                </c:pt>
                <c:pt idx="1">
                  <c:v>2020</c:v>
                </c:pt>
                <c:pt idx="2">
                  <c:v>2021</c:v>
                </c:pt>
                <c:pt idx="3">
                  <c:v>2022</c:v>
                </c:pt>
                <c:pt idx="4">
                  <c:v>2023</c:v>
                </c:pt>
                <c:pt idx="5">
                  <c:v>2024</c:v>
                </c:pt>
                <c:pt idx="6">
                  <c:v>2025</c:v>
                </c:pt>
                <c:pt idx="7">
                  <c:v>2026E</c:v>
                </c:pt>
                <c:pt idx="8">
                  <c:v>2027E</c:v>
                </c:pt>
                <c:pt idx="9">
                  <c:v>2028E</c:v>
                </c:pt>
              </c:strCache>
            </c:strRef>
          </c:cat>
          <c:val>
            <c:numRef>
              <c:f>'图45-46'!$F$3:$F$12</c:f>
              <c:numCache>
                <c:formatCode>General</c:formatCode>
                <c:ptCount val="10"/>
                <c:pt idx="0">
                  <c:v>23.5</c:v>
                </c:pt>
                <c:pt idx="1">
                  <c:v>20</c:v>
                </c:pt>
                <c:pt idx="2">
                  <c:v>21.6</c:v>
                </c:pt>
                <c:pt idx="3">
                  <c:v>22.9</c:v>
                </c:pt>
                <c:pt idx="4">
                  <c:v>23.4</c:v>
                </c:pt>
                <c:pt idx="5">
                  <c:v>26.7</c:v>
                </c:pt>
                <c:pt idx="6">
                  <c:v>31</c:v>
                </c:pt>
                <c:pt idx="7">
                  <c:v>33</c:v>
                </c:pt>
                <c:pt idx="8">
                  <c:v>34.5</c:v>
                </c:pt>
                <c:pt idx="9">
                  <c:v>36</c:v>
                </c:pt>
              </c:numCache>
            </c:numRef>
          </c:val>
        </c:ser>
        <c:dLbls>
          <c:showLegendKey val="0"/>
          <c:showVal val="0"/>
          <c:showCatName val="0"/>
          <c:showSerName val="0"/>
          <c:showPercent val="0"/>
          <c:showBubbleSize val="0"/>
        </c:dLbls>
        <c:gapWidth val="150"/>
        <c:axId val="1021593488"/>
        <c:axId val="1"/>
      </c:barChart>
      <c:lineChart>
        <c:grouping val="standard"/>
        <c:varyColors val="0"/>
        <c:ser>
          <c:idx val="1"/>
          <c:order val="1"/>
          <c:tx>
            <c:strRef>
              <c:f>'图45-46'!$G$2</c:f>
              <c:strCache>
                <c:ptCount val="1"/>
                <c:pt idx="0">
                  <c:v>YoY</c:v>
                </c:pt>
              </c:strCache>
            </c:strRef>
          </c:tx>
          <c:spPr>
            <a:ln w="19050" cap="rnd" cmpd="sng" algn="ctr">
              <a:solidFill>
                <a:sysClr val="windowText" lastClr="000000"/>
              </a:solidFill>
              <a:prstDash val="solid"/>
              <a:round/>
            </a:ln>
            <a:effectLst/>
          </c:spPr>
          <c:marker>
            <c:symbol val="none"/>
          </c:marker>
          <c:dLbls>
            <c:delete val="1"/>
          </c:dLbls>
          <c:cat>
            <c:strRef>
              <c:f>'图45-46'!$E$3:$E$12</c:f>
              <c:strCache>
                <c:ptCount val="10"/>
                <c:pt idx="0">
                  <c:v>2019</c:v>
                </c:pt>
                <c:pt idx="1">
                  <c:v>2020</c:v>
                </c:pt>
                <c:pt idx="2">
                  <c:v>2021</c:v>
                </c:pt>
                <c:pt idx="3">
                  <c:v>2022</c:v>
                </c:pt>
                <c:pt idx="4">
                  <c:v>2023</c:v>
                </c:pt>
                <c:pt idx="5">
                  <c:v>2024</c:v>
                </c:pt>
                <c:pt idx="6">
                  <c:v>2025</c:v>
                </c:pt>
                <c:pt idx="7">
                  <c:v>2026E</c:v>
                </c:pt>
                <c:pt idx="8">
                  <c:v>2027E</c:v>
                </c:pt>
                <c:pt idx="9">
                  <c:v>2028E</c:v>
                </c:pt>
              </c:strCache>
            </c:strRef>
          </c:cat>
          <c:val>
            <c:numRef>
              <c:f>'图45-46'!$G$3:$G$12</c:f>
              <c:numCache>
                <c:formatCode>General</c:formatCode>
                <c:ptCount val="10"/>
                <c:pt idx="1" c:formatCode="0.00%">
                  <c:v>-0.149</c:v>
                </c:pt>
                <c:pt idx="2" c:formatCode="0.00%">
                  <c:v>0.08</c:v>
                </c:pt>
                <c:pt idx="3" c:formatCode="0.00%">
                  <c:v>0.06</c:v>
                </c:pt>
                <c:pt idx="4" c:formatCode="0.00%">
                  <c:v>0.022</c:v>
                </c:pt>
                <c:pt idx="5" c:formatCode="0.00%">
                  <c:v>0.141</c:v>
                </c:pt>
                <c:pt idx="6" c:formatCode="0.00%">
                  <c:v>0.161</c:v>
                </c:pt>
                <c:pt idx="7" c:formatCode="0.00%">
                  <c:v>0.065</c:v>
                </c:pt>
                <c:pt idx="8" c:formatCode="0.00%">
                  <c:v>0.045</c:v>
                </c:pt>
                <c:pt idx="9" c:formatCode="0.00%">
                  <c:v>0.043</c:v>
                </c:pt>
              </c:numCache>
            </c:numRef>
          </c:val>
          <c:smooth val="0"/>
        </c:ser>
        <c:dLbls>
          <c:showLegendKey val="0"/>
          <c:showVal val="0"/>
          <c:showCatName val="0"/>
          <c:showSerName val="0"/>
          <c:showPercent val="0"/>
          <c:showBubbleSize val="0"/>
        </c:dLbls>
        <c:marker val="0"/>
        <c:smooth val="0"/>
        <c:axId val="259816367"/>
        <c:axId val="259820207"/>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800" b="0" i="0" u="none" strike="noStrike" kern="1200" baseline="0">
                <a:solidFill>
                  <a:srgbClr val="000000"/>
                </a:solidFill>
                <a:latin typeface="+mn-lt"/>
                <a:ea typeface="楷体" panose="02010609060101010101" pitchFamily="49"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800" b="0" i="0" u="none" strike="noStrike" kern="1200" baseline="0">
                <a:solidFill>
                  <a:srgbClr val="000000"/>
                </a:solidFill>
                <a:latin typeface="+mn-lt"/>
                <a:ea typeface="楷体" panose="02010609060101010101" pitchFamily="49" charset="-122"/>
                <a:cs typeface="Times New Roman" panose="02020603050405020304" charset="0"/>
              </a:defRPr>
            </a:pPr>
          </a:p>
        </c:txPr>
        <c:crossAx val="1021593488"/>
        <c:crosses val="autoZero"/>
        <c:crossBetween val="between"/>
      </c:valAx>
      <c:catAx>
        <c:axId val="259816367"/>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800" b="0" i="0" u="none" strike="noStrike" kern="1200" baseline="0">
                <a:solidFill>
                  <a:srgbClr val="000000"/>
                </a:solidFill>
                <a:latin typeface="+mn-lt"/>
                <a:ea typeface="楷体" panose="02010609060101010101" pitchFamily="49" charset="-122"/>
                <a:cs typeface="Times New Roman" panose="02020603050405020304" charset="0"/>
              </a:defRPr>
            </a:pPr>
          </a:p>
        </c:txPr>
        <c:crossAx val="259820207"/>
        <c:crosses val="autoZero"/>
        <c:auto val="1"/>
        <c:lblAlgn val="ctr"/>
        <c:lblOffset val="100"/>
        <c:noMultiLvlLbl val="0"/>
      </c:catAx>
      <c:valAx>
        <c:axId val="259820207"/>
        <c:scaling>
          <c:orientation val="minMax"/>
        </c:scaling>
        <c:delete val="0"/>
        <c:axPos val="r"/>
        <c:numFmt formatCode="0%" sourceLinked="0"/>
        <c:majorTickMark val="out"/>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lang="zh-CN" sz="800" b="0" i="0" u="none" strike="noStrike" kern="1200" baseline="0">
                <a:solidFill>
                  <a:srgbClr val="000000"/>
                </a:solidFill>
                <a:latin typeface="+mn-lt"/>
                <a:ea typeface="楷体" panose="02010609060101010101" pitchFamily="49" charset="-122"/>
                <a:cs typeface="Times New Roman" panose="02020603050405020304" charset="0"/>
              </a:defRPr>
            </a:pPr>
          </a:p>
        </c:txPr>
        <c:crossAx val="259816367"/>
        <c:crosses val="max"/>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800" b="0" i="0" u="none" strike="noStrike" kern="1200" baseline="0">
              <a:solidFill>
                <a:srgbClr val="000000"/>
              </a:solidFill>
              <a:latin typeface="+mn-lt"/>
              <a:ea typeface="楷体" panose="02010609060101010101" pitchFamily="49" charset="-122"/>
              <a:cs typeface="Times New Roman" panose="02020603050405020304" charset="0"/>
            </a:defRPr>
          </a:pPr>
        </a:p>
      </c:txPr>
    </c:legend>
    <c:plotVisOnly val="1"/>
    <c:dispBlanksAs val="gap"/>
    <c:showDLblsOverMax val="0"/>
    <c:extLst>
      <c:ext uri="{0b15fc19-7d7d-44ad-8c2d-2c3a37ce22c3}">
        <chartProps xmlns="https://web.wps.cn/et/2018/main" chartId="{44b2de96-f041-4ad3-b2d6-a1f6770e1231}"/>
      </c:ext>
    </c:extLst>
  </c:chart>
  <c:spPr>
    <a:solidFill>
      <a:srgbClr val="FFFFFF"/>
    </a:solidFill>
    <a:ln w="9525" cap="flat" cmpd="sng" algn="ctr">
      <a:noFill/>
      <a:prstDash val="solid"/>
      <a:round/>
    </a:ln>
    <a:effectLst/>
  </c:spPr>
  <c:txPr>
    <a:bodyPr/>
    <a:lstStyle/>
    <a:p>
      <a:pPr>
        <a:defRPr lang="zh-CN" sz="800" b="0" i="0" u="none" strike="noStrike" baseline="0">
          <a:solidFill>
            <a:srgbClr val="000000"/>
          </a:solidFill>
          <a:latin typeface="+mn-lt"/>
          <a:ea typeface="楷体" panose="02010609060101010101" pitchFamily="49" charset="-122"/>
          <a:cs typeface="Times New Roman" panose="02020603050405020304" charset="0"/>
        </a:defRPr>
      </a:pPr>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stacked"/>
        <c:varyColors val="0"/>
        <c:ser>
          <c:idx val="0"/>
          <c:order val="0"/>
          <c:tx>
            <c:strRef>
              <c:f>'图45-46'!$S$32</c:f>
              <c:strCache>
                <c:ptCount val="1"/>
                <c:pt idx="0">
                  <c:v>世界其他地区</c:v>
                </c:pt>
              </c:strCache>
            </c:strRef>
          </c:tx>
          <c:spPr>
            <a:solidFill>
              <a:schemeClr val="accent1">
                <a:lumMod val="50000"/>
              </a:schemeClr>
            </a:solidFill>
            <a:ln>
              <a:noFill/>
            </a:ln>
            <a:effectLst/>
          </c:spPr>
          <c:invertIfNegative val="0"/>
          <c:dLbls>
            <c:delete val="1"/>
          </c:dLbls>
          <c:cat>
            <c:strRef>
              <c:f>'图45-46'!$R$33:$R$42</c:f>
              <c:strCache>
                <c:ptCount val="10"/>
                <c:pt idx="0">
                  <c:v>2018</c:v>
                </c:pt>
                <c:pt idx="1">
                  <c:v>2019</c:v>
                </c:pt>
                <c:pt idx="2">
                  <c:v>2020</c:v>
                </c:pt>
                <c:pt idx="3">
                  <c:v>2021</c:v>
                </c:pt>
                <c:pt idx="4">
                  <c:v>2022</c:v>
                </c:pt>
                <c:pt idx="5">
                  <c:v>2023</c:v>
                </c:pt>
                <c:pt idx="6">
                  <c:v>2024</c:v>
                </c:pt>
                <c:pt idx="7">
                  <c:v>2025</c:v>
                </c:pt>
                <c:pt idx="8">
                  <c:v>2026E</c:v>
                </c:pt>
                <c:pt idx="9">
                  <c:v>2027E</c:v>
                </c:pt>
              </c:strCache>
            </c:strRef>
          </c:cat>
          <c:val>
            <c:numRef>
              <c:f>'图45-46'!$S$33:$S$42</c:f>
              <c:numCache>
                <c:formatCode>General</c:formatCode>
                <c:ptCount val="10"/>
                <c:pt idx="0">
                  <c:v>1456</c:v>
                </c:pt>
                <c:pt idx="1">
                  <c:v>1686</c:v>
                </c:pt>
                <c:pt idx="2">
                  <c:v>1565</c:v>
                </c:pt>
                <c:pt idx="3">
                  <c:v>1713</c:v>
                </c:pt>
                <c:pt idx="4">
                  <c:v>1870</c:v>
                </c:pt>
                <c:pt idx="5">
                  <c:v>1944</c:v>
                </c:pt>
                <c:pt idx="6">
                  <c:v>2050</c:v>
                </c:pt>
                <c:pt idx="7">
                  <c:v>2190</c:v>
                </c:pt>
                <c:pt idx="8">
                  <c:v>2310</c:v>
                </c:pt>
                <c:pt idx="9">
                  <c:v>2380</c:v>
                </c:pt>
              </c:numCache>
            </c:numRef>
          </c:val>
        </c:ser>
        <c:ser>
          <c:idx val="1"/>
          <c:order val="1"/>
          <c:tx>
            <c:strRef>
              <c:f>'图45-46'!$T$32</c:f>
              <c:strCache>
                <c:ptCount val="1"/>
                <c:pt idx="0">
                  <c:v>亚太地区</c:v>
                </c:pt>
              </c:strCache>
            </c:strRef>
          </c:tx>
          <c:spPr>
            <a:solidFill>
              <a:schemeClr val="accent2"/>
            </a:solidFill>
            <a:ln>
              <a:noFill/>
            </a:ln>
            <a:effectLst/>
          </c:spPr>
          <c:invertIfNegative val="0"/>
          <c:dLbls>
            <c:delete val="1"/>
          </c:dLbls>
          <c:cat>
            <c:strRef>
              <c:f>'图45-46'!$R$33:$R$42</c:f>
              <c:strCache>
                <c:ptCount val="10"/>
                <c:pt idx="0">
                  <c:v>2018</c:v>
                </c:pt>
                <c:pt idx="1">
                  <c:v>2019</c:v>
                </c:pt>
                <c:pt idx="2">
                  <c:v>2020</c:v>
                </c:pt>
                <c:pt idx="3">
                  <c:v>2021</c:v>
                </c:pt>
                <c:pt idx="4">
                  <c:v>2022</c:v>
                </c:pt>
                <c:pt idx="5">
                  <c:v>2023</c:v>
                </c:pt>
                <c:pt idx="6">
                  <c:v>2024</c:v>
                </c:pt>
                <c:pt idx="7">
                  <c:v>2025</c:v>
                </c:pt>
                <c:pt idx="8">
                  <c:v>2026E</c:v>
                </c:pt>
                <c:pt idx="9">
                  <c:v>2027E</c:v>
                </c:pt>
              </c:strCache>
            </c:strRef>
          </c:cat>
          <c:val>
            <c:numRef>
              <c:f>'图45-46'!$T$33:$T$42</c:f>
              <c:numCache>
                <c:formatCode>General</c:formatCode>
                <c:ptCount val="10"/>
                <c:pt idx="0">
                  <c:v>118</c:v>
                </c:pt>
                <c:pt idx="1">
                  <c:v>133</c:v>
                </c:pt>
                <c:pt idx="2">
                  <c:v>110</c:v>
                </c:pt>
                <c:pt idx="3">
                  <c:v>131</c:v>
                </c:pt>
                <c:pt idx="4">
                  <c:v>114</c:v>
                </c:pt>
                <c:pt idx="5">
                  <c:v>145</c:v>
                </c:pt>
                <c:pt idx="6">
                  <c:v>320</c:v>
                </c:pt>
                <c:pt idx="7">
                  <c:v>355</c:v>
                </c:pt>
                <c:pt idx="8">
                  <c:v>375</c:v>
                </c:pt>
                <c:pt idx="9">
                  <c:v>390</c:v>
                </c:pt>
              </c:numCache>
            </c:numRef>
          </c:val>
        </c:ser>
        <c:ser>
          <c:idx val="2"/>
          <c:order val="2"/>
          <c:tx>
            <c:strRef>
              <c:f>'图45-46'!$U$32</c:f>
              <c:strCache>
                <c:ptCount val="1"/>
                <c:pt idx="0">
                  <c:v>欧洲</c:v>
                </c:pt>
              </c:strCache>
            </c:strRef>
          </c:tx>
          <c:spPr>
            <a:solidFill>
              <a:schemeClr val="accent3"/>
            </a:solidFill>
            <a:ln>
              <a:noFill/>
            </a:ln>
            <a:effectLst/>
          </c:spPr>
          <c:invertIfNegative val="0"/>
          <c:dLbls>
            <c:delete val="1"/>
          </c:dLbls>
          <c:cat>
            <c:strRef>
              <c:f>'图45-46'!$R$33:$R$42</c:f>
              <c:strCache>
                <c:ptCount val="10"/>
                <c:pt idx="0">
                  <c:v>2018</c:v>
                </c:pt>
                <c:pt idx="1">
                  <c:v>2019</c:v>
                </c:pt>
                <c:pt idx="2">
                  <c:v>2020</c:v>
                </c:pt>
                <c:pt idx="3">
                  <c:v>2021</c:v>
                </c:pt>
                <c:pt idx="4">
                  <c:v>2022</c:v>
                </c:pt>
                <c:pt idx="5">
                  <c:v>2023</c:v>
                </c:pt>
                <c:pt idx="6">
                  <c:v>2024</c:v>
                </c:pt>
                <c:pt idx="7">
                  <c:v>2025</c:v>
                </c:pt>
                <c:pt idx="8">
                  <c:v>2026E</c:v>
                </c:pt>
                <c:pt idx="9">
                  <c:v>2027E</c:v>
                </c:pt>
              </c:strCache>
            </c:strRef>
          </c:cat>
          <c:val>
            <c:numRef>
              <c:f>'图45-46'!$U$33:$U$42</c:f>
              <c:numCache>
                <c:formatCode>General</c:formatCode>
                <c:ptCount val="10"/>
                <c:pt idx="0">
                  <c:v>188</c:v>
                </c:pt>
                <c:pt idx="1">
                  <c:v>194</c:v>
                </c:pt>
                <c:pt idx="2">
                  <c:v>125</c:v>
                </c:pt>
                <c:pt idx="3">
                  <c:v>166</c:v>
                </c:pt>
                <c:pt idx="4">
                  <c:v>237</c:v>
                </c:pt>
                <c:pt idx="5">
                  <c:v>237</c:v>
                </c:pt>
                <c:pt idx="6">
                  <c:v>280</c:v>
                </c:pt>
                <c:pt idx="7">
                  <c:v>341</c:v>
                </c:pt>
                <c:pt idx="8">
                  <c:v>360</c:v>
                </c:pt>
                <c:pt idx="9">
                  <c:v>370</c:v>
                </c:pt>
              </c:numCache>
            </c:numRef>
          </c:val>
        </c:ser>
        <c:ser>
          <c:idx val="3"/>
          <c:order val="3"/>
          <c:tx>
            <c:strRef>
              <c:f>'图45-46'!$V$32</c:f>
              <c:strCache>
                <c:ptCount val="1"/>
                <c:pt idx="0">
                  <c:v>拉丁美洲</c:v>
                </c:pt>
              </c:strCache>
            </c:strRef>
          </c:tx>
          <c:spPr>
            <a:solidFill>
              <a:schemeClr val="tx2">
                <a:lumMod val="20000"/>
                <a:lumOff val="80000"/>
              </a:schemeClr>
            </a:solidFill>
            <a:ln>
              <a:noFill/>
            </a:ln>
            <a:effectLst/>
          </c:spPr>
          <c:invertIfNegative val="0"/>
          <c:dLbls>
            <c:delete val="1"/>
          </c:dLbls>
          <c:cat>
            <c:strRef>
              <c:f>'图45-46'!$R$33:$R$42</c:f>
              <c:strCache>
                <c:ptCount val="10"/>
                <c:pt idx="0">
                  <c:v>2018</c:v>
                </c:pt>
                <c:pt idx="1">
                  <c:v>2019</c:v>
                </c:pt>
                <c:pt idx="2">
                  <c:v>2020</c:v>
                </c:pt>
                <c:pt idx="3">
                  <c:v>2021</c:v>
                </c:pt>
                <c:pt idx="4">
                  <c:v>2022</c:v>
                </c:pt>
                <c:pt idx="5">
                  <c:v>2023</c:v>
                </c:pt>
                <c:pt idx="6">
                  <c:v>2024</c:v>
                </c:pt>
                <c:pt idx="7">
                  <c:v>2025</c:v>
                </c:pt>
                <c:pt idx="8">
                  <c:v>2026E</c:v>
                </c:pt>
                <c:pt idx="9">
                  <c:v>2027E</c:v>
                </c:pt>
              </c:strCache>
            </c:strRef>
          </c:cat>
          <c:val>
            <c:numRef>
              <c:f>'图45-46'!$V$33:$V$42</c:f>
              <c:numCache>
                <c:formatCode>General</c:formatCode>
                <c:ptCount val="10"/>
                <c:pt idx="0">
                  <c:v>309</c:v>
                </c:pt>
                <c:pt idx="1">
                  <c:v>331</c:v>
                </c:pt>
                <c:pt idx="2">
                  <c:v>309</c:v>
                </c:pt>
                <c:pt idx="3">
                  <c:v>355</c:v>
                </c:pt>
                <c:pt idx="4">
                  <c:v>358</c:v>
                </c:pt>
                <c:pt idx="5">
                  <c:v>302</c:v>
                </c:pt>
                <c:pt idx="6">
                  <c:v>320</c:v>
                </c:pt>
                <c:pt idx="7">
                  <c:v>206</c:v>
                </c:pt>
                <c:pt idx="8">
                  <c:v>220</c:v>
                </c:pt>
                <c:pt idx="9">
                  <c:v>230</c:v>
                </c:pt>
              </c:numCache>
            </c:numRef>
          </c:val>
        </c:ser>
        <c:ser>
          <c:idx val="4"/>
          <c:order val="4"/>
          <c:tx>
            <c:strRef>
              <c:f>'图45-46'!$W$32</c:f>
              <c:strCache>
                <c:ptCount val="1"/>
                <c:pt idx="0">
                  <c:v>北美洲</c:v>
                </c:pt>
              </c:strCache>
            </c:strRef>
          </c:tx>
          <c:spPr>
            <a:solidFill>
              <a:schemeClr val="accent5"/>
            </a:solidFill>
            <a:ln>
              <a:noFill/>
            </a:ln>
            <a:effectLst/>
          </c:spPr>
          <c:invertIfNegative val="0"/>
          <c:dLbls>
            <c:delete val="1"/>
          </c:dLbls>
          <c:cat>
            <c:strRef>
              <c:f>'图45-46'!$R$33:$R$42</c:f>
              <c:strCache>
                <c:ptCount val="10"/>
                <c:pt idx="0">
                  <c:v>2018</c:v>
                </c:pt>
                <c:pt idx="1">
                  <c:v>2019</c:v>
                </c:pt>
                <c:pt idx="2">
                  <c:v>2020</c:v>
                </c:pt>
                <c:pt idx="3">
                  <c:v>2021</c:v>
                </c:pt>
                <c:pt idx="4">
                  <c:v>2022</c:v>
                </c:pt>
                <c:pt idx="5">
                  <c:v>2023</c:v>
                </c:pt>
                <c:pt idx="6">
                  <c:v>2024</c:v>
                </c:pt>
                <c:pt idx="7">
                  <c:v>2025</c:v>
                </c:pt>
                <c:pt idx="8">
                  <c:v>2026E</c:v>
                </c:pt>
                <c:pt idx="9">
                  <c:v>2027E</c:v>
                </c:pt>
              </c:strCache>
            </c:strRef>
          </c:cat>
          <c:val>
            <c:numRef>
              <c:f>'图45-46'!$W$33:$W$42</c:f>
              <c:numCache>
                <c:formatCode>General</c:formatCode>
                <c:ptCount val="10"/>
                <c:pt idx="0">
                  <c:v>371</c:v>
                </c:pt>
                <c:pt idx="1">
                  <c:v>311</c:v>
                </c:pt>
                <c:pt idx="2">
                  <c:v>299</c:v>
                </c:pt>
                <c:pt idx="3">
                  <c:v>453</c:v>
                </c:pt>
                <c:pt idx="4">
                  <c:v>471</c:v>
                </c:pt>
                <c:pt idx="5">
                  <c:v>441</c:v>
                </c:pt>
                <c:pt idx="6">
                  <c:v>192</c:v>
                </c:pt>
                <c:pt idx="7">
                  <c:v>138</c:v>
                </c:pt>
                <c:pt idx="8">
                  <c:v>145</c:v>
                </c:pt>
                <c:pt idx="9">
                  <c:v>150</c:v>
                </c:pt>
              </c:numCache>
            </c:numRef>
          </c:val>
        </c:ser>
        <c:dLbls>
          <c:showLegendKey val="0"/>
          <c:showVal val="0"/>
          <c:showCatName val="0"/>
          <c:showSerName val="0"/>
          <c:showPercent val="0"/>
          <c:showBubbleSize val="0"/>
        </c:dLbls>
        <c:gapWidth val="150"/>
        <c:overlap val="100"/>
        <c:axId val="1119398399"/>
        <c:axId val="1119398879"/>
      </c:barChart>
      <c:catAx>
        <c:axId val="11193983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楷体" panose="02010609060101010101" pitchFamily="49" charset="-122"/>
                <a:cs typeface="+mn-cs"/>
              </a:defRPr>
            </a:pPr>
          </a:p>
        </c:txPr>
        <c:crossAx val="1119398879"/>
        <c:crosses val="autoZero"/>
        <c:auto val="1"/>
        <c:lblAlgn val="ctr"/>
        <c:lblOffset val="100"/>
        <c:noMultiLvlLbl val="0"/>
      </c:catAx>
      <c:valAx>
        <c:axId val="1119398879"/>
        <c:scaling>
          <c:orientation val="minMax"/>
        </c:scaling>
        <c:delete val="0"/>
        <c:axPos val="l"/>
        <c:majorGridlines>
          <c:spPr>
            <a:ln w="9525" cap="flat" cmpd="sng" algn="ctr">
              <a:solidFill>
                <a:schemeClr val="tx1">
                  <a:lumMod val="15000"/>
                  <a:lumOff val="85000"/>
                </a:schemeClr>
              </a:solidFill>
              <a:round/>
            </a:ln>
            <a:effectLst/>
          </c:spPr>
        </c:majorGridlines>
        <c:numFmt formatCode="#,##0_);[Red]\(#,##0\)" sourceLinked="0"/>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楷体" panose="02010609060101010101" pitchFamily="49" charset="-122"/>
                <a:cs typeface="+mn-cs"/>
              </a:defRPr>
            </a:pPr>
          </a:p>
        </c:txPr>
        <c:crossAx val="1119398399"/>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ysClr val="windowText" lastClr="000000"/>
              </a:solidFill>
              <a:latin typeface="+mn-lt"/>
              <a:ea typeface="楷体" panose="02010609060101010101" pitchFamily="49" charset="-122"/>
              <a:cs typeface="+mn-cs"/>
            </a:defRPr>
          </a:pPr>
        </a:p>
      </c:txPr>
    </c:legend>
    <c:plotVisOnly val="1"/>
    <c:dispBlanksAs val="gap"/>
    <c:showDLblsOverMax val="0"/>
    <c:extLst>
      <c:ext uri="{0b15fc19-7d7d-44ad-8c2d-2c3a37ce22c3}">
        <chartProps xmlns="https://web.wps.cn/et/2018/main" chartId="{96c3575c-f839-4b1a-b5db-e547ad2f07e2}"/>
      </c:ext>
    </c:extLst>
  </c:chart>
  <c:spPr>
    <a:solidFill>
      <a:schemeClr val="bg1"/>
    </a:solidFill>
    <a:ln w="9525" cap="flat" cmpd="sng" algn="ctr">
      <a:noFill/>
      <a:round/>
    </a:ln>
    <a:effectLst/>
  </c:spPr>
  <c:txPr>
    <a:bodyPr/>
    <a:lstStyle/>
    <a:p>
      <a:pPr>
        <a:defRPr lang="zh-CN">
          <a:solidFill>
            <a:sysClr val="windowText" lastClr="000000"/>
          </a:solidFill>
          <a:latin typeface="+mn-lt"/>
          <a:ea typeface="楷体" panose="02010609060101010101" pitchFamily="49" charset="-122"/>
        </a:defRPr>
      </a:pPr>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436053162677375"/>
          <c:y val="0.182435918914391"/>
          <c:w val="0.956394683732263"/>
          <c:h val="0.735308694923773"/>
        </c:manualLayout>
      </c:layout>
      <c:barChart>
        <c:barDir val="col"/>
        <c:grouping val="percentStacked"/>
        <c:varyColors val="0"/>
        <c:ser>
          <c:idx val="0"/>
          <c:order val="0"/>
          <c:tx>
            <c:strRef>
              <c:f>活塞式飞机市场份额图!$B$205</c:f>
              <c:strCache>
                <c:ptCount val="1"/>
                <c:pt idx="0">
                  <c:v>Textron Aviation (Beechcraft)</c:v>
                </c:pt>
              </c:strCache>
            </c:strRef>
          </c:tx>
          <c:spPr>
            <a:solidFill>
              <a:schemeClr val="accent1"/>
            </a:solidFill>
            <a:ln>
              <a:solidFill>
                <a:schemeClr val="bg1"/>
              </a:solidFill>
            </a:ln>
            <a:effectLst/>
          </c:spPr>
          <c:invertIfNegative val="0"/>
          <c:dLbls>
            <c:delete val="1"/>
          </c:dLbls>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活塞式飞机市场份额图!$C$205:$AB$205</c:f>
              <c:numCache>
                <c:formatCode>General</c:formatCode>
                <c:ptCount val="26"/>
                <c:pt idx="0">
                  <c:v>153</c:v>
                </c:pt>
                <c:pt idx="1">
                  <c:v>136</c:v>
                </c:pt>
                <c:pt idx="2">
                  <c:v>83</c:v>
                </c:pt>
                <c:pt idx="3">
                  <c:v>82</c:v>
                </c:pt>
                <c:pt idx="4">
                  <c:v>93</c:v>
                </c:pt>
                <c:pt idx="5">
                  <c:v>99</c:v>
                </c:pt>
                <c:pt idx="6">
                  <c:v>118</c:v>
                </c:pt>
                <c:pt idx="7">
                  <c:v>111</c:v>
                </c:pt>
                <c:pt idx="8">
                  <c:v>103</c:v>
                </c:pt>
                <c:pt idx="9">
                  <c:v>56</c:v>
                </c:pt>
                <c:pt idx="10">
                  <c:v>51</c:v>
                </c:pt>
                <c:pt idx="11">
                  <c:v>54</c:v>
                </c:pt>
                <c:pt idx="12">
                  <c:v>36</c:v>
                </c:pt>
                <c:pt idx="13">
                  <c:v>70</c:v>
                </c:pt>
                <c:pt idx="14">
                  <c:v>72</c:v>
                </c:pt>
                <c:pt idx="15">
                  <c:v>41</c:v>
                </c:pt>
                <c:pt idx="16">
                  <c:v>45</c:v>
                </c:pt>
                <c:pt idx="17">
                  <c:v>36</c:v>
                </c:pt>
                <c:pt idx="18">
                  <c:v>34</c:v>
                </c:pt>
                <c:pt idx="19">
                  <c:v>22</c:v>
                </c:pt>
                <c:pt idx="20">
                  <c:v>20</c:v>
                </c:pt>
                <c:pt idx="21">
                  <c:v>0</c:v>
                </c:pt>
                <c:pt idx="22">
                  <c:v>3</c:v>
                </c:pt>
                <c:pt idx="23">
                  <c:v>10</c:v>
                </c:pt>
                <c:pt idx="24">
                  <c:v>7</c:v>
                </c:pt>
                <c:pt idx="25">
                  <c:v>5</c:v>
                </c:pt>
              </c:numCache>
            </c:numRef>
          </c:val>
        </c:ser>
        <c:ser>
          <c:idx val="1"/>
          <c:order val="1"/>
          <c:tx>
            <c:strRef>
              <c:f>活塞式飞机市场份额图!$B$206</c:f>
              <c:strCache>
                <c:ptCount val="1"/>
                <c:pt idx="0">
                  <c:v>Textron Aviation (Cessna Aircraft)</c:v>
                </c:pt>
              </c:strCache>
            </c:strRef>
          </c:tx>
          <c:spPr>
            <a:solidFill>
              <a:schemeClr val="accent2"/>
            </a:solidFill>
            <a:ln>
              <a:solidFill>
                <a:schemeClr val="bg1"/>
              </a:solidFill>
            </a:ln>
            <a:effectLst/>
          </c:spPr>
          <c:invertIfNegative val="0"/>
          <c:dLbls>
            <c:delete val="1"/>
          </c:dLbls>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活塞式飞机市场份额图!$C$206:$AB$206</c:f>
              <c:numCache>
                <c:formatCode>General</c:formatCode>
                <c:ptCount val="26"/>
                <c:pt idx="0">
                  <c:v>912</c:v>
                </c:pt>
                <c:pt idx="1">
                  <c:v>821</c:v>
                </c:pt>
                <c:pt idx="2">
                  <c:v>559</c:v>
                </c:pt>
                <c:pt idx="3">
                  <c:v>588</c:v>
                </c:pt>
                <c:pt idx="4">
                  <c:v>654</c:v>
                </c:pt>
                <c:pt idx="5">
                  <c:v>822</c:v>
                </c:pt>
                <c:pt idx="6">
                  <c:v>865</c:v>
                </c:pt>
                <c:pt idx="7">
                  <c:v>807</c:v>
                </c:pt>
                <c:pt idx="8">
                  <c:v>733</c:v>
                </c:pt>
                <c:pt idx="9">
                  <c:v>355</c:v>
                </c:pt>
                <c:pt idx="10">
                  <c:v>261</c:v>
                </c:pt>
                <c:pt idx="11">
                  <c:v>413</c:v>
                </c:pt>
                <c:pt idx="12">
                  <c:v>283</c:v>
                </c:pt>
                <c:pt idx="13">
                  <c:v>206</c:v>
                </c:pt>
                <c:pt idx="14">
                  <c:v>220</c:v>
                </c:pt>
                <c:pt idx="15">
                  <c:v>271</c:v>
                </c:pt>
                <c:pt idx="16">
                  <c:v>217</c:v>
                </c:pt>
                <c:pt idx="17">
                  <c:v>238</c:v>
                </c:pt>
                <c:pt idx="18">
                  <c:v>193</c:v>
                </c:pt>
                <c:pt idx="19">
                  <c:v>196</c:v>
                </c:pt>
                <c:pt idx="20">
                  <c:v>294</c:v>
                </c:pt>
                <c:pt idx="21">
                  <c:v>254</c:v>
                </c:pt>
                <c:pt idx="22">
                  <c:v>241</c:v>
                </c:pt>
                <c:pt idx="23">
                  <c:v>287</c:v>
                </c:pt>
                <c:pt idx="24">
                  <c:v>274</c:v>
                </c:pt>
                <c:pt idx="25">
                  <c:v>311</c:v>
                </c:pt>
              </c:numCache>
            </c:numRef>
          </c:val>
        </c:ser>
        <c:ser>
          <c:idx val="2"/>
          <c:order val="2"/>
          <c:tx>
            <c:strRef>
              <c:f>活塞式飞机市场份额图!$B$207</c:f>
              <c:strCache>
                <c:ptCount val="1"/>
                <c:pt idx="0">
                  <c:v>TECNAM Aircraft</c:v>
                </c:pt>
              </c:strCache>
            </c:strRef>
          </c:tx>
          <c:spPr>
            <a:solidFill>
              <a:schemeClr val="accent3"/>
            </a:solidFill>
            <a:ln>
              <a:solidFill>
                <a:schemeClr val="bg1"/>
              </a:solidFill>
            </a:ln>
            <a:effectLst/>
          </c:spPr>
          <c:invertIfNegative val="0"/>
          <c:dLbls>
            <c:delete val="1"/>
          </c:dLbls>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活塞式飞机市场份额图!$C$207:$AB$207</c:f>
              <c:numCache>
                <c:formatCode>General</c:formatCode>
                <c:ptCount val="26"/>
                <c:pt idx="13">
                  <c:v>197</c:v>
                </c:pt>
                <c:pt idx="14">
                  <c:v>190</c:v>
                </c:pt>
                <c:pt idx="15">
                  <c:v>191</c:v>
                </c:pt>
                <c:pt idx="16">
                  <c:v>191</c:v>
                </c:pt>
                <c:pt idx="17">
                  <c:v>171</c:v>
                </c:pt>
                <c:pt idx="18">
                  <c:v>180</c:v>
                </c:pt>
                <c:pt idx="19">
                  <c:v>205</c:v>
                </c:pt>
                <c:pt idx="20">
                  <c:v>154</c:v>
                </c:pt>
                <c:pt idx="21">
                  <c:v>203</c:v>
                </c:pt>
                <c:pt idx="22">
                  <c:v>209</c:v>
                </c:pt>
                <c:pt idx="23">
                  <c:v>244</c:v>
                </c:pt>
                <c:pt idx="24">
                  <c:v>283</c:v>
                </c:pt>
                <c:pt idx="25">
                  <c:v>216</c:v>
                </c:pt>
              </c:numCache>
            </c:numRef>
          </c:val>
        </c:ser>
        <c:ser>
          <c:idx val="3"/>
          <c:order val="3"/>
          <c:tx>
            <c:strRef>
              <c:f>活塞式飞机市场份额图!$B$208</c:f>
              <c:strCache>
                <c:ptCount val="1"/>
                <c:pt idx="0">
                  <c:v>Pipistrel by Textron Aviation</c:v>
                </c:pt>
              </c:strCache>
            </c:strRef>
          </c:tx>
          <c:spPr>
            <a:solidFill>
              <a:schemeClr val="accent4"/>
            </a:solidFill>
            <a:ln>
              <a:solidFill>
                <a:schemeClr val="bg1"/>
              </a:solidFill>
            </a:ln>
            <a:effectLst/>
          </c:spPr>
          <c:invertIfNegative val="0"/>
          <c:dLbls>
            <c:delete val="1"/>
          </c:dLbls>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活塞式飞机市场份额图!$C$208:$AB$208</c:f>
              <c:numCache>
                <c:formatCode>General</c:formatCode>
                <c:ptCount val="26"/>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19</c:v>
                </c:pt>
                <c:pt idx="18">
                  <c:v>22</c:v>
                </c:pt>
                <c:pt idx="19">
                  <c:v>24</c:v>
                </c:pt>
                <c:pt idx="20">
                  <c:v>30</c:v>
                </c:pt>
                <c:pt idx="21">
                  <c:v>74</c:v>
                </c:pt>
                <c:pt idx="22">
                  <c:v>66</c:v>
                </c:pt>
                <c:pt idx="23">
                  <c:v>112</c:v>
                </c:pt>
                <c:pt idx="24">
                  <c:v>91</c:v>
                </c:pt>
                <c:pt idx="25">
                  <c:v>53</c:v>
                </c:pt>
              </c:numCache>
            </c:numRef>
          </c:val>
        </c:ser>
        <c:ser>
          <c:idx val="4"/>
          <c:order val="4"/>
          <c:tx>
            <c:strRef>
              <c:f>活塞式飞机市场份额图!$B$209</c:f>
              <c:strCache>
                <c:ptCount val="1"/>
                <c:pt idx="0">
                  <c:v>Piper Aircraft, Inc.</c:v>
                </c:pt>
              </c:strCache>
            </c:strRef>
          </c:tx>
          <c:spPr>
            <a:solidFill>
              <a:schemeClr val="accent5"/>
            </a:solidFill>
            <a:ln>
              <a:solidFill>
                <a:schemeClr val="bg1"/>
              </a:solidFill>
            </a:ln>
            <a:effectLst/>
          </c:spPr>
          <c:invertIfNegative val="0"/>
          <c:dLbls>
            <c:delete val="1"/>
          </c:dLbls>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活塞式飞机市场份额图!$C$209:$AB$209</c:f>
              <c:numCache>
                <c:formatCode>General</c:formatCode>
                <c:ptCount val="26"/>
                <c:pt idx="0">
                  <c:v>377</c:v>
                </c:pt>
                <c:pt idx="1">
                  <c:v>343</c:v>
                </c:pt>
                <c:pt idx="2">
                  <c:v>265</c:v>
                </c:pt>
                <c:pt idx="3">
                  <c:v>205</c:v>
                </c:pt>
                <c:pt idx="4">
                  <c:v>163</c:v>
                </c:pt>
                <c:pt idx="5">
                  <c:v>193</c:v>
                </c:pt>
                <c:pt idx="6">
                  <c:v>189</c:v>
                </c:pt>
                <c:pt idx="7">
                  <c:v>168</c:v>
                </c:pt>
                <c:pt idx="8">
                  <c:v>216</c:v>
                </c:pt>
                <c:pt idx="9">
                  <c:v>61</c:v>
                </c:pt>
                <c:pt idx="10">
                  <c:v>135</c:v>
                </c:pt>
                <c:pt idx="11">
                  <c:v>104</c:v>
                </c:pt>
                <c:pt idx="12">
                  <c:v>126</c:v>
                </c:pt>
                <c:pt idx="13">
                  <c:v>154</c:v>
                </c:pt>
                <c:pt idx="14">
                  <c:v>136</c:v>
                </c:pt>
                <c:pt idx="15">
                  <c:v>111</c:v>
                </c:pt>
                <c:pt idx="16">
                  <c:v>93</c:v>
                </c:pt>
                <c:pt idx="17">
                  <c:v>108</c:v>
                </c:pt>
                <c:pt idx="18">
                  <c:v>173</c:v>
                </c:pt>
                <c:pt idx="19">
                  <c:v>246</c:v>
                </c:pt>
                <c:pt idx="20">
                  <c:v>201</c:v>
                </c:pt>
                <c:pt idx="21">
                  <c:v>161</c:v>
                </c:pt>
                <c:pt idx="22">
                  <c:v>186</c:v>
                </c:pt>
                <c:pt idx="23">
                  <c:v>185</c:v>
                </c:pt>
                <c:pt idx="24">
                  <c:v>229</c:v>
                </c:pt>
                <c:pt idx="25">
                  <c:v>203</c:v>
                </c:pt>
              </c:numCache>
            </c:numRef>
          </c:val>
        </c:ser>
        <c:ser>
          <c:idx val="5"/>
          <c:order val="5"/>
          <c:tx>
            <c:strRef>
              <c:f>活塞式飞机市场份额图!$B$210</c:f>
              <c:strCache>
                <c:ptCount val="1"/>
                <c:pt idx="0">
                  <c:v>Mooney International Corporation</c:v>
                </c:pt>
              </c:strCache>
            </c:strRef>
          </c:tx>
          <c:spPr>
            <a:solidFill>
              <a:schemeClr val="accent6"/>
            </a:solidFill>
            <a:ln>
              <a:solidFill>
                <a:schemeClr val="bg1"/>
              </a:solidFill>
            </a:ln>
            <a:effectLst/>
          </c:spPr>
          <c:invertIfNegative val="0"/>
          <c:dLbls>
            <c:delete val="1"/>
          </c:dLbls>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活塞式飞机市场份额图!$C$210:$AB$210</c:f>
              <c:numCache>
                <c:formatCode>General</c:formatCode>
                <c:ptCount val="26"/>
                <c:pt idx="0">
                  <c:v>100</c:v>
                </c:pt>
                <c:pt idx="1">
                  <c:v>29</c:v>
                </c:pt>
                <c:pt idx="2">
                  <c:v>10</c:v>
                </c:pt>
                <c:pt idx="3">
                  <c:v>36</c:v>
                </c:pt>
                <c:pt idx="4">
                  <c:v>37</c:v>
                </c:pt>
                <c:pt idx="5">
                  <c:v>85</c:v>
                </c:pt>
                <c:pt idx="6">
                  <c:v>75</c:v>
                </c:pt>
                <c:pt idx="7">
                  <c:v>79</c:v>
                </c:pt>
                <c:pt idx="8">
                  <c:v>65</c:v>
                </c:pt>
                <c:pt idx="9">
                  <c:v>19</c:v>
                </c:pt>
                <c:pt idx="10">
                  <c:v>2</c:v>
                </c:pt>
                <c:pt idx="11">
                  <c:v>0</c:v>
                </c:pt>
                <c:pt idx="12">
                  <c:v>0</c:v>
                </c:pt>
                <c:pt idx="13">
                  <c:v>0</c:v>
                </c:pt>
                <c:pt idx="14">
                  <c:v>1</c:v>
                </c:pt>
                <c:pt idx="15">
                  <c:v>11</c:v>
                </c:pt>
                <c:pt idx="16">
                  <c:v>7</c:v>
                </c:pt>
                <c:pt idx="17">
                  <c:v>7</c:v>
                </c:pt>
                <c:pt idx="18">
                  <c:v>14</c:v>
                </c:pt>
                <c:pt idx="19">
                  <c:v>9</c:v>
                </c:pt>
                <c:pt idx="20">
                  <c:v>0</c:v>
                </c:pt>
                <c:pt idx="21">
                  <c:v>0</c:v>
                </c:pt>
                <c:pt idx="22">
                  <c:v>0</c:v>
                </c:pt>
                <c:pt idx="23">
                  <c:v>0</c:v>
                </c:pt>
                <c:pt idx="24">
                  <c:v>0</c:v>
                </c:pt>
                <c:pt idx="25">
                  <c:v>0</c:v>
                </c:pt>
              </c:numCache>
            </c:numRef>
          </c:val>
        </c:ser>
        <c:ser>
          <c:idx val="6"/>
          <c:order val="6"/>
          <c:tx>
            <c:strRef>
              <c:f>活塞式飞机市场份额图!$B$211</c:f>
              <c:strCache>
                <c:ptCount val="1"/>
                <c:pt idx="0">
                  <c:v>Diamond Aircraft</c:v>
                </c:pt>
              </c:strCache>
            </c:strRef>
          </c:tx>
          <c:spPr>
            <a:solidFill>
              <a:schemeClr val="accent1">
                <a:lumMod val="60000"/>
              </a:schemeClr>
            </a:solidFill>
            <a:ln>
              <a:solidFill>
                <a:schemeClr val="bg1"/>
              </a:solidFill>
            </a:ln>
            <a:effectLst/>
          </c:spPr>
          <c:invertIfNegative val="0"/>
          <c:dLbls>
            <c:delete val="1"/>
          </c:dLbls>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活塞式飞机市场份额图!$C$211:$AB$211</c:f>
              <c:numCache>
                <c:formatCode>General</c:formatCode>
                <c:ptCount val="26"/>
                <c:pt idx="0">
                  <c:v>0</c:v>
                </c:pt>
                <c:pt idx="1">
                  <c:v>0</c:v>
                </c:pt>
                <c:pt idx="2">
                  <c:v>0</c:v>
                </c:pt>
                <c:pt idx="3">
                  <c:v>228</c:v>
                </c:pt>
                <c:pt idx="4">
                  <c:v>261</c:v>
                </c:pt>
                <c:pt idx="5">
                  <c:v>329</c:v>
                </c:pt>
                <c:pt idx="6">
                  <c:v>438</c:v>
                </c:pt>
                <c:pt idx="7">
                  <c:v>471</c:v>
                </c:pt>
                <c:pt idx="8">
                  <c:v>308</c:v>
                </c:pt>
                <c:pt idx="9">
                  <c:v>163</c:v>
                </c:pt>
                <c:pt idx="10">
                  <c:v>130</c:v>
                </c:pt>
                <c:pt idx="11">
                  <c:v>185</c:v>
                </c:pt>
                <c:pt idx="12">
                  <c:v>156</c:v>
                </c:pt>
                <c:pt idx="13">
                  <c:v>139</c:v>
                </c:pt>
                <c:pt idx="14">
                  <c:v>202</c:v>
                </c:pt>
                <c:pt idx="15">
                  <c:v>144</c:v>
                </c:pt>
                <c:pt idx="16">
                  <c:v>132</c:v>
                </c:pt>
                <c:pt idx="17">
                  <c:v>137</c:v>
                </c:pt>
                <c:pt idx="18">
                  <c:v>134</c:v>
                </c:pt>
                <c:pt idx="19">
                  <c:v>233</c:v>
                </c:pt>
                <c:pt idx="20">
                  <c:v>239</c:v>
                </c:pt>
                <c:pt idx="21">
                  <c:v>240</c:v>
                </c:pt>
                <c:pt idx="22">
                  <c:v>239</c:v>
                </c:pt>
                <c:pt idx="23">
                  <c:v>273</c:v>
                </c:pt>
                <c:pt idx="24">
                  <c:v>252</c:v>
                </c:pt>
                <c:pt idx="25">
                  <c:v>235</c:v>
                </c:pt>
              </c:numCache>
            </c:numRef>
          </c:val>
        </c:ser>
        <c:ser>
          <c:idx val="7"/>
          <c:order val="7"/>
          <c:tx>
            <c:strRef>
              <c:f>活塞式飞机市场份额图!$B$212</c:f>
              <c:strCache>
                <c:ptCount val="1"/>
                <c:pt idx="0">
                  <c:v>CubCrafters</c:v>
                </c:pt>
              </c:strCache>
            </c:strRef>
          </c:tx>
          <c:spPr>
            <a:solidFill>
              <a:schemeClr val="accent2">
                <a:lumMod val="60000"/>
              </a:schemeClr>
            </a:solidFill>
            <a:ln>
              <a:solidFill>
                <a:schemeClr val="bg1"/>
              </a:solidFill>
            </a:ln>
            <a:effectLst/>
          </c:spPr>
          <c:invertIfNegative val="0"/>
          <c:dLbls>
            <c:delete val="1"/>
          </c:dLbls>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活塞式飞机市场份额图!$C$212:$AB$212</c:f>
              <c:numCache>
                <c:formatCode>General</c:formatCode>
                <c:ptCount val="26"/>
                <c:pt idx="0">
                  <c:v>0</c:v>
                </c:pt>
                <c:pt idx="1">
                  <c:v>0</c:v>
                </c:pt>
                <c:pt idx="2">
                  <c:v>0</c:v>
                </c:pt>
                <c:pt idx="3">
                  <c:v>0</c:v>
                </c:pt>
                <c:pt idx="11">
                  <c:v>47</c:v>
                </c:pt>
                <c:pt idx="12">
                  <c:v>58</c:v>
                </c:pt>
                <c:pt idx="13">
                  <c:v>63</c:v>
                </c:pt>
                <c:pt idx="14">
                  <c:v>60</c:v>
                </c:pt>
                <c:pt idx="15">
                  <c:v>52</c:v>
                </c:pt>
                <c:pt idx="16">
                  <c:v>34</c:v>
                </c:pt>
                <c:pt idx="17">
                  <c:v>27</c:v>
                </c:pt>
                <c:pt idx="18">
                  <c:v>19</c:v>
                </c:pt>
                <c:pt idx="19">
                  <c:v>16</c:v>
                </c:pt>
                <c:pt idx="20">
                  <c:v>9</c:v>
                </c:pt>
                <c:pt idx="21">
                  <c:v>50</c:v>
                </c:pt>
                <c:pt idx="22">
                  <c:v>67</c:v>
                </c:pt>
                <c:pt idx="23">
                  <c:v>69</c:v>
                </c:pt>
                <c:pt idx="24">
                  <c:v>87</c:v>
                </c:pt>
                <c:pt idx="25">
                  <c:v>73</c:v>
                </c:pt>
              </c:numCache>
            </c:numRef>
          </c:val>
        </c:ser>
        <c:ser>
          <c:idx val="8"/>
          <c:order val="8"/>
          <c:tx>
            <c:strRef>
              <c:f>活塞式飞机市场份额图!$B$213</c:f>
              <c:strCache>
                <c:ptCount val="1"/>
                <c:pt idx="0">
                  <c:v>Columbia Aircraft (prev. Lancair)</c:v>
                </c:pt>
              </c:strCache>
            </c:strRef>
          </c:tx>
          <c:spPr>
            <a:solidFill>
              <a:schemeClr val="accent3">
                <a:lumMod val="60000"/>
              </a:schemeClr>
            </a:solidFill>
            <a:ln>
              <a:solidFill>
                <a:schemeClr val="bg1"/>
              </a:solidFill>
            </a:ln>
            <a:effectLst/>
          </c:spPr>
          <c:invertIfNegative val="0"/>
          <c:dLbls>
            <c:delete val="1"/>
          </c:dLbls>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活塞式飞机市场份额图!$C$213:$AB$213</c:f>
              <c:numCache>
                <c:formatCode>General</c:formatCode>
                <c:ptCount val="26"/>
                <c:pt idx="0">
                  <c:v>5</c:v>
                </c:pt>
                <c:pt idx="1">
                  <c:v>27</c:v>
                </c:pt>
                <c:pt idx="2">
                  <c:v>24</c:v>
                </c:pt>
                <c:pt idx="3">
                  <c:v>51</c:v>
                </c:pt>
                <c:pt idx="4">
                  <c:v>78</c:v>
                </c:pt>
                <c:pt idx="5">
                  <c:v>114</c:v>
                </c:pt>
                <c:pt idx="6">
                  <c:v>185</c:v>
                </c:pt>
                <c:pt idx="7">
                  <c:v>152</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numCache>
            </c:numRef>
          </c:val>
        </c:ser>
        <c:ser>
          <c:idx val="9"/>
          <c:order val="9"/>
          <c:tx>
            <c:strRef>
              <c:f>活塞式飞机市场份额图!$B$214</c:f>
              <c:strCache>
                <c:ptCount val="1"/>
                <c:pt idx="0">
                  <c:v>Cirrus Aircraft</c:v>
                </c:pt>
              </c:strCache>
            </c:strRef>
          </c:tx>
          <c:spPr>
            <a:solidFill>
              <a:schemeClr val="accent4">
                <a:lumMod val="60000"/>
              </a:schemeClr>
            </a:solidFill>
            <a:ln>
              <a:solidFill>
                <a:schemeClr val="bg1"/>
              </a:solidFill>
            </a:ln>
            <a:effectLst/>
          </c:spPr>
          <c:invertIfNegative val="0"/>
          <c:dLbls>
            <c:delete val="1"/>
          </c:dLbls>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活塞式飞机市场份额图!$C$214:$AB$214</c:f>
              <c:numCache>
                <c:formatCode>General</c:formatCode>
                <c:ptCount val="26"/>
                <c:pt idx="0">
                  <c:v>95</c:v>
                </c:pt>
                <c:pt idx="1">
                  <c:v>183</c:v>
                </c:pt>
                <c:pt idx="2">
                  <c:v>397</c:v>
                </c:pt>
                <c:pt idx="3">
                  <c:v>469</c:v>
                </c:pt>
                <c:pt idx="4">
                  <c:v>553</c:v>
                </c:pt>
                <c:pt idx="5">
                  <c:v>600</c:v>
                </c:pt>
                <c:pt idx="6">
                  <c:v>721</c:v>
                </c:pt>
                <c:pt idx="7">
                  <c:v>710</c:v>
                </c:pt>
                <c:pt idx="8">
                  <c:v>549</c:v>
                </c:pt>
                <c:pt idx="9">
                  <c:v>266</c:v>
                </c:pt>
                <c:pt idx="10">
                  <c:v>264</c:v>
                </c:pt>
                <c:pt idx="11">
                  <c:v>255</c:v>
                </c:pt>
                <c:pt idx="12">
                  <c:v>253</c:v>
                </c:pt>
                <c:pt idx="13">
                  <c:v>276</c:v>
                </c:pt>
                <c:pt idx="14">
                  <c:v>308</c:v>
                </c:pt>
                <c:pt idx="15">
                  <c:v>301</c:v>
                </c:pt>
                <c:pt idx="16">
                  <c:v>317</c:v>
                </c:pt>
                <c:pt idx="17">
                  <c:v>355</c:v>
                </c:pt>
                <c:pt idx="18">
                  <c:v>380</c:v>
                </c:pt>
                <c:pt idx="19">
                  <c:v>384</c:v>
                </c:pt>
                <c:pt idx="20">
                  <c:v>347</c:v>
                </c:pt>
                <c:pt idx="21">
                  <c:v>442</c:v>
                </c:pt>
                <c:pt idx="22">
                  <c:v>539</c:v>
                </c:pt>
                <c:pt idx="23">
                  <c:v>612</c:v>
                </c:pt>
                <c:pt idx="24">
                  <c:v>630</c:v>
                </c:pt>
                <c:pt idx="25">
                  <c:v>691</c:v>
                </c:pt>
              </c:numCache>
            </c:numRef>
          </c:val>
        </c:ser>
        <c:ser>
          <c:idx val="10"/>
          <c:order val="10"/>
          <c:tx>
            <c:strRef>
              <c:f>活塞式飞机市场份额图!$B$215</c:f>
              <c:strCache>
                <c:ptCount val="1"/>
                <c:pt idx="0">
                  <c:v>Others</c:v>
                </c:pt>
              </c:strCache>
            </c:strRef>
          </c:tx>
          <c:spPr>
            <a:solidFill>
              <a:schemeClr val="accent5">
                <a:lumMod val="60000"/>
              </a:schemeClr>
            </a:solidFill>
            <a:ln>
              <a:solidFill>
                <a:schemeClr val="bg1"/>
              </a:solidFill>
            </a:ln>
            <a:effectLst/>
          </c:spPr>
          <c:invertIfNegative val="0"/>
          <c:dLbls>
            <c:delete val="1"/>
          </c:dLbls>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活塞式飞机市场份额图!$C$215:$AB$215</c:f>
              <c:numCache>
                <c:formatCode>_(* #,##0_);_(* \(#,##0\);_(* "-"??_);_(@_)</c:formatCode>
                <c:ptCount val="26"/>
                <c:pt idx="0">
                  <c:v>271</c:v>
                </c:pt>
                <c:pt idx="1">
                  <c:v>251</c:v>
                </c:pt>
                <c:pt idx="2">
                  <c:v>238</c:v>
                </c:pt>
                <c:pt idx="3">
                  <c:v>237</c:v>
                </c:pt>
                <c:pt idx="4">
                  <c:v>212</c:v>
                </c:pt>
                <c:pt idx="5">
                  <c:v>223</c:v>
                </c:pt>
                <c:pt idx="6">
                  <c:v>164</c:v>
                </c:pt>
                <c:pt idx="7">
                  <c:v>177</c:v>
                </c:pt>
                <c:pt idx="8">
                  <c:v>145</c:v>
                </c:pt>
                <c:pt idx="9">
                  <c:v>57</c:v>
                </c:pt>
                <c:pt idx="10">
                  <c:v>69</c:v>
                </c:pt>
                <c:pt idx="11">
                  <c:v>149</c:v>
                </c:pt>
                <c:pt idx="12">
                  <c:v>160</c:v>
                </c:pt>
                <c:pt idx="13">
                  <c:v>177</c:v>
                </c:pt>
                <c:pt idx="14">
                  <c:v>189</c:v>
                </c:pt>
                <c:pt idx="15">
                  <c:v>143</c:v>
                </c:pt>
                <c:pt idx="16">
                  <c:v>119</c:v>
                </c:pt>
                <c:pt idx="17">
                  <c:v>120</c:v>
                </c:pt>
                <c:pt idx="18">
                  <c:v>154</c:v>
                </c:pt>
                <c:pt idx="19">
                  <c:v>186</c:v>
                </c:pt>
                <c:pt idx="20">
                  <c:v>148</c:v>
                </c:pt>
                <c:pt idx="21">
                  <c:v>153</c:v>
                </c:pt>
                <c:pt idx="22">
                  <c:v>170</c:v>
                </c:pt>
                <c:pt idx="23">
                  <c:v>141</c:v>
                </c:pt>
                <c:pt idx="24">
                  <c:v>119</c:v>
                </c:pt>
                <c:pt idx="25" c:formatCode="General">
                  <c:v>71</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crossAx val="412992478"/>
        <c:crosses val="autoZero"/>
        <c:crossBetween val="between"/>
      </c:valAx>
      <c:spPr>
        <a:noFill/>
        <a:ln>
          <a:noFill/>
        </a:ln>
        <a:effectLst/>
      </c:spPr>
    </c:plotArea>
    <c:legend>
      <c:legendPos val="t"/>
      <c:layout>
        <c:manualLayout>
          <c:xMode val="edge"/>
          <c:yMode val="edge"/>
          <c:x val="0.014795265276748"/>
          <c:y val="0.0291616038882139"/>
          <c:w val="0.985204734723252"/>
          <c:h val="0.138734991054429"/>
        </c:manualLayout>
      </c:layout>
      <c:overlay val="0"/>
      <c:spPr>
        <a:noFill/>
        <a:ln>
          <a:noFill/>
        </a:ln>
        <a:effectLst/>
      </c:spPr>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legend>
    <c:plotVisOnly val="1"/>
    <c:dispBlanksAs val="gap"/>
    <c:showDLblsOverMax val="0"/>
    <c:extLst>
      <c:ext uri="{0b15fc19-7d7d-44ad-8c2d-2c3a37ce22c3}">
        <chartProps xmlns="https://web.wps.cn/et/2018/main" chartId="{24180db2-9ddf-410a-b5d5-5430d8ddccfa}"/>
      </c:ext>
    </c:extLst>
  </c:chart>
  <c:spPr>
    <a:solidFill>
      <a:schemeClr val="bg1"/>
    </a:solidFill>
    <a:ln w="9525" cap="flat" cmpd="sng" algn="ctr">
      <a:noFill/>
      <a:round/>
    </a:ln>
    <a:effectLst/>
  </c:spPr>
  <c:txPr>
    <a:bodyPr/>
    <a:lstStyle/>
    <a:p>
      <a:pPr>
        <a:defRPr lang="zh-CN" sz="600" baseline="0">
          <a:solidFill>
            <a:sysClr val="windowText" lastClr="000000"/>
          </a:solidFill>
        </a:defRPr>
      </a:pPr>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250521139292582"/>
          <c:w val="0.931162239562145"/>
          <c:h val="0.619563915385425"/>
        </c:manualLayout>
      </c:layout>
      <c:barChart>
        <c:barDir val="col"/>
        <c:grouping val="percentStacked"/>
        <c:varyColors val="0"/>
        <c:ser>
          <c:idx val="0"/>
          <c:order val="0"/>
          <c:tx>
            <c:strRef>
              <c:f>喷气式飞机市场份额图!$B$144</c:f>
              <c:strCache>
                <c:ptCount val="1"/>
                <c:pt idx="0">
                  <c:v>Textron Aviation (Beechcraft)</c:v>
                </c:pt>
              </c:strCache>
            </c:strRef>
          </c:tx>
          <c:spPr>
            <a:solidFill>
              <a:srgbClr val="C00000"/>
            </a:solidFill>
            <a:ln>
              <a:noFill/>
            </a:ln>
            <a:effectLst/>
          </c:spPr>
          <c:invertIfNegative val="0"/>
          <c:dLbls>
            <c:delete val="1"/>
          </c:dLbls>
          <c:cat>
            <c:numRef>
              <c:f>喷气式飞机市场份额图!$C$143:$AB$143</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喷气式飞机市场份额图!$C$144:$AB$144</c:f>
              <c:numCache>
                <c:formatCode>General</c:formatCode>
                <c:ptCount val="26"/>
                <c:pt idx="0">
                  <c:v>118</c:v>
                </c:pt>
                <c:pt idx="1">
                  <c:v>98</c:v>
                </c:pt>
                <c:pt idx="2">
                  <c:v>94</c:v>
                </c:pt>
                <c:pt idx="3">
                  <c:v>100</c:v>
                </c:pt>
                <c:pt idx="4">
                  <c:v>115</c:v>
                </c:pt>
                <c:pt idx="5">
                  <c:v>141</c:v>
                </c:pt>
                <c:pt idx="6">
                  <c:v>140</c:v>
                </c:pt>
                <c:pt idx="7">
                  <c:v>162</c:v>
                </c:pt>
                <c:pt idx="8">
                  <c:v>160</c:v>
                </c:pt>
                <c:pt idx="9">
                  <c:v>98</c:v>
                </c:pt>
                <c:pt idx="10">
                  <c:v>73</c:v>
                </c:pt>
                <c:pt idx="11">
                  <c:v>52</c:v>
                </c:pt>
                <c:pt idx="12">
                  <c:v>32</c:v>
                </c:pt>
                <c:pt idx="13">
                  <c:v>6</c:v>
                </c:pt>
                <c:pt idx="14">
                  <c:v>0</c:v>
                </c:pt>
                <c:pt idx="15">
                  <c:v>0</c:v>
                </c:pt>
                <c:pt idx="16">
                  <c:v>0</c:v>
                </c:pt>
                <c:pt idx="17">
                  <c:v>0</c:v>
                </c:pt>
                <c:pt idx="18">
                  <c:v>0</c:v>
                </c:pt>
                <c:pt idx="19">
                  <c:v>0</c:v>
                </c:pt>
                <c:pt idx="20">
                  <c:v>0</c:v>
                </c:pt>
                <c:pt idx="21">
                  <c:v>0</c:v>
                </c:pt>
                <c:pt idx="22">
                  <c:v>0</c:v>
                </c:pt>
                <c:pt idx="23">
                  <c:v>0</c:v>
                </c:pt>
                <c:pt idx="24">
                  <c:v>0</c:v>
                </c:pt>
                <c:pt idx="25">
                  <c:v>0</c:v>
                </c:pt>
              </c:numCache>
            </c:numRef>
          </c:val>
        </c:ser>
        <c:ser>
          <c:idx val="1"/>
          <c:order val="1"/>
          <c:tx>
            <c:strRef>
              <c:f>喷气式飞机市场份额图!$B$145</c:f>
              <c:strCache>
                <c:ptCount val="1"/>
                <c:pt idx="0">
                  <c:v>Textron Aviation (Cessna Aircraft)</c:v>
                </c:pt>
              </c:strCache>
            </c:strRef>
          </c:tx>
          <c:spPr>
            <a:solidFill>
              <a:srgbClr val="666666"/>
            </a:solidFill>
            <a:ln>
              <a:noFill/>
            </a:ln>
            <a:effectLst/>
          </c:spPr>
          <c:invertIfNegative val="0"/>
          <c:dLbls>
            <c:delete val="1"/>
          </c:dLbls>
          <c:cat>
            <c:numRef>
              <c:f>喷气式飞机市场份额图!$C$143:$AB$143</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喷气式飞机市场份额图!$C$145:$AB$145</c:f>
              <c:numCache>
                <c:formatCode>General</c:formatCode>
                <c:ptCount val="26"/>
                <c:pt idx="0">
                  <c:v>252</c:v>
                </c:pt>
                <c:pt idx="1">
                  <c:v>306</c:v>
                </c:pt>
                <c:pt idx="2">
                  <c:v>305</c:v>
                </c:pt>
                <c:pt idx="3">
                  <c:v>196</c:v>
                </c:pt>
                <c:pt idx="4">
                  <c:v>181</c:v>
                </c:pt>
                <c:pt idx="5">
                  <c:v>247</c:v>
                </c:pt>
                <c:pt idx="6">
                  <c:v>307</c:v>
                </c:pt>
                <c:pt idx="7">
                  <c:v>388</c:v>
                </c:pt>
                <c:pt idx="8">
                  <c:v>466</c:v>
                </c:pt>
                <c:pt idx="9">
                  <c:v>289</c:v>
                </c:pt>
                <c:pt idx="10">
                  <c:v>178</c:v>
                </c:pt>
                <c:pt idx="11">
                  <c:v>183</c:v>
                </c:pt>
                <c:pt idx="12">
                  <c:v>181</c:v>
                </c:pt>
                <c:pt idx="13">
                  <c:v>139</c:v>
                </c:pt>
                <c:pt idx="14">
                  <c:v>159</c:v>
                </c:pt>
                <c:pt idx="15">
                  <c:v>166</c:v>
                </c:pt>
                <c:pt idx="16">
                  <c:v>178</c:v>
                </c:pt>
                <c:pt idx="17">
                  <c:v>180</c:v>
                </c:pt>
                <c:pt idx="18">
                  <c:v>188</c:v>
                </c:pt>
                <c:pt idx="19">
                  <c:v>206</c:v>
                </c:pt>
                <c:pt idx="20">
                  <c:v>132</c:v>
                </c:pt>
                <c:pt idx="21">
                  <c:v>167</c:v>
                </c:pt>
                <c:pt idx="22">
                  <c:v>178</c:v>
                </c:pt>
                <c:pt idx="23">
                  <c:v>168</c:v>
                </c:pt>
                <c:pt idx="24">
                  <c:v>151</c:v>
                </c:pt>
                <c:pt idx="25">
                  <c:v>171</c:v>
                </c:pt>
              </c:numCache>
            </c:numRef>
          </c:val>
        </c:ser>
        <c:ser>
          <c:idx val="2"/>
          <c:order val="2"/>
          <c:tx>
            <c:strRef>
              <c:f>喷气式飞机市场份额图!$B$146</c:f>
              <c:strCache>
                <c:ptCount val="1"/>
                <c:pt idx="0">
                  <c:v>ONE Aviation Corp. (prev. Eclipse Aero)</c:v>
                </c:pt>
              </c:strCache>
            </c:strRef>
          </c:tx>
          <c:spPr>
            <a:solidFill>
              <a:srgbClr val="E6B9B8"/>
            </a:solidFill>
            <a:ln w="9525" cap="flat" cmpd="sng">
              <a:noFill/>
              <a:prstDash val="solid"/>
            </a:ln>
            <a:effectLst/>
            <a:sp3d contourW="9525"/>
          </c:spPr>
          <c:invertIfNegative val="0"/>
          <c:dLbls>
            <c:delete val="1"/>
          </c:dLbls>
          <c:cat>
            <c:numRef>
              <c:f>喷气式飞机市场份额图!$C$143:$AB$143</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喷气式飞机市场份额图!$C$146:$AB$146</c:f>
              <c:numCache>
                <c:formatCode>General</c:formatCode>
                <c:ptCount val="26"/>
                <c:pt idx="0">
                  <c:v>0</c:v>
                </c:pt>
                <c:pt idx="1">
                  <c:v>0</c:v>
                </c:pt>
                <c:pt idx="2">
                  <c:v>0</c:v>
                </c:pt>
                <c:pt idx="3">
                  <c:v>0</c:v>
                </c:pt>
                <c:pt idx="4">
                  <c:v>0</c:v>
                </c:pt>
                <c:pt idx="5">
                  <c:v>0</c:v>
                </c:pt>
                <c:pt idx="6">
                  <c:v>1</c:v>
                </c:pt>
                <c:pt idx="7">
                  <c:v>98</c:v>
                </c:pt>
                <c:pt idx="8">
                  <c:v>161</c:v>
                </c:pt>
                <c:pt idx="9">
                  <c:v>0</c:v>
                </c:pt>
                <c:pt idx="10">
                  <c:v>0</c:v>
                </c:pt>
                <c:pt idx="11">
                  <c:v>0</c:v>
                </c:pt>
                <c:pt idx="12">
                  <c:v>0</c:v>
                </c:pt>
                <c:pt idx="13">
                  <c:v>0</c:v>
                </c:pt>
                <c:pt idx="14">
                  <c:v>12</c:v>
                </c:pt>
                <c:pt idx="15">
                  <c:v>7</c:v>
                </c:pt>
                <c:pt idx="16">
                  <c:v>8</c:v>
                </c:pt>
                <c:pt idx="17">
                  <c:v>6</c:v>
                </c:pt>
                <c:pt idx="18">
                  <c:v>0</c:v>
                </c:pt>
                <c:pt idx="19">
                  <c:v>0</c:v>
                </c:pt>
                <c:pt idx="20">
                  <c:v>0</c:v>
                </c:pt>
                <c:pt idx="21">
                  <c:v>0</c:v>
                </c:pt>
                <c:pt idx="22">
                  <c:v>0</c:v>
                </c:pt>
                <c:pt idx="23">
                  <c:v>2</c:v>
                </c:pt>
                <c:pt idx="24">
                  <c:v>0</c:v>
                </c:pt>
                <c:pt idx="25">
                  <c:v>0</c:v>
                </c:pt>
              </c:numCache>
            </c:numRef>
          </c:val>
        </c:ser>
        <c:ser>
          <c:idx val="3"/>
          <c:order val="3"/>
          <c:tx>
            <c:strRef>
              <c:f>喷气式飞机市场份额图!$B$147</c:f>
              <c:strCache>
                <c:ptCount val="1"/>
                <c:pt idx="0">
                  <c:v>Gulfstream Aerospace Corporation</c:v>
                </c:pt>
              </c:strCache>
            </c:strRef>
          </c:tx>
          <c:spPr>
            <a:solidFill>
              <a:srgbClr val="999999"/>
            </a:solidFill>
            <a:ln>
              <a:noFill/>
            </a:ln>
            <a:effectLst/>
          </c:spPr>
          <c:invertIfNegative val="0"/>
          <c:dLbls>
            <c:delete val="1"/>
          </c:dLbls>
          <c:cat>
            <c:numRef>
              <c:f>喷气式飞机市场份额图!$C$143:$AB$143</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喷气式飞机市场份额图!$C$147:$AB$147</c:f>
              <c:numCache>
                <c:formatCode>General</c:formatCode>
                <c:ptCount val="26"/>
                <c:pt idx="0">
                  <c:v>88</c:v>
                </c:pt>
                <c:pt idx="1">
                  <c:v>101</c:v>
                </c:pt>
                <c:pt idx="2">
                  <c:v>85</c:v>
                </c:pt>
                <c:pt idx="3">
                  <c:v>74</c:v>
                </c:pt>
                <c:pt idx="4">
                  <c:v>78</c:v>
                </c:pt>
                <c:pt idx="5">
                  <c:v>89</c:v>
                </c:pt>
                <c:pt idx="6">
                  <c:v>113</c:v>
                </c:pt>
                <c:pt idx="7">
                  <c:v>138</c:v>
                </c:pt>
                <c:pt idx="8">
                  <c:v>156</c:v>
                </c:pt>
                <c:pt idx="9">
                  <c:v>94</c:v>
                </c:pt>
                <c:pt idx="10">
                  <c:v>99</c:v>
                </c:pt>
                <c:pt idx="11">
                  <c:v>99</c:v>
                </c:pt>
                <c:pt idx="12">
                  <c:v>94</c:v>
                </c:pt>
                <c:pt idx="13">
                  <c:v>144</c:v>
                </c:pt>
                <c:pt idx="14">
                  <c:v>150</c:v>
                </c:pt>
                <c:pt idx="15">
                  <c:v>154</c:v>
                </c:pt>
                <c:pt idx="16">
                  <c:v>121</c:v>
                </c:pt>
                <c:pt idx="17">
                  <c:v>120</c:v>
                </c:pt>
                <c:pt idx="18">
                  <c:v>121</c:v>
                </c:pt>
                <c:pt idx="19">
                  <c:v>147</c:v>
                </c:pt>
                <c:pt idx="20">
                  <c:v>127</c:v>
                </c:pt>
                <c:pt idx="21">
                  <c:v>119</c:v>
                </c:pt>
                <c:pt idx="22">
                  <c:v>120</c:v>
                </c:pt>
                <c:pt idx="23">
                  <c:v>111</c:v>
                </c:pt>
                <c:pt idx="24">
                  <c:v>136</c:v>
                </c:pt>
                <c:pt idx="25">
                  <c:v>158</c:v>
                </c:pt>
              </c:numCache>
            </c:numRef>
          </c:val>
        </c:ser>
        <c:ser>
          <c:idx val="4"/>
          <c:order val="4"/>
          <c:tx>
            <c:strRef>
              <c:f>喷气式飞机市场份额图!$B$148</c:f>
              <c:strCache>
                <c:ptCount val="1"/>
                <c:pt idx="0">
                  <c:v>Embraer</c:v>
                </c:pt>
              </c:strCache>
            </c:strRef>
          </c:tx>
          <c:spPr>
            <a:solidFill>
              <a:srgbClr val="996633"/>
            </a:solidFill>
            <a:ln>
              <a:noFill/>
            </a:ln>
            <a:effectLst/>
          </c:spPr>
          <c:invertIfNegative val="0"/>
          <c:dLbls>
            <c:delete val="1"/>
          </c:dLbls>
          <c:cat>
            <c:numRef>
              <c:f>喷气式飞机市场份额图!$C$143:$AB$143</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喷气式飞机市场份额图!$C$148:$AB$148</c:f>
              <c:numCache>
                <c:formatCode>General</c:formatCode>
                <c:ptCount val="26"/>
                <c:pt idx="0">
                  <c:v>0</c:v>
                </c:pt>
                <c:pt idx="1">
                  <c:v>0</c:v>
                </c:pt>
                <c:pt idx="2">
                  <c:v>8</c:v>
                </c:pt>
                <c:pt idx="3">
                  <c:v>13</c:v>
                </c:pt>
                <c:pt idx="4">
                  <c:v>13</c:v>
                </c:pt>
                <c:pt idx="5">
                  <c:v>20</c:v>
                </c:pt>
                <c:pt idx="6">
                  <c:v>27</c:v>
                </c:pt>
                <c:pt idx="7">
                  <c:v>36</c:v>
                </c:pt>
                <c:pt idx="8">
                  <c:v>38</c:v>
                </c:pt>
                <c:pt idx="9">
                  <c:v>122</c:v>
                </c:pt>
                <c:pt idx="10">
                  <c:v>145</c:v>
                </c:pt>
                <c:pt idx="11">
                  <c:v>99</c:v>
                </c:pt>
                <c:pt idx="12">
                  <c:v>99</c:v>
                </c:pt>
                <c:pt idx="13">
                  <c:v>119</c:v>
                </c:pt>
                <c:pt idx="14">
                  <c:v>116</c:v>
                </c:pt>
                <c:pt idx="15">
                  <c:v>120</c:v>
                </c:pt>
                <c:pt idx="16">
                  <c:v>117</c:v>
                </c:pt>
                <c:pt idx="17">
                  <c:v>109</c:v>
                </c:pt>
                <c:pt idx="18">
                  <c:v>91</c:v>
                </c:pt>
                <c:pt idx="19">
                  <c:v>109</c:v>
                </c:pt>
                <c:pt idx="20">
                  <c:v>86</c:v>
                </c:pt>
                <c:pt idx="21">
                  <c:v>93</c:v>
                </c:pt>
                <c:pt idx="22">
                  <c:v>102</c:v>
                </c:pt>
                <c:pt idx="23">
                  <c:v>115</c:v>
                </c:pt>
                <c:pt idx="24">
                  <c:v>130</c:v>
                </c:pt>
                <c:pt idx="25">
                  <c:v>155</c:v>
                </c:pt>
              </c:numCache>
            </c:numRef>
          </c:val>
        </c:ser>
        <c:ser>
          <c:idx val="5"/>
          <c:order val="5"/>
          <c:tx>
            <c:strRef>
              <c:f>喷气式飞机市场份额图!$B$149</c:f>
              <c:strCache>
                <c:ptCount val="1"/>
                <c:pt idx="0">
                  <c:v>Dassault Aviation</c:v>
                </c:pt>
              </c:strCache>
            </c:strRef>
          </c:tx>
          <c:spPr>
            <a:solidFill>
              <a:srgbClr val="E7D6B5"/>
            </a:solidFill>
            <a:ln>
              <a:noFill/>
            </a:ln>
            <a:effectLst/>
          </c:spPr>
          <c:invertIfNegative val="0"/>
          <c:dLbls>
            <c:delete val="1"/>
          </c:dLbls>
          <c:cat>
            <c:numRef>
              <c:f>喷气式飞机市场份额图!$C$143:$AB$143</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喷气式飞机市场份额图!$C$149:$AB$149</c:f>
              <c:numCache>
                <c:formatCode>General</c:formatCode>
                <c:ptCount val="26"/>
                <c:pt idx="0">
                  <c:v>73</c:v>
                </c:pt>
                <c:pt idx="1">
                  <c:v>75</c:v>
                </c:pt>
                <c:pt idx="2">
                  <c:v>66</c:v>
                </c:pt>
                <c:pt idx="3">
                  <c:v>49</c:v>
                </c:pt>
                <c:pt idx="4">
                  <c:v>63</c:v>
                </c:pt>
                <c:pt idx="5">
                  <c:v>51</c:v>
                </c:pt>
                <c:pt idx="6">
                  <c:v>61</c:v>
                </c:pt>
                <c:pt idx="7">
                  <c:v>70</c:v>
                </c:pt>
                <c:pt idx="8">
                  <c:v>72</c:v>
                </c:pt>
                <c:pt idx="9">
                  <c:v>77</c:v>
                </c:pt>
                <c:pt idx="10">
                  <c:v>95</c:v>
                </c:pt>
                <c:pt idx="11">
                  <c:v>63</c:v>
                </c:pt>
                <c:pt idx="12">
                  <c:v>66</c:v>
                </c:pt>
                <c:pt idx="13">
                  <c:v>77</c:v>
                </c:pt>
                <c:pt idx="14">
                  <c:v>66</c:v>
                </c:pt>
                <c:pt idx="15">
                  <c:v>55</c:v>
                </c:pt>
                <c:pt idx="16">
                  <c:v>49</c:v>
                </c:pt>
                <c:pt idx="17">
                  <c:v>49</c:v>
                </c:pt>
                <c:pt idx="18">
                  <c:v>41</c:v>
                </c:pt>
                <c:pt idx="19">
                  <c:v>40</c:v>
                </c:pt>
                <c:pt idx="20">
                  <c:v>34</c:v>
                </c:pt>
                <c:pt idx="21">
                  <c:v>30</c:v>
                </c:pt>
                <c:pt idx="22">
                  <c:v>32</c:v>
                </c:pt>
                <c:pt idx="23">
                  <c:v>26</c:v>
                </c:pt>
                <c:pt idx="24">
                  <c:v>31</c:v>
                </c:pt>
                <c:pt idx="25">
                  <c:v>37</c:v>
                </c:pt>
              </c:numCache>
            </c:numRef>
          </c:val>
        </c:ser>
        <c:ser>
          <c:idx val="6"/>
          <c:order val="6"/>
          <c:tx>
            <c:strRef>
              <c:f>喷气式飞机市场份额图!$B$150</c:f>
              <c:strCache>
                <c:ptCount val="1"/>
                <c:pt idx="0">
                  <c:v>Cirrus Aircraft</c:v>
                </c:pt>
              </c:strCache>
            </c:strRef>
          </c:tx>
          <c:spPr>
            <a:solidFill>
              <a:schemeClr val="accent4">
                <a:lumMod val="75000"/>
              </a:schemeClr>
            </a:solidFill>
            <a:ln>
              <a:noFill/>
            </a:ln>
            <a:effectLst/>
          </c:spPr>
          <c:invertIfNegative val="0"/>
          <c:dLbls>
            <c:delete val="1"/>
          </c:dLbls>
          <c:cat>
            <c:numRef>
              <c:f>喷气式飞机市场份额图!$C$143:$AB$143</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喷气式飞机市场份额图!$C$150:$AB$150</c:f>
              <c:numCache>
                <c:formatCode>General</c:formatCode>
                <c:ptCount val="26"/>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3</c:v>
                </c:pt>
                <c:pt idx="17">
                  <c:v>22</c:v>
                </c:pt>
                <c:pt idx="18">
                  <c:v>63</c:v>
                </c:pt>
                <c:pt idx="19">
                  <c:v>81</c:v>
                </c:pt>
                <c:pt idx="20">
                  <c:v>73</c:v>
                </c:pt>
                <c:pt idx="21">
                  <c:v>86</c:v>
                </c:pt>
                <c:pt idx="22">
                  <c:v>90</c:v>
                </c:pt>
                <c:pt idx="23">
                  <c:v>96</c:v>
                </c:pt>
                <c:pt idx="24">
                  <c:v>101</c:v>
                </c:pt>
                <c:pt idx="25">
                  <c:v>106</c:v>
                </c:pt>
              </c:numCache>
            </c:numRef>
          </c:val>
        </c:ser>
        <c:ser>
          <c:idx val="7"/>
          <c:order val="7"/>
          <c:tx>
            <c:strRef>
              <c:f>喷气式飞机市场份额图!$B$151</c:f>
              <c:strCache>
                <c:ptCount val="1"/>
                <c:pt idx="0">
                  <c:v>Bombardier</c:v>
                </c:pt>
              </c:strCache>
            </c:strRef>
          </c:tx>
          <c:spPr>
            <a:solidFill>
              <a:schemeClr val="accent3">
                <a:lumMod val="60000"/>
                <a:lumOff val="40000"/>
              </a:schemeClr>
            </a:solidFill>
            <a:ln>
              <a:noFill/>
            </a:ln>
            <a:effectLst/>
          </c:spPr>
          <c:invertIfNegative val="0"/>
          <c:dLbls>
            <c:delete val="1"/>
          </c:dLbls>
          <c:cat>
            <c:numRef>
              <c:f>喷气式飞机市场份额图!$C$143:$AB$143</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喷气式飞机市场份额图!$C$151:$AB$151</c:f>
              <c:numCache>
                <c:formatCode>General</c:formatCode>
                <c:ptCount val="26"/>
                <c:pt idx="0">
                  <c:v>207</c:v>
                </c:pt>
                <c:pt idx="1">
                  <c:v>179</c:v>
                </c:pt>
                <c:pt idx="2">
                  <c:v>101</c:v>
                </c:pt>
                <c:pt idx="3">
                  <c:v>70</c:v>
                </c:pt>
                <c:pt idx="4">
                  <c:v>129</c:v>
                </c:pt>
                <c:pt idx="5">
                  <c:v>188</c:v>
                </c:pt>
                <c:pt idx="6">
                  <c:v>213</c:v>
                </c:pt>
                <c:pt idx="7">
                  <c:v>224</c:v>
                </c:pt>
                <c:pt idx="8">
                  <c:v>247</c:v>
                </c:pt>
                <c:pt idx="9">
                  <c:v>173</c:v>
                </c:pt>
                <c:pt idx="10">
                  <c:v>150</c:v>
                </c:pt>
                <c:pt idx="11">
                  <c:v>182</c:v>
                </c:pt>
                <c:pt idx="12">
                  <c:v>179</c:v>
                </c:pt>
                <c:pt idx="13">
                  <c:v>180</c:v>
                </c:pt>
                <c:pt idx="14">
                  <c:v>204</c:v>
                </c:pt>
                <c:pt idx="15">
                  <c:v>199</c:v>
                </c:pt>
                <c:pt idx="16">
                  <c:v>162</c:v>
                </c:pt>
                <c:pt idx="17">
                  <c:v>138</c:v>
                </c:pt>
                <c:pt idx="18">
                  <c:v>137</c:v>
                </c:pt>
                <c:pt idx="19">
                  <c:v>142</c:v>
                </c:pt>
                <c:pt idx="20">
                  <c:v>114</c:v>
                </c:pt>
                <c:pt idx="21">
                  <c:v>120</c:v>
                </c:pt>
                <c:pt idx="22">
                  <c:v>123</c:v>
                </c:pt>
                <c:pt idx="23">
                  <c:v>138</c:v>
                </c:pt>
                <c:pt idx="24">
                  <c:v>146</c:v>
                </c:pt>
                <c:pt idx="25">
                  <c:v>157</c:v>
                </c:pt>
              </c:numCache>
            </c:numRef>
          </c:val>
        </c:ser>
        <c:ser>
          <c:idx val="8"/>
          <c:order val="8"/>
          <c:tx>
            <c:strRef>
              <c:f>喷气式飞机市场份额图!$B$152</c:f>
              <c:strCache>
                <c:ptCount val="1"/>
                <c:pt idx="0">
                  <c:v>Others</c:v>
                </c:pt>
              </c:strCache>
            </c:strRef>
          </c:tx>
          <c:spPr>
            <a:solidFill>
              <a:schemeClr val="accent3">
                <a:lumMod val="60000"/>
              </a:schemeClr>
            </a:solidFill>
            <a:ln>
              <a:solidFill>
                <a:schemeClr val="bg1"/>
              </a:solidFill>
            </a:ln>
            <a:effectLst/>
          </c:spPr>
          <c:invertIfNegative val="0"/>
          <c:dLbls>
            <c:delete val="1"/>
          </c:dLbls>
          <c:cat>
            <c:numRef>
              <c:f>喷气式飞机市场份额图!$C$143:$AB$143</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喷气式飞机市场份额图!$C$152:$AB$152</c:f>
              <c:numCache>
                <c:formatCode>_(* #,##0_);_(* \(#,##0\);_(* "-"??_);_(@_)</c:formatCode>
                <c:ptCount val="26"/>
                <c:pt idx="0">
                  <c:v>132</c:v>
                </c:pt>
                <c:pt idx="1">
                  <c:v>123</c:v>
                </c:pt>
                <c:pt idx="2">
                  <c:v>111</c:v>
                </c:pt>
                <c:pt idx="3">
                  <c:v>116</c:v>
                </c:pt>
                <c:pt idx="4">
                  <c:v>127</c:v>
                </c:pt>
                <c:pt idx="5">
                  <c:v>155</c:v>
                </c:pt>
                <c:pt idx="6">
                  <c:v>165</c:v>
                </c:pt>
                <c:pt idx="7">
                  <c:v>183</c:v>
                </c:pt>
                <c:pt idx="8">
                  <c:v>177</c:v>
                </c:pt>
                <c:pt idx="9">
                  <c:v>119</c:v>
                </c:pt>
                <c:pt idx="10">
                  <c:v>100</c:v>
                </c:pt>
                <c:pt idx="11">
                  <c:v>70</c:v>
                </c:pt>
                <c:pt idx="12">
                  <c:v>53</c:v>
                </c:pt>
                <c:pt idx="13">
                  <c:v>19</c:v>
                </c:pt>
                <c:pt idx="14">
                  <c:v>15</c:v>
                </c:pt>
                <c:pt idx="15">
                  <c:v>17</c:v>
                </c:pt>
                <c:pt idx="16">
                  <c:v>28</c:v>
                </c:pt>
                <c:pt idx="17">
                  <c:v>53</c:v>
                </c:pt>
                <c:pt idx="18">
                  <c:v>62</c:v>
                </c:pt>
                <c:pt idx="19">
                  <c:v>84</c:v>
                </c:pt>
                <c:pt idx="20">
                  <c:v>78</c:v>
                </c:pt>
                <c:pt idx="21">
                  <c:v>95</c:v>
                </c:pt>
                <c:pt idx="22">
                  <c:v>67</c:v>
                </c:pt>
                <c:pt idx="23">
                  <c:v>74</c:v>
                </c:pt>
                <c:pt idx="24">
                  <c:v>69</c:v>
                </c:pt>
                <c:pt idx="25" c:formatCode="General">
                  <c:v>70</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legendEntry>
      <c:legendEntry>
        <c:idx val="1"/>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legendEntry>
      <c:legendEntry>
        <c:idx val="2"/>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legendEntry>
      <c:legendEntry>
        <c:idx val="3"/>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legendEntry>
      <c:legendEntry>
        <c:idx val="4"/>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legendEntry>
      <c:legendEntry>
        <c:idx val="5"/>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legendEntry>
      <c:legendEntry>
        <c:idx val="6"/>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legendEntry>
      <c:legendEntry>
        <c:idx val="7"/>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legendEntry>
      <c:layout>
        <c:manualLayout>
          <c:xMode val="edge"/>
          <c:yMode val="edge"/>
          <c:x val="0.0147952755905512"/>
          <c:y val="0.0245319245654985"/>
          <c:w val="0.985204734723252"/>
          <c:h val="0.138734991054429"/>
        </c:manualLayout>
      </c:layout>
      <c:overlay val="0"/>
      <c:spPr>
        <a:noFill/>
        <a:ln>
          <a:noFill/>
        </a:ln>
        <a:effectLst/>
      </c:spPr>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legend>
    <c:plotVisOnly val="1"/>
    <c:dispBlanksAs val="gap"/>
    <c:showDLblsOverMax val="0"/>
    <c:extLst>
      <c:ext uri="{0b15fc19-7d7d-44ad-8c2d-2c3a37ce22c3}">
        <chartProps xmlns="https://web.wps.cn/et/2018/main" chartId="{24180db2-9ddf-410a-b5d5-5430d8ddccfa}"/>
      </c:ext>
    </c:extLst>
  </c:chart>
  <c:spPr>
    <a:solidFill>
      <a:schemeClr val="bg1"/>
    </a:solidFill>
    <a:ln w="9525" cap="flat" cmpd="sng" algn="ctr">
      <a:noFill/>
      <a:round/>
    </a:ln>
    <a:effectLst/>
  </c:spPr>
  <c:txPr>
    <a:bodyPr/>
    <a:lstStyle/>
    <a:p>
      <a:pPr>
        <a:defRPr lang="zh-CN" sz="600" baseline="0">
          <a:solidFill>
            <a:sysClr val="windowText" lastClr="000000"/>
          </a:solidFill>
        </a:defRPr>
      </a:pPr>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Sheet1!$B$1</c:f>
              <c:strCache>
                <c:ptCount val="1"/>
                <c:pt idx="0">
                  <c:v>2024</c:v>
                </c:pt>
              </c:strCache>
            </c:strRef>
          </c:tx>
          <c:spPr>
            <a:solidFill>
              <a:schemeClr val="accent1">
                <a:lumMod val="75000"/>
              </a:schemeClr>
            </a:solidFill>
            <a:ln>
              <a:noFill/>
            </a:ln>
            <a:effectLst/>
          </c:spPr>
          <c:invertIfNegative val="0"/>
          <c:dLbls>
            <c:delete val="1"/>
          </c:dLbls>
          <c:cat>
            <c:strRef>
              <c:f>Sheet1!$A$2:$A$5</c:f>
              <c:strCache>
                <c:ptCount val="4"/>
                <c:pt idx="0">
                  <c:v>Q1</c:v>
                </c:pt>
                <c:pt idx="1">
                  <c:v>Q2</c:v>
                </c:pt>
                <c:pt idx="2">
                  <c:v>Q3</c:v>
                </c:pt>
                <c:pt idx="3">
                  <c:v>Q4</c:v>
                </c:pt>
              </c:strCache>
            </c:strRef>
          </c:cat>
          <c:val>
            <c:numRef>
              <c:f>Sheet1!$B$2:$B$5</c:f>
              <c:numCache>
                <c:formatCode>General</c:formatCode>
                <c:ptCount val="4"/>
                <c:pt idx="0">
                  <c:v>531</c:v>
                </c:pt>
                <c:pt idx="1">
                  <c:v>842</c:v>
                </c:pt>
                <c:pt idx="2">
                  <c:v>796</c:v>
                </c:pt>
                <c:pt idx="3">
                  <c:v>993</c:v>
                </c:pt>
              </c:numCache>
            </c:numRef>
          </c:val>
        </c:ser>
        <c:ser>
          <c:idx val="1"/>
          <c:order val="1"/>
          <c:tx>
            <c:strRef>
              <c:f>Sheet1!$C$1</c:f>
              <c:strCache>
                <c:ptCount val="1"/>
                <c:pt idx="0">
                  <c:v>2025</c:v>
                </c:pt>
              </c:strCache>
            </c:strRef>
          </c:tx>
          <c:spPr>
            <a:solidFill>
              <a:schemeClr val="accent3"/>
            </a:solidFill>
            <a:ln>
              <a:noFill/>
            </a:ln>
            <a:effectLst/>
          </c:spPr>
          <c:invertIfNegative val="0"/>
          <c:dLbls>
            <c:delete val="1"/>
          </c:dLbls>
          <c:cat>
            <c:strRef>
              <c:f>Sheet1!$A$2:$A$5</c:f>
              <c:strCache>
                <c:ptCount val="4"/>
                <c:pt idx="0">
                  <c:v>Q1</c:v>
                </c:pt>
                <c:pt idx="1">
                  <c:v>Q2</c:v>
                </c:pt>
                <c:pt idx="2">
                  <c:v>Q3</c:v>
                </c:pt>
                <c:pt idx="3">
                  <c:v>Q4</c:v>
                </c:pt>
              </c:strCache>
            </c:strRef>
          </c:cat>
          <c:val>
            <c:numRef>
              <c:f>Sheet1!$C$2:$C$5</c:f>
              <c:numCache>
                <c:formatCode>General</c:formatCode>
                <c:ptCount val="4"/>
                <c:pt idx="0">
                  <c:v>632</c:v>
                </c:pt>
                <c:pt idx="1">
                  <c:v>801</c:v>
                </c:pt>
                <c:pt idx="2">
                  <c:v>770</c:v>
                </c:pt>
                <c:pt idx="3" c:formatCode="#,##0">
                  <c:v>1027</c:v>
                </c:pt>
              </c:numCache>
            </c:numRef>
          </c:val>
        </c:ser>
        <c:dLbls>
          <c:showLegendKey val="0"/>
          <c:showVal val="0"/>
          <c:showCatName val="0"/>
          <c:showSerName val="0"/>
          <c:showPercent val="0"/>
          <c:showBubbleSize val="0"/>
        </c:dLbls>
        <c:gapWidth val="219"/>
        <c:overlap val="-27"/>
        <c:axId val="1711145183"/>
        <c:axId val="1711146143"/>
      </c:barChart>
      <c:catAx>
        <c:axId val="171114518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p>
        </c:txPr>
        <c:crossAx val="1711146143"/>
        <c:crosses val="autoZero"/>
        <c:auto val="1"/>
        <c:lblAlgn val="ctr"/>
        <c:lblOffset val="100"/>
        <c:noMultiLvlLbl val="0"/>
      </c:catAx>
      <c:valAx>
        <c:axId val="1711146143"/>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p>
        </c:txPr>
        <c:crossAx val="1711145183"/>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p>
      </c:txPr>
    </c:legend>
    <c:plotVisOnly val="1"/>
    <c:dispBlanksAs val="gap"/>
    <c:showDLblsOverMax val="0"/>
    <c:extLst>
      <c:ext uri="{0b15fc19-7d7d-44ad-8c2d-2c3a37ce22c3}">
        <chartProps xmlns="https://web.wps.cn/et/2018/main" chartId="{151698da-ba86-49f4-ba52-9b3a65dc470b}"/>
      </c:ext>
    </c:extLst>
  </c:chart>
  <c:spPr>
    <a:solidFill>
      <a:schemeClr val="bg1"/>
    </a:solidFill>
    <a:ln w="9525" cap="flat" cmpd="sng" algn="ctr">
      <a:noFill/>
      <a:round/>
    </a:ln>
    <a:effectLst/>
  </c:spPr>
  <c:txPr>
    <a:bodyPr/>
    <a:lstStyle/>
    <a:p>
      <a:pPr>
        <a:defRPr lang="zh-CN">
          <a:solidFill>
            <a:sysClr val="windowText" lastClr="000000"/>
          </a:solidFill>
        </a:defRPr>
      </a:pPr>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Sheet1!$B$27</c:f>
              <c:strCache>
                <c:ptCount val="1"/>
                <c:pt idx="0">
                  <c:v>民用直升机</c:v>
                </c:pt>
              </c:strCache>
            </c:strRef>
          </c:tx>
          <c:spPr>
            <a:solidFill>
              <a:schemeClr val="accent1">
                <a:lumMod val="75000"/>
              </a:schemeClr>
            </a:solidFill>
            <a:ln>
              <a:noFill/>
            </a:ln>
            <a:effectLst/>
          </c:spPr>
          <c:invertIfNegative val="0"/>
          <c:dLbls>
            <c:delete val="1"/>
          </c:dLbls>
          <c:cat>
            <c:strRef>
              <c:f>Sheet1!$A$28:$A$35</c:f>
              <c:strCache>
                <c:ptCount val="8"/>
                <c:pt idx="0">
                  <c:v>2024 Q1</c:v>
                </c:pt>
                <c:pt idx="1">
                  <c:v>2024 Q2</c:v>
                </c:pt>
                <c:pt idx="2">
                  <c:v>2024 Q3</c:v>
                </c:pt>
                <c:pt idx="3">
                  <c:v>2024 Q4</c:v>
                </c:pt>
                <c:pt idx="4">
                  <c:v>2025 Q1</c:v>
                </c:pt>
                <c:pt idx="5">
                  <c:v>2025 Q2</c:v>
                </c:pt>
                <c:pt idx="6">
                  <c:v>2025 Q3</c:v>
                </c:pt>
                <c:pt idx="7">
                  <c:v>2025 Q4</c:v>
                </c:pt>
              </c:strCache>
            </c:strRef>
          </c:cat>
          <c:val>
            <c:numRef>
              <c:f>Sheet1!$B$28:$B$35</c:f>
              <c:numCache>
                <c:formatCode>General</c:formatCode>
                <c:ptCount val="8"/>
                <c:pt idx="0">
                  <c:v>169</c:v>
                </c:pt>
                <c:pt idx="1">
                  <c:v>199</c:v>
                </c:pt>
                <c:pt idx="2">
                  <c:v>181</c:v>
                </c:pt>
                <c:pt idx="3">
                  <c:v>276</c:v>
                </c:pt>
                <c:pt idx="4">
                  <c:v>170</c:v>
                </c:pt>
                <c:pt idx="5">
                  <c:v>183</c:v>
                </c:pt>
                <c:pt idx="6">
                  <c:v>176</c:v>
                </c:pt>
                <c:pt idx="7">
                  <c:v>276</c:v>
                </c:pt>
              </c:numCache>
            </c:numRef>
          </c:val>
        </c:ser>
        <c:ser>
          <c:idx val="1"/>
          <c:order val="1"/>
          <c:tx>
            <c:strRef>
              <c:f>Sheet1!$C$27</c:f>
              <c:strCache>
                <c:ptCount val="1"/>
                <c:pt idx="0">
                  <c:v>商用直升机</c:v>
                </c:pt>
              </c:strCache>
            </c:strRef>
          </c:tx>
          <c:spPr>
            <a:solidFill>
              <a:schemeClr val="accent3"/>
            </a:solidFill>
            <a:ln>
              <a:noFill/>
            </a:ln>
            <a:effectLst/>
          </c:spPr>
          <c:invertIfNegative val="0"/>
          <c:dLbls>
            <c:delete val="1"/>
          </c:dLbls>
          <c:cat>
            <c:strRef>
              <c:f>Sheet1!$A$28:$A$35</c:f>
              <c:strCache>
                <c:ptCount val="8"/>
                <c:pt idx="0">
                  <c:v>2024 Q1</c:v>
                </c:pt>
                <c:pt idx="1">
                  <c:v>2024 Q2</c:v>
                </c:pt>
                <c:pt idx="2">
                  <c:v>2024 Q3</c:v>
                </c:pt>
                <c:pt idx="3">
                  <c:v>2024 Q4</c:v>
                </c:pt>
                <c:pt idx="4">
                  <c:v>2025 Q1</c:v>
                </c:pt>
                <c:pt idx="5">
                  <c:v>2025 Q2</c:v>
                </c:pt>
                <c:pt idx="6">
                  <c:v>2025 Q3</c:v>
                </c:pt>
                <c:pt idx="7">
                  <c:v>2025 Q4</c:v>
                </c:pt>
              </c:strCache>
            </c:strRef>
          </c:cat>
          <c:val>
            <c:numRef>
              <c:f>Sheet1!$C$28:$C$35</c:f>
              <c:numCache>
                <c:formatCode>General</c:formatCode>
                <c:ptCount val="8"/>
                <c:pt idx="0">
                  <c:v>15</c:v>
                </c:pt>
                <c:pt idx="1">
                  <c:v>33</c:v>
                </c:pt>
                <c:pt idx="2">
                  <c:v>36</c:v>
                </c:pt>
                <c:pt idx="3">
                  <c:v>47</c:v>
                </c:pt>
                <c:pt idx="4">
                  <c:v>17</c:v>
                </c:pt>
                <c:pt idx="5">
                  <c:v>33</c:v>
                </c:pt>
                <c:pt idx="6">
                  <c:v>33</c:v>
                </c:pt>
                <c:pt idx="7">
                  <c:v>50</c:v>
                </c:pt>
              </c:numCache>
            </c:numRef>
          </c:val>
        </c:ser>
        <c:dLbls>
          <c:showLegendKey val="0"/>
          <c:showVal val="0"/>
          <c:showCatName val="0"/>
          <c:showSerName val="0"/>
          <c:showPercent val="0"/>
          <c:showBubbleSize val="0"/>
        </c:dLbls>
        <c:gapWidth val="219"/>
        <c:overlap val="-27"/>
        <c:axId val="54871647"/>
        <c:axId val="54872127"/>
      </c:barChart>
      <c:catAx>
        <c:axId val="5487164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p>
        </c:txPr>
        <c:crossAx val="54872127"/>
        <c:crosses val="autoZero"/>
        <c:auto val="1"/>
        <c:lblAlgn val="ctr"/>
        <c:lblOffset val="100"/>
        <c:noMultiLvlLbl val="0"/>
      </c:catAx>
      <c:valAx>
        <c:axId val="54872127"/>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p>
        </c:txPr>
        <c:crossAx val="54871647"/>
        <c:crosses val="autoZero"/>
        <c:crossBetween val="between"/>
      </c:valAx>
      <c:spPr>
        <a:noFill/>
        <a:ln>
          <a:noFill/>
        </a:ln>
        <a:effectLst/>
      </c:spPr>
    </c:plotArea>
    <c:legend>
      <c:legendPos val="b"/>
      <c:layout>
        <c:manualLayout>
          <c:xMode val="edge"/>
          <c:yMode val="edge"/>
          <c:x val="0.109111111111111"/>
          <c:y val="0.903194444444444"/>
          <c:w val="0.834555555555556"/>
          <c:h val="0.0690277777777778"/>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ysClr val="windowText" lastClr="000000"/>
              </a:solidFill>
              <a:latin typeface="黑体" panose="02010609060101010101" charset="-122"/>
              <a:ea typeface="黑体" panose="02010609060101010101" charset="-122"/>
              <a:cs typeface="+mn-cs"/>
            </a:defRPr>
          </a:pPr>
        </a:p>
      </c:txPr>
    </c:legend>
    <c:plotVisOnly val="1"/>
    <c:dispBlanksAs val="gap"/>
    <c:showDLblsOverMax val="0"/>
    <c:extLst>
      <c:ext uri="{0b15fc19-7d7d-44ad-8c2d-2c3a37ce22c3}">
        <chartProps xmlns="https://web.wps.cn/et/2018/main" chartId="{188fe82a-1d68-48f1-a33f-f79dfc7320ce}"/>
      </c:ext>
    </c:extLst>
  </c:chart>
  <c:spPr>
    <a:solidFill>
      <a:schemeClr val="bg1"/>
    </a:solidFill>
    <a:ln w="9525" cap="flat" cmpd="sng" algn="ctr">
      <a:noFill/>
      <a:round/>
    </a:ln>
    <a:effectLst/>
  </c:spPr>
  <c:txPr>
    <a:bodyPr/>
    <a:lstStyle/>
    <a:p>
      <a:pPr>
        <a:defRPr lang="zh-CN">
          <a:solidFill>
            <a:sysClr val="windowText" lastClr="000000"/>
          </a:solidFill>
        </a:defRPr>
      </a:pPr>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Sheet1!$B$59</c:f>
              <c:strCache>
                <c:ptCount val="1"/>
                <c:pt idx="0">
                  <c:v>喷气机</c:v>
                </c:pt>
              </c:strCache>
            </c:strRef>
          </c:tx>
          <c:spPr>
            <a:solidFill>
              <a:schemeClr val="accent1">
                <a:lumMod val="75000"/>
              </a:schemeClr>
            </a:solidFill>
            <a:ln>
              <a:noFill/>
            </a:ln>
            <a:effectLst/>
          </c:spPr>
          <c:invertIfNegative val="0"/>
          <c:dLbls>
            <c:delete val="1"/>
          </c:dLbls>
          <c:cat>
            <c:strRef>
              <c:f>Sheet1!$A$60:$A$67</c:f>
              <c:strCache>
                <c:ptCount val="8"/>
                <c:pt idx="0">
                  <c:v>2024 Q1</c:v>
                </c:pt>
                <c:pt idx="1">
                  <c:v>2024 Q2</c:v>
                </c:pt>
                <c:pt idx="2">
                  <c:v>2024 Q3</c:v>
                </c:pt>
                <c:pt idx="3">
                  <c:v>2024 Q4</c:v>
                </c:pt>
                <c:pt idx="4">
                  <c:v>2025 Q1</c:v>
                </c:pt>
                <c:pt idx="5">
                  <c:v>2025 Q2</c:v>
                </c:pt>
                <c:pt idx="6">
                  <c:v>2025 Q3</c:v>
                </c:pt>
                <c:pt idx="7">
                  <c:v>2025 Q4</c:v>
                </c:pt>
              </c:strCache>
            </c:strRef>
          </c:cat>
          <c:val>
            <c:numRef>
              <c:f>Sheet1!$B$60:$B$67</c:f>
              <c:numCache>
                <c:formatCode>General</c:formatCode>
                <c:ptCount val="8"/>
                <c:pt idx="0">
                  <c:v>127</c:v>
                </c:pt>
                <c:pt idx="1">
                  <c:v>195</c:v>
                </c:pt>
                <c:pt idx="2">
                  <c:v>179</c:v>
                </c:pt>
                <c:pt idx="3">
                  <c:v>263</c:v>
                </c:pt>
                <c:pt idx="4">
                  <c:v>141</c:v>
                </c:pt>
                <c:pt idx="5">
                  <c:v>213</c:v>
                </c:pt>
                <c:pt idx="6">
                  <c:v>200</c:v>
                </c:pt>
                <c:pt idx="7">
                  <c:v>300</c:v>
                </c:pt>
              </c:numCache>
            </c:numRef>
          </c:val>
        </c:ser>
        <c:ser>
          <c:idx val="1"/>
          <c:order val="1"/>
          <c:tx>
            <c:strRef>
              <c:f>Sheet1!$C$59</c:f>
              <c:strCache>
                <c:ptCount val="1"/>
                <c:pt idx="0">
                  <c:v>活塞飞机</c:v>
                </c:pt>
              </c:strCache>
            </c:strRef>
          </c:tx>
          <c:spPr>
            <a:solidFill>
              <a:schemeClr val="bg2">
                <a:lumMod val="25000"/>
              </a:schemeClr>
            </a:solidFill>
            <a:ln>
              <a:noFill/>
            </a:ln>
            <a:effectLst/>
          </c:spPr>
          <c:invertIfNegative val="0"/>
          <c:dLbls>
            <c:delete val="1"/>
          </c:dLbls>
          <c:cat>
            <c:strRef>
              <c:f>Sheet1!$A$60:$A$67</c:f>
              <c:strCache>
                <c:ptCount val="8"/>
                <c:pt idx="0">
                  <c:v>2024 Q1</c:v>
                </c:pt>
                <c:pt idx="1">
                  <c:v>2024 Q2</c:v>
                </c:pt>
                <c:pt idx="2">
                  <c:v>2024 Q3</c:v>
                </c:pt>
                <c:pt idx="3">
                  <c:v>2024 Q4</c:v>
                </c:pt>
                <c:pt idx="4">
                  <c:v>2025 Q1</c:v>
                </c:pt>
                <c:pt idx="5">
                  <c:v>2025 Q2</c:v>
                </c:pt>
                <c:pt idx="6">
                  <c:v>2025 Q3</c:v>
                </c:pt>
                <c:pt idx="7">
                  <c:v>2025 Q4</c:v>
                </c:pt>
              </c:strCache>
            </c:strRef>
          </c:cat>
          <c:val>
            <c:numRef>
              <c:f>Sheet1!$C$60:$C$67</c:f>
              <c:numCache>
                <c:formatCode>General</c:formatCode>
                <c:ptCount val="8"/>
                <c:pt idx="0">
                  <c:v>296</c:v>
                </c:pt>
                <c:pt idx="1">
                  <c:v>475</c:v>
                </c:pt>
                <c:pt idx="2">
                  <c:v>462</c:v>
                </c:pt>
                <c:pt idx="3">
                  <c:v>539</c:v>
                </c:pt>
                <c:pt idx="4">
                  <c:v>358</c:v>
                </c:pt>
                <c:pt idx="5">
                  <c:v>453</c:v>
                </c:pt>
                <c:pt idx="6">
                  <c:v>427</c:v>
                </c:pt>
                <c:pt idx="7">
                  <c:v>544</c:v>
                </c:pt>
              </c:numCache>
            </c:numRef>
          </c:val>
        </c:ser>
        <c:ser>
          <c:idx val="2"/>
          <c:order val="2"/>
          <c:tx>
            <c:strRef>
              <c:f>Sheet1!$D$59</c:f>
              <c:strCache>
                <c:ptCount val="1"/>
                <c:pt idx="0">
                  <c:v>涡轮螺旋桨</c:v>
                </c:pt>
              </c:strCache>
            </c:strRef>
          </c:tx>
          <c:spPr>
            <a:solidFill>
              <a:schemeClr val="accent3"/>
            </a:solidFill>
            <a:ln>
              <a:noFill/>
            </a:ln>
            <a:effectLst/>
          </c:spPr>
          <c:invertIfNegative val="0"/>
          <c:dLbls>
            <c:delete val="1"/>
          </c:dLbls>
          <c:cat>
            <c:strRef>
              <c:f>Sheet1!$A$60:$A$67</c:f>
              <c:strCache>
                <c:ptCount val="8"/>
                <c:pt idx="0">
                  <c:v>2024 Q1</c:v>
                </c:pt>
                <c:pt idx="1">
                  <c:v>2024 Q2</c:v>
                </c:pt>
                <c:pt idx="2">
                  <c:v>2024 Q3</c:v>
                </c:pt>
                <c:pt idx="3">
                  <c:v>2024 Q4</c:v>
                </c:pt>
                <c:pt idx="4">
                  <c:v>2025 Q1</c:v>
                </c:pt>
                <c:pt idx="5">
                  <c:v>2025 Q2</c:v>
                </c:pt>
                <c:pt idx="6">
                  <c:v>2025 Q3</c:v>
                </c:pt>
                <c:pt idx="7">
                  <c:v>2025 Q4</c:v>
                </c:pt>
              </c:strCache>
            </c:strRef>
          </c:cat>
          <c:val>
            <c:numRef>
              <c:f>Sheet1!$D$60:$D$67</c:f>
              <c:numCache>
                <c:formatCode>General</c:formatCode>
                <c:ptCount val="8"/>
                <c:pt idx="0">
                  <c:v>108</c:v>
                </c:pt>
                <c:pt idx="1">
                  <c:v>172</c:v>
                </c:pt>
                <c:pt idx="2">
                  <c:v>155</c:v>
                </c:pt>
                <c:pt idx="3">
                  <c:v>191</c:v>
                </c:pt>
                <c:pt idx="4">
                  <c:v>133</c:v>
                </c:pt>
                <c:pt idx="5">
                  <c:v>135</c:v>
                </c:pt>
                <c:pt idx="6">
                  <c:v>141</c:v>
                </c:pt>
                <c:pt idx="7">
                  <c:v>185</c:v>
                </c:pt>
              </c:numCache>
            </c:numRef>
          </c:val>
        </c:ser>
        <c:dLbls>
          <c:showLegendKey val="0"/>
          <c:showVal val="0"/>
          <c:showCatName val="0"/>
          <c:showSerName val="0"/>
          <c:showPercent val="0"/>
          <c:showBubbleSize val="0"/>
        </c:dLbls>
        <c:gapWidth val="219"/>
        <c:overlap val="-27"/>
        <c:axId val="780827119"/>
        <c:axId val="780826639"/>
      </c:barChart>
      <c:catAx>
        <c:axId val="78082711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p>
        </c:txPr>
        <c:crossAx val="780826639"/>
        <c:crosses val="autoZero"/>
        <c:auto val="1"/>
        <c:lblAlgn val="ctr"/>
        <c:lblOffset val="100"/>
        <c:noMultiLvlLbl val="0"/>
      </c:catAx>
      <c:valAx>
        <c:axId val="780826639"/>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p>
        </c:txPr>
        <c:crossAx val="780827119"/>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ysClr val="windowText" lastClr="000000"/>
              </a:solidFill>
              <a:latin typeface="黑体" panose="02010609060101010101" charset="-122"/>
              <a:ea typeface="黑体" panose="02010609060101010101" charset="-122"/>
              <a:cs typeface="+mn-cs"/>
            </a:defRPr>
          </a:pPr>
        </a:p>
      </c:txPr>
    </c:legend>
    <c:plotVisOnly val="1"/>
    <c:dispBlanksAs val="gap"/>
    <c:showDLblsOverMax val="0"/>
    <c:extLst>
      <c:ext uri="{0b15fc19-7d7d-44ad-8c2d-2c3a37ce22c3}">
        <chartProps xmlns="https://web.wps.cn/et/2018/main" chartId="{6d097d64-da7e-40a5-b085-95232fdf6c3d}"/>
      </c:ext>
    </c:extLst>
  </c:chart>
  <c:spPr>
    <a:solidFill>
      <a:schemeClr val="bg1"/>
    </a:solidFill>
    <a:ln w="9525" cap="flat" cmpd="sng" algn="ctr">
      <a:noFill/>
      <a:round/>
    </a:ln>
    <a:effectLst/>
  </c:spPr>
  <c:txPr>
    <a:bodyPr/>
    <a:lstStyle/>
    <a:p>
      <a:pPr>
        <a:defRPr lang="zh-CN">
          <a:solidFill>
            <a:sysClr val="windowText" lastClr="000000"/>
          </a:solidFill>
        </a:defRPr>
      </a:pPr>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Sheet1!$B$44</c:f>
              <c:strCache>
                <c:ptCount val="1"/>
                <c:pt idx="0">
                  <c:v>活塞直升机</c:v>
                </c:pt>
              </c:strCache>
            </c:strRef>
          </c:tx>
          <c:spPr>
            <a:solidFill>
              <a:schemeClr val="accent1">
                <a:lumMod val="75000"/>
              </a:schemeClr>
            </a:solidFill>
            <a:ln>
              <a:noFill/>
            </a:ln>
            <a:effectLst/>
          </c:spPr>
          <c:invertIfNegative val="0"/>
          <c:dLbls>
            <c:delete val="1"/>
          </c:dLbls>
          <c:cat>
            <c:strRef>
              <c:f>Sheet1!$A$45:$A$52</c:f>
              <c:strCache>
                <c:ptCount val="8"/>
                <c:pt idx="0">
                  <c:v>2024 Q1</c:v>
                </c:pt>
                <c:pt idx="1">
                  <c:v>2024 Q2</c:v>
                </c:pt>
                <c:pt idx="2">
                  <c:v>2024 Q3</c:v>
                </c:pt>
                <c:pt idx="3">
                  <c:v>2024 Q4</c:v>
                </c:pt>
                <c:pt idx="4">
                  <c:v>2025 Q1</c:v>
                </c:pt>
                <c:pt idx="5">
                  <c:v>2025 Q2</c:v>
                </c:pt>
                <c:pt idx="6">
                  <c:v>2025 Q3</c:v>
                </c:pt>
                <c:pt idx="7">
                  <c:v>2025 Q4</c:v>
                </c:pt>
              </c:strCache>
            </c:strRef>
          </c:cat>
          <c:val>
            <c:numRef>
              <c:f>Sheet1!$B$45:$B$52</c:f>
              <c:numCache>
                <c:formatCode>General</c:formatCode>
                <c:ptCount val="8"/>
                <c:pt idx="0">
                  <c:v>53</c:v>
                </c:pt>
                <c:pt idx="1">
                  <c:v>54</c:v>
                </c:pt>
                <c:pt idx="2">
                  <c:v>48</c:v>
                </c:pt>
                <c:pt idx="3">
                  <c:v>55</c:v>
                </c:pt>
                <c:pt idx="4">
                  <c:v>54</c:v>
                </c:pt>
                <c:pt idx="5">
                  <c:v>50</c:v>
                </c:pt>
                <c:pt idx="6">
                  <c:v>45</c:v>
                </c:pt>
                <c:pt idx="7">
                  <c:v>57</c:v>
                </c:pt>
              </c:numCache>
            </c:numRef>
          </c:val>
        </c:ser>
        <c:ser>
          <c:idx val="1"/>
          <c:order val="1"/>
          <c:tx>
            <c:strRef>
              <c:f>Sheet1!$C$44</c:f>
              <c:strCache>
                <c:ptCount val="1"/>
                <c:pt idx="0">
                  <c:v>涡轮直升机</c:v>
                </c:pt>
              </c:strCache>
            </c:strRef>
          </c:tx>
          <c:spPr>
            <a:solidFill>
              <a:schemeClr val="accent3"/>
            </a:solidFill>
            <a:ln>
              <a:noFill/>
            </a:ln>
            <a:effectLst/>
          </c:spPr>
          <c:invertIfNegative val="0"/>
          <c:dLbls>
            <c:delete val="1"/>
          </c:dLbls>
          <c:cat>
            <c:strRef>
              <c:f>Sheet1!$A$45:$A$52</c:f>
              <c:strCache>
                <c:ptCount val="8"/>
                <c:pt idx="0">
                  <c:v>2024 Q1</c:v>
                </c:pt>
                <c:pt idx="1">
                  <c:v>2024 Q2</c:v>
                </c:pt>
                <c:pt idx="2">
                  <c:v>2024 Q3</c:v>
                </c:pt>
                <c:pt idx="3">
                  <c:v>2024 Q4</c:v>
                </c:pt>
                <c:pt idx="4">
                  <c:v>2025 Q1</c:v>
                </c:pt>
                <c:pt idx="5">
                  <c:v>2025 Q2</c:v>
                </c:pt>
                <c:pt idx="6">
                  <c:v>2025 Q3</c:v>
                </c:pt>
                <c:pt idx="7">
                  <c:v>2025 Q4</c:v>
                </c:pt>
              </c:strCache>
            </c:strRef>
          </c:cat>
          <c:val>
            <c:numRef>
              <c:f>Sheet1!$C$45:$C$52</c:f>
              <c:numCache>
                <c:formatCode>General</c:formatCode>
                <c:ptCount val="8"/>
                <c:pt idx="0">
                  <c:v>131</c:v>
                </c:pt>
                <c:pt idx="1">
                  <c:v>178</c:v>
                </c:pt>
                <c:pt idx="2">
                  <c:v>169</c:v>
                </c:pt>
                <c:pt idx="3">
                  <c:v>347</c:v>
                </c:pt>
                <c:pt idx="4">
                  <c:v>133</c:v>
                </c:pt>
                <c:pt idx="5">
                  <c:v>166</c:v>
                </c:pt>
                <c:pt idx="6">
                  <c:v>164</c:v>
                </c:pt>
                <c:pt idx="7">
                  <c:v>269</c:v>
                </c:pt>
              </c:numCache>
            </c:numRef>
          </c:val>
        </c:ser>
        <c:dLbls>
          <c:showLegendKey val="0"/>
          <c:showVal val="0"/>
          <c:showCatName val="0"/>
          <c:showSerName val="0"/>
          <c:showPercent val="0"/>
          <c:showBubbleSize val="0"/>
        </c:dLbls>
        <c:gapWidth val="219"/>
        <c:overlap val="-27"/>
        <c:axId val="92512655"/>
        <c:axId val="92514575"/>
      </c:barChart>
      <c:catAx>
        <c:axId val="9251265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p>
        </c:txPr>
        <c:crossAx val="92514575"/>
        <c:crosses val="autoZero"/>
        <c:auto val="1"/>
        <c:lblAlgn val="ctr"/>
        <c:lblOffset val="100"/>
        <c:noMultiLvlLbl val="0"/>
      </c:catAx>
      <c:valAx>
        <c:axId val="92514575"/>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p>
        </c:txPr>
        <c:crossAx val="92512655"/>
        <c:crosses val="autoZero"/>
        <c:crossBetween val="between"/>
      </c:valAx>
      <c:spPr>
        <a:noFill/>
        <a:ln w="25400">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ysClr val="windowText" lastClr="000000"/>
              </a:solidFill>
              <a:latin typeface="黑体" panose="02010609060101010101" charset="-122"/>
              <a:ea typeface="黑体" panose="02010609060101010101" charset="-122"/>
              <a:cs typeface="+mn-cs"/>
            </a:defRPr>
          </a:pPr>
        </a:p>
      </c:txPr>
    </c:legend>
    <c:plotVisOnly val="1"/>
    <c:dispBlanksAs val="gap"/>
    <c:showDLblsOverMax val="0"/>
    <c:extLst>
      <c:ext uri="{0b15fc19-7d7d-44ad-8c2d-2c3a37ce22c3}">
        <chartProps xmlns="https://web.wps.cn/et/2018/main" chartId="{25a68daf-1f82-4556-8fea-6ac8b816ff9f}"/>
      </c:ext>
    </c:extLst>
  </c:chart>
  <c:spPr>
    <a:solidFill>
      <a:schemeClr val="bg1"/>
    </a:solidFill>
    <a:ln w="9525" cap="flat" cmpd="sng" algn="ctr">
      <a:noFill/>
      <a:round/>
    </a:ln>
    <a:effectLst/>
  </c:spPr>
  <c:txPr>
    <a:bodyPr/>
    <a:lstStyle/>
    <a:p>
      <a:pPr>
        <a:defRPr lang="zh-CN">
          <a:solidFill>
            <a:sysClr val="windowText" lastClr="000000"/>
          </a:solidFill>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withinLinear" id="18">
  <a:schemeClr val="accent5"/>
</cs:colorStyle>
</file>

<file path=word/charts/colors6.xml><?xml version="1.0" encoding="utf-8"?>
<cs:colorStyle xmlns:cs="http://schemas.microsoft.com/office/drawing/2012/chartStyle" xmlns:a="http://schemas.openxmlformats.org/drawingml/2006/main" meth="withinLinear" id="18">
  <a:schemeClr val="accent5"/>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1001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6.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7.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MyNewTheme">
      <a:dk1>
        <a:sysClr val="windowText" lastClr="000000"/>
      </a:dk1>
      <a:lt1>
        <a:sysClr val="window" lastClr="FFFFFF"/>
      </a:lt1>
      <a:dk2>
        <a:srgbClr val="1F497D"/>
      </a:dk2>
      <a:lt2>
        <a:srgbClr val="EEECE1"/>
      </a:lt2>
      <a:accent1>
        <a:srgbClr val="99CCFF"/>
      </a:accent1>
      <a:accent2>
        <a:srgbClr val="FF8181"/>
      </a:accent2>
      <a:accent3>
        <a:srgbClr val="86C091"/>
      </a:accent3>
      <a:accent4>
        <a:srgbClr val="ECB340"/>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23558C">
            <a:alpha val="90000"/>
          </a:srgbClr>
        </a:solidFill>
        <a:ln>
          <a:noFill/>
        </a:ln>
        <a:effectLst>
          <a:softEdge rad="0"/>
        </a:effectLst>
      </a:spPr>
      <a:bodyPr rot="0" spcFirstLastPara="0" vertOverflow="overflow" horzOverflow="overflow" vert="horz" wrap="square" lIns="91440" tIns="45720" rIns="91440" bIns="45720" numCol="1" spcCol="0" rtlCol="0" fromWordArt="0" anchor="ctr" anchorCtr="0" forceAA="0" compatLnSpc="1">
        <a:noAutofit/>
      </a:bodyPr>
      <a:lstStyle/>
      <a:style>
        <a:lnRef idx="2">
          <a:schemeClr val="accent1">
            <a:shade val="50000"/>
          </a:schemeClr>
        </a:lnRef>
        <a:fillRef idx="1">
          <a:schemeClr val="accent1"/>
        </a:fillRef>
        <a:effectRef idx="0">
          <a:schemeClr val="accent1"/>
        </a:effectRef>
        <a:fontRef idx="minor">
          <a:schemeClr val="lt1"/>
        </a:fontRef>
      </a:style>
    </a:spDef>
  </a:objectDefaults>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tyleName="APA Fifth Edition"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0BD6CBB-6617-4FF7-953A-408A28C97626}">
  <ds:schemaRefs/>
</ds:datastoreItem>
</file>

<file path=docProps/app.xml><?xml version="1.0" encoding="utf-8"?>
<Properties xmlns="http://schemas.openxmlformats.org/officeDocument/2006/extended-properties" xmlns:vt="http://schemas.openxmlformats.org/officeDocument/2006/docPropsVTypes">
  <Template>Normal</Template>
  <Company>Japaninvest</Company>
  <Pages>34</Pages>
  <Words>1443</Words>
  <Characters>2013</Characters>
  <Lines>887</Lines>
  <Paragraphs>570</Paragraphs>
  <TotalTime>78</TotalTime>
  <ScaleCrop>false</ScaleCrop>
  <LinksUpToDate>false</LinksUpToDate>
  <CharactersWithSpaces>2143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2026-02-26T16:33:00Z</dcterms:created>
  <dc:creator>zhoulinhong</dc:creator>
  <cp:lastModifiedBy>微信用户</cp:lastModifiedBy>
  <cp:lastPrinted>2019-08-09T20:02:00Z</cp:lastPrinted>
  <dcterms:modified xsi:type="dcterms:W3CDTF">2026-02-27T06:59:34Z</dcterms:modified>
  <dc:title>Sector note</dc:title>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FADisclaimerHiddenTextStyle">
    <vt:lpwstr>EFADisclaimerHiddenText</vt:lpwstr>
  </property>
  <property fmtid="{D5CDD505-2E9C-101B-9397-08002B2CF9AE}" pid="3" name="EFADisclaimerTextStyle">
    <vt:lpwstr>EFADisclaimerText</vt:lpwstr>
  </property>
  <property fmtid="{D5CDD505-2E9C-101B-9397-08002B2CF9AE}" pid="4" name="EFADocTemplateVer">
    <vt:lpwstr>HaiTong</vt:lpwstr>
  </property>
  <property fmtid="{D5CDD505-2E9C-101B-9397-08002B2CF9AE}" pid="5" name="EFALanguageID">
    <vt:lpwstr>2057</vt:lpwstr>
  </property>
  <property fmtid="{D5CDD505-2E9C-101B-9397-08002B2CF9AE}" pid="6" name="EFATemplate">
    <vt:lpwstr>Macro note - HTI.dotx</vt:lpwstr>
  </property>
  <property fmtid="{D5CDD505-2E9C-101B-9397-08002B2CF9AE}" pid="7" name="EFATemplateID">
    <vt:lpwstr>203</vt:lpwstr>
  </property>
  <property fmtid="{D5CDD505-2E9C-101B-9397-08002B2CF9AE}" pid="8" name="EFACorpID">
    <vt:lpwstr>-1</vt:lpwstr>
  </property>
  <property fmtid="{D5CDD505-2E9C-101B-9397-08002B2CF9AE}" pid="9" name="EFACoName">
    <vt:lpwstr/>
  </property>
  <property fmtid="{D5CDD505-2E9C-101B-9397-08002B2CF9AE}" pid="10" name="EFAModel">
    <vt:lpwstr/>
  </property>
  <property fmtid="{D5CDD505-2E9C-101B-9397-08002B2CF9AE}" pid="11" name="EFADevData">
    <vt:lpwstr>0</vt:lpwstr>
  </property>
  <property fmtid="{D5CDD505-2E9C-101B-9397-08002B2CF9AE}" pid="12" name="EFAUnits">
    <vt:lpwstr>Use Default</vt:lpwstr>
  </property>
  <property fmtid="{D5CDD505-2E9C-101B-9397-08002B2CF9AE}" pid="13" name="EFAStartYear">
    <vt:lpwstr>0</vt:lpwstr>
  </property>
  <property fmtid="{D5CDD505-2E9C-101B-9397-08002B2CF9AE}" pid="14" name="EFADefaultPriceDate">
    <vt:lpwstr>-1</vt:lpwstr>
  </property>
  <property fmtid="{D5CDD505-2E9C-101B-9397-08002B2CF9AE}" pid="15" name="EFAPriceDate">
    <vt:lpwstr>20190727 00:00:00</vt:lpwstr>
  </property>
  <property fmtid="{D5CDD505-2E9C-101B-9397-08002B2CF9AE}" pid="16" name="EFADocID">
    <vt:lpwstr>38659</vt:lpwstr>
  </property>
  <property fmtid="{D5CDD505-2E9C-101B-9397-08002B2CF9AE}" pid="17" name="EFALastRefreshDate">
    <vt:lpwstr>20190728 11:52:34</vt:lpwstr>
  </property>
  <property fmtid="{D5CDD505-2E9C-101B-9397-08002B2CF9AE}" pid="18" name="EFAUserID">
    <vt:lpwstr>2100</vt:lpwstr>
  </property>
  <property fmtid="{D5CDD505-2E9C-101B-9397-08002B2CF9AE}" pid="19" name="EFAAccountID">
    <vt:lpwstr>1010</vt:lpwstr>
  </property>
  <property fmtid="{D5CDD505-2E9C-101B-9397-08002B2CF9AE}" pid="20" name="EFAExcelVersion">
    <vt:lpwstr>14</vt:lpwstr>
  </property>
  <property fmtid="{D5CDD505-2E9C-101B-9397-08002B2CF9AE}" pid="21" name="EFAWordVersion">
    <vt:lpwstr>14</vt:lpwstr>
  </property>
  <property fmtid="{D5CDD505-2E9C-101B-9397-08002B2CF9AE}" pid="22" name="EFAUseIntTables">
    <vt:lpwstr>0</vt:lpwstr>
  </property>
  <property fmtid="{D5CDD505-2E9C-101B-9397-08002B2CF9AE}" pid="23" name="EFAIntStartYear">
    <vt:lpwstr>0</vt:lpwstr>
  </property>
  <property fmtid="{D5CDD505-2E9C-101B-9397-08002B2CF9AE}" pid="24" name="EFAIntEndYear">
    <vt:lpwstr>0</vt:lpwstr>
  </property>
  <property fmtid="{D5CDD505-2E9C-101B-9397-08002B2CF9AE}" pid="25" name="EFAFirstIntOffset">
    <vt:lpwstr>1</vt:lpwstr>
  </property>
  <property fmtid="{D5CDD505-2E9C-101B-9397-08002B2CF9AE}" pid="26" name="EFAIntPeriodNumber">
    <vt:lpwstr>0</vt:lpwstr>
  </property>
  <property fmtid="{D5CDD505-2E9C-101B-9397-08002B2CF9AE}" pid="27" name="EFASectorID">
    <vt:lpwstr/>
  </property>
  <property fmtid="{D5CDD505-2E9C-101B-9397-08002B2CF9AE}" pid="28" name="EFAIndustryID">
    <vt:lpwstr/>
  </property>
  <property fmtid="{D5CDD505-2E9C-101B-9397-08002B2CF9AE}" pid="29" name="EFAMarket">
    <vt:lpwstr>HK</vt:lpwstr>
  </property>
  <property fmtid="{D5CDD505-2E9C-101B-9397-08002B2CF9AE}" pid="30" name="EFASecurityIndex">
    <vt:lpwstr>0</vt:lpwstr>
  </property>
  <property fmtid="{D5CDD505-2E9C-101B-9397-08002B2CF9AE}" pid="31" name="EFASecurityID">
    <vt:lpwstr/>
  </property>
  <property fmtid="{D5CDD505-2E9C-101B-9397-08002B2CF9AE}" pid="32" name="EFAAnnualise">
    <vt:lpwstr>0</vt:lpwstr>
  </property>
  <property fmtid="{D5CDD505-2E9C-101B-9397-08002B2CF9AE}" pid="33" name="EFAAnnMonth">
    <vt:lpwstr>12</vt:lpwstr>
  </property>
  <property fmtid="{D5CDD505-2E9C-101B-9397-08002B2CF9AE}" pid="34" name="EFACompCorpIDs">
    <vt:lpwstr/>
  </property>
  <property fmtid="{D5CDD505-2E9C-101B-9397-08002B2CF9AE}" pid="35" name="EFACompCorpNames">
    <vt:lpwstr/>
  </property>
  <property fmtid="{D5CDD505-2E9C-101B-9397-08002B2CF9AE}" pid="36" name="EFACoShortName">
    <vt:lpwstr/>
  </property>
  <property fmtid="{D5CDD505-2E9C-101B-9397-08002B2CF9AE}" pid="37" name="EFACompCorpShortNames">
    <vt:lpwstr/>
  </property>
  <property fmtid="{D5CDD505-2E9C-101B-9397-08002B2CF9AE}" pid="38" name="EFACorpMentionIDs">
    <vt:lpwstr/>
  </property>
  <property fmtid="{D5CDD505-2E9C-101B-9397-08002B2CF9AE}" pid="39" name="EFACorpMentionNames">
    <vt:lpwstr/>
  </property>
  <property fmtid="{D5CDD505-2E9C-101B-9397-08002B2CF9AE}" pid="40" name="EFACorpMentionShortNames">
    <vt:lpwstr/>
  </property>
  <property fmtid="{D5CDD505-2E9C-101B-9397-08002B2CF9AE}" pid="41" name="EFAAuthorIDs">
    <vt:lpwstr>2081</vt:lpwstr>
  </property>
  <property fmtid="{D5CDD505-2E9C-101B-9397-08002B2CF9AE}" pid="42" name="EFAAuthorNames">
    <vt:lpwstr>Andy So, CFA</vt:lpwstr>
  </property>
  <property fmtid="{D5CDD505-2E9C-101B-9397-08002B2CF9AE}" pid="43" name="EFAAuthorEmails">
    <vt:lpwstr>andy.cy.so@htisec.com</vt:lpwstr>
  </property>
  <property fmtid="{D5CDD505-2E9C-101B-9397-08002B2CF9AE}" pid="44" name="EFAAuthorPhones">
    <vt:lpwstr/>
  </property>
  <property fmtid="{D5CDD505-2E9C-101B-9397-08002B2CF9AE}" pid="45" name="EFAAuthorJobTitles">
    <vt:lpwstr/>
  </property>
  <property fmtid="{D5CDD505-2E9C-101B-9397-08002B2CF9AE}" pid="46" name="EFAPageCount">
    <vt:lpwstr>14</vt:lpwstr>
  </property>
  <property fmtid="{D5CDD505-2E9C-101B-9397-08002B2CF9AE}" pid="47" name="date">
    <vt:lpwstr>30 Jun 2020</vt:lpwstr>
  </property>
  <property fmtid="{D5CDD505-2E9C-101B-9397-08002B2CF9AE}" pid="48" name="languageType">
    <vt:lpwstr>1</vt:lpwstr>
  </property>
  <property fmtid="{D5CDD505-2E9C-101B-9397-08002B2CF9AE}" pid="49" name="reporttype">
    <vt:lpwstr>6</vt:lpwstr>
  </property>
  <property fmtid="{D5CDD505-2E9C-101B-9397-08002B2CF9AE}" pid="50" name="versiontype">
    <vt:lpwstr>HTI_Event_CN</vt:lpwstr>
  </property>
  <property fmtid="{D5CDD505-2E9C-101B-9397-08002B2CF9AE}" pid="51" name="version">
    <vt:lpwstr>1.0</vt:lpwstr>
  </property>
  <property fmtid="{D5CDD505-2E9C-101B-9397-08002B2CF9AE}" pid="52" name="typeId">
    <vt:lpwstr>2</vt:lpwstr>
  </property>
  <property fmtid="{D5CDD505-2E9C-101B-9397-08002B2CF9AE}" pid="53" name="analysts">
    <vt:lpwstr>System.Collections.ArrayList</vt:lpwstr>
  </property>
  <property fmtid="{D5CDD505-2E9C-101B-9397-08002B2CF9AE}" pid="54" name="analystids">
    <vt:lpwstr>2,77</vt:lpwstr>
  </property>
  <property fmtid="{D5CDD505-2E9C-101B-9397-08002B2CF9AE}" pid="55" name="sectorinfo">
    <vt:lpwstr>Custom Sector1</vt:lpwstr>
  </property>
  <property fmtid="{D5CDD505-2E9C-101B-9397-08002B2CF9AE}" pid="56" name="reportid">
    <vt:lpwstr/>
  </property>
  <property fmtid="{D5CDD505-2E9C-101B-9397-08002B2CF9AE}" pid="57" name="reporttitle">
    <vt:lpwstr/>
  </property>
  <property fmtid="{D5CDD505-2E9C-101B-9397-08002B2CF9AE}" pid="58" name="KSOTemplateDocerSaveRecord">
    <vt:lpwstr>eyJoZGlkIjoiN2YzNjBkOTgyNWQ1YTMxYzM3MzMwNWFiODNmOWIzYWMiLCJ1c2VySWQiOiIxMjgyNzI4NjcyIn0=</vt:lpwstr>
  </property>
  <property fmtid="{D5CDD505-2E9C-101B-9397-08002B2CF9AE}" pid="59" name="KSOProductBuildVer">
    <vt:lpwstr>2052-12.1.0.24034</vt:lpwstr>
  </property>
  <property fmtid="{D5CDD505-2E9C-101B-9397-08002B2CF9AE}" pid="60" name="ICV">
    <vt:lpwstr>C9113695ED420E7CAB14A169B70C16E7_43</vt:lpwstr>
  </property>
</Properties>
</file>