
<file path=[Content_Types].xml><?xml version="1.0" encoding="utf-8"?>
<Types xmlns="http://schemas.openxmlformats.org/package/2006/content-types">
  <Default Extension="xml" ContentType="application/xml"/>
  <Default Extension="xlsx" ContentType="application/vnd.openxmlformats-officedocument.spreadsheetml.sheet"/>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10.xml" ContentType="application/vnd.ms-office.chartcolorstyle+xml"/>
  <Override PartName="/word/charts/colors11.xml" ContentType="application/vnd.ms-office.chartcolorstyle+xml"/>
  <Override PartName="/word/charts/colors12.xml" ContentType="application/vnd.ms-office.chartcolorstyle+xml"/>
  <Override PartName="/word/charts/colors13.xml" ContentType="application/vnd.ms-office.chartcolorstyle+xml"/>
  <Override PartName="/word/charts/colors14.xml" ContentType="application/vnd.ms-office.chartcolorstyle+xml"/>
  <Override PartName="/word/charts/colors15.xml" ContentType="application/vnd.ms-office.chartcolorstyle+xml"/>
  <Override PartName="/word/charts/colors16.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10.xml" ContentType="application/vnd.ms-office.chartstyle+xml"/>
  <Override PartName="/word/charts/style11.xml" ContentType="application/vnd.ms-office.chartstyle+xml"/>
  <Override PartName="/word/charts/style12.xml" ContentType="application/vnd.ms-office.chartstyle+xml"/>
  <Override PartName="/word/charts/style13.xml" ContentType="application/vnd.ms-office.chartstyle+xml"/>
  <Override PartName="/word/charts/style14.xml" ContentType="application/vnd.ms-office.chartstyle+xml"/>
  <Override PartName="/word/charts/style15.xml" ContentType="application/vnd.ms-office.chartstyle+xml"/>
  <Override PartName="/word/charts/style16.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2.xml" ContentType="application/vnd.openxmlformats-officedocument.themeOverride+xml"/>
  <Override PartName="/word/theme/themeOverride3.xml" ContentType="application/vnd.openxmlformats-officedocument.themeOverride+xml"/>
  <Override PartName="/word/theme/themeOverride4.xml" ContentType="application/vnd.openxmlformats-officedocument.themeOverride+xml"/>
  <Override PartName="/word/theme/themeOverride5.xml" ContentType="application/vnd.openxmlformats-officedocument.themeOverride+xml"/>
  <Override PartName="/word/theme/themeOverride6.xml" ContentType="application/vnd.openxmlformats-officedocument.themeOverride+xml"/>
  <Override PartName="/word/theme/themeOverride7.xml" ContentType="application/vnd.openxmlformats-officedocument.themeOverride+xml"/>
  <Override PartName="/word/theme/themeOverride8.xml" ContentType="application/vnd.openxmlformats-officedocument.themeOverride+xml"/>
  <Override PartName="/word/theme/themeOverride9.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7"/>
        <w:tblpPr w:bottomFromText="360" w:tblpXSpec="right" w:tblpY="-239"/>
        <w:tblOverlap w:val="never"/>
        <w:tblW w:w="10376" w:type="dxa"/>
        <w:tblCaption w:val="[Table_Title]"/>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40" w:type="dxa"/>
          <w:bottom w:w="0" w:type="dxa"/>
          <w:right w:w="40" w:type="dxa"/>
        </w:tblCellMar>
      </w:tblPr>
      <w:tblGrid>
        <w:gridCol w:w="7643"/>
        <w:gridCol w:w="2733"/>
      </w:tblGrid>
      <w:tr w14:paraId="633FFB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23" w:hRule="exact"/>
        </w:trPr>
        <w:tc>
          <w:tcPr>
            <w:tcW w:w="10376" w:type="dxa"/>
            <w:gridSpan w:val="2"/>
          </w:tcPr>
          <w:p w14:paraId="0CDBB1C8">
            <w:pPr>
              <w:pStyle w:val="37"/>
              <w:framePr w:hRule="auto" w:wrap="auto" w:vAnchor="margin" w:hAnchor="text" w:xAlign="left" w:yAlign="inline"/>
            </w:pPr>
            <w:r>
              <w:rPr>
                <w:rFonts w:hint="eastAsia" w:eastAsia="宋体"/>
                <w:b w:val="0"/>
                <w:color w:val="FFFFFF" w:themeColor="background1"/>
                <w:sz w:val="16"/>
                <w:lang w:eastAsia="zh-CN"/>
                <w14:textFill>
                  <w14:solidFill>
                    <w14:schemeClr w14:val="bg1"/>
                  </w14:solidFill>
                </w14:textFill>
              </w:rPr>
              <w:t>[</w:t>
            </w:r>
            <w:r>
              <w:rPr>
                <w:rFonts w:eastAsia="宋体"/>
                <w:b w:val="0"/>
                <w:color w:val="FFFFFF" w:themeColor="background1"/>
                <w:sz w:val="16"/>
                <w:lang w:eastAsia="zh-CN"/>
                <w14:textFill>
                  <w14:solidFill>
                    <w14:schemeClr w14:val="bg1"/>
                  </w14:solidFill>
                </w14:textFill>
              </w:rPr>
              <w:t>Table_Title]</w:t>
            </w:r>
          </w:p>
        </w:tc>
      </w:tr>
      <w:tr w14:paraId="09221E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318" w:hRule="exact"/>
        </w:trPr>
        <w:tc>
          <w:tcPr>
            <w:tcW w:w="7643" w:type="dxa"/>
            <w:vAlign w:val="center"/>
          </w:tcPr>
          <w:p w14:paraId="2892FB89">
            <w:pPr>
              <w:pStyle w:val="37"/>
              <w:framePr w:hRule="auto" w:wrap="auto" w:vAnchor="margin" w:hAnchor="text" w:xAlign="left" w:yAlign="inline"/>
              <w:rPr>
                <w:rFonts w:eastAsia="楷体_GB2312"/>
                <w:b w:val="0"/>
                <w:sz w:val="16"/>
                <w:lang w:eastAsia="zh-CN"/>
              </w:rPr>
            </w:pPr>
            <w:r>
              <w:rPr>
                <w:rFonts w:hint="eastAsia" w:eastAsia="楷体_GB2312"/>
                <w:b w:val="0"/>
                <w:sz w:val="16"/>
                <w:lang w:eastAsia="zh-CN"/>
              </w:rPr>
              <w:t>研究报告Research Report</w:t>
            </w:r>
          </w:p>
        </w:tc>
        <w:tc>
          <w:tcPr>
            <w:tcW w:w="2733" w:type="dxa"/>
            <w:vAlign w:val="center"/>
          </w:tcPr>
          <w:p w14:paraId="29C86D9E">
            <w:pPr>
              <w:pStyle w:val="37"/>
              <w:framePr w:hRule="auto" w:wrap="auto" w:vAnchor="margin" w:hAnchor="text" w:xAlign="left" w:yAlign="inline"/>
            </w:pPr>
          </w:p>
        </w:tc>
      </w:tr>
      <w:tr w14:paraId="595840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320" w:hRule="atLeast"/>
        </w:trPr>
        <w:tc>
          <w:tcPr>
            <w:tcW w:w="7643" w:type="dxa"/>
            <w:vAlign w:val="center"/>
          </w:tcPr>
          <w:p w14:paraId="7D02186A">
            <w:pPr>
              <w:pStyle w:val="37"/>
              <w:framePr w:hRule="auto" w:wrap="auto" w:vAnchor="margin" w:hAnchor="text" w:xAlign="left" w:yAlign="inline"/>
              <w:rPr>
                <w:rFonts w:eastAsia="楷体_GB2312" w:cs="Calibri"/>
                <w:b w:val="0"/>
                <w:sz w:val="20"/>
                <w:szCs w:val="20"/>
              </w:rPr>
            </w:pPr>
            <w:r>
              <w:rPr>
                <w:rFonts w:ascii="Calibri" w:eastAsia="楷体_GB2312"/>
                <w:b w:val="0"/>
                <w:i w:val="0"/>
                <w:color w:val="215E99"/>
                <w:sz w:val="16"/>
              </w:rPr>
              <w:t>1</w:t>
            </w:r>
            <w:r>
              <w:rPr>
                <w:rFonts w:hint="eastAsia" w:eastAsia="楷体_GB2312"/>
                <w:b w:val="0"/>
                <w:i w:val="0"/>
                <w:color w:val="215E99"/>
                <w:sz w:val="16"/>
                <w:lang w:val="en-US" w:eastAsia="zh-CN"/>
              </w:rPr>
              <w:t>3</w:t>
            </w:r>
            <w:r>
              <w:rPr>
                <w:rFonts w:ascii="Calibri" w:eastAsia="楷体_GB2312"/>
                <w:b w:val="0"/>
                <w:i w:val="0"/>
                <w:color w:val="215E99"/>
                <w:sz w:val="16"/>
              </w:rPr>
              <w:t xml:space="preserve"> Feb 2026</w:t>
            </w:r>
          </w:p>
        </w:tc>
        <w:tc>
          <w:tcPr>
            <w:tcW w:w="2733" w:type="dxa"/>
            <w:vAlign w:val="center"/>
          </w:tcPr>
          <w:p w14:paraId="546F9FF4">
            <w:pPr>
              <w:pStyle w:val="37"/>
              <w:framePr w:hRule="auto" w:wrap="auto" w:vAnchor="margin" w:hAnchor="text" w:xAlign="left" w:yAlign="inline"/>
              <w:wordWrap w:val="0"/>
              <w:jc w:val="right"/>
              <w:rPr>
                <w:rFonts w:eastAsia="楷体_GB2312"/>
                <w:lang w:eastAsia="zh-CN"/>
              </w:rPr>
            </w:pPr>
          </w:p>
        </w:tc>
      </w:tr>
      <w:tr w14:paraId="0BB80B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147" w:hRule="exact"/>
        </w:trPr>
        <w:tc>
          <w:tcPr>
            <w:tcW w:w="7643" w:type="dxa"/>
          </w:tcPr>
          <w:p w14:paraId="29BB37FE">
            <w:pPr>
              <w:pStyle w:val="104"/>
              <w:framePr w:w="0" w:hRule="auto" w:wrap="auto" w:vAnchor="margin" w:hAnchor="text" w:xAlign="left" w:yAlign="inline"/>
              <w:rPr>
                <w:rFonts w:eastAsia="宋体"/>
                <w:sz w:val="16"/>
                <w:szCs w:val="16"/>
                <w:lang w:val="en-GB" w:eastAsia="zh-CN"/>
              </w:rPr>
            </w:pPr>
          </w:p>
        </w:tc>
        <w:tc>
          <w:tcPr>
            <w:tcW w:w="2733" w:type="dxa"/>
            <w:vAlign w:val="center"/>
          </w:tcPr>
          <w:p w14:paraId="0E5FC93E">
            <w:pPr>
              <w:pStyle w:val="37"/>
              <w:framePr w:hRule="auto" w:wrap="auto" w:vAnchor="margin" w:hAnchor="text" w:xAlign="left" w:yAlign="inline"/>
              <w:jc w:val="right"/>
            </w:pPr>
          </w:p>
        </w:tc>
      </w:tr>
      <w:tr w14:paraId="710DD1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601" w:hRule="exact"/>
        </w:trPr>
        <w:tc>
          <w:tcPr>
            <w:tcW w:w="10376" w:type="dxa"/>
            <w:gridSpan w:val="2"/>
          </w:tcPr>
          <w:p w14:paraId="34A67FF1">
            <w:pPr>
              <w:pStyle w:val="37"/>
              <w:framePr w:hRule="auto" w:wrap="auto" w:vAnchor="margin" w:hAnchor="text" w:xAlign="left" w:yAlign="inline"/>
              <w:rPr>
                <w:rFonts w:hint="default" w:eastAsia="楷体_GB2312"/>
                <w:sz w:val="30"/>
                <w:szCs w:val="30"/>
                <w:lang w:eastAsia="zh-CN"/>
              </w:rPr>
            </w:pPr>
            <w:r>
              <w:rPr>
                <w:rFonts w:hint="default" w:eastAsia="楷体_GB2312"/>
                <w:sz w:val="30"/>
                <w:szCs w:val="30"/>
                <w:lang w:eastAsia="zh-CN"/>
              </w:rPr>
              <w:t>全球先进制造与能源Global Advanced Manufacturing and Energy</w:t>
            </w:r>
          </w:p>
          <w:p w14:paraId="42F90BC9">
            <w:pPr>
              <w:pStyle w:val="37"/>
              <w:framePr w:hRule="auto" w:wrap="auto" w:vAnchor="margin" w:hAnchor="text" w:xAlign="left" w:yAlign="inline"/>
              <w:rPr>
                <w:rFonts w:eastAsia="楷体_GB2312" w:cs="Calibri"/>
                <w:sz w:val="30"/>
                <w:szCs w:val="30"/>
                <w:lang w:eastAsia="zh-CN"/>
              </w:rPr>
            </w:pPr>
          </w:p>
        </w:tc>
      </w:tr>
      <w:tr w14:paraId="47449E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1248" w:hRule="exact"/>
        </w:trPr>
        <w:tc>
          <w:tcPr>
            <w:tcW w:w="10376" w:type="dxa"/>
            <w:gridSpan w:val="2"/>
            <w:vAlign w:val="center"/>
          </w:tcPr>
          <w:p w14:paraId="6C177F9F">
            <w:pPr>
              <w:pStyle w:val="153"/>
              <w:keepNext w:val="0"/>
              <w:keepLines w:val="0"/>
              <w:pageBreakBefore w:val="0"/>
              <w:widowControl/>
              <w:kinsoku/>
              <w:wordWrap/>
              <w:overflowPunct/>
              <w:topLinePunct w:val="0"/>
              <w:autoSpaceDE/>
              <w:autoSpaceDN/>
              <w:bidi w:val="0"/>
              <w:adjustRightInd/>
              <w:snapToGrid/>
              <w:spacing w:line="216" w:lineRule="auto"/>
              <w:textAlignment w:val="auto"/>
              <w:rPr>
                <w:rFonts w:hint="eastAsia" w:eastAsia="楷体_GB2312"/>
                <w:b w:val="0"/>
                <w:color w:val="23558C"/>
                <w:sz w:val="26"/>
                <w:szCs w:val="26"/>
              </w:rPr>
            </w:pPr>
            <w:r>
              <w:rPr>
                <w:rFonts w:hint="eastAsia" w:eastAsia="楷体_GB2312"/>
                <w:b w:val="0"/>
                <w:color w:val="23558C"/>
                <w:sz w:val="26"/>
                <w:szCs w:val="26"/>
              </w:rPr>
              <w:t>全球先进制造与能源周报(02/09-02/13): Stargate加速填补算力缺口，工业机器人回暖，SpaceX 产业链迭代提速叠加全球防务支出持续上行</w:t>
            </w:r>
          </w:p>
          <w:p w14:paraId="7A8123BA">
            <w:pPr>
              <w:pStyle w:val="102"/>
              <w:keepNext w:val="0"/>
              <w:keepLines w:val="0"/>
              <w:pageBreakBefore w:val="0"/>
              <w:framePr w:wrap="auto" w:vAnchor="margin" w:hAnchor="text" w:xAlign="left" w:yAlign="inline"/>
              <w:widowControl/>
              <w:kinsoku/>
              <w:wordWrap/>
              <w:overflowPunct/>
              <w:topLinePunct w:val="0"/>
              <w:autoSpaceDE/>
              <w:autoSpaceDN/>
              <w:bidi w:val="0"/>
              <w:adjustRightInd/>
              <w:snapToGrid/>
              <w:spacing w:line="216" w:lineRule="auto"/>
              <w:ind w:left="0" w:right="0"/>
              <w:textAlignment w:val="auto"/>
              <w:rPr>
                <w:rFonts w:eastAsia="宋体"/>
                <w:lang w:val="en-GB" w:eastAsia="zh-CN"/>
              </w:rPr>
            </w:pPr>
            <w:r>
              <w:rPr>
                <w:rFonts w:hint="eastAsia" w:eastAsia="楷体_GB2312"/>
                <w:b w:val="0"/>
                <w:color w:val="23558C"/>
                <w:sz w:val="24"/>
                <w:szCs w:val="24"/>
              </w:rPr>
              <w:t>Stargate Accelerates; Industrial Robotics Sector Recovers, with SpaceX Supply Chain Iteration Speeding Up and Global Defense Spending Rising</w:t>
            </w:r>
          </w:p>
        </w:tc>
      </w:tr>
      <w:tr w14:paraId="281376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90" w:hRule="exact"/>
        </w:trPr>
        <w:tc>
          <w:tcPr>
            <w:tcW w:w="10376" w:type="dxa"/>
            <w:gridSpan w:val="2"/>
            <w:vAlign w:val="center"/>
          </w:tcPr>
          <w:p w14:paraId="2E810E6F">
            <w:pPr>
              <w:pStyle w:val="153"/>
              <w:spacing w:line="360" w:lineRule="exact"/>
            </w:pPr>
          </w:p>
        </w:tc>
      </w:tr>
      <w:tr w14:paraId="1F8FB9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620" w:hRule="atLeast"/>
        </w:trPr>
        <w:tc>
          <w:tcPr>
            <w:tcW w:w="10376" w:type="dxa"/>
            <w:gridSpan w:val="2"/>
          </w:tcPr>
          <w:tbl>
            <w:tblPr>
              <w:tblStyle w:val="27"/>
              <w:tblW w:w="10632" w:type="dxa"/>
              <w:tblCaption w:val="[Table_Author]"/>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694"/>
              <w:gridCol w:w="2551"/>
              <w:gridCol w:w="2693"/>
              <w:gridCol w:w="2694"/>
            </w:tblGrid>
            <w:tr w14:paraId="22226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90" w:hRule="exact"/>
              </w:trPr>
              <w:tc>
                <w:tcPr>
                  <w:tcW w:w="2694" w:type="dxa"/>
                  <w:tcMar>
                    <w:right w:w="60" w:type="dxa"/>
                  </w:tcMar>
                </w:tcPr>
                <w:p w14:paraId="439228AD">
                  <w:pPr>
                    <w:pStyle w:val="115"/>
                    <w:framePr w:wrap="auto" w:vAnchor="margin" w:hAnchor="text" w:yAlign="inline"/>
                    <w:rPr>
                      <w:rFonts w:eastAsia="宋体"/>
                      <w:color w:val="FFFFFF" w:themeColor="background1"/>
                      <w14:textFill>
                        <w14:solidFill>
                          <w14:schemeClr w14:val="bg1"/>
                        </w14:solidFill>
                      </w14:textFill>
                    </w:rPr>
                  </w:pPr>
                  <w:r>
                    <w:rPr>
                      <w:rFonts w:hint="eastAsia" w:eastAsia="宋体"/>
                      <w:color w:val="FFFFFF" w:themeColor="background1"/>
                      <w14:textFill>
                        <w14:solidFill>
                          <w14:schemeClr w14:val="bg1"/>
                        </w14:solidFill>
                      </w14:textFill>
                    </w:rPr>
                    <w:t>[</w:t>
                  </w:r>
                  <w:r>
                    <w:rPr>
                      <w:rFonts w:eastAsia="宋体"/>
                      <w:color w:val="FFFFFF" w:themeColor="background1"/>
                      <w14:textFill>
                        <w14:solidFill>
                          <w14:schemeClr w14:val="bg1"/>
                        </w14:solidFill>
                      </w14:textFill>
                    </w:rPr>
                    <w:t>Table_Author]</w:t>
                  </w:r>
                </w:p>
              </w:tc>
              <w:tc>
                <w:tcPr>
                  <w:tcW w:w="2551" w:type="dxa"/>
                </w:tcPr>
                <w:p w14:paraId="592F42FF">
                  <w:pPr>
                    <w:pStyle w:val="115"/>
                    <w:framePr w:wrap="auto" w:vAnchor="margin" w:hAnchor="text" w:yAlign="inline"/>
                    <w:rPr>
                      <w:rFonts w:eastAsia="MS Gothic"/>
                      <w:color w:val="FFFFFF" w:themeColor="background1"/>
                      <w14:textFill>
                        <w14:solidFill>
                          <w14:schemeClr w14:val="bg1"/>
                        </w14:solidFill>
                      </w14:textFill>
                    </w:rPr>
                  </w:pPr>
                </w:p>
              </w:tc>
              <w:tc>
                <w:tcPr>
                  <w:tcW w:w="2693" w:type="dxa"/>
                </w:tcPr>
                <w:p w14:paraId="052A1BCA">
                  <w:pPr>
                    <w:pStyle w:val="115"/>
                    <w:framePr w:wrap="auto" w:vAnchor="margin" w:hAnchor="text" w:yAlign="inline"/>
                    <w:rPr>
                      <w:rFonts w:eastAsia="MS Gothic"/>
                      <w:color w:val="FFFFFF" w:themeColor="background1"/>
                      <w14:textFill>
                        <w14:solidFill>
                          <w14:schemeClr w14:val="bg1"/>
                        </w14:solidFill>
                      </w14:textFill>
                    </w:rPr>
                  </w:pPr>
                </w:p>
              </w:tc>
              <w:tc>
                <w:tcPr>
                  <w:tcW w:w="2694" w:type="dxa"/>
                </w:tcPr>
                <w:p w14:paraId="3B78BE1E">
                  <w:pPr>
                    <w:pStyle w:val="115"/>
                    <w:framePr w:wrap="auto" w:vAnchor="margin" w:hAnchor="text" w:yAlign="inline"/>
                    <w:rPr>
                      <w:rFonts w:eastAsia="MS Gothic"/>
                      <w:color w:val="FFFFFF" w:themeColor="background1"/>
                      <w14:textFill>
                        <w14:solidFill>
                          <w14:schemeClr w14:val="bg1"/>
                        </w14:solidFill>
                      </w14:textFill>
                    </w:rPr>
                  </w:pPr>
                </w:p>
              </w:tc>
            </w:tr>
            <w:tr w14:paraId="41C3B8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1C991ED3">
                  <w:pPr>
                    <w:pStyle w:val="114"/>
                    <w:framePr w:wrap="auto" w:vAnchor="margin" w:hAnchor="text" w:yAlign="inline"/>
                    <w:rPr>
                      <w:rFonts w:eastAsia="楷体_GB2312"/>
                    </w:rPr>
                  </w:pPr>
                  <w:r>
                    <w:rPr>
                      <w:rFonts w:ascii="Calibri" w:eastAsia="楷体_GB2312"/>
                      <w:b/>
                      <w:i w:val="0"/>
                      <w:color w:val="000000"/>
                      <w:sz w:val="16"/>
                    </w:rPr>
                    <w:t>杨斌Bin Yang, SFC:BSQ313</w:t>
                  </w:r>
                </w:p>
              </w:tc>
              <w:tc>
                <w:tcPr>
                  <w:tcW w:w="2551" w:type="dxa"/>
                </w:tcPr>
                <w:p w14:paraId="3940488A">
                  <w:pPr>
                    <w:pStyle w:val="114"/>
                    <w:framePr w:wrap="auto" w:vAnchor="margin" w:hAnchor="text" w:yAlign="inline"/>
                    <w:rPr>
                      <w:rFonts w:eastAsia="楷体_GB2312"/>
                    </w:rPr>
                  </w:pPr>
                </w:p>
              </w:tc>
              <w:tc>
                <w:tcPr>
                  <w:tcW w:w="2693" w:type="dxa"/>
                </w:tcPr>
                <w:p w14:paraId="722B9F56">
                  <w:pPr>
                    <w:pStyle w:val="114"/>
                    <w:framePr w:wrap="auto" w:vAnchor="margin" w:hAnchor="text" w:yAlign="inline"/>
                    <w:rPr>
                      <w:rFonts w:eastAsia="楷体_GB2312"/>
                    </w:rPr>
                  </w:pPr>
                </w:p>
              </w:tc>
              <w:tc>
                <w:tcPr>
                  <w:tcW w:w="2694" w:type="dxa"/>
                </w:tcPr>
                <w:p w14:paraId="0E8C91D8">
                  <w:pPr>
                    <w:pStyle w:val="114"/>
                    <w:framePr w:wrap="auto" w:vAnchor="margin" w:hAnchor="text" w:yAlign="inline"/>
                    <w:rPr>
                      <w:rFonts w:eastAsia="楷体_GB2312"/>
                    </w:rPr>
                  </w:pPr>
                </w:p>
              </w:tc>
            </w:tr>
            <w:tr w14:paraId="78BB7E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Height w:val="119" w:hRule="atLeast"/>
              </w:trPr>
              <w:tc>
                <w:tcPr>
                  <w:tcW w:w="2694" w:type="dxa"/>
                </w:tcPr>
                <w:p w14:paraId="0C8FA674">
                  <w:pPr>
                    <w:pStyle w:val="114"/>
                    <w:framePr w:wrap="auto" w:vAnchor="margin" w:hAnchor="text" w:yAlign="inline"/>
                    <w:rPr>
                      <w:rFonts w:eastAsia="楷体_GB2312"/>
                      <w:b w:val="0"/>
                    </w:rPr>
                  </w:pPr>
                  <w:r>
                    <w:rPr>
                      <w:rFonts w:ascii="Calibri" w:eastAsia="楷体_GB2312"/>
                      <w:b w:val="0"/>
                      <w:i w:val="0"/>
                      <w:color w:val="000000"/>
                      <w:sz w:val="16"/>
                    </w:rPr>
                    <w:t>harryyang@hfisec.com.hk</w:t>
                  </w:r>
                </w:p>
              </w:tc>
              <w:tc>
                <w:tcPr>
                  <w:tcW w:w="2551" w:type="dxa"/>
                </w:tcPr>
                <w:p w14:paraId="7DF16410">
                  <w:pPr>
                    <w:pStyle w:val="114"/>
                    <w:framePr w:wrap="auto" w:vAnchor="margin" w:hAnchor="text" w:yAlign="inline"/>
                    <w:rPr>
                      <w:rFonts w:eastAsia="楷体_GB2312"/>
                      <w:b w:val="0"/>
                    </w:rPr>
                  </w:pPr>
                </w:p>
              </w:tc>
              <w:tc>
                <w:tcPr>
                  <w:tcW w:w="2693" w:type="dxa"/>
                </w:tcPr>
                <w:p w14:paraId="3098B54C">
                  <w:pPr>
                    <w:pStyle w:val="114"/>
                    <w:framePr w:wrap="auto" w:vAnchor="margin" w:hAnchor="text" w:yAlign="inline"/>
                    <w:rPr>
                      <w:rFonts w:eastAsia="楷体_GB2312"/>
                      <w:b w:val="0"/>
                    </w:rPr>
                  </w:pPr>
                </w:p>
              </w:tc>
              <w:tc>
                <w:tcPr>
                  <w:tcW w:w="2694" w:type="dxa"/>
                </w:tcPr>
                <w:p w14:paraId="6D6FE545">
                  <w:pPr>
                    <w:pStyle w:val="114"/>
                    <w:framePr w:wrap="auto" w:vAnchor="margin" w:hAnchor="text" w:yAlign="inline"/>
                    <w:rPr>
                      <w:rFonts w:eastAsia="楷体_GB2312"/>
                      <w:b w:val="0"/>
                    </w:rPr>
                  </w:pPr>
                </w:p>
              </w:tc>
            </w:tr>
          </w:tbl>
          <w:p w14:paraId="0F0A774F">
            <w:pPr>
              <w:pStyle w:val="114"/>
              <w:framePr w:wrap="auto" w:vAnchor="margin" w:hAnchor="text" w:yAlign="inline"/>
              <w:rPr>
                <w:rFonts w:eastAsia="楷体_GB2312"/>
                <w:sz w:val="18"/>
                <w:szCs w:val="18"/>
                <w:lang w:val="en-GB"/>
              </w:rPr>
            </w:pPr>
          </w:p>
        </w:tc>
      </w:tr>
      <w:tr w14:paraId="3969B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170" w:hRule="exact"/>
        </w:trPr>
        <w:tc>
          <w:tcPr>
            <w:tcW w:w="10376" w:type="dxa"/>
            <w:gridSpan w:val="2"/>
          </w:tcPr>
          <w:p w14:paraId="3A6114DA">
            <w:pPr>
              <w:pStyle w:val="114"/>
              <w:framePr w:wrap="auto" w:vAnchor="margin" w:hAnchor="text" w:yAlign="inline"/>
              <w:rPr>
                <w:rFonts w:eastAsia="楷体_GB2312"/>
                <w:b w:val="0"/>
              </w:rPr>
            </w:pPr>
          </w:p>
        </w:tc>
      </w:tr>
    </w:tbl>
    <w:p w14:paraId="66B0E39A">
      <w:pPr>
        <w:keepNext w:val="0"/>
        <w:keepLines w:val="0"/>
        <w:pageBreakBefore w:val="0"/>
        <w:widowControl/>
        <w:kinsoku/>
        <w:wordWrap/>
        <w:overflowPunct w:val="0"/>
        <w:topLinePunct w:val="0"/>
        <w:autoSpaceDE/>
        <w:autoSpaceDN/>
        <w:bidi w:val="0"/>
        <w:adjustRightInd/>
        <w:snapToGrid/>
        <w:spacing w:after="181" w:afterLines="50"/>
        <w:jc w:val="both"/>
        <w:textAlignment w:val="auto"/>
        <w:rPr>
          <w:rFonts w:hint="default" w:ascii="Calibri" w:hAnsi="Calibri" w:eastAsia="楷体_GB2312" w:cs="Calibri"/>
          <w:b w:val="0"/>
          <w:bCs w:val="0"/>
          <w:color w:val="1F497D" w:themeColor="text2"/>
          <w:sz w:val="28"/>
          <w:szCs w:val="28"/>
          <w:lang w:val="en-US" w:eastAsia="zh-CN"/>
          <w14:textFill>
            <w14:solidFill>
              <w14:schemeClr w14:val="tx2"/>
            </w14:solidFill>
          </w14:textFill>
        </w:rPr>
      </w:pPr>
      <w:r>
        <w:rPr>
          <w:rFonts w:hint="default" w:ascii="Calibri" w:hAnsi="Calibri" w:eastAsia="楷体_GB2312" w:cs="Calibri"/>
          <w:b w:val="0"/>
          <w:bCs w:val="0"/>
          <w:sz w:val="20"/>
          <w:szCs w:val="20"/>
          <w:lang w:val="en-US" w:eastAsia="zh-CN"/>
        </w:rPr>
        <w:t>(Please see APPENDIX 1 for English summary)</w:t>
      </w:r>
    </w:p>
    <w:p w14:paraId="4952F976">
      <w:pPr>
        <w:keepNext w:val="0"/>
        <w:keepLines w:val="0"/>
        <w:pageBreakBefore w:val="0"/>
        <w:widowControl/>
        <w:kinsoku/>
        <w:wordWrap/>
        <w:overflowPunct w:val="0"/>
        <w:topLinePunct w:val="0"/>
        <w:autoSpaceDE/>
        <w:autoSpaceDN/>
        <w:bidi w:val="0"/>
        <w:adjustRightInd/>
        <w:snapToGrid/>
        <w:spacing w:line="228" w:lineRule="auto"/>
        <w:jc w:val="both"/>
        <w:textAlignment w:val="auto"/>
        <w:rPr>
          <w:rFonts w:hint="default" w:ascii="Calibri" w:hAnsi="Calibri" w:eastAsia="楷体_GB2312" w:cs="Calibri"/>
          <w:b/>
          <w:bCs/>
          <w:color w:val="1F497D" w:themeColor="text2"/>
          <w:sz w:val="22"/>
          <w:szCs w:val="22"/>
          <w:lang w:val="en-US" w:eastAsia="zh-CN"/>
          <w14:textFill>
            <w14:solidFill>
              <w14:schemeClr w14:val="tx2"/>
            </w14:solidFill>
          </w14:textFill>
        </w:rPr>
      </w:pPr>
      <w:r>
        <w:rPr>
          <w:rFonts w:hint="default" w:ascii="Calibri" w:hAnsi="Calibri" w:eastAsia="楷体_GB2312" w:cs="Calibri"/>
          <w:b/>
          <w:bCs/>
          <w:color w:val="1F497D" w:themeColor="text2"/>
          <w:sz w:val="22"/>
          <w:szCs w:val="22"/>
          <w:lang w:val="en-US" w:eastAsia="zh-CN"/>
          <w14:textFill>
            <w14:solidFill>
              <w14:schemeClr w14:val="tx2"/>
            </w14:solidFill>
          </w14:textFill>
        </w:rPr>
        <w:t>核心观点：</w:t>
      </w:r>
      <w:bookmarkStart w:id="0" w:name="OLE_LINK16"/>
    </w:p>
    <w:p w14:paraId="0E75AB71">
      <w:pPr>
        <w:keepNext w:val="0"/>
        <w:keepLines w:val="0"/>
        <w:pageBreakBefore w:val="0"/>
        <w:widowControl/>
        <w:kinsoku/>
        <w:wordWrap/>
        <w:overflowPunct w:val="0"/>
        <w:topLinePunct w:val="0"/>
        <w:autoSpaceDE/>
        <w:autoSpaceDN/>
        <w:bidi w:val="0"/>
        <w:adjustRightInd/>
        <w:snapToGrid/>
        <w:spacing w:line="228" w:lineRule="auto"/>
        <w:jc w:val="both"/>
        <w:textAlignment w:val="auto"/>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 xml:space="preserve">1)全球基建与建筑：数据中心: </w:t>
      </w:r>
      <w:r>
        <w:rPr>
          <w:rFonts w:hint="default" w:ascii="Calibri" w:hAnsi="Calibri" w:eastAsia="楷体_GB2312" w:cs="Calibri"/>
          <w:sz w:val="20"/>
          <w:szCs w:val="20"/>
          <w:lang w:val="en-US" w:eastAsia="zh-CN"/>
        </w:rPr>
        <w:t>AI 基础设施进入“主权级”竞赛， Stargate 项目加速填补算力缺口。 本周，由 OpenAI、SoftBank 与 Oracle 牵头的 Stargate LLC 计划再次成为焦点。</w:t>
      </w:r>
      <w:r>
        <w:rPr>
          <w:rFonts w:hint="default" w:ascii="Calibri" w:hAnsi="Calibri" w:eastAsia="楷体_GB2312" w:cs="Calibri"/>
          <w:b/>
          <w:bCs/>
          <w:sz w:val="20"/>
          <w:szCs w:val="20"/>
          <w:lang w:val="en-US" w:eastAsia="zh-CN"/>
        </w:rPr>
        <w:t>能源建设：</w:t>
      </w:r>
      <w:r>
        <w:rPr>
          <w:rFonts w:hint="default" w:ascii="Calibri" w:hAnsi="Calibri" w:eastAsia="楷体_GB2312" w:cs="Calibri"/>
          <w:sz w:val="20"/>
          <w:szCs w:val="20"/>
          <w:lang w:val="en-US" w:eastAsia="zh-CN"/>
        </w:rPr>
        <w:t>美国联邦法院裁定恢复多个被叫停的海上风电项目施工。中国明确电网侧独立新型储能容量电价机制。全球首个628Ah超大型电池储能电站投入运营并获海外订单。印度2026财年预算拨款22亿美元支持碳捕集与可再生能源建设。</w:t>
      </w:r>
      <w:r>
        <w:rPr>
          <w:rFonts w:hint="default" w:ascii="Calibri" w:hAnsi="Calibri" w:eastAsia="楷体_GB2312" w:cs="Calibri"/>
          <w:b/>
          <w:bCs/>
          <w:sz w:val="20"/>
          <w:szCs w:val="20"/>
          <w:lang w:val="en-US" w:eastAsia="zh-CN"/>
        </w:rPr>
        <w:t xml:space="preserve">SMR装备: </w:t>
      </w:r>
      <w:r>
        <w:rPr>
          <w:rFonts w:hint="default" w:ascii="Calibri" w:hAnsi="Calibri" w:eastAsia="楷体_GB2312" w:cs="Calibri"/>
          <w:sz w:val="20"/>
          <w:szCs w:val="20"/>
          <w:lang w:val="en-US" w:eastAsia="zh-CN"/>
        </w:rPr>
        <w:t>2026年1月，美国能源部拨款27亿美元支持国内铀浓缩，进一步完善核燃料供应链，为SMR项目落地提供关键支撑。同月，Meta与Oklo签署协议，支持在俄亥俄州建设1.2 GW核电园区，主要为AI数据中心提供清洁电力，其他科技巨头谷歌、甲骨文、AWS等公司在过去12个月内与SMR签署了长期供电协议。</w:t>
      </w:r>
      <w:r>
        <w:rPr>
          <w:rFonts w:hint="default" w:ascii="Calibri" w:hAnsi="Calibri" w:eastAsia="楷体_GB2312" w:cs="Calibri"/>
          <w:b/>
          <w:bCs/>
          <w:sz w:val="20"/>
          <w:szCs w:val="20"/>
          <w:lang w:val="en-US" w:eastAsia="zh-CN"/>
        </w:rPr>
        <w:t>机器人：</w:t>
      </w:r>
      <w:r>
        <w:rPr>
          <w:rFonts w:hint="default" w:ascii="Calibri" w:hAnsi="Calibri" w:eastAsia="楷体_GB2312" w:cs="Calibri"/>
          <w:sz w:val="20"/>
          <w:szCs w:val="20"/>
          <w:lang w:val="en-US" w:eastAsia="zh-CN"/>
        </w:rPr>
        <w:t>2025年，美国工业机械制造（NAICS 333）PPI指数在年初经历阶跃式增长后，年末稳定收于264.258 的高位，市场呈现出显著的复苏趋势。</w:t>
      </w:r>
    </w:p>
    <w:p w14:paraId="3D9CE3A9">
      <w:pPr>
        <w:keepNext w:val="0"/>
        <w:keepLines w:val="0"/>
        <w:pageBreakBefore w:val="0"/>
        <w:widowControl/>
        <w:kinsoku/>
        <w:wordWrap/>
        <w:overflowPunct w:val="0"/>
        <w:topLinePunct w:val="0"/>
        <w:autoSpaceDE/>
        <w:autoSpaceDN/>
        <w:bidi w:val="0"/>
        <w:adjustRightInd/>
        <w:snapToGrid/>
        <w:spacing w:line="228" w:lineRule="auto"/>
        <w:jc w:val="both"/>
        <w:textAlignment w:val="auto"/>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2）全球电气与智能装备：</w:t>
      </w:r>
      <w:r>
        <w:rPr>
          <w:rFonts w:hint="default" w:ascii="Calibri" w:hAnsi="Calibri" w:eastAsia="楷体_GB2312" w:cs="Calibri"/>
          <w:b/>
          <w:bCs/>
          <w:sz w:val="20"/>
          <w:szCs w:val="20"/>
          <w:lang w:val="en-US" w:eastAsia="zh-CN"/>
        </w:rPr>
        <w:fldChar w:fldCharType="begin"/>
      </w:r>
      <w:r>
        <w:rPr>
          <w:rFonts w:hint="default" w:ascii="Calibri" w:hAnsi="Calibri" w:eastAsia="楷体_GB2312" w:cs="Calibri"/>
          <w:b/>
          <w:bCs/>
          <w:sz w:val="20"/>
          <w:szCs w:val="20"/>
          <w:lang w:val="en-US" w:eastAsia="zh-CN"/>
        </w:rPr>
        <w:instrText xml:space="preserve"> HYPERLINK \l "_Toc192787052" </w:instrText>
      </w:r>
      <w:r>
        <w:rPr>
          <w:rFonts w:hint="default" w:ascii="Calibri" w:hAnsi="Calibri" w:eastAsia="楷体_GB2312" w:cs="Calibri"/>
          <w:b/>
          <w:bCs/>
          <w:sz w:val="20"/>
          <w:szCs w:val="20"/>
          <w:lang w:val="en-US" w:eastAsia="zh-CN"/>
        </w:rPr>
        <w:fldChar w:fldCharType="separate"/>
      </w:r>
      <w:r>
        <w:rPr>
          <w:rFonts w:hint="default" w:ascii="Calibri" w:hAnsi="Calibri" w:eastAsia="楷体_GB2312" w:cs="Calibri"/>
          <w:b/>
          <w:bCs/>
          <w:sz w:val="20"/>
          <w:szCs w:val="20"/>
          <w:lang w:val="en-US" w:eastAsia="zh-CN"/>
        </w:rPr>
        <w:t>工业设备价格指数</w:t>
      </w:r>
      <w:r>
        <w:rPr>
          <w:rFonts w:hint="default" w:ascii="Calibri" w:hAnsi="Calibri" w:eastAsia="楷体_GB2312" w:cs="Calibri"/>
          <w:b/>
          <w:bCs/>
          <w:sz w:val="20"/>
          <w:szCs w:val="20"/>
          <w:lang w:val="en-US" w:eastAsia="zh-CN"/>
        </w:rPr>
        <w:fldChar w:fldCharType="end"/>
      </w:r>
      <w:r>
        <w:rPr>
          <w:rFonts w:hint="default" w:ascii="Calibri" w:hAnsi="Calibri" w:eastAsia="楷体_GB2312" w:cs="Calibri"/>
          <w:b/>
          <w:bCs/>
          <w:sz w:val="20"/>
          <w:szCs w:val="20"/>
          <w:lang w:val="en-US" w:eastAsia="zh-CN"/>
        </w:rPr>
        <w:t>：</w:t>
      </w:r>
      <w:r>
        <w:rPr>
          <w:rFonts w:hint="default" w:ascii="Calibri" w:hAnsi="Calibri" w:eastAsia="楷体_GB2312" w:cs="Calibri"/>
          <w:sz w:val="20"/>
          <w:szCs w:val="20"/>
          <w:lang w:val="en-US" w:eastAsia="zh-CN"/>
        </w:rPr>
        <w:t>供需关系持续偏紧、行业竞争格局稳定，共同推动燃气轮机价格指数延续上行趋势。</w:t>
      </w:r>
      <w:r>
        <w:rPr>
          <w:rFonts w:hint="default" w:ascii="Calibri" w:hAnsi="Calibri" w:eastAsia="楷体_GB2312" w:cs="Calibri"/>
        </w:rPr>
        <w:fldChar w:fldCharType="begin"/>
      </w:r>
      <w:r>
        <w:rPr>
          <w:rFonts w:hint="default" w:ascii="Calibri" w:hAnsi="Calibri" w:eastAsia="楷体_GB2312" w:cs="Calibri"/>
        </w:rPr>
        <w:instrText xml:space="preserve"> HYPERLINK \l "_Toc192787053" </w:instrText>
      </w:r>
      <w:r>
        <w:rPr>
          <w:rFonts w:hint="default" w:ascii="Calibri" w:hAnsi="Calibri" w:eastAsia="楷体_GB2312" w:cs="Calibri"/>
        </w:rPr>
        <w:fldChar w:fldCharType="separate"/>
      </w:r>
      <w:r>
        <w:rPr>
          <w:rFonts w:hint="default" w:ascii="Calibri" w:hAnsi="Calibri" w:eastAsia="楷体_GB2312" w:cs="Calibri"/>
          <w:b/>
          <w:bCs/>
          <w:sz w:val="20"/>
          <w:szCs w:val="20"/>
          <w:lang w:val="en-US" w:eastAsia="zh-CN"/>
        </w:rPr>
        <w:t>工业设备出口指数</w:t>
      </w:r>
      <w:r>
        <w:rPr>
          <w:rFonts w:hint="default" w:ascii="Calibri" w:hAnsi="Calibri" w:eastAsia="楷体_GB2312" w:cs="Calibri"/>
          <w:b/>
          <w:bCs/>
          <w:sz w:val="20"/>
          <w:szCs w:val="20"/>
          <w:lang w:val="en-US" w:eastAsia="zh-CN"/>
        </w:rPr>
        <w:fldChar w:fldCharType="end"/>
      </w:r>
      <w:r>
        <w:rPr>
          <w:rFonts w:hint="default" w:ascii="Calibri" w:hAnsi="Calibri" w:eastAsia="楷体_GB2312" w:cs="Calibri"/>
          <w:b/>
          <w:bCs/>
          <w:sz w:val="20"/>
          <w:szCs w:val="20"/>
          <w:lang w:val="en-US" w:eastAsia="zh-CN"/>
        </w:rPr>
        <w:t>：</w:t>
      </w:r>
      <w:r>
        <w:rPr>
          <w:rFonts w:hint="default" w:ascii="Calibri" w:hAnsi="Calibri" w:eastAsia="楷体_GB2312" w:cs="Calibri"/>
          <w:sz w:val="20"/>
          <w:szCs w:val="20"/>
          <w:lang w:val="en-US" w:eastAsia="zh-CN"/>
        </w:rPr>
        <w:t>中国2025年变压器出口保持高增。2025年出口额狂飙至646亿元，同比激增36%，稳居全球第一大变压器出口国。</w:t>
      </w:r>
    </w:p>
    <w:p w14:paraId="235CBCA6">
      <w:pPr>
        <w:keepNext w:val="0"/>
        <w:keepLines w:val="0"/>
        <w:pageBreakBefore w:val="0"/>
        <w:widowControl/>
        <w:numPr>
          <w:ilvl w:val="0"/>
          <w:numId w:val="13"/>
        </w:numPr>
        <w:kinsoku/>
        <w:wordWrap/>
        <w:overflowPunct w:val="0"/>
        <w:topLinePunct w:val="0"/>
        <w:autoSpaceDE/>
        <w:autoSpaceDN/>
        <w:bidi w:val="0"/>
        <w:adjustRightInd/>
        <w:snapToGrid/>
        <w:spacing w:line="228" w:lineRule="auto"/>
        <w:jc w:val="both"/>
        <w:textAlignment w:val="auto"/>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全球能源工业：美国电力</w:t>
      </w:r>
      <w:r>
        <w:rPr>
          <w:rFonts w:hint="default" w:ascii="Calibri" w:hAnsi="Calibri" w:eastAsia="楷体_GB2312" w:cs="Calibri"/>
          <w:sz w:val="20"/>
          <w:szCs w:val="20"/>
          <w:lang w:val="en-US" w:eastAsia="zh-CN"/>
        </w:rPr>
        <w:t>：2月11日，美国主要地区电力平均现货价格为$47.37/MWh；</w:t>
      </w:r>
      <w:r>
        <w:rPr>
          <w:rFonts w:hint="default" w:ascii="Calibri" w:hAnsi="Calibri" w:eastAsia="楷体_GB2312" w:cs="Calibri"/>
          <w:b/>
          <w:bCs/>
          <w:sz w:val="20"/>
          <w:szCs w:val="20"/>
          <w:lang w:val="en-US" w:eastAsia="zh-CN"/>
        </w:rPr>
        <w:t>欧洲电力：</w:t>
      </w:r>
      <w:r>
        <w:rPr>
          <w:rFonts w:hint="default" w:ascii="Calibri" w:hAnsi="Calibri" w:eastAsia="楷体_GB2312" w:cs="Calibri"/>
          <w:sz w:val="20"/>
          <w:szCs w:val="20"/>
          <w:lang w:val="en-US" w:eastAsia="zh-CN"/>
        </w:rPr>
        <w:t>本周电力市场日前交易价格整体走势上升。美国天然气期现价格周环比上行，持仓数下降。截至2026年2月2日，亨利枢纽现货价格报4.4美元/百万英热，周环比下降82%；截至2026年2月11日，NYMEX HH期货价格报3.13美元/百万英热，周环比下降10%。</w:t>
      </w:r>
      <w:r>
        <w:rPr>
          <w:rFonts w:hint="default" w:ascii="Calibri" w:hAnsi="Calibri" w:eastAsia="楷体_GB2312" w:cs="Calibri"/>
          <w:b/>
          <w:bCs/>
          <w:sz w:val="20"/>
          <w:szCs w:val="20"/>
          <w:lang w:val="en-US" w:eastAsia="zh-CN"/>
        </w:rPr>
        <w:t>天然气：</w:t>
      </w:r>
      <w:r>
        <w:rPr>
          <w:rFonts w:hint="default" w:ascii="Calibri" w:hAnsi="Calibri" w:eastAsia="楷体_GB2312" w:cs="Calibri"/>
          <w:sz w:val="20"/>
          <w:szCs w:val="20"/>
          <w:lang w:val="en-US" w:eastAsia="zh-CN"/>
        </w:rPr>
        <w:t>截至2月7日，纽约商品交易所Henry Hub天然气期货合约总持仓量为166万张，周环比上升3万张。根据最新数据来源，非商业多头持仓量为22万张，周环比下降1,013张；非商业空头持仓量为39万张，周环比增长7,691张。</w:t>
      </w:r>
    </w:p>
    <w:p w14:paraId="1BE33EE5">
      <w:pPr>
        <w:keepNext w:val="0"/>
        <w:keepLines w:val="0"/>
        <w:pageBreakBefore w:val="0"/>
        <w:widowControl/>
        <w:numPr>
          <w:ilvl w:val="0"/>
          <w:numId w:val="13"/>
        </w:numPr>
        <w:kinsoku/>
        <w:wordWrap/>
        <w:overflowPunct w:val="0"/>
        <w:topLinePunct w:val="0"/>
        <w:autoSpaceDE/>
        <w:autoSpaceDN/>
        <w:bidi w:val="0"/>
        <w:adjustRightInd/>
        <w:snapToGrid/>
        <w:spacing w:line="228" w:lineRule="auto"/>
        <w:jc w:val="both"/>
        <w:textAlignment w:val="auto"/>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全球新材料：天然铀：</w:t>
      </w:r>
      <w:r>
        <w:rPr>
          <w:rFonts w:hint="default" w:ascii="Calibri" w:hAnsi="Calibri" w:eastAsia="楷体_GB2312" w:cs="Calibri"/>
          <w:sz w:val="20"/>
          <w:szCs w:val="20"/>
          <w:lang w:val="en-US" w:eastAsia="zh-CN"/>
        </w:rPr>
        <w:t>2025年12月全球铀实际市场价格为63.51美元/磅，环比+2.0%，同比+5.5%。</w:t>
      </w:r>
      <w:r>
        <w:rPr>
          <w:rFonts w:hint="default" w:ascii="Calibri" w:hAnsi="Calibri" w:eastAsia="楷体_GB2312" w:cs="Calibri"/>
          <w:b/>
          <w:bCs/>
          <w:sz w:val="20"/>
          <w:szCs w:val="20"/>
          <w:lang w:val="en-US" w:eastAsia="zh-CN"/>
        </w:rPr>
        <w:t>稀土：</w:t>
      </w:r>
      <w:r>
        <w:rPr>
          <w:rFonts w:hint="default" w:ascii="Calibri" w:hAnsi="Calibri" w:eastAsia="楷体_GB2312" w:cs="Calibri"/>
          <w:sz w:val="20"/>
          <w:szCs w:val="20"/>
          <w:lang w:val="en-US" w:eastAsia="zh-CN"/>
        </w:rPr>
        <w:t>本周氧化镨钕（850,000元/吨）涨幅领先，周度环比+13.8%，月度环比+33.4%，其余品种周度环比涨幅在2-5%区间。</w:t>
      </w:r>
    </w:p>
    <w:p w14:paraId="2ECEB955">
      <w:pPr>
        <w:keepNext w:val="0"/>
        <w:keepLines w:val="0"/>
        <w:pageBreakBefore w:val="0"/>
        <w:widowControl/>
        <w:kinsoku/>
        <w:wordWrap/>
        <w:overflowPunct w:val="0"/>
        <w:topLinePunct w:val="0"/>
        <w:autoSpaceDE/>
        <w:autoSpaceDN/>
        <w:bidi w:val="0"/>
        <w:adjustRightInd/>
        <w:snapToGrid/>
        <w:spacing w:line="228" w:lineRule="auto"/>
        <w:jc w:val="both"/>
        <w:textAlignment w:val="auto"/>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5）全球国防与航空航天：美国：</w:t>
      </w:r>
      <w:r>
        <w:rPr>
          <w:rFonts w:hint="default" w:ascii="Calibri" w:hAnsi="Calibri" w:eastAsia="楷体_GB2312" w:cs="Calibri"/>
          <w:sz w:val="20"/>
          <w:szCs w:val="20"/>
          <w:lang w:val="en-US" w:eastAsia="zh-CN"/>
        </w:rPr>
        <w:t>飞机发动机和发动机部件制造价格指数2025年12月为275.942，环比+0.35%，同比增长1.44%。飞机发动机和发动机零部件制造： 飞机发动机零部件价格指数2025年12月为292.545，环比+0.7%，同比增长3.7%。美国政府支出国防价格指数2025年Q3为119.101，环比+0.7%，同比增长2.8%。</w:t>
      </w:r>
      <w:r>
        <w:rPr>
          <w:rFonts w:hint="default" w:ascii="Calibri" w:hAnsi="Calibri" w:eastAsia="楷体_GB2312" w:cs="Calibri"/>
          <w:b/>
          <w:bCs/>
          <w:sz w:val="20"/>
          <w:szCs w:val="20"/>
          <w:lang w:val="en-US" w:eastAsia="zh-CN"/>
        </w:rPr>
        <w:t>全球通用航空器</w:t>
      </w:r>
      <w:r>
        <w:rPr>
          <w:rFonts w:hint="default" w:ascii="Calibri" w:hAnsi="Calibri" w:eastAsia="楷体_GB2312" w:cs="Calibri"/>
          <w:sz w:val="20"/>
          <w:szCs w:val="20"/>
          <w:lang w:val="en-US" w:eastAsia="zh-CN"/>
        </w:rPr>
        <w:t>交付量呈现稳步增长态势。2024 年全球通用航空器交付量达到 3,126 架，同比增长 2.49%。2025年前三季度与2024年同期相比，公务喷气机交付量显著增长，带动整体交付价值大幅提升。2025年1月至9月，全球共交付通用飞机2201架，较去年同期增加1.5%；民用及商用直升机共交付612架，较去年减少21架。</w:t>
      </w:r>
    </w:p>
    <w:bookmarkEnd w:id="0"/>
    <w:p w14:paraId="065267B7">
      <w:pPr>
        <w:keepNext w:val="0"/>
        <w:keepLines w:val="0"/>
        <w:pageBreakBefore w:val="0"/>
        <w:widowControl/>
        <w:kinsoku/>
        <w:wordWrap/>
        <w:overflowPunct w:val="0"/>
        <w:topLinePunct w:val="0"/>
        <w:autoSpaceDE/>
        <w:autoSpaceDN/>
        <w:bidi w:val="0"/>
        <w:adjustRightInd/>
        <w:snapToGrid/>
        <w:spacing w:line="228" w:lineRule="auto"/>
        <w:jc w:val="both"/>
        <w:textAlignment w:val="auto"/>
        <w:rPr>
          <w:rFonts w:hint="default" w:ascii="Calibri" w:hAnsi="Calibri" w:eastAsia="楷体_GB2312" w:cs="Calibri"/>
          <w:sz w:val="20"/>
          <w:szCs w:val="20"/>
          <w:lang w:val="en-US" w:eastAsia="zh-CN"/>
        </w:rPr>
      </w:pPr>
    </w:p>
    <w:p w14:paraId="45F87DB9">
      <w:pPr>
        <w:keepNext w:val="0"/>
        <w:keepLines w:val="0"/>
        <w:pageBreakBefore w:val="0"/>
        <w:widowControl/>
        <w:kinsoku/>
        <w:wordWrap/>
        <w:overflowPunct w:val="0"/>
        <w:topLinePunct w:val="0"/>
        <w:autoSpaceDE/>
        <w:autoSpaceDN/>
        <w:bidi w:val="0"/>
        <w:adjustRightInd/>
        <w:snapToGrid/>
        <w:spacing w:line="228" w:lineRule="auto"/>
        <w:jc w:val="both"/>
        <w:textAlignment w:val="auto"/>
        <w:rPr>
          <w:rFonts w:hint="default" w:ascii="Calibri" w:hAnsi="Calibri" w:eastAsia="楷体_GB2312" w:cs="Calibri"/>
          <w:sz w:val="22"/>
          <w:szCs w:val="22"/>
          <w:lang w:val="en-US" w:eastAsia="zh-CN"/>
        </w:rPr>
      </w:pPr>
      <w:r>
        <w:rPr>
          <w:rFonts w:hint="default" w:ascii="Calibri" w:hAnsi="Calibri" w:eastAsia="楷体_GB2312" w:cs="Calibri"/>
          <w:b/>
          <w:bCs/>
          <w:color w:val="1F497D" w:themeColor="text2"/>
          <w:sz w:val="22"/>
          <w:szCs w:val="22"/>
          <w:lang w:val="en-US" w:eastAsia="zh-CN"/>
          <w14:textFill>
            <w14:solidFill>
              <w14:schemeClr w14:val="tx2"/>
            </w14:solidFill>
          </w14:textFill>
        </w:rPr>
        <w:t>投资建议：</w:t>
      </w:r>
    </w:p>
    <w:p w14:paraId="543A9A07">
      <w:pPr>
        <w:keepNext w:val="0"/>
        <w:keepLines w:val="0"/>
        <w:pageBreakBefore w:val="0"/>
        <w:widowControl/>
        <w:kinsoku/>
        <w:wordWrap/>
        <w:overflowPunct w:val="0"/>
        <w:topLinePunct w:val="0"/>
        <w:autoSpaceDE/>
        <w:autoSpaceDN/>
        <w:bidi w:val="0"/>
        <w:adjustRightInd/>
        <w:snapToGrid/>
        <w:spacing w:line="228" w:lineRule="auto"/>
        <w:jc w:val="both"/>
        <w:textAlignment w:val="auto"/>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输电网建设受益标的: GE Vernova，西门子能源，日立集团，现代电气，广达服务;智能化电网提供商:施耐德电气;电力方案解决商:伊顿。AI数据中心电力需求爆发，叠加美国核电政策松绑与产业链重建，</w:t>
      </w:r>
      <w:r>
        <w:rPr>
          <w:rFonts w:hint="eastAsia" w:eastAsia="楷体_GB2312" w:cs="Calibri"/>
          <w:sz w:val="20"/>
          <w:szCs w:val="20"/>
          <w:lang w:val="en-US" w:eastAsia="zh-CN"/>
        </w:rPr>
        <w:t>我们</w:t>
      </w:r>
      <w:r>
        <w:rPr>
          <w:rFonts w:hint="default" w:ascii="Calibri" w:hAnsi="Calibri" w:eastAsia="楷体_GB2312" w:cs="Calibri"/>
          <w:sz w:val="20"/>
          <w:szCs w:val="20"/>
          <w:lang w:val="en-US" w:eastAsia="zh-CN"/>
        </w:rPr>
        <w:t>建议关注 ：Vistra、Talen Energy、Constellation Energy、Entergy、NuScale Power、Oklo、Centrus Energy。受益于政府核能政策及能源需求扩张，建议关注有完善技术储备和清晰商业化路径的SMR公司，如Oklo，NuScale等；</w:t>
      </w:r>
    </w:p>
    <w:p w14:paraId="6F6E3F10">
      <w:pPr>
        <w:keepNext w:val="0"/>
        <w:keepLines w:val="0"/>
        <w:pageBreakBefore w:val="0"/>
        <w:widowControl/>
        <w:kinsoku/>
        <w:wordWrap/>
        <w:overflowPunct w:val="0"/>
        <w:topLinePunct w:val="0"/>
        <w:autoSpaceDE/>
        <w:autoSpaceDN/>
        <w:bidi w:val="0"/>
        <w:adjustRightInd/>
        <w:snapToGrid/>
        <w:spacing w:line="228" w:lineRule="auto"/>
        <w:jc w:val="both"/>
        <w:textAlignment w:val="auto"/>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随着航空航天业的稳健复苏、国防支出增加及军事现代化需求，</w:t>
      </w:r>
      <w:r>
        <w:rPr>
          <w:rFonts w:hint="eastAsia" w:eastAsia="楷体_GB2312" w:cs="Calibri"/>
          <w:sz w:val="20"/>
          <w:szCs w:val="20"/>
          <w:lang w:val="en-US" w:eastAsia="zh-CN"/>
        </w:rPr>
        <w:t>我们</w:t>
      </w:r>
      <w:r>
        <w:rPr>
          <w:rFonts w:hint="default" w:ascii="Calibri" w:hAnsi="Calibri" w:eastAsia="楷体_GB2312" w:cs="Calibri"/>
          <w:sz w:val="20"/>
          <w:szCs w:val="20"/>
          <w:lang w:val="en-US" w:eastAsia="zh-CN"/>
        </w:rPr>
        <w:t>建议关注高性能结构部件制造商Howmet Aerospace、航空航天零部件专业制造商Loar Holdings、法国航空发动机巨头赛峰(SAFRY)以及领先国防承包商雷神技术(RTX)。随着民用航空器维护需求增加，</w:t>
      </w:r>
      <w:r>
        <w:rPr>
          <w:rFonts w:hint="eastAsia" w:eastAsia="楷体_GB2312" w:cs="Calibri"/>
          <w:sz w:val="20"/>
          <w:szCs w:val="20"/>
          <w:lang w:val="en-US" w:eastAsia="zh-CN"/>
        </w:rPr>
        <w:t>我们</w:t>
      </w:r>
      <w:r>
        <w:rPr>
          <w:rFonts w:hint="default" w:ascii="Calibri" w:hAnsi="Calibri" w:eastAsia="楷体_GB2312" w:cs="Calibri"/>
          <w:sz w:val="20"/>
          <w:szCs w:val="20"/>
          <w:lang w:val="en-US" w:eastAsia="zh-CN"/>
        </w:rPr>
        <w:t>建议关注VSE技术服务公司。看好高净值人群增长叠加基础设施完善下带来私人飞机市场规模稳步增长，建议关注头部品牌西锐飞机。</w:t>
      </w:r>
    </w:p>
    <w:p w14:paraId="7B1A0626">
      <w:pPr>
        <w:keepNext w:val="0"/>
        <w:keepLines w:val="0"/>
        <w:pageBreakBefore w:val="0"/>
        <w:widowControl/>
        <w:kinsoku/>
        <w:wordWrap/>
        <w:overflowPunct w:val="0"/>
        <w:topLinePunct w:val="0"/>
        <w:autoSpaceDE/>
        <w:autoSpaceDN/>
        <w:bidi w:val="0"/>
        <w:adjustRightInd/>
        <w:snapToGrid/>
        <w:spacing w:line="228" w:lineRule="auto"/>
        <w:jc w:val="both"/>
        <w:textAlignment w:val="auto"/>
        <w:rPr>
          <w:rFonts w:hint="default" w:ascii="Calibri" w:hAnsi="Calibri" w:eastAsia="楷体_GB2312" w:cs="Calibri"/>
          <w:sz w:val="20"/>
          <w:szCs w:val="20"/>
          <w:lang w:val="en-US" w:eastAsia="zh-CN"/>
        </w:rPr>
      </w:pPr>
    </w:p>
    <w:p w14:paraId="4C29B33D">
      <w:pPr>
        <w:keepNext w:val="0"/>
        <w:keepLines w:val="0"/>
        <w:pageBreakBefore w:val="0"/>
        <w:widowControl/>
        <w:kinsoku/>
        <w:wordWrap/>
        <w:overflowPunct w:val="0"/>
        <w:topLinePunct w:val="0"/>
        <w:autoSpaceDE/>
        <w:autoSpaceDN/>
        <w:bidi w:val="0"/>
        <w:adjustRightInd/>
        <w:snapToGrid/>
        <w:spacing w:line="228" w:lineRule="auto"/>
        <w:jc w:val="both"/>
        <w:textAlignment w:val="auto"/>
        <w:rPr>
          <w:rFonts w:hint="default" w:ascii="Calibri" w:hAnsi="Calibri" w:eastAsia="楷体_GB2312" w:cs="Calibri"/>
          <w:b/>
          <w:bCs/>
          <w:color w:val="1F497D" w:themeColor="text2"/>
          <w:sz w:val="22"/>
          <w:szCs w:val="22"/>
          <w:lang w:val="en-US" w:eastAsia="zh-CN"/>
          <w14:textFill>
            <w14:solidFill>
              <w14:schemeClr w14:val="tx2"/>
            </w14:solidFill>
          </w14:textFill>
        </w:rPr>
      </w:pPr>
      <w:r>
        <w:rPr>
          <w:rFonts w:hint="default" w:ascii="Calibri" w:hAnsi="Calibri" w:eastAsia="楷体_GB2312" w:cs="Calibri"/>
          <w:b/>
          <w:bCs/>
          <w:color w:val="1F497D" w:themeColor="text2"/>
          <w:sz w:val="22"/>
          <w:szCs w:val="22"/>
          <w:lang w:val="en-US" w:eastAsia="zh-CN"/>
          <w14:textFill>
            <w14:solidFill>
              <w14:schemeClr w14:val="tx2"/>
            </w14:solidFill>
          </w14:textFill>
        </w:rPr>
        <w:t>风险提示：</w:t>
      </w:r>
    </w:p>
    <w:p w14:paraId="0A7BAC1B">
      <w:pPr>
        <w:keepNext w:val="0"/>
        <w:keepLines w:val="0"/>
        <w:pageBreakBefore w:val="0"/>
        <w:widowControl/>
        <w:kinsoku/>
        <w:wordWrap/>
        <w:overflowPunct w:val="0"/>
        <w:topLinePunct w:val="0"/>
        <w:autoSpaceDE/>
        <w:autoSpaceDN/>
        <w:bidi w:val="0"/>
        <w:adjustRightInd/>
        <w:snapToGrid/>
        <w:spacing w:line="228" w:lineRule="auto"/>
        <w:jc w:val="both"/>
        <w:textAlignment w:val="auto"/>
        <w:rPr>
          <w:rFonts w:hint="default" w:ascii="Calibri" w:hAnsi="Calibri" w:eastAsia="楷体_GB2312" w:cs="Calibri"/>
          <w:lang w:eastAsia="zh-CN"/>
        </w:rPr>
      </w:pPr>
      <w:r>
        <w:rPr>
          <w:rFonts w:hint="default" w:ascii="Calibri" w:hAnsi="Calibri" w:eastAsia="楷体_GB2312" w:cs="Calibri"/>
          <w:sz w:val="20"/>
          <w:szCs w:val="20"/>
          <w:lang w:val="en-US" w:eastAsia="zh-CN"/>
        </w:rPr>
        <w:t>欧美新能源政策推进不及预期；欧洲电力市场改革不及预期；地缘政治风险，导致传统能源品价格波动；核能政策推进不及预期，开发成本高于预期，商业化进展弱于预期；AIDC建设不及预期；AI用电量不及预期</w:t>
      </w:r>
      <w:r>
        <w:rPr>
          <w:rFonts w:hint="eastAsia" w:eastAsia="楷体_GB2312" w:cs="Calibri"/>
          <w:sz w:val="20"/>
          <w:szCs w:val="20"/>
          <w:lang w:val="en-US" w:eastAsia="zh-CN"/>
        </w:rPr>
        <w:t>。</w:t>
      </w:r>
    </w:p>
    <w:p w14:paraId="6CE7CC2B">
      <w:pPr>
        <w:spacing w:before="240" w:beforeLines="100" w:after="240" w:afterLines="100"/>
        <w:rPr>
          <w:rFonts w:hint="default" w:ascii="Calibri" w:hAnsi="Calibri" w:eastAsia="楷体_GB2312" w:cs="Calibri"/>
          <w:lang w:eastAsia="zh-CN"/>
        </w:rPr>
        <w:sectPr>
          <w:headerReference r:id="rId5" w:type="first"/>
          <w:footerReference r:id="rId8" w:type="first"/>
          <w:headerReference r:id="rId3" w:type="default"/>
          <w:footerReference r:id="rId6" w:type="default"/>
          <w:headerReference r:id="rId4" w:type="even"/>
          <w:footerReference r:id="rId7" w:type="even"/>
          <w:pgSz w:w="11909" w:h="16834"/>
          <w:pgMar w:top="1134" w:right="851" w:bottom="1321" w:left="851" w:header="284" w:footer="1157" w:gutter="0"/>
          <w:cols w:space="720" w:num="1"/>
          <w:docGrid w:linePitch="360" w:charSpace="0"/>
        </w:sectPr>
      </w:pPr>
    </w:p>
    <w:p w14:paraId="006E0F4D">
      <w:pPr>
        <w:overflowPunct w:val="0"/>
        <w:jc w:val="both"/>
        <w:rPr>
          <w:rFonts w:hint="default" w:ascii="Calibri" w:hAnsi="Calibri" w:eastAsia="楷体_GB2312" w:cs="Calibri"/>
          <w:sz w:val="20"/>
          <w:szCs w:val="20"/>
          <w:lang w:val="en-US" w:eastAsia="zh-CN"/>
        </w:rPr>
      </w:pPr>
      <w:bookmarkStart w:id="1" w:name="_Toc145691341"/>
      <w:bookmarkStart w:id="2" w:name="_Toc145713253"/>
      <w:bookmarkStart w:id="3" w:name="_Toc2091320906"/>
      <w:bookmarkStart w:id="4" w:name="_Toc185497681"/>
    </w:p>
    <w:sdt>
      <w:sdtPr>
        <w:rPr>
          <w:rFonts w:hint="default" w:ascii="Calibri" w:hAnsi="Calibri" w:eastAsia="楷体_GB2312" w:cs="Calibri"/>
          <w:sz w:val="21"/>
        </w:rPr>
        <w:id w:val="147451266"/>
        <w15:color w:val="DBDBDB"/>
        <w:docPartObj>
          <w:docPartGallery w:val="Table of Contents"/>
          <w:docPartUnique/>
        </w:docPartObj>
      </w:sdtPr>
      <w:sdtEndPr>
        <w:rPr>
          <w:rFonts w:hint="default" w:ascii="Calibri" w:hAnsi="Calibri" w:eastAsia="楷体_GB2312" w:cs="Calibri"/>
          <w:sz w:val="16"/>
          <w:lang w:eastAsia="zh-CN"/>
        </w:rPr>
      </w:sdtEndPr>
      <w:sdtContent>
        <w:p w14:paraId="35BA87EF">
          <w:pPr>
            <w:jc w:val="center"/>
            <w:rPr>
              <w:rFonts w:hint="default" w:ascii="Calibri" w:hAnsi="Calibri" w:eastAsia="楷体_GB2312" w:cs="Calibri"/>
              <w:b/>
              <w:bCs/>
              <w:color w:val="1F497D" w:themeColor="text2"/>
              <w:sz w:val="22"/>
              <w:szCs w:val="22"/>
              <w:lang w:val="en-US" w:eastAsia="zh-CN"/>
              <w14:textFill>
                <w14:solidFill>
                  <w14:schemeClr w14:val="tx2"/>
                </w14:solidFill>
              </w14:textFill>
            </w:rPr>
          </w:pPr>
          <w:r>
            <w:rPr>
              <w:rFonts w:hint="default" w:ascii="Calibri" w:hAnsi="Calibri" w:eastAsia="楷体_GB2312" w:cs="Calibri"/>
              <w:b/>
              <w:bCs/>
              <w:color w:val="1F497D" w:themeColor="text2"/>
              <w:sz w:val="22"/>
              <w:szCs w:val="22"/>
              <w:lang w:val="en-US" w:eastAsia="zh-CN"/>
              <w14:textFill>
                <w14:solidFill>
                  <w14:schemeClr w14:val="tx2"/>
                </w14:solidFill>
              </w14:textFill>
            </w:rPr>
            <w:t>目录</w:t>
          </w:r>
        </w:p>
        <w:p w14:paraId="121E11EC">
          <w:pPr>
            <w:pStyle w:val="19"/>
            <w:keepNext w:val="0"/>
            <w:keepLines w:val="0"/>
            <w:pageBreakBefore w:val="0"/>
            <w:widowControl w:val="0"/>
            <w:tabs>
              <w:tab w:val="right" w:leader="dot" w:pos="10698"/>
              <w:tab w:val="clear" w:pos="2835"/>
              <w:tab w:val="clear" w:pos="3325"/>
              <w:tab w:val="clear" w:pos="10537"/>
            </w:tabs>
            <w:kinsoku/>
            <w:wordWrap/>
            <w:topLinePunct w:val="0"/>
            <w:autoSpaceDE/>
            <w:autoSpaceDN/>
            <w:bidi w:val="0"/>
            <w:adjustRightInd/>
            <w:snapToGrid/>
            <w:spacing w:line="240" w:lineRule="auto"/>
            <w:textAlignment w:val="auto"/>
            <w:rPr>
              <w:rFonts w:hint="default" w:ascii="Calibri" w:hAnsi="Calibri" w:eastAsia="楷体_GB2312" w:cs="Calibri"/>
            </w:rPr>
          </w:pPr>
          <w:r>
            <w:rPr>
              <w:rFonts w:hint="default" w:ascii="Calibri" w:hAnsi="Calibri" w:eastAsia="楷体_GB2312" w:cs="Calibri"/>
              <w:snapToGrid w:val="0"/>
              <w:sz w:val="16"/>
              <w:szCs w:val="16"/>
              <w:lang w:val="en-GB"/>
            </w:rPr>
            <w:fldChar w:fldCharType="begin"/>
          </w:r>
          <w:r>
            <w:rPr>
              <w:rFonts w:hint="default" w:ascii="Calibri" w:hAnsi="Calibri" w:eastAsia="楷体_GB2312" w:cs="Calibri"/>
              <w:snapToGrid w:val="0"/>
              <w:sz w:val="16"/>
              <w:szCs w:val="16"/>
              <w:lang w:val="en-GB"/>
            </w:rPr>
            <w:instrText xml:space="preserve">TOC \o "1-3" \h \u </w:instrText>
          </w:r>
          <w:r>
            <w:rPr>
              <w:rFonts w:hint="default" w:ascii="Calibri" w:hAnsi="Calibri" w:eastAsia="楷体_GB2312" w:cs="Calibri"/>
              <w:snapToGrid w:val="0"/>
              <w:sz w:val="16"/>
              <w:szCs w:val="16"/>
              <w:lang w:val="en-GB"/>
            </w:rPr>
            <w:fldChar w:fldCharType="separate"/>
          </w:r>
          <w:r>
            <w:rPr>
              <w:rFonts w:hint="default" w:ascii="Calibri" w:hAnsi="Calibri" w:eastAsia="楷体_GB2312" w:cs="Calibri"/>
              <w:snapToGrid w:val="0"/>
              <w:szCs w:val="16"/>
              <w:lang w:val="en-GB"/>
            </w:rPr>
            <w:fldChar w:fldCharType="begin"/>
          </w:r>
          <w:r>
            <w:rPr>
              <w:rFonts w:hint="default" w:ascii="Calibri" w:hAnsi="Calibri" w:eastAsia="楷体_GB2312" w:cs="Calibri"/>
              <w:snapToGrid w:val="0"/>
              <w:szCs w:val="16"/>
              <w:lang w:val="en-GB"/>
            </w:rPr>
            <w:instrText xml:space="preserve"> HYPERLINK \l _Toc28162 </w:instrText>
          </w:r>
          <w:r>
            <w:rPr>
              <w:rFonts w:hint="default" w:ascii="Calibri" w:hAnsi="Calibri" w:eastAsia="楷体_GB2312" w:cs="Calibri"/>
              <w:snapToGrid w:val="0"/>
              <w:szCs w:val="16"/>
              <w:lang w:val="en-GB"/>
            </w:rPr>
            <w:fldChar w:fldCharType="separate"/>
          </w:r>
          <w:r>
            <w:rPr>
              <w:rFonts w:hint="default" w:ascii="Calibri" w:hAnsi="Calibri" w:eastAsia="楷体_GB2312" w:cs="Calibri"/>
              <w:bCs/>
              <w:szCs w:val="28"/>
              <w:lang w:val="en-US" w:eastAsia="zh-CN"/>
            </w:rPr>
            <w:t>一、全球市场回顾</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PAGEREF _Toc28162 \h </w:instrText>
          </w:r>
          <w:r>
            <w:rPr>
              <w:rFonts w:hint="default" w:ascii="Calibri" w:hAnsi="Calibri" w:eastAsia="楷体_GB2312" w:cs="Calibri"/>
            </w:rPr>
            <w:fldChar w:fldCharType="separate"/>
          </w:r>
          <w:r>
            <w:rPr>
              <w:rFonts w:hint="default" w:ascii="Calibri" w:hAnsi="Calibri" w:eastAsia="楷体_GB2312" w:cs="Calibri"/>
            </w:rPr>
            <w:t>3</w:t>
          </w:r>
          <w:r>
            <w:rPr>
              <w:rFonts w:hint="default" w:ascii="Calibri" w:hAnsi="Calibri" w:eastAsia="楷体_GB2312" w:cs="Calibri"/>
            </w:rPr>
            <w:fldChar w:fldCharType="end"/>
          </w:r>
          <w:r>
            <w:rPr>
              <w:rFonts w:hint="default" w:ascii="Calibri" w:hAnsi="Calibri" w:eastAsia="楷体_GB2312" w:cs="Calibri"/>
              <w:snapToGrid w:val="0"/>
              <w:szCs w:val="16"/>
              <w:lang w:val="en-GB"/>
            </w:rPr>
            <w:fldChar w:fldCharType="end"/>
          </w:r>
        </w:p>
        <w:p w14:paraId="61D59819">
          <w:pPr>
            <w:pStyle w:val="19"/>
            <w:keepNext w:val="0"/>
            <w:keepLines w:val="0"/>
            <w:pageBreakBefore w:val="0"/>
            <w:widowControl w:val="0"/>
            <w:tabs>
              <w:tab w:val="right" w:leader="dot" w:pos="10698"/>
              <w:tab w:val="clear" w:pos="2835"/>
              <w:tab w:val="clear" w:pos="3325"/>
              <w:tab w:val="clear" w:pos="10537"/>
            </w:tabs>
            <w:kinsoku/>
            <w:wordWrap/>
            <w:topLinePunct w:val="0"/>
            <w:autoSpaceDE/>
            <w:autoSpaceDN/>
            <w:bidi w:val="0"/>
            <w:adjustRightInd/>
            <w:snapToGrid/>
            <w:spacing w:line="240" w:lineRule="auto"/>
            <w:textAlignment w:val="auto"/>
            <w:rPr>
              <w:rFonts w:hint="default" w:ascii="Calibri" w:hAnsi="Calibri" w:eastAsia="楷体_GB2312" w:cs="Calibri"/>
            </w:rPr>
          </w:pPr>
          <w:r>
            <w:rPr>
              <w:rFonts w:hint="default" w:ascii="Calibri" w:hAnsi="Calibri" w:eastAsia="楷体_GB2312" w:cs="Calibri"/>
              <w:lang w:eastAsia="zh-CN"/>
            </w:rPr>
            <w:fldChar w:fldCharType="begin"/>
          </w:r>
          <w:r>
            <w:rPr>
              <w:rFonts w:hint="default" w:ascii="Calibri" w:hAnsi="Calibri" w:eastAsia="楷体_GB2312" w:cs="Calibri"/>
              <w:lang w:eastAsia="zh-CN"/>
            </w:rPr>
            <w:instrText xml:space="preserve"> HYPERLINK \l _Toc31110 </w:instrText>
          </w:r>
          <w:r>
            <w:rPr>
              <w:rFonts w:hint="default" w:ascii="Calibri" w:hAnsi="Calibri" w:eastAsia="楷体_GB2312" w:cs="Calibri"/>
              <w:lang w:eastAsia="zh-CN"/>
            </w:rPr>
            <w:fldChar w:fldCharType="separate"/>
          </w:r>
          <w:r>
            <w:rPr>
              <w:rFonts w:hint="default" w:ascii="Calibri" w:hAnsi="Calibri" w:eastAsia="楷体_GB2312" w:cs="Calibri"/>
              <w:bCs/>
              <w:szCs w:val="24"/>
              <w:lang w:val="en-US" w:eastAsia="zh-CN"/>
            </w:rPr>
            <w:t>二、全球基建与建筑装备</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PAGEREF _Toc31110 \h </w:instrText>
          </w:r>
          <w:r>
            <w:rPr>
              <w:rFonts w:hint="default" w:ascii="Calibri" w:hAnsi="Calibri" w:eastAsia="楷体_GB2312" w:cs="Calibri"/>
            </w:rPr>
            <w:fldChar w:fldCharType="separate"/>
          </w:r>
          <w:r>
            <w:rPr>
              <w:rFonts w:hint="default" w:ascii="Calibri" w:hAnsi="Calibri" w:eastAsia="楷体_GB2312" w:cs="Calibri"/>
            </w:rPr>
            <w:t>4</w:t>
          </w:r>
          <w:r>
            <w:rPr>
              <w:rFonts w:hint="default" w:ascii="Calibri" w:hAnsi="Calibri" w:eastAsia="楷体_GB2312" w:cs="Calibri"/>
            </w:rPr>
            <w:fldChar w:fldCharType="end"/>
          </w:r>
          <w:r>
            <w:rPr>
              <w:rFonts w:hint="default" w:ascii="Calibri" w:hAnsi="Calibri" w:eastAsia="楷体_GB2312" w:cs="Calibri"/>
              <w:lang w:eastAsia="zh-CN"/>
            </w:rPr>
            <w:fldChar w:fldCharType="end"/>
          </w:r>
        </w:p>
        <w:p w14:paraId="1CF0E754">
          <w:pPr>
            <w:pStyle w:val="22"/>
            <w:keepNext w:val="0"/>
            <w:keepLines w:val="0"/>
            <w:pageBreakBefore w:val="0"/>
            <w:widowControl w:val="0"/>
            <w:tabs>
              <w:tab w:val="right" w:leader="dot" w:pos="10698"/>
              <w:tab w:val="clear" w:pos="2835"/>
              <w:tab w:val="clear" w:pos="10500"/>
            </w:tabs>
            <w:kinsoku/>
            <w:wordWrap/>
            <w:topLinePunct w:val="0"/>
            <w:autoSpaceDE/>
            <w:autoSpaceDN/>
            <w:bidi w:val="0"/>
            <w:adjustRightInd/>
            <w:snapToGrid/>
            <w:spacing w:line="240" w:lineRule="auto"/>
            <w:textAlignment w:val="auto"/>
            <w:rPr>
              <w:rFonts w:hint="default" w:ascii="Calibri" w:hAnsi="Calibri" w:eastAsia="楷体_GB2312" w:cs="Calibri"/>
            </w:rPr>
          </w:pPr>
          <w:r>
            <w:rPr>
              <w:rFonts w:hint="default" w:ascii="Calibri" w:hAnsi="Calibri" w:eastAsia="楷体_GB2312" w:cs="Calibri"/>
              <w:lang w:eastAsia="zh-CN"/>
            </w:rPr>
            <w:fldChar w:fldCharType="begin"/>
          </w:r>
          <w:r>
            <w:rPr>
              <w:rFonts w:hint="default" w:ascii="Calibri" w:hAnsi="Calibri" w:eastAsia="楷体_GB2312" w:cs="Calibri"/>
              <w:lang w:eastAsia="zh-CN"/>
            </w:rPr>
            <w:instrText xml:space="preserve"> HYPERLINK \l _Toc23405 </w:instrText>
          </w:r>
          <w:r>
            <w:rPr>
              <w:rFonts w:hint="default" w:ascii="Calibri" w:hAnsi="Calibri" w:eastAsia="楷体_GB2312" w:cs="Calibri"/>
              <w:lang w:eastAsia="zh-CN"/>
            </w:rPr>
            <w:fldChar w:fldCharType="separate"/>
          </w:r>
          <w:r>
            <w:rPr>
              <w:rFonts w:hint="default" w:ascii="Calibri" w:hAnsi="Calibri" w:eastAsia="楷体_GB2312" w:cs="Calibri"/>
              <w:bCs/>
              <w:szCs w:val="24"/>
              <w:lang w:val="en-US" w:eastAsia="zh-CN"/>
            </w:rPr>
            <w:t>（一）数据中心</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PAGEREF _Toc23405 \h </w:instrText>
          </w:r>
          <w:r>
            <w:rPr>
              <w:rFonts w:hint="default" w:ascii="Calibri" w:hAnsi="Calibri" w:eastAsia="楷体_GB2312" w:cs="Calibri"/>
            </w:rPr>
            <w:fldChar w:fldCharType="separate"/>
          </w:r>
          <w:r>
            <w:rPr>
              <w:rFonts w:hint="default" w:ascii="Calibri" w:hAnsi="Calibri" w:eastAsia="楷体_GB2312" w:cs="Calibri"/>
            </w:rPr>
            <w:t>4</w:t>
          </w:r>
          <w:r>
            <w:rPr>
              <w:rFonts w:hint="default" w:ascii="Calibri" w:hAnsi="Calibri" w:eastAsia="楷体_GB2312" w:cs="Calibri"/>
            </w:rPr>
            <w:fldChar w:fldCharType="end"/>
          </w:r>
          <w:r>
            <w:rPr>
              <w:rFonts w:hint="default" w:ascii="Calibri" w:hAnsi="Calibri" w:eastAsia="楷体_GB2312" w:cs="Calibri"/>
              <w:lang w:eastAsia="zh-CN"/>
            </w:rPr>
            <w:fldChar w:fldCharType="end"/>
          </w:r>
        </w:p>
        <w:p w14:paraId="57FDCA06">
          <w:pPr>
            <w:pStyle w:val="22"/>
            <w:keepNext w:val="0"/>
            <w:keepLines w:val="0"/>
            <w:pageBreakBefore w:val="0"/>
            <w:widowControl w:val="0"/>
            <w:tabs>
              <w:tab w:val="right" w:leader="dot" w:pos="10698"/>
              <w:tab w:val="clear" w:pos="2835"/>
              <w:tab w:val="clear" w:pos="10500"/>
            </w:tabs>
            <w:kinsoku/>
            <w:wordWrap/>
            <w:topLinePunct w:val="0"/>
            <w:autoSpaceDE/>
            <w:autoSpaceDN/>
            <w:bidi w:val="0"/>
            <w:adjustRightInd/>
            <w:snapToGrid/>
            <w:spacing w:line="240" w:lineRule="auto"/>
            <w:textAlignment w:val="auto"/>
            <w:rPr>
              <w:rFonts w:hint="default" w:ascii="Calibri" w:hAnsi="Calibri" w:eastAsia="楷体_GB2312" w:cs="Calibri"/>
            </w:rPr>
          </w:pPr>
          <w:r>
            <w:rPr>
              <w:rFonts w:hint="default" w:ascii="Calibri" w:hAnsi="Calibri" w:eastAsia="楷体_GB2312" w:cs="Calibri"/>
              <w:lang w:eastAsia="zh-CN"/>
            </w:rPr>
            <w:fldChar w:fldCharType="begin"/>
          </w:r>
          <w:r>
            <w:rPr>
              <w:rFonts w:hint="default" w:ascii="Calibri" w:hAnsi="Calibri" w:eastAsia="楷体_GB2312" w:cs="Calibri"/>
              <w:lang w:eastAsia="zh-CN"/>
            </w:rPr>
            <w:instrText xml:space="preserve"> HYPERLINK \l _Toc17424 </w:instrText>
          </w:r>
          <w:r>
            <w:rPr>
              <w:rFonts w:hint="default" w:ascii="Calibri" w:hAnsi="Calibri" w:eastAsia="楷体_GB2312" w:cs="Calibri"/>
              <w:lang w:eastAsia="zh-CN"/>
            </w:rPr>
            <w:fldChar w:fldCharType="separate"/>
          </w:r>
          <w:r>
            <w:rPr>
              <w:rFonts w:hint="default" w:ascii="Calibri" w:hAnsi="Calibri" w:eastAsia="楷体_GB2312" w:cs="Calibri"/>
              <w:bCs/>
              <w:szCs w:val="24"/>
              <w:lang w:val="en-US" w:eastAsia="zh-CN"/>
            </w:rPr>
            <w:t>（二）能源建设</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PAGEREF _Toc17424 \h </w:instrText>
          </w:r>
          <w:r>
            <w:rPr>
              <w:rFonts w:hint="default" w:ascii="Calibri" w:hAnsi="Calibri" w:eastAsia="楷体_GB2312" w:cs="Calibri"/>
            </w:rPr>
            <w:fldChar w:fldCharType="separate"/>
          </w:r>
          <w:r>
            <w:rPr>
              <w:rFonts w:hint="default" w:ascii="Calibri" w:hAnsi="Calibri" w:eastAsia="楷体_GB2312" w:cs="Calibri"/>
            </w:rPr>
            <w:t>5</w:t>
          </w:r>
          <w:r>
            <w:rPr>
              <w:rFonts w:hint="default" w:ascii="Calibri" w:hAnsi="Calibri" w:eastAsia="楷体_GB2312" w:cs="Calibri"/>
            </w:rPr>
            <w:fldChar w:fldCharType="end"/>
          </w:r>
          <w:r>
            <w:rPr>
              <w:rFonts w:hint="default" w:ascii="Calibri" w:hAnsi="Calibri" w:eastAsia="楷体_GB2312" w:cs="Calibri"/>
              <w:lang w:eastAsia="zh-CN"/>
            </w:rPr>
            <w:fldChar w:fldCharType="end"/>
          </w:r>
        </w:p>
        <w:p w14:paraId="611F5927">
          <w:pPr>
            <w:pStyle w:val="22"/>
            <w:keepNext w:val="0"/>
            <w:keepLines w:val="0"/>
            <w:pageBreakBefore w:val="0"/>
            <w:widowControl w:val="0"/>
            <w:tabs>
              <w:tab w:val="right" w:leader="dot" w:pos="10698"/>
              <w:tab w:val="clear" w:pos="2835"/>
              <w:tab w:val="clear" w:pos="10500"/>
            </w:tabs>
            <w:kinsoku/>
            <w:wordWrap/>
            <w:topLinePunct w:val="0"/>
            <w:autoSpaceDE/>
            <w:autoSpaceDN/>
            <w:bidi w:val="0"/>
            <w:adjustRightInd/>
            <w:snapToGrid/>
            <w:spacing w:line="240" w:lineRule="auto"/>
            <w:textAlignment w:val="auto"/>
            <w:rPr>
              <w:rFonts w:hint="default" w:ascii="Calibri" w:hAnsi="Calibri" w:eastAsia="楷体_GB2312" w:cs="Calibri"/>
            </w:rPr>
          </w:pPr>
          <w:r>
            <w:rPr>
              <w:rFonts w:hint="default" w:ascii="Calibri" w:hAnsi="Calibri" w:eastAsia="楷体_GB2312" w:cs="Calibri"/>
              <w:lang w:eastAsia="zh-CN"/>
            </w:rPr>
            <w:fldChar w:fldCharType="begin"/>
          </w:r>
          <w:r>
            <w:rPr>
              <w:rFonts w:hint="default" w:ascii="Calibri" w:hAnsi="Calibri" w:eastAsia="楷体_GB2312" w:cs="Calibri"/>
              <w:lang w:eastAsia="zh-CN"/>
            </w:rPr>
            <w:instrText xml:space="preserve"> HYPERLINK \l _Toc19474 </w:instrText>
          </w:r>
          <w:r>
            <w:rPr>
              <w:rFonts w:hint="default" w:ascii="Calibri" w:hAnsi="Calibri" w:eastAsia="楷体_GB2312" w:cs="Calibri"/>
              <w:lang w:eastAsia="zh-CN"/>
            </w:rPr>
            <w:fldChar w:fldCharType="separate"/>
          </w:r>
          <w:r>
            <w:rPr>
              <w:rFonts w:hint="default" w:ascii="Calibri" w:hAnsi="Calibri" w:eastAsia="楷体_GB2312" w:cs="Calibri"/>
              <w:bCs/>
              <w:szCs w:val="24"/>
              <w:lang w:val="en-US" w:eastAsia="zh-CN"/>
            </w:rPr>
            <w:t>（三）SMR装备</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PAGEREF _Toc19474 \h </w:instrText>
          </w:r>
          <w:r>
            <w:rPr>
              <w:rFonts w:hint="default" w:ascii="Calibri" w:hAnsi="Calibri" w:eastAsia="楷体_GB2312" w:cs="Calibri"/>
            </w:rPr>
            <w:fldChar w:fldCharType="separate"/>
          </w:r>
          <w:r>
            <w:rPr>
              <w:rFonts w:hint="default" w:ascii="Calibri" w:hAnsi="Calibri" w:eastAsia="楷体_GB2312" w:cs="Calibri"/>
            </w:rPr>
            <w:t>6</w:t>
          </w:r>
          <w:r>
            <w:rPr>
              <w:rFonts w:hint="default" w:ascii="Calibri" w:hAnsi="Calibri" w:eastAsia="楷体_GB2312" w:cs="Calibri"/>
            </w:rPr>
            <w:fldChar w:fldCharType="end"/>
          </w:r>
          <w:r>
            <w:rPr>
              <w:rFonts w:hint="default" w:ascii="Calibri" w:hAnsi="Calibri" w:eastAsia="楷体_GB2312" w:cs="Calibri"/>
              <w:lang w:eastAsia="zh-CN"/>
            </w:rPr>
            <w:fldChar w:fldCharType="end"/>
          </w:r>
        </w:p>
        <w:p w14:paraId="6237FA7D">
          <w:pPr>
            <w:pStyle w:val="22"/>
            <w:keepNext w:val="0"/>
            <w:keepLines w:val="0"/>
            <w:pageBreakBefore w:val="0"/>
            <w:widowControl w:val="0"/>
            <w:tabs>
              <w:tab w:val="right" w:leader="dot" w:pos="10698"/>
              <w:tab w:val="clear" w:pos="2835"/>
              <w:tab w:val="clear" w:pos="10500"/>
            </w:tabs>
            <w:kinsoku/>
            <w:wordWrap/>
            <w:topLinePunct w:val="0"/>
            <w:autoSpaceDE/>
            <w:autoSpaceDN/>
            <w:bidi w:val="0"/>
            <w:adjustRightInd/>
            <w:snapToGrid/>
            <w:spacing w:line="240" w:lineRule="auto"/>
            <w:textAlignment w:val="auto"/>
            <w:rPr>
              <w:rFonts w:hint="default" w:ascii="Calibri" w:hAnsi="Calibri" w:eastAsia="楷体_GB2312" w:cs="Calibri"/>
            </w:rPr>
          </w:pPr>
          <w:r>
            <w:rPr>
              <w:rFonts w:hint="default" w:ascii="Calibri" w:hAnsi="Calibri" w:eastAsia="楷体_GB2312" w:cs="Calibri"/>
              <w:lang w:eastAsia="zh-CN"/>
            </w:rPr>
            <w:fldChar w:fldCharType="begin"/>
          </w:r>
          <w:r>
            <w:rPr>
              <w:rFonts w:hint="default" w:ascii="Calibri" w:hAnsi="Calibri" w:eastAsia="楷体_GB2312" w:cs="Calibri"/>
              <w:lang w:eastAsia="zh-CN"/>
            </w:rPr>
            <w:instrText xml:space="preserve"> HYPERLINK \l _Toc26487 </w:instrText>
          </w:r>
          <w:r>
            <w:rPr>
              <w:rFonts w:hint="default" w:ascii="Calibri" w:hAnsi="Calibri" w:eastAsia="楷体_GB2312" w:cs="Calibri"/>
              <w:lang w:eastAsia="zh-CN"/>
            </w:rPr>
            <w:fldChar w:fldCharType="separate"/>
          </w:r>
          <w:r>
            <w:rPr>
              <w:rFonts w:hint="default" w:ascii="Calibri" w:hAnsi="Calibri" w:eastAsia="楷体_GB2312" w:cs="Calibri"/>
              <w:bCs/>
              <w:szCs w:val="20"/>
              <w:lang w:val="en-US" w:eastAsia="zh-CN"/>
            </w:rPr>
            <w:t>（</w:t>
          </w:r>
          <w:r>
            <w:rPr>
              <w:rFonts w:hint="default" w:ascii="Calibri" w:hAnsi="Calibri" w:eastAsia="楷体_GB2312" w:cs="Calibri"/>
              <w:bCs/>
              <w:szCs w:val="24"/>
              <w:lang w:val="en-US" w:eastAsia="zh-CN"/>
            </w:rPr>
            <w:t>四）机器人-工业机器人</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PAGEREF _Toc26487 \h </w:instrText>
          </w:r>
          <w:r>
            <w:rPr>
              <w:rFonts w:hint="default" w:ascii="Calibri" w:hAnsi="Calibri" w:eastAsia="楷体_GB2312" w:cs="Calibri"/>
            </w:rPr>
            <w:fldChar w:fldCharType="separate"/>
          </w:r>
          <w:r>
            <w:rPr>
              <w:rFonts w:hint="default" w:ascii="Calibri" w:hAnsi="Calibri" w:eastAsia="楷体_GB2312" w:cs="Calibri"/>
            </w:rPr>
            <w:t>7</w:t>
          </w:r>
          <w:r>
            <w:rPr>
              <w:rFonts w:hint="default" w:ascii="Calibri" w:hAnsi="Calibri" w:eastAsia="楷体_GB2312" w:cs="Calibri"/>
            </w:rPr>
            <w:fldChar w:fldCharType="end"/>
          </w:r>
          <w:r>
            <w:rPr>
              <w:rFonts w:hint="default" w:ascii="Calibri" w:hAnsi="Calibri" w:eastAsia="楷体_GB2312" w:cs="Calibri"/>
              <w:lang w:eastAsia="zh-CN"/>
            </w:rPr>
            <w:fldChar w:fldCharType="end"/>
          </w:r>
        </w:p>
        <w:p w14:paraId="77EC275F">
          <w:pPr>
            <w:pStyle w:val="19"/>
            <w:keepNext w:val="0"/>
            <w:keepLines w:val="0"/>
            <w:pageBreakBefore w:val="0"/>
            <w:widowControl w:val="0"/>
            <w:tabs>
              <w:tab w:val="right" w:leader="dot" w:pos="10698"/>
              <w:tab w:val="clear" w:pos="2835"/>
              <w:tab w:val="clear" w:pos="3325"/>
              <w:tab w:val="clear" w:pos="10537"/>
            </w:tabs>
            <w:kinsoku/>
            <w:wordWrap/>
            <w:topLinePunct w:val="0"/>
            <w:autoSpaceDE/>
            <w:autoSpaceDN/>
            <w:bidi w:val="0"/>
            <w:adjustRightInd/>
            <w:snapToGrid/>
            <w:spacing w:line="240" w:lineRule="auto"/>
            <w:textAlignment w:val="auto"/>
            <w:rPr>
              <w:rFonts w:hint="default" w:ascii="Calibri" w:hAnsi="Calibri" w:eastAsia="楷体_GB2312" w:cs="Calibri"/>
            </w:rPr>
          </w:pPr>
          <w:r>
            <w:rPr>
              <w:rFonts w:hint="default" w:ascii="Calibri" w:hAnsi="Calibri" w:eastAsia="楷体_GB2312" w:cs="Calibri"/>
              <w:lang w:eastAsia="zh-CN"/>
            </w:rPr>
            <w:fldChar w:fldCharType="begin"/>
          </w:r>
          <w:r>
            <w:rPr>
              <w:rFonts w:hint="default" w:ascii="Calibri" w:hAnsi="Calibri" w:eastAsia="楷体_GB2312" w:cs="Calibri"/>
              <w:lang w:eastAsia="zh-CN"/>
            </w:rPr>
            <w:instrText xml:space="preserve"> HYPERLINK \l _Toc20345 </w:instrText>
          </w:r>
          <w:r>
            <w:rPr>
              <w:rFonts w:hint="default" w:ascii="Calibri" w:hAnsi="Calibri" w:eastAsia="楷体_GB2312" w:cs="Calibri"/>
              <w:lang w:eastAsia="zh-CN"/>
            </w:rPr>
            <w:fldChar w:fldCharType="separate"/>
          </w:r>
          <w:r>
            <w:rPr>
              <w:rFonts w:hint="default" w:ascii="Calibri" w:hAnsi="Calibri" w:eastAsia="楷体_GB2312" w:cs="Calibri"/>
              <w:bCs/>
              <w:szCs w:val="24"/>
              <w:lang w:val="en-US" w:eastAsia="zh-CN"/>
            </w:rPr>
            <w:t>三、全球电气与智能装备</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PAGEREF _Toc20345 \h </w:instrText>
          </w:r>
          <w:r>
            <w:rPr>
              <w:rFonts w:hint="default" w:ascii="Calibri" w:hAnsi="Calibri" w:eastAsia="楷体_GB2312" w:cs="Calibri"/>
            </w:rPr>
            <w:fldChar w:fldCharType="separate"/>
          </w:r>
          <w:r>
            <w:rPr>
              <w:rFonts w:hint="default" w:ascii="Calibri" w:hAnsi="Calibri" w:eastAsia="楷体_GB2312" w:cs="Calibri"/>
            </w:rPr>
            <w:t>9</w:t>
          </w:r>
          <w:r>
            <w:rPr>
              <w:rFonts w:hint="default" w:ascii="Calibri" w:hAnsi="Calibri" w:eastAsia="楷体_GB2312" w:cs="Calibri"/>
            </w:rPr>
            <w:fldChar w:fldCharType="end"/>
          </w:r>
          <w:r>
            <w:rPr>
              <w:rFonts w:hint="default" w:ascii="Calibri" w:hAnsi="Calibri" w:eastAsia="楷体_GB2312" w:cs="Calibri"/>
              <w:lang w:eastAsia="zh-CN"/>
            </w:rPr>
            <w:fldChar w:fldCharType="end"/>
          </w:r>
        </w:p>
        <w:p w14:paraId="1199096B">
          <w:pPr>
            <w:pStyle w:val="22"/>
            <w:keepNext w:val="0"/>
            <w:keepLines w:val="0"/>
            <w:pageBreakBefore w:val="0"/>
            <w:widowControl w:val="0"/>
            <w:tabs>
              <w:tab w:val="right" w:leader="dot" w:pos="10698"/>
              <w:tab w:val="clear" w:pos="2835"/>
              <w:tab w:val="clear" w:pos="10500"/>
            </w:tabs>
            <w:kinsoku/>
            <w:wordWrap/>
            <w:topLinePunct w:val="0"/>
            <w:autoSpaceDE/>
            <w:autoSpaceDN/>
            <w:bidi w:val="0"/>
            <w:adjustRightInd/>
            <w:snapToGrid/>
            <w:spacing w:line="240" w:lineRule="auto"/>
            <w:textAlignment w:val="auto"/>
            <w:rPr>
              <w:rFonts w:hint="default" w:ascii="Calibri" w:hAnsi="Calibri" w:eastAsia="楷体_GB2312" w:cs="Calibri"/>
            </w:rPr>
          </w:pPr>
          <w:r>
            <w:rPr>
              <w:rFonts w:hint="default" w:ascii="Calibri" w:hAnsi="Calibri" w:eastAsia="楷体_GB2312" w:cs="Calibri"/>
              <w:lang w:eastAsia="zh-CN"/>
            </w:rPr>
            <w:fldChar w:fldCharType="begin"/>
          </w:r>
          <w:r>
            <w:rPr>
              <w:rFonts w:hint="default" w:ascii="Calibri" w:hAnsi="Calibri" w:eastAsia="楷体_GB2312" w:cs="Calibri"/>
              <w:lang w:eastAsia="zh-CN"/>
            </w:rPr>
            <w:instrText xml:space="preserve"> HYPERLINK \l _Toc11153 </w:instrText>
          </w:r>
          <w:r>
            <w:rPr>
              <w:rFonts w:hint="default" w:ascii="Calibri" w:hAnsi="Calibri" w:eastAsia="楷体_GB2312" w:cs="Calibri"/>
              <w:lang w:eastAsia="zh-CN"/>
            </w:rPr>
            <w:fldChar w:fldCharType="separate"/>
          </w:r>
          <w:r>
            <w:rPr>
              <w:rFonts w:hint="default" w:ascii="Calibri" w:hAnsi="Calibri" w:eastAsia="楷体_GB2312" w:cs="Calibri"/>
              <w:bCs/>
              <w:szCs w:val="24"/>
              <w:lang w:val="en-US" w:eastAsia="zh-CN"/>
            </w:rPr>
            <w:t>（一）工业设备价格指数</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PAGEREF _Toc11153 \h </w:instrText>
          </w:r>
          <w:r>
            <w:rPr>
              <w:rFonts w:hint="default" w:ascii="Calibri" w:hAnsi="Calibri" w:eastAsia="楷体_GB2312" w:cs="Calibri"/>
            </w:rPr>
            <w:fldChar w:fldCharType="separate"/>
          </w:r>
          <w:r>
            <w:rPr>
              <w:rFonts w:hint="default" w:ascii="Calibri" w:hAnsi="Calibri" w:eastAsia="楷体_GB2312" w:cs="Calibri"/>
            </w:rPr>
            <w:t>9</w:t>
          </w:r>
          <w:r>
            <w:rPr>
              <w:rFonts w:hint="default" w:ascii="Calibri" w:hAnsi="Calibri" w:eastAsia="楷体_GB2312" w:cs="Calibri"/>
            </w:rPr>
            <w:fldChar w:fldCharType="end"/>
          </w:r>
          <w:r>
            <w:rPr>
              <w:rFonts w:hint="default" w:ascii="Calibri" w:hAnsi="Calibri" w:eastAsia="楷体_GB2312" w:cs="Calibri"/>
              <w:lang w:eastAsia="zh-CN"/>
            </w:rPr>
            <w:fldChar w:fldCharType="end"/>
          </w:r>
        </w:p>
        <w:p w14:paraId="4060689A">
          <w:pPr>
            <w:pStyle w:val="22"/>
            <w:keepNext w:val="0"/>
            <w:keepLines w:val="0"/>
            <w:pageBreakBefore w:val="0"/>
            <w:widowControl w:val="0"/>
            <w:tabs>
              <w:tab w:val="right" w:leader="dot" w:pos="10698"/>
              <w:tab w:val="clear" w:pos="2835"/>
              <w:tab w:val="clear" w:pos="10500"/>
            </w:tabs>
            <w:kinsoku/>
            <w:wordWrap/>
            <w:topLinePunct w:val="0"/>
            <w:autoSpaceDE/>
            <w:autoSpaceDN/>
            <w:bidi w:val="0"/>
            <w:adjustRightInd/>
            <w:snapToGrid/>
            <w:spacing w:line="240" w:lineRule="auto"/>
            <w:textAlignment w:val="auto"/>
            <w:rPr>
              <w:rFonts w:hint="default" w:ascii="Calibri" w:hAnsi="Calibri" w:eastAsia="楷体_GB2312" w:cs="Calibri"/>
            </w:rPr>
          </w:pPr>
          <w:r>
            <w:rPr>
              <w:rFonts w:hint="default" w:ascii="Calibri" w:hAnsi="Calibri" w:eastAsia="楷体_GB2312" w:cs="Calibri"/>
              <w:lang w:eastAsia="zh-CN"/>
            </w:rPr>
            <w:fldChar w:fldCharType="begin"/>
          </w:r>
          <w:r>
            <w:rPr>
              <w:rFonts w:hint="default" w:ascii="Calibri" w:hAnsi="Calibri" w:eastAsia="楷体_GB2312" w:cs="Calibri"/>
              <w:lang w:eastAsia="zh-CN"/>
            </w:rPr>
            <w:instrText xml:space="preserve"> HYPERLINK \l _Toc21216 </w:instrText>
          </w:r>
          <w:r>
            <w:rPr>
              <w:rFonts w:hint="default" w:ascii="Calibri" w:hAnsi="Calibri" w:eastAsia="楷体_GB2312" w:cs="Calibri"/>
              <w:lang w:eastAsia="zh-CN"/>
            </w:rPr>
            <w:fldChar w:fldCharType="separate"/>
          </w:r>
          <w:r>
            <w:rPr>
              <w:rFonts w:hint="default" w:ascii="Calibri" w:hAnsi="Calibri" w:eastAsia="楷体_GB2312" w:cs="Calibri"/>
              <w:bCs/>
              <w:szCs w:val="24"/>
              <w:lang w:val="en-US" w:eastAsia="zh-CN"/>
            </w:rPr>
            <w:t>（二）工业设备出口指数</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PAGEREF _Toc21216 \h </w:instrText>
          </w:r>
          <w:r>
            <w:rPr>
              <w:rFonts w:hint="default" w:ascii="Calibri" w:hAnsi="Calibri" w:eastAsia="楷体_GB2312" w:cs="Calibri"/>
            </w:rPr>
            <w:fldChar w:fldCharType="separate"/>
          </w:r>
          <w:r>
            <w:rPr>
              <w:rFonts w:hint="default" w:ascii="Calibri" w:hAnsi="Calibri" w:eastAsia="楷体_GB2312" w:cs="Calibri"/>
            </w:rPr>
            <w:t>14</w:t>
          </w:r>
          <w:r>
            <w:rPr>
              <w:rFonts w:hint="default" w:ascii="Calibri" w:hAnsi="Calibri" w:eastAsia="楷体_GB2312" w:cs="Calibri"/>
            </w:rPr>
            <w:fldChar w:fldCharType="end"/>
          </w:r>
          <w:r>
            <w:rPr>
              <w:rFonts w:hint="default" w:ascii="Calibri" w:hAnsi="Calibri" w:eastAsia="楷体_GB2312" w:cs="Calibri"/>
              <w:lang w:eastAsia="zh-CN"/>
            </w:rPr>
            <w:fldChar w:fldCharType="end"/>
          </w:r>
        </w:p>
        <w:p w14:paraId="7D0B39DB">
          <w:pPr>
            <w:pStyle w:val="19"/>
            <w:keepNext w:val="0"/>
            <w:keepLines w:val="0"/>
            <w:pageBreakBefore w:val="0"/>
            <w:widowControl w:val="0"/>
            <w:tabs>
              <w:tab w:val="right" w:leader="dot" w:pos="10698"/>
              <w:tab w:val="clear" w:pos="2835"/>
              <w:tab w:val="clear" w:pos="3325"/>
              <w:tab w:val="clear" w:pos="10537"/>
            </w:tabs>
            <w:kinsoku/>
            <w:wordWrap/>
            <w:topLinePunct w:val="0"/>
            <w:autoSpaceDE/>
            <w:autoSpaceDN/>
            <w:bidi w:val="0"/>
            <w:adjustRightInd/>
            <w:snapToGrid/>
            <w:spacing w:line="240" w:lineRule="auto"/>
            <w:textAlignment w:val="auto"/>
            <w:rPr>
              <w:rFonts w:hint="default" w:ascii="Calibri" w:hAnsi="Calibri" w:eastAsia="楷体_GB2312" w:cs="Calibri"/>
            </w:rPr>
          </w:pPr>
          <w:r>
            <w:rPr>
              <w:rFonts w:hint="default" w:ascii="Calibri" w:hAnsi="Calibri" w:eastAsia="楷体_GB2312" w:cs="Calibri"/>
              <w:lang w:eastAsia="zh-CN"/>
            </w:rPr>
            <w:fldChar w:fldCharType="begin"/>
          </w:r>
          <w:r>
            <w:rPr>
              <w:rFonts w:hint="default" w:ascii="Calibri" w:hAnsi="Calibri" w:eastAsia="楷体_GB2312" w:cs="Calibri"/>
              <w:lang w:eastAsia="zh-CN"/>
            </w:rPr>
            <w:instrText xml:space="preserve"> HYPERLINK \l _Toc603 </w:instrText>
          </w:r>
          <w:r>
            <w:rPr>
              <w:rFonts w:hint="default" w:ascii="Calibri" w:hAnsi="Calibri" w:eastAsia="楷体_GB2312" w:cs="Calibri"/>
              <w:lang w:eastAsia="zh-CN"/>
            </w:rPr>
            <w:fldChar w:fldCharType="separate"/>
          </w:r>
          <w:r>
            <w:rPr>
              <w:rFonts w:hint="default" w:ascii="Calibri" w:hAnsi="Calibri" w:eastAsia="楷体_GB2312" w:cs="Calibri"/>
              <w:bCs/>
              <w:szCs w:val="24"/>
              <w:lang w:val="en-US" w:eastAsia="zh-CN"/>
            </w:rPr>
            <w:t>四、全球能源工业</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PAGEREF _Toc603 \h </w:instrText>
          </w:r>
          <w:r>
            <w:rPr>
              <w:rFonts w:hint="default" w:ascii="Calibri" w:hAnsi="Calibri" w:eastAsia="楷体_GB2312" w:cs="Calibri"/>
            </w:rPr>
            <w:fldChar w:fldCharType="separate"/>
          </w:r>
          <w:r>
            <w:rPr>
              <w:rFonts w:hint="default" w:ascii="Calibri" w:hAnsi="Calibri" w:eastAsia="楷体_GB2312" w:cs="Calibri"/>
            </w:rPr>
            <w:t>16</w:t>
          </w:r>
          <w:r>
            <w:rPr>
              <w:rFonts w:hint="default" w:ascii="Calibri" w:hAnsi="Calibri" w:eastAsia="楷体_GB2312" w:cs="Calibri"/>
            </w:rPr>
            <w:fldChar w:fldCharType="end"/>
          </w:r>
          <w:r>
            <w:rPr>
              <w:rFonts w:hint="default" w:ascii="Calibri" w:hAnsi="Calibri" w:eastAsia="楷体_GB2312" w:cs="Calibri"/>
              <w:lang w:eastAsia="zh-CN"/>
            </w:rPr>
            <w:fldChar w:fldCharType="end"/>
          </w:r>
        </w:p>
        <w:p w14:paraId="50B51CA0">
          <w:pPr>
            <w:pStyle w:val="22"/>
            <w:keepNext w:val="0"/>
            <w:keepLines w:val="0"/>
            <w:pageBreakBefore w:val="0"/>
            <w:widowControl w:val="0"/>
            <w:tabs>
              <w:tab w:val="right" w:leader="dot" w:pos="10698"/>
              <w:tab w:val="clear" w:pos="2835"/>
              <w:tab w:val="clear" w:pos="10500"/>
            </w:tabs>
            <w:kinsoku/>
            <w:wordWrap/>
            <w:topLinePunct w:val="0"/>
            <w:autoSpaceDE/>
            <w:autoSpaceDN/>
            <w:bidi w:val="0"/>
            <w:adjustRightInd/>
            <w:snapToGrid/>
            <w:spacing w:line="240" w:lineRule="auto"/>
            <w:textAlignment w:val="auto"/>
            <w:rPr>
              <w:rFonts w:hint="default" w:ascii="Calibri" w:hAnsi="Calibri" w:eastAsia="楷体_GB2312" w:cs="Calibri"/>
            </w:rPr>
          </w:pPr>
          <w:r>
            <w:rPr>
              <w:rFonts w:hint="default" w:ascii="Calibri" w:hAnsi="Calibri" w:eastAsia="楷体_GB2312" w:cs="Calibri"/>
              <w:lang w:eastAsia="zh-CN"/>
            </w:rPr>
            <w:fldChar w:fldCharType="begin"/>
          </w:r>
          <w:r>
            <w:rPr>
              <w:rFonts w:hint="default" w:ascii="Calibri" w:hAnsi="Calibri" w:eastAsia="楷体_GB2312" w:cs="Calibri"/>
              <w:lang w:eastAsia="zh-CN"/>
            </w:rPr>
            <w:instrText xml:space="preserve"> HYPERLINK \l _Toc15140 </w:instrText>
          </w:r>
          <w:r>
            <w:rPr>
              <w:rFonts w:hint="default" w:ascii="Calibri" w:hAnsi="Calibri" w:eastAsia="楷体_GB2312" w:cs="Calibri"/>
              <w:lang w:eastAsia="zh-CN"/>
            </w:rPr>
            <w:fldChar w:fldCharType="separate"/>
          </w:r>
          <w:r>
            <w:rPr>
              <w:rFonts w:hint="default" w:ascii="Calibri" w:hAnsi="Calibri" w:eastAsia="楷体_GB2312" w:cs="Calibri"/>
              <w:bCs/>
              <w:szCs w:val="24"/>
              <w:lang w:val="en-US" w:eastAsia="zh-CN"/>
            </w:rPr>
            <w:t>（一）能源发展</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PAGEREF _Toc15140 \h </w:instrText>
          </w:r>
          <w:r>
            <w:rPr>
              <w:rFonts w:hint="default" w:ascii="Calibri" w:hAnsi="Calibri" w:eastAsia="楷体_GB2312" w:cs="Calibri"/>
            </w:rPr>
            <w:fldChar w:fldCharType="separate"/>
          </w:r>
          <w:r>
            <w:rPr>
              <w:rFonts w:hint="default" w:ascii="Calibri" w:hAnsi="Calibri" w:eastAsia="楷体_GB2312" w:cs="Calibri"/>
            </w:rPr>
            <w:t>16</w:t>
          </w:r>
          <w:r>
            <w:rPr>
              <w:rFonts w:hint="default" w:ascii="Calibri" w:hAnsi="Calibri" w:eastAsia="楷体_GB2312" w:cs="Calibri"/>
            </w:rPr>
            <w:fldChar w:fldCharType="end"/>
          </w:r>
          <w:r>
            <w:rPr>
              <w:rFonts w:hint="default" w:ascii="Calibri" w:hAnsi="Calibri" w:eastAsia="楷体_GB2312" w:cs="Calibri"/>
              <w:lang w:eastAsia="zh-CN"/>
            </w:rPr>
            <w:fldChar w:fldCharType="end"/>
          </w:r>
        </w:p>
        <w:p w14:paraId="32F4EA93">
          <w:pPr>
            <w:pStyle w:val="13"/>
            <w:keepNext w:val="0"/>
            <w:keepLines w:val="0"/>
            <w:pageBreakBefore w:val="0"/>
            <w:widowControl w:val="0"/>
            <w:tabs>
              <w:tab w:val="right" w:leader="dot" w:pos="10698"/>
              <w:tab w:val="clear" w:pos="3150"/>
              <w:tab w:val="clear" w:pos="10537"/>
            </w:tabs>
            <w:kinsoku/>
            <w:wordWrap/>
            <w:topLinePunct w:val="0"/>
            <w:autoSpaceDE/>
            <w:autoSpaceDN/>
            <w:bidi w:val="0"/>
            <w:adjustRightInd/>
            <w:snapToGrid/>
            <w:spacing w:line="240" w:lineRule="auto"/>
            <w:textAlignment w:val="auto"/>
            <w:rPr>
              <w:rFonts w:hint="default" w:ascii="Calibri" w:hAnsi="Calibri" w:eastAsia="楷体_GB2312" w:cs="Calibri"/>
            </w:rPr>
          </w:pPr>
          <w:r>
            <w:rPr>
              <w:rFonts w:hint="default" w:ascii="Calibri" w:hAnsi="Calibri" w:eastAsia="楷体_GB2312" w:cs="Calibri"/>
              <w:lang w:eastAsia="zh-CN"/>
            </w:rPr>
            <w:fldChar w:fldCharType="begin"/>
          </w:r>
          <w:r>
            <w:rPr>
              <w:rFonts w:hint="default" w:ascii="Calibri" w:hAnsi="Calibri" w:eastAsia="楷体_GB2312" w:cs="Calibri"/>
              <w:lang w:eastAsia="zh-CN"/>
            </w:rPr>
            <w:instrText xml:space="preserve"> HYPERLINK \l _Toc21706 </w:instrText>
          </w:r>
          <w:r>
            <w:rPr>
              <w:rFonts w:hint="default" w:ascii="Calibri" w:hAnsi="Calibri" w:eastAsia="楷体_GB2312" w:cs="Calibri"/>
              <w:lang w:eastAsia="zh-CN"/>
            </w:rPr>
            <w:fldChar w:fldCharType="separate"/>
          </w:r>
          <w:r>
            <w:rPr>
              <w:rFonts w:hint="default" w:ascii="Calibri" w:hAnsi="Calibri" w:eastAsia="楷体_GB2312" w:cs="Calibri"/>
              <w:bCs/>
              <w:szCs w:val="24"/>
              <w:lang w:val="en-US" w:eastAsia="zh-CN"/>
            </w:rPr>
            <w:t>（1）美国电力市场</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PAGEREF _Toc21706 \h </w:instrText>
          </w:r>
          <w:r>
            <w:rPr>
              <w:rFonts w:hint="default" w:ascii="Calibri" w:hAnsi="Calibri" w:eastAsia="楷体_GB2312" w:cs="Calibri"/>
            </w:rPr>
            <w:fldChar w:fldCharType="separate"/>
          </w:r>
          <w:r>
            <w:rPr>
              <w:rFonts w:hint="default" w:ascii="Calibri" w:hAnsi="Calibri" w:eastAsia="楷体_GB2312" w:cs="Calibri"/>
            </w:rPr>
            <w:t>16</w:t>
          </w:r>
          <w:r>
            <w:rPr>
              <w:rFonts w:hint="default" w:ascii="Calibri" w:hAnsi="Calibri" w:eastAsia="楷体_GB2312" w:cs="Calibri"/>
            </w:rPr>
            <w:fldChar w:fldCharType="end"/>
          </w:r>
          <w:r>
            <w:rPr>
              <w:rFonts w:hint="default" w:ascii="Calibri" w:hAnsi="Calibri" w:eastAsia="楷体_GB2312" w:cs="Calibri"/>
              <w:lang w:eastAsia="zh-CN"/>
            </w:rPr>
            <w:fldChar w:fldCharType="end"/>
          </w:r>
        </w:p>
        <w:p w14:paraId="42FF895E">
          <w:pPr>
            <w:pStyle w:val="13"/>
            <w:keepNext w:val="0"/>
            <w:keepLines w:val="0"/>
            <w:pageBreakBefore w:val="0"/>
            <w:widowControl w:val="0"/>
            <w:tabs>
              <w:tab w:val="right" w:leader="dot" w:pos="10698"/>
              <w:tab w:val="clear" w:pos="3150"/>
              <w:tab w:val="clear" w:pos="10537"/>
            </w:tabs>
            <w:kinsoku/>
            <w:wordWrap/>
            <w:topLinePunct w:val="0"/>
            <w:autoSpaceDE/>
            <w:autoSpaceDN/>
            <w:bidi w:val="0"/>
            <w:adjustRightInd/>
            <w:snapToGrid/>
            <w:spacing w:line="240" w:lineRule="auto"/>
            <w:textAlignment w:val="auto"/>
            <w:rPr>
              <w:rFonts w:hint="default" w:ascii="Calibri" w:hAnsi="Calibri" w:eastAsia="楷体_GB2312" w:cs="Calibri"/>
            </w:rPr>
          </w:pPr>
          <w:r>
            <w:rPr>
              <w:rFonts w:hint="default" w:ascii="Calibri" w:hAnsi="Calibri" w:eastAsia="楷体_GB2312" w:cs="Calibri"/>
              <w:lang w:eastAsia="zh-CN"/>
            </w:rPr>
            <w:fldChar w:fldCharType="begin"/>
          </w:r>
          <w:r>
            <w:rPr>
              <w:rFonts w:hint="default" w:ascii="Calibri" w:hAnsi="Calibri" w:eastAsia="楷体_GB2312" w:cs="Calibri"/>
              <w:lang w:eastAsia="zh-CN"/>
            </w:rPr>
            <w:instrText xml:space="preserve"> HYPERLINK \l _Toc11976 </w:instrText>
          </w:r>
          <w:r>
            <w:rPr>
              <w:rFonts w:hint="default" w:ascii="Calibri" w:hAnsi="Calibri" w:eastAsia="楷体_GB2312" w:cs="Calibri"/>
              <w:lang w:eastAsia="zh-CN"/>
            </w:rPr>
            <w:fldChar w:fldCharType="separate"/>
          </w:r>
          <w:r>
            <w:rPr>
              <w:rFonts w:hint="default" w:ascii="Calibri" w:hAnsi="Calibri" w:eastAsia="楷体_GB2312" w:cs="Calibri"/>
              <w:bCs/>
              <w:szCs w:val="24"/>
              <w:lang w:val="en-US" w:eastAsia="zh-CN"/>
            </w:rPr>
            <w:t>（2）欧洲电力市场</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PAGEREF _Toc11976 \h </w:instrText>
          </w:r>
          <w:r>
            <w:rPr>
              <w:rFonts w:hint="default" w:ascii="Calibri" w:hAnsi="Calibri" w:eastAsia="楷体_GB2312" w:cs="Calibri"/>
            </w:rPr>
            <w:fldChar w:fldCharType="separate"/>
          </w:r>
          <w:r>
            <w:rPr>
              <w:rFonts w:hint="default" w:ascii="Calibri" w:hAnsi="Calibri" w:eastAsia="楷体_GB2312" w:cs="Calibri"/>
            </w:rPr>
            <w:t>20</w:t>
          </w:r>
          <w:r>
            <w:rPr>
              <w:rFonts w:hint="default" w:ascii="Calibri" w:hAnsi="Calibri" w:eastAsia="楷体_GB2312" w:cs="Calibri"/>
            </w:rPr>
            <w:fldChar w:fldCharType="end"/>
          </w:r>
          <w:r>
            <w:rPr>
              <w:rFonts w:hint="default" w:ascii="Calibri" w:hAnsi="Calibri" w:eastAsia="楷体_GB2312" w:cs="Calibri"/>
              <w:lang w:eastAsia="zh-CN"/>
            </w:rPr>
            <w:fldChar w:fldCharType="end"/>
          </w:r>
        </w:p>
        <w:p w14:paraId="15637BE7">
          <w:pPr>
            <w:pStyle w:val="13"/>
            <w:keepNext w:val="0"/>
            <w:keepLines w:val="0"/>
            <w:pageBreakBefore w:val="0"/>
            <w:widowControl w:val="0"/>
            <w:tabs>
              <w:tab w:val="right" w:leader="dot" w:pos="10698"/>
              <w:tab w:val="clear" w:pos="3150"/>
              <w:tab w:val="clear" w:pos="10537"/>
            </w:tabs>
            <w:kinsoku/>
            <w:wordWrap/>
            <w:topLinePunct w:val="0"/>
            <w:autoSpaceDE/>
            <w:autoSpaceDN/>
            <w:bidi w:val="0"/>
            <w:adjustRightInd/>
            <w:snapToGrid/>
            <w:spacing w:line="240" w:lineRule="auto"/>
            <w:textAlignment w:val="auto"/>
            <w:rPr>
              <w:rFonts w:hint="default" w:ascii="Calibri" w:hAnsi="Calibri" w:eastAsia="楷体_GB2312" w:cs="Calibri"/>
            </w:rPr>
          </w:pPr>
          <w:r>
            <w:rPr>
              <w:rFonts w:hint="default" w:ascii="Calibri" w:hAnsi="Calibri" w:eastAsia="楷体_GB2312" w:cs="Calibri"/>
              <w:lang w:eastAsia="zh-CN"/>
            </w:rPr>
            <w:fldChar w:fldCharType="begin"/>
          </w:r>
          <w:r>
            <w:rPr>
              <w:rFonts w:hint="default" w:ascii="Calibri" w:hAnsi="Calibri" w:eastAsia="楷体_GB2312" w:cs="Calibri"/>
              <w:lang w:eastAsia="zh-CN"/>
            </w:rPr>
            <w:instrText xml:space="preserve"> HYPERLINK \l _Toc4910 </w:instrText>
          </w:r>
          <w:r>
            <w:rPr>
              <w:rFonts w:hint="default" w:ascii="Calibri" w:hAnsi="Calibri" w:eastAsia="楷体_GB2312" w:cs="Calibri"/>
              <w:lang w:eastAsia="zh-CN"/>
            </w:rPr>
            <w:fldChar w:fldCharType="separate"/>
          </w:r>
          <w:r>
            <w:rPr>
              <w:rFonts w:hint="default" w:ascii="Calibri" w:hAnsi="Calibri" w:eastAsia="楷体_GB2312" w:cs="Calibri"/>
              <w:bCs/>
              <w:szCs w:val="24"/>
              <w:lang w:val="en-US" w:eastAsia="zh-CN"/>
            </w:rPr>
            <w:t>（3）石油天然气</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PAGEREF _Toc4910 \h </w:instrText>
          </w:r>
          <w:r>
            <w:rPr>
              <w:rFonts w:hint="default" w:ascii="Calibri" w:hAnsi="Calibri" w:eastAsia="楷体_GB2312" w:cs="Calibri"/>
            </w:rPr>
            <w:fldChar w:fldCharType="separate"/>
          </w:r>
          <w:r>
            <w:rPr>
              <w:rFonts w:hint="default" w:ascii="Calibri" w:hAnsi="Calibri" w:eastAsia="楷体_GB2312" w:cs="Calibri"/>
            </w:rPr>
            <w:t>20</w:t>
          </w:r>
          <w:r>
            <w:rPr>
              <w:rFonts w:hint="default" w:ascii="Calibri" w:hAnsi="Calibri" w:eastAsia="楷体_GB2312" w:cs="Calibri"/>
            </w:rPr>
            <w:fldChar w:fldCharType="end"/>
          </w:r>
          <w:r>
            <w:rPr>
              <w:rFonts w:hint="default" w:ascii="Calibri" w:hAnsi="Calibri" w:eastAsia="楷体_GB2312" w:cs="Calibri"/>
              <w:lang w:eastAsia="zh-CN"/>
            </w:rPr>
            <w:fldChar w:fldCharType="end"/>
          </w:r>
        </w:p>
        <w:p w14:paraId="4FCC2311">
          <w:pPr>
            <w:pStyle w:val="19"/>
            <w:keepNext w:val="0"/>
            <w:keepLines w:val="0"/>
            <w:pageBreakBefore w:val="0"/>
            <w:widowControl w:val="0"/>
            <w:tabs>
              <w:tab w:val="right" w:leader="dot" w:pos="10698"/>
              <w:tab w:val="clear" w:pos="2835"/>
              <w:tab w:val="clear" w:pos="3325"/>
              <w:tab w:val="clear" w:pos="10537"/>
            </w:tabs>
            <w:kinsoku/>
            <w:wordWrap/>
            <w:topLinePunct w:val="0"/>
            <w:autoSpaceDE/>
            <w:autoSpaceDN/>
            <w:bidi w:val="0"/>
            <w:adjustRightInd/>
            <w:snapToGrid/>
            <w:spacing w:line="240" w:lineRule="auto"/>
            <w:textAlignment w:val="auto"/>
            <w:rPr>
              <w:rFonts w:hint="default" w:ascii="Calibri" w:hAnsi="Calibri" w:eastAsia="楷体_GB2312" w:cs="Calibri"/>
            </w:rPr>
          </w:pPr>
          <w:r>
            <w:rPr>
              <w:rFonts w:hint="default" w:ascii="Calibri" w:hAnsi="Calibri" w:eastAsia="楷体_GB2312" w:cs="Calibri"/>
              <w:lang w:eastAsia="zh-CN"/>
            </w:rPr>
            <w:fldChar w:fldCharType="begin"/>
          </w:r>
          <w:r>
            <w:rPr>
              <w:rFonts w:hint="default" w:ascii="Calibri" w:hAnsi="Calibri" w:eastAsia="楷体_GB2312" w:cs="Calibri"/>
              <w:lang w:eastAsia="zh-CN"/>
            </w:rPr>
            <w:instrText xml:space="preserve"> HYPERLINK \l _Toc6477 </w:instrText>
          </w:r>
          <w:r>
            <w:rPr>
              <w:rFonts w:hint="default" w:ascii="Calibri" w:hAnsi="Calibri" w:eastAsia="楷体_GB2312" w:cs="Calibri"/>
              <w:lang w:eastAsia="zh-CN"/>
            </w:rPr>
            <w:fldChar w:fldCharType="separate"/>
          </w:r>
          <w:r>
            <w:rPr>
              <w:rFonts w:hint="default" w:ascii="Calibri" w:hAnsi="Calibri" w:eastAsia="楷体_GB2312" w:cs="Calibri"/>
              <w:bCs/>
              <w:szCs w:val="24"/>
              <w:lang w:val="en-US" w:eastAsia="zh-CN"/>
            </w:rPr>
            <w:t>五、 全球新材料</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PAGEREF _Toc6477 \h </w:instrText>
          </w:r>
          <w:r>
            <w:rPr>
              <w:rFonts w:hint="default" w:ascii="Calibri" w:hAnsi="Calibri" w:eastAsia="楷体_GB2312" w:cs="Calibri"/>
            </w:rPr>
            <w:fldChar w:fldCharType="separate"/>
          </w:r>
          <w:r>
            <w:rPr>
              <w:rFonts w:hint="default" w:ascii="Calibri" w:hAnsi="Calibri" w:eastAsia="楷体_GB2312" w:cs="Calibri"/>
            </w:rPr>
            <w:t>22</w:t>
          </w:r>
          <w:r>
            <w:rPr>
              <w:rFonts w:hint="default" w:ascii="Calibri" w:hAnsi="Calibri" w:eastAsia="楷体_GB2312" w:cs="Calibri"/>
            </w:rPr>
            <w:fldChar w:fldCharType="end"/>
          </w:r>
          <w:r>
            <w:rPr>
              <w:rFonts w:hint="default" w:ascii="Calibri" w:hAnsi="Calibri" w:eastAsia="楷体_GB2312" w:cs="Calibri"/>
              <w:lang w:eastAsia="zh-CN"/>
            </w:rPr>
            <w:fldChar w:fldCharType="end"/>
          </w:r>
        </w:p>
        <w:p w14:paraId="3DBF0DB1">
          <w:pPr>
            <w:pStyle w:val="22"/>
            <w:keepNext w:val="0"/>
            <w:keepLines w:val="0"/>
            <w:pageBreakBefore w:val="0"/>
            <w:widowControl w:val="0"/>
            <w:tabs>
              <w:tab w:val="right" w:leader="dot" w:pos="10698"/>
              <w:tab w:val="clear" w:pos="2835"/>
              <w:tab w:val="clear" w:pos="10500"/>
            </w:tabs>
            <w:kinsoku/>
            <w:wordWrap/>
            <w:topLinePunct w:val="0"/>
            <w:autoSpaceDE/>
            <w:autoSpaceDN/>
            <w:bidi w:val="0"/>
            <w:adjustRightInd/>
            <w:snapToGrid/>
            <w:spacing w:line="240" w:lineRule="auto"/>
            <w:textAlignment w:val="auto"/>
            <w:rPr>
              <w:rFonts w:hint="default" w:ascii="Calibri" w:hAnsi="Calibri" w:eastAsia="楷体_GB2312" w:cs="Calibri"/>
            </w:rPr>
          </w:pPr>
          <w:r>
            <w:rPr>
              <w:rFonts w:hint="default" w:ascii="Calibri" w:hAnsi="Calibri" w:eastAsia="楷体_GB2312" w:cs="Calibri"/>
              <w:lang w:eastAsia="zh-CN"/>
            </w:rPr>
            <w:fldChar w:fldCharType="begin"/>
          </w:r>
          <w:r>
            <w:rPr>
              <w:rFonts w:hint="default" w:ascii="Calibri" w:hAnsi="Calibri" w:eastAsia="楷体_GB2312" w:cs="Calibri"/>
              <w:lang w:eastAsia="zh-CN"/>
            </w:rPr>
            <w:instrText xml:space="preserve"> HYPERLINK \l _Toc3503 </w:instrText>
          </w:r>
          <w:r>
            <w:rPr>
              <w:rFonts w:hint="default" w:ascii="Calibri" w:hAnsi="Calibri" w:eastAsia="楷体_GB2312" w:cs="Calibri"/>
              <w:lang w:eastAsia="zh-CN"/>
            </w:rPr>
            <w:fldChar w:fldCharType="separate"/>
          </w:r>
          <w:r>
            <w:rPr>
              <w:rFonts w:hint="default" w:ascii="Calibri" w:hAnsi="Calibri" w:eastAsia="楷体_GB2312" w:cs="Calibri"/>
              <w:bCs/>
              <w:szCs w:val="24"/>
              <w:lang w:val="en-US" w:eastAsia="zh-CN"/>
            </w:rPr>
            <w:t>（一）天然铀</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PAGEREF _Toc3503 \h </w:instrText>
          </w:r>
          <w:r>
            <w:rPr>
              <w:rFonts w:hint="default" w:ascii="Calibri" w:hAnsi="Calibri" w:eastAsia="楷体_GB2312" w:cs="Calibri"/>
            </w:rPr>
            <w:fldChar w:fldCharType="separate"/>
          </w:r>
          <w:r>
            <w:rPr>
              <w:rFonts w:hint="default" w:ascii="Calibri" w:hAnsi="Calibri" w:eastAsia="楷体_GB2312" w:cs="Calibri"/>
            </w:rPr>
            <w:t>22</w:t>
          </w:r>
          <w:r>
            <w:rPr>
              <w:rFonts w:hint="default" w:ascii="Calibri" w:hAnsi="Calibri" w:eastAsia="楷体_GB2312" w:cs="Calibri"/>
            </w:rPr>
            <w:fldChar w:fldCharType="end"/>
          </w:r>
          <w:r>
            <w:rPr>
              <w:rFonts w:hint="default" w:ascii="Calibri" w:hAnsi="Calibri" w:eastAsia="楷体_GB2312" w:cs="Calibri"/>
              <w:lang w:eastAsia="zh-CN"/>
            </w:rPr>
            <w:fldChar w:fldCharType="end"/>
          </w:r>
        </w:p>
        <w:p w14:paraId="7C38E2AE">
          <w:pPr>
            <w:pStyle w:val="22"/>
            <w:keepNext w:val="0"/>
            <w:keepLines w:val="0"/>
            <w:pageBreakBefore w:val="0"/>
            <w:widowControl w:val="0"/>
            <w:tabs>
              <w:tab w:val="right" w:leader="dot" w:pos="10698"/>
              <w:tab w:val="clear" w:pos="2835"/>
              <w:tab w:val="clear" w:pos="10500"/>
            </w:tabs>
            <w:kinsoku/>
            <w:wordWrap/>
            <w:topLinePunct w:val="0"/>
            <w:autoSpaceDE/>
            <w:autoSpaceDN/>
            <w:bidi w:val="0"/>
            <w:adjustRightInd/>
            <w:snapToGrid/>
            <w:spacing w:line="240" w:lineRule="auto"/>
            <w:textAlignment w:val="auto"/>
            <w:rPr>
              <w:rFonts w:hint="default" w:ascii="Calibri" w:hAnsi="Calibri" w:eastAsia="楷体_GB2312" w:cs="Calibri"/>
            </w:rPr>
          </w:pPr>
          <w:r>
            <w:rPr>
              <w:rFonts w:hint="default" w:ascii="Calibri" w:hAnsi="Calibri" w:eastAsia="楷体_GB2312" w:cs="Calibri"/>
              <w:lang w:eastAsia="zh-CN"/>
            </w:rPr>
            <w:fldChar w:fldCharType="begin"/>
          </w:r>
          <w:r>
            <w:rPr>
              <w:rFonts w:hint="default" w:ascii="Calibri" w:hAnsi="Calibri" w:eastAsia="楷体_GB2312" w:cs="Calibri"/>
              <w:lang w:eastAsia="zh-CN"/>
            </w:rPr>
            <w:instrText xml:space="preserve"> HYPERLINK \l _Toc31292 </w:instrText>
          </w:r>
          <w:r>
            <w:rPr>
              <w:rFonts w:hint="default" w:ascii="Calibri" w:hAnsi="Calibri" w:eastAsia="楷体_GB2312" w:cs="Calibri"/>
              <w:lang w:eastAsia="zh-CN"/>
            </w:rPr>
            <w:fldChar w:fldCharType="separate"/>
          </w:r>
          <w:r>
            <w:rPr>
              <w:rFonts w:hint="default" w:ascii="Calibri" w:hAnsi="Calibri" w:eastAsia="楷体_GB2312" w:cs="Calibri"/>
              <w:bCs/>
              <w:szCs w:val="24"/>
              <w:lang w:val="en-US" w:eastAsia="zh-CN"/>
            </w:rPr>
            <w:t>（二）全球稀土市场动态追踪</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PAGEREF _Toc31292 \h </w:instrText>
          </w:r>
          <w:r>
            <w:rPr>
              <w:rFonts w:hint="default" w:ascii="Calibri" w:hAnsi="Calibri" w:eastAsia="楷体_GB2312" w:cs="Calibri"/>
            </w:rPr>
            <w:fldChar w:fldCharType="separate"/>
          </w:r>
          <w:r>
            <w:rPr>
              <w:rFonts w:hint="default" w:ascii="Calibri" w:hAnsi="Calibri" w:eastAsia="楷体_GB2312" w:cs="Calibri"/>
            </w:rPr>
            <w:t>22</w:t>
          </w:r>
          <w:r>
            <w:rPr>
              <w:rFonts w:hint="default" w:ascii="Calibri" w:hAnsi="Calibri" w:eastAsia="楷体_GB2312" w:cs="Calibri"/>
            </w:rPr>
            <w:fldChar w:fldCharType="end"/>
          </w:r>
          <w:r>
            <w:rPr>
              <w:rFonts w:hint="default" w:ascii="Calibri" w:hAnsi="Calibri" w:eastAsia="楷体_GB2312" w:cs="Calibri"/>
              <w:lang w:eastAsia="zh-CN"/>
            </w:rPr>
            <w:fldChar w:fldCharType="end"/>
          </w:r>
        </w:p>
        <w:p w14:paraId="3E0FFB3A">
          <w:pPr>
            <w:pStyle w:val="19"/>
            <w:keepNext w:val="0"/>
            <w:keepLines w:val="0"/>
            <w:pageBreakBefore w:val="0"/>
            <w:widowControl w:val="0"/>
            <w:tabs>
              <w:tab w:val="right" w:leader="dot" w:pos="10698"/>
              <w:tab w:val="clear" w:pos="2835"/>
              <w:tab w:val="clear" w:pos="3325"/>
              <w:tab w:val="clear" w:pos="10537"/>
            </w:tabs>
            <w:kinsoku/>
            <w:wordWrap/>
            <w:topLinePunct w:val="0"/>
            <w:autoSpaceDE/>
            <w:autoSpaceDN/>
            <w:bidi w:val="0"/>
            <w:adjustRightInd/>
            <w:snapToGrid/>
            <w:spacing w:line="240" w:lineRule="auto"/>
            <w:textAlignment w:val="auto"/>
            <w:rPr>
              <w:rFonts w:hint="default" w:ascii="Calibri" w:hAnsi="Calibri" w:eastAsia="楷体_GB2312" w:cs="Calibri"/>
            </w:rPr>
          </w:pPr>
          <w:r>
            <w:rPr>
              <w:rFonts w:hint="default" w:ascii="Calibri" w:hAnsi="Calibri" w:eastAsia="楷体_GB2312" w:cs="Calibri"/>
              <w:lang w:eastAsia="zh-CN"/>
            </w:rPr>
            <w:fldChar w:fldCharType="begin"/>
          </w:r>
          <w:r>
            <w:rPr>
              <w:rFonts w:hint="default" w:ascii="Calibri" w:hAnsi="Calibri" w:eastAsia="楷体_GB2312" w:cs="Calibri"/>
              <w:lang w:eastAsia="zh-CN"/>
            </w:rPr>
            <w:instrText xml:space="preserve"> HYPERLINK \l _Toc32170 </w:instrText>
          </w:r>
          <w:r>
            <w:rPr>
              <w:rFonts w:hint="default" w:ascii="Calibri" w:hAnsi="Calibri" w:eastAsia="楷体_GB2312" w:cs="Calibri"/>
              <w:lang w:eastAsia="zh-CN"/>
            </w:rPr>
            <w:fldChar w:fldCharType="separate"/>
          </w:r>
          <w:r>
            <w:rPr>
              <w:rFonts w:hint="default" w:ascii="Calibri" w:hAnsi="Calibri" w:eastAsia="楷体_GB2312" w:cs="Calibri"/>
              <w:bCs/>
              <w:szCs w:val="24"/>
              <w:lang w:val="en-US" w:eastAsia="zh-CN"/>
            </w:rPr>
            <w:t>六、全球国防与航空航天</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PAGEREF _Toc32170 \h </w:instrText>
          </w:r>
          <w:r>
            <w:rPr>
              <w:rFonts w:hint="default" w:ascii="Calibri" w:hAnsi="Calibri" w:eastAsia="楷体_GB2312" w:cs="Calibri"/>
            </w:rPr>
            <w:fldChar w:fldCharType="separate"/>
          </w:r>
          <w:r>
            <w:rPr>
              <w:rFonts w:hint="default" w:ascii="Calibri" w:hAnsi="Calibri" w:eastAsia="楷体_GB2312" w:cs="Calibri"/>
            </w:rPr>
            <w:t>23</w:t>
          </w:r>
          <w:r>
            <w:rPr>
              <w:rFonts w:hint="default" w:ascii="Calibri" w:hAnsi="Calibri" w:eastAsia="楷体_GB2312" w:cs="Calibri"/>
            </w:rPr>
            <w:fldChar w:fldCharType="end"/>
          </w:r>
          <w:r>
            <w:rPr>
              <w:rFonts w:hint="default" w:ascii="Calibri" w:hAnsi="Calibri" w:eastAsia="楷体_GB2312" w:cs="Calibri"/>
              <w:lang w:eastAsia="zh-CN"/>
            </w:rPr>
            <w:fldChar w:fldCharType="end"/>
          </w:r>
        </w:p>
        <w:p w14:paraId="521F10C6">
          <w:pPr>
            <w:pStyle w:val="22"/>
            <w:keepNext w:val="0"/>
            <w:keepLines w:val="0"/>
            <w:pageBreakBefore w:val="0"/>
            <w:widowControl w:val="0"/>
            <w:tabs>
              <w:tab w:val="right" w:leader="dot" w:pos="10698"/>
              <w:tab w:val="clear" w:pos="2835"/>
              <w:tab w:val="clear" w:pos="10500"/>
            </w:tabs>
            <w:kinsoku/>
            <w:wordWrap/>
            <w:topLinePunct w:val="0"/>
            <w:autoSpaceDE/>
            <w:autoSpaceDN/>
            <w:bidi w:val="0"/>
            <w:adjustRightInd/>
            <w:snapToGrid/>
            <w:spacing w:line="240" w:lineRule="auto"/>
            <w:textAlignment w:val="auto"/>
            <w:rPr>
              <w:rFonts w:hint="default" w:ascii="Calibri" w:hAnsi="Calibri" w:eastAsia="楷体_GB2312" w:cs="Calibri"/>
            </w:rPr>
          </w:pPr>
          <w:r>
            <w:rPr>
              <w:rFonts w:hint="default" w:ascii="Calibri" w:hAnsi="Calibri" w:eastAsia="楷体_GB2312" w:cs="Calibri"/>
              <w:lang w:eastAsia="zh-CN"/>
            </w:rPr>
            <w:fldChar w:fldCharType="begin"/>
          </w:r>
          <w:r>
            <w:rPr>
              <w:rFonts w:hint="default" w:ascii="Calibri" w:hAnsi="Calibri" w:eastAsia="楷体_GB2312" w:cs="Calibri"/>
              <w:lang w:eastAsia="zh-CN"/>
            </w:rPr>
            <w:instrText xml:space="preserve"> HYPERLINK \l _Toc26000 </w:instrText>
          </w:r>
          <w:r>
            <w:rPr>
              <w:rFonts w:hint="default" w:ascii="Calibri" w:hAnsi="Calibri" w:eastAsia="楷体_GB2312" w:cs="Calibri"/>
              <w:lang w:eastAsia="zh-CN"/>
            </w:rPr>
            <w:fldChar w:fldCharType="separate"/>
          </w:r>
          <w:r>
            <w:rPr>
              <w:rFonts w:hint="default" w:ascii="Calibri" w:hAnsi="Calibri" w:eastAsia="楷体_GB2312" w:cs="Calibri"/>
              <w:bCs/>
              <w:szCs w:val="24"/>
              <w:lang w:val="en-US" w:eastAsia="zh-CN"/>
            </w:rPr>
            <w:t>（一）航空航天</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PAGEREF _Toc26000 \h </w:instrText>
          </w:r>
          <w:r>
            <w:rPr>
              <w:rFonts w:hint="default" w:ascii="Calibri" w:hAnsi="Calibri" w:eastAsia="楷体_GB2312" w:cs="Calibri"/>
            </w:rPr>
            <w:fldChar w:fldCharType="separate"/>
          </w:r>
          <w:r>
            <w:rPr>
              <w:rFonts w:hint="default" w:ascii="Calibri" w:hAnsi="Calibri" w:eastAsia="楷体_GB2312" w:cs="Calibri"/>
            </w:rPr>
            <w:t>23</w:t>
          </w:r>
          <w:r>
            <w:rPr>
              <w:rFonts w:hint="default" w:ascii="Calibri" w:hAnsi="Calibri" w:eastAsia="楷体_GB2312" w:cs="Calibri"/>
            </w:rPr>
            <w:fldChar w:fldCharType="end"/>
          </w:r>
          <w:r>
            <w:rPr>
              <w:rFonts w:hint="default" w:ascii="Calibri" w:hAnsi="Calibri" w:eastAsia="楷体_GB2312" w:cs="Calibri"/>
              <w:lang w:eastAsia="zh-CN"/>
            </w:rPr>
            <w:fldChar w:fldCharType="end"/>
          </w:r>
        </w:p>
        <w:p w14:paraId="4E0927B0">
          <w:pPr>
            <w:pStyle w:val="13"/>
            <w:keepNext w:val="0"/>
            <w:keepLines w:val="0"/>
            <w:pageBreakBefore w:val="0"/>
            <w:widowControl w:val="0"/>
            <w:tabs>
              <w:tab w:val="right" w:leader="dot" w:pos="10698"/>
              <w:tab w:val="clear" w:pos="3150"/>
              <w:tab w:val="clear" w:pos="10537"/>
            </w:tabs>
            <w:kinsoku/>
            <w:wordWrap/>
            <w:topLinePunct w:val="0"/>
            <w:autoSpaceDE/>
            <w:autoSpaceDN/>
            <w:bidi w:val="0"/>
            <w:adjustRightInd/>
            <w:snapToGrid/>
            <w:spacing w:line="240" w:lineRule="auto"/>
            <w:textAlignment w:val="auto"/>
            <w:rPr>
              <w:rFonts w:hint="default" w:ascii="Calibri" w:hAnsi="Calibri" w:eastAsia="楷体_GB2312" w:cs="Calibri"/>
            </w:rPr>
          </w:pPr>
          <w:r>
            <w:rPr>
              <w:rFonts w:hint="default" w:ascii="Calibri" w:hAnsi="Calibri" w:eastAsia="楷体_GB2312" w:cs="Calibri"/>
              <w:lang w:eastAsia="zh-CN"/>
            </w:rPr>
            <w:fldChar w:fldCharType="begin"/>
          </w:r>
          <w:r>
            <w:rPr>
              <w:rFonts w:hint="default" w:ascii="Calibri" w:hAnsi="Calibri" w:eastAsia="楷体_GB2312" w:cs="Calibri"/>
              <w:lang w:eastAsia="zh-CN"/>
            </w:rPr>
            <w:instrText xml:space="preserve"> HYPERLINK \l _Toc12024 </w:instrText>
          </w:r>
          <w:r>
            <w:rPr>
              <w:rFonts w:hint="default" w:ascii="Calibri" w:hAnsi="Calibri" w:eastAsia="楷体_GB2312" w:cs="Calibri"/>
              <w:lang w:eastAsia="zh-CN"/>
            </w:rPr>
            <w:fldChar w:fldCharType="separate"/>
          </w:r>
          <w:r>
            <w:rPr>
              <w:rFonts w:hint="default" w:ascii="Calibri" w:hAnsi="Calibri" w:eastAsia="楷体_GB2312" w:cs="Calibri"/>
              <w:bCs/>
              <w:szCs w:val="24"/>
              <w:lang w:val="en-US" w:eastAsia="zh-CN"/>
            </w:rPr>
            <w:t>（1） 航空航天行业动态</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PAGEREF _Toc12024 \h </w:instrText>
          </w:r>
          <w:r>
            <w:rPr>
              <w:rFonts w:hint="default" w:ascii="Calibri" w:hAnsi="Calibri" w:eastAsia="楷体_GB2312" w:cs="Calibri"/>
            </w:rPr>
            <w:fldChar w:fldCharType="separate"/>
          </w:r>
          <w:r>
            <w:rPr>
              <w:rFonts w:hint="default" w:ascii="Calibri" w:hAnsi="Calibri" w:eastAsia="楷体_GB2312" w:cs="Calibri"/>
            </w:rPr>
            <w:t>23</w:t>
          </w:r>
          <w:r>
            <w:rPr>
              <w:rFonts w:hint="default" w:ascii="Calibri" w:hAnsi="Calibri" w:eastAsia="楷体_GB2312" w:cs="Calibri"/>
            </w:rPr>
            <w:fldChar w:fldCharType="end"/>
          </w:r>
          <w:r>
            <w:rPr>
              <w:rFonts w:hint="default" w:ascii="Calibri" w:hAnsi="Calibri" w:eastAsia="楷体_GB2312" w:cs="Calibri"/>
              <w:lang w:eastAsia="zh-CN"/>
            </w:rPr>
            <w:fldChar w:fldCharType="end"/>
          </w:r>
        </w:p>
        <w:p w14:paraId="47F6CBA7">
          <w:pPr>
            <w:pStyle w:val="13"/>
            <w:keepNext w:val="0"/>
            <w:keepLines w:val="0"/>
            <w:pageBreakBefore w:val="0"/>
            <w:widowControl w:val="0"/>
            <w:tabs>
              <w:tab w:val="right" w:leader="dot" w:pos="10698"/>
              <w:tab w:val="clear" w:pos="3150"/>
              <w:tab w:val="clear" w:pos="10537"/>
            </w:tabs>
            <w:kinsoku/>
            <w:wordWrap/>
            <w:topLinePunct w:val="0"/>
            <w:autoSpaceDE/>
            <w:autoSpaceDN/>
            <w:bidi w:val="0"/>
            <w:adjustRightInd/>
            <w:snapToGrid/>
            <w:spacing w:line="240" w:lineRule="auto"/>
            <w:textAlignment w:val="auto"/>
            <w:rPr>
              <w:rFonts w:hint="default" w:ascii="Calibri" w:hAnsi="Calibri" w:eastAsia="楷体_GB2312" w:cs="Calibri"/>
            </w:rPr>
          </w:pPr>
          <w:r>
            <w:rPr>
              <w:rFonts w:hint="default" w:ascii="Calibri" w:hAnsi="Calibri" w:eastAsia="楷体_GB2312" w:cs="Calibri"/>
              <w:lang w:eastAsia="zh-CN"/>
            </w:rPr>
            <w:fldChar w:fldCharType="begin"/>
          </w:r>
          <w:r>
            <w:rPr>
              <w:rFonts w:hint="default" w:ascii="Calibri" w:hAnsi="Calibri" w:eastAsia="楷体_GB2312" w:cs="Calibri"/>
              <w:lang w:eastAsia="zh-CN"/>
            </w:rPr>
            <w:instrText xml:space="preserve"> HYPERLINK \l _Toc2150 </w:instrText>
          </w:r>
          <w:r>
            <w:rPr>
              <w:rFonts w:hint="default" w:ascii="Calibri" w:hAnsi="Calibri" w:eastAsia="楷体_GB2312" w:cs="Calibri"/>
              <w:lang w:eastAsia="zh-CN"/>
            </w:rPr>
            <w:fldChar w:fldCharType="separate"/>
          </w:r>
          <w:r>
            <w:rPr>
              <w:rFonts w:hint="default" w:ascii="Calibri" w:hAnsi="Calibri" w:eastAsia="楷体_GB2312" w:cs="Calibri"/>
              <w:bCs/>
              <w:szCs w:val="24"/>
              <w:lang w:val="en-US" w:eastAsia="zh-CN"/>
            </w:rPr>
            <w:t>（2）航空航天价格指数</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PAGEREF _Toc2150 \h </w:instrText>
          </w:r>
          <w:r>
            <w:rPr>
              <w:rFonts w:hint="default" w:ascii="Calibri" w:hAnsi="Calibri" w:eastAsia="楷体_GB2312" w:cs="Calibri"/>
            </w:rPr>
            <w:fldChar w:fldCharType="separate"/>
          </w:r>
          <w:r>
            <w:rPr>
              <w:rFonts w:hint="default" w:ascii="Calibri" w:hAnsi="Calibri" w:eastAsia="楷体_GB2312" w:cs="Calibri"/>
            </w:rPr>
            <w:t>23</w:t>
          </w:r>
          <w:r>
            <w:rPr>
              <w:rFonts w:hint="default" w:ascii="Calibri" w:hAnsi="Calibri" w:eastAsia="楷体_GB2312" w:cs="Calibri"/>
            </w:rPr>
            <w:fldChar w:fldCharType="end"/>
          </w:r>
          <w:r>
            <w:rPr>
              <w:rFonts w:hint="default" w:ascii="Calibri" w:hAnsi="Calibri" w:eastAsia="楷体_GB2312" w:cs="Calibri"/>
              <w:lang w:eastAsia="zh-CN"/>
            </w:rPr>
            <w:fldChar w:fldCharType="end"/>
          </w:r>
        </w:p>
        <w:p w14:paraId="7730E78F">
          <w:pPr>
            <w:pStyle w:val="13"/>
            <w:keepNext w:val="0"/>
            <w:keepLines w:val="0"/>
            <w:pageBreakBefore w:val="0"/>
            <w:widowControl w:val="0"/>
            <w:tabs>
              <w:tab w:val="right" w:leader="dot" w:pos="10698"/>
              <w:tab w:val="clear" w:pos="3150"/>
              <w:tab w:val="clear" w:pos="10537"/>
            </w:tabs>
            <w:kinsoku/>
            <w:wordWrap/>
            <w:topLinePunct w:val="0"/>
            <w:autoSpaceDE/>
            <w:autoSpaceDN/>
            <w:bidi w:val="0"/>
            <w:adjustRightInd/>
            <w:snapToGrid/>
            <w:spacing w:line="240" w:lineRule="auto"/>
            <w:textAlignment w:val="auto"/>
            <w:rPr>
              <w:rFonts w:hint="default" w:ascii="Calibri" w:hAnsi="Calibri" w:eastAsia="楷体_GB2312" w:cs="Calibri"/>
            </w:rPr>
          </w:pPr>
          <w:r>
            <w:rPr>
              <w:rFonts w:hint="default" w:ascii="Calibri" w:hAnsi="Calibri" w:eastAsia="楷体_GB2312" w:cs="Calibri"/>
              <w:lang w:eastAsia="zh-CN"/>
            </w:rPr>
            <w:fldChar w:fldCharType="begin"/>
          </w:r>
          <w:r>
            <w:rPr>
              <w:rFonts w:hint="default" w:ascii="Calibri" w:hAnsi="Calibri" w:eastAsia="楷体_GB2312" w:cs="Calibri"/>
              <w:lang w:eastAsia="zh-CN"/>
            </w:rPr>
            <w:instrText xml:space="preserve"> HYPERLINK \l _Toc28768 </w:instrText>
          </w:r>
          <w:r>
            <w:rPr>
              <w:rFonts w:hint="default" w:ascii="Calibri" w:hAnsi="Calibri" w:eastAsia="楷体_GB2312" w:cs="Calibri"/>
              <w:lang w:eastAsia="zh-CN"/>
            </w:rPr>
            <w:fldChar w:fldCharType="separate"/>
          </w:r>
          <w:r>
            <w:rPr>
              <w:rFonts w:hint="default" w:ascii="Calibri" w:hAnsi="Calibri" w:eastAsia="楷体_GB2312" w:cs="Calibri"/>
              <w:bCs/>
              <w:szCs w:val="24"/>
              <w:lang w:val="en-US" w:eastAsia="zh-CN"/>
            </w:rPr>
            <w:t>（3）航空航天空中流量</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PAGEREF _Toc28768 \h </w:instrText>
          </w:r>
          <w:r>
            <w:rPr>
              <w:rFonts w:hint="default" w:ascii="Calibri" w:hAnsi="Calibri" w:eastAsia="楷体_GB2312" w:cs="Calibri"/>
            </w:rPr>
            <w:fldChar w:fldCharType="separate"/>
          </w:r>
          <w:r>
            <w:rPr>
              <w:rFonts w:hint="default" w:ascii="Calibri" w:hAnsi="Calibri" w:eastAsia="楷体_GB2312" w:cs="Calibri"/>
            </w:rPr>
            <w:t>24</w:t>
          </w:r>
          <w:r>
            <w:rPr>
              <w:rFonts w:hint="default" w:ascii="Calibri" w:hAnsi="Calibri" w:eastAsia="楷体_GB2312" w:cs="Calibri"/>
            </w:rPr>
            <w:fldChar w:fldCharType="end"/>
          </w:r>
          <w:r>
            <w:rPr>
              <w:rFonts w:hint="default" w:ascii="Calibri" w:hAnsi="Calibri" w:eastAsia="楷体_GB2312" w:cs="Calibri"/>
              <w:lang w:eastAsia="zh-CN"/>
            </w:rPr>
            <w:fldChar w:fldCharType="end"/>
          </w:r>
        </w:p>
        <w:p w14:paraId="05B7F6F0">
          <w:pPr>
            <w:pStyle w:val="22"/>
            <w:keepNext w:val="0"/>
            <w:keepLines w:val="0"/>
            <w:pageBreakBefore w:val="0"/>
            <w:widowControl w:val="0"/>
            <w:tabs>
              <w:tab w:val="right" w:leader="dot" w:pos="10698"/>
              <w:tab w:val="clear" w:pos="2835"/>
              <w:tab w:val="clear" w:pos="10500"/>
            </w:tabs>
            <w:kinsoku/>
            <w:wordWrap/>
            <w:topLinePunct w:val="0"/>
            <w:autoSpaceDE/>
            <w:autoSpaceDN/>
            <w:bidi w:val="0"/>
            <w:adjustRightInd/>
            <w:snapToGrid/>
            <w:spacing w:line="240" w:lineRule="auto"/>
            <w:textAlignment w:val="auto"/>
            <w:rPr>
              <w:rFonts w:hint="default" w:ascii="Calibri" w:hAnsi="Calibri" w:eastAsia="楷体_GB2312" w:cs="Calibri"/>
            </w:rPr>
          </w:pPr>
          <w:r>
            <w:rPr>
              <w:rFonts w:hint="default" w:ascii="Calibri" w:hAnsi="Calibri" w:eastAsia="楷体_GB2312" w:cs="Calibri"/>
              <w:lang w:eastAsia="zh-CN"/>
            </w:rPr>
            <w:fldChar w:fldCharType="begin"/>
          </w:r>
          <w:r>
            <w:rPr>
              <w:rFonts w:hint="default" w:ascii="Calibri" w:hAnsi="Calibri" w:eastAsia="楷体_GB2312" w:cs="Calibri"/>
              <w:lang w:eastAsia="zh-CN"/>
            </w:rPr>
            <w:instrText xml:space="preserve"> HYPERLINK \l _Toc23568 </w:instrText>
          </w:r>
          <w:r>
            <w:rPr>
              <w:rFonts w:hint="default" w:ascii="Calibri" w:hAnsi="Calibri" w:eastAsia="楷体_GB2312" w:cs="Calibri"/>
              <w:lang w:eastAsia="zh-CN"/>
            </w:rPr>
            <w:fldChar w:fldCharType="separate"/>
          </w:r>
          <w:r>
            <w:rPr>
              <w:rFonts w:hint="default" w:ascii="Calibri" w:hAnsi="Calibri" w:eastAsia="楷体_GB2312" w:cs="Calibri"/>
              <w:bCs/>
              <w:szCs w:val="24"/>
              <w:lang w:val="en-US" w:eastAsia="zh-CN"/>
            </w:rPr>
            <w:t>（二）国防</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PAGEREF _Toc23568 \h </w:instrText>
          </w:r>
          <w:r>
            <w:rPr>
              <w:rFonts w:hint="default" w:ascii="Calibri" w:hAnsi="Calibri" w:eastAsia="楷体_GB2312" w:cs="Calibri"/>
            </w:rPr>
            <w:fldChar w:fldCharType="separate"/>
          </w:r>
          <w:r>
            <w:rPr>
              <w:rFonts w:hint="default" w:ascii="Calibri" w:hAnsi="Calibri" w:eastAsia="楷体_GB2312" w:cs="Calibri"/>
            </w:rPr>
            <w:t>25</w:t>
          </w:r>
          <w:r>
            <w:rPr>
              <w:rFonts w:hint="default" w:ascii="Calibri" w:hAnsi="Calibri" w:eastAsia="楷体_GB2312" w:cs="Calibri"/>
            </w:rPr>
            <w:fldChar w:fldCharType="end"/>
          </w:r>
          <w:r>
            <w:rPr>
              <w:rFonts w:hint="default" w:ascii="Calibri" w:hAnsi="Calibri" w:eastAsia="楷体_GB2312" w:cs="Calibri"/>
              <w:lang w:eastAsia="zh-CN"/>
            </w:rPr>
            <w:fldChar w:fldCharType="end"/>
          </w:r>
        </w:p>
        <w:p w14:paraId="426492B2">
          <w:pPr>
            <w:pStyle w:val="22"/>
            <w:keepNext w:val="0"/>
            <w:keepLines w:val="0"/>
            <w:pageBreakBefore w:val="0"/>
            <w:widowControl w:val="0"/>
            <w:tabs>
              <w:tab w:val="right" w:leader="dot" w:pos="10698"/>
              <w:tab w:val="clear" w:pos="2835"/>
              <w:tab w:val="clear" w:pos="10500"/>
            </w:tabs>
            <w:kinsoku/>
            <w:wordWrap/>
            <w:topLinePunct w:val="0"/>
            <w:autoSpaceDE/>
            <w:autoSpaceDN/>
            <w:bidi w:val="0"/>
            <w:adjustRightInd/>
            <w:snapToGrid/>
            <w:spacing w:line="240" w:lineRule="auto"/>
            <w:textAlignment w:val="auto"/>
            <w:rPr>
              <w:rFonts w:hint="default" w:ascii="Calibri" w:hAnsi="Calibri" w:eastAsia="楷体_GB2312" w:cs="Calibri"/>
            </w:rPr>
          </w:pPr>
          <w:r>
            <w:rPr>
              <w:rFonts w:hint="default" w:ascii="Calibri" w:hAnsi="Calibri" w:eastAsia="楷体_GB2312" w:cs="Calibri"/>
              <w:lang w:eastAsia="zh-CN"/>
            </w:rPr>
            <w:fldChar w:fldCharType="begin"/>
          </w:r>
          <w:r>
            <w:rPr>
              <w:rFonts w:hint="default" w:ascii="Calibri" w:hAnsi="Calibri" w:eastAsia="楷体_GB2312" w:cs="Calibri"/>
              <w:lang w:eastAsia="zh-CN"/>
            </w:rPr>
            <w:instrText xml:space="preserve"> HYPERLINK \l _Toc27857 </w:instrText>
          </w:r>
          <w:r>
            <w:rPr>
              <w:rFonts w:hint="default" w:ascii="Calibri" w:hAnsi="Calibri" w:eastAsia="楷体_GB2312" w:cs="Calibri"/>
              <w:lang w:eastAsia="zh-CN"/>
            </w:rPr>
            <w:fldChar w:fldCharType="separate"/>
          </w:r>
          <w:r>
            <w:rPr>
              <w:rFonts w:hint="default" w:ascii="Calibri" w:hAnsi="Calibri" w:eastAsia="楷体_GB2312" w:cs="Calibri"/>
              <w:bCs/>
              <w:szCs w:val="24"/>
              <w:lang w:val="en-US" w:eastAsia="zh-CN"/>
            </w:rPr>
            <w:t>（三）通用航空</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PAGEREF _Toc27857 \h </w:instrText>
          </w:r>
          <w:r>
            <w:rPr>
              <w:rFonts w:hint="default" w:ascii="Calibri" w:hAnsi="Calibri" w:eastAsia="楷体_GB2312" w:cs="Calibri"/>
            </w:rPr>
            <w:fldChar w:fldCharType="separate"/>
          </w:r>
          <w:r>
            <w:rPr>
              <w:rFonts w:hint="default" w:ascii="Calibri" w:hAnsi="Calibri" w:eastAsia="楷体_GB2312" w:cs="Calibri"/>
            </w:rPr>
            <w:t>26</w:t>
          </w:r>
          <w:r>
            <w:rPr>
              <w:rFonts w:hint="default" w:ascii="Calibri" w:hAnsi="Calibri" w:eastAsia="楷体_GB2312" w:cs="Calibri"/>
            </w:rPr>
            <w:fldChar w:fldCharType="end"/>
          </w:r>
          <w:r>
            <w:rPr>
              <w:rFonts w:hint="default" w:ascii="Calibri" w:hAnsi="Calibri" w:eastAsia="楷体_GB2312" w:cs="Calibri"/>
              <w:lang w:eastAsia="zh-CN"/>
            </w:rPr>
            <w:fldChar w:fldCharType="end"/>
          </w:r>
        </w:p>
        <w:p w14:paraId="3519BDEF">
          <w:pPr>
            <w:pStyle w:val="19"/>
            <w:keepNext w:val="0"/>
            <w:keepLines w:val="0"/>
            <w:pageBreakBefore w:val="0"/>
            <w:widowControl w:val="0"/>
            <w:tabs>
              <w:tab w:val="right" w:leader="dot" w:pos="10698"/>
              <w:tab w:val="clear" w:pos="2835"/>
              <w:tab w:val="clear" w:pos="3325"/>
              <w:tab w:val="clear" w:pos="10537"/>
            </w:tabs>
            <w:kinsoku/>
            <w:wordWrap/>
            <w:topLinePunct w:val="0"/>
            <w:autoSpaceDE/>
            <w:autoSpaceDN/>
            <w:bidi w:val="0"/>
            <w:adjustRightInd/>
            <w:snapToGrid/>
            <w:spacing w:line="240" w:lineRule="auto"/>
            <w:textAlignment w:val="auto"/>
            <w:rPr>
              <w:rFonts w:hint="default" w:ascii="Calibri" w:hAnsi="Calibri" w:eastAsia="楷体_GB2312" w:cs="Calibri"/>
            </w:rPr>
          </w:pPr>
          <w:r>
            <w:rPr>
              <w:rFonts w:hint="default" w:ascii="Calibri" w:hAnsi="Calibri" w:eastAsia="楷体_GB2312" w:cs="Calibri"/>
              <w:lang w:eastAsia="zh-CN"/>
            </w:rPr>
            <w:fldChar w:fldCharType="begin"/>
          </w:r>
          <w:r>
            <w:rPr>
              <w:rFonts w:hint="default" w:ascii="Calibri" w:hAnsi="Calibri" w:eastAsia="楷体_GB2312" w:cs="Calibri"/>
              <w:lang w:eastAsia="zh-CN"/>
            </w:rPr>
            <w:instrText xml:space="preserve"> HYPERLINK \l _Toc17166 </w:instrText>
          </w:r>
          <w:r>
            <w:rPr>
              <w:rFonts w:hint="default" w:ascii="Calibri" w:hAnsi="Calibri" w:eastAsia="楷体_GB2312" w:cs="Calibri"/>
              <w:lang w:eastAsia="zh-CN"/>
            </w:rPr>
            <w:fldChar w:fldCharType="separate"/>
          </w:r>
          <w:r>
            <w:rPr>
              <w:rFonts w:hint="default" w:ascii="Calibri" w:hAnsi="Calibri" w:eastAsia="楷体_GB2312" w:cs="Calibri"/>
              <w:bCs/>
              <w:szCs w:val="24"/>
              <w:lang w:val="en-US" w:eastAsia="zh-CN"/>
            </w:rPr>
            <w:t>七、重点公司资讯与点评</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PAGEREF _Toc17166 \h </w:instrText>
          </w:r>
          <w:r>
            <w:rPr>
              <w:rFonts w:hint="default" w:ascii="Calibri" w:hAnsi="Calibri" w:eastAsia="楷体_GB2312" w:cs="Calibri"/>
            </w:rPr>
            <w:fldChar w:fldCharType="separate"/>
          </w:r>
          <w:r>
            <w:rPr>
              <w:rFonts w:hint="default" w:ascii="Calibri" w:hAnsi="Calibri" w:eastAsia="楷体_GB2312" w:cs="Calibri"/>
            </w:rPr>
            <w:t>28</w:t>
          </w:r>
          <w:r>
            <w:rPr>
              <w:rFonts w:hint="default" w:ascii="Calibri" w:hAnsi="Calibri" w:eastAsia="楷体_GB2312" w:cs="Calibri"/>
            </w:rPr>
            <w:fldChar w:fldCharType="end"/>
          </w:r>
          <w:r>
            <w:rPr>
              <w:rFonts w:hint="default" w:ascii="Calibri" w:hAnsi="Calibri" w:eastAsia="楷体_GB2312" w:cs="Calibri"/>
              <w:lang w:eastAsia="zh-CN"/>
            </w:rPr>
            <w:fldChar w:fldCharType="end"/>
          </w:r>
        </w:p>
        <w:p w14:paraId="67C7CEBD">
          <w:pPr>
            <w:pStyle w:val="19"/>
            <w:keepNext w:val="0"/>
            <w:keepLines w:val="0"/>
            <w:pageBreakBefore w:val="0"/>
            <w:widowControl w:val="0"/>
            <w:tabs>
              <w:tab w:val="right" w:leader="dot" w:pos="10698"/>
              <w:tab w:val="clear" w:pos="2835"/>
              <w:tab w:val="clear" w:pos="3325"/>
              <w:tab w:val="clear" w:pos="10537"/>
            </w:tabs>
            <w:kinsoku/>
            <w:wordWrap/>
            <w:topLinePunct w:val="0"/>
            <w:autoSpaceDE/>
            <w:autoSpaceDN/>
            <w:bidi w:val="0"/>
            <w:adjustRightInd/>
            <w:snapToGrid/>
            <w:spacing w:line="240" w:lineRule="auto"/>
            <w:textAlignment w:val="auto"/>
            <w:rPr>
              <w:rFonts w:hint="default" w:ascii="Calibri" w:hAnsi="Calibri" w:eastAsia="楷体_GB2312" w:cs="Calibri"/>
            </w:rPr>
          </w:pPr>
          <w:r>
            <w:rPr>
              <w:rFonts w:hint="default" w:ascii="Calibri" w:hAnsi="Calibri" w:eastAsia="楷体_GB2312" w:cs="Calibri"/>
              <w:lang w:eastAsia="zh-CN"/>
            </w:rPr>
            <w:fldChar w:fldCharType="begin"/>
          </w:r>
          <w:r>
            <w:rPr>
              <w:rFonts w:hint="default" w:ascii="Calibri" w:hAnsi="Calibri" w:eastAsia="楷体_GB2312" w:cs="Calibri"/>
              <w:lang w:eastAsia="zh-CN"/>
            </w:rPr>
            <w:instrText xml:space="preserve"> HYPERLINK \l _Toc23304 </w:instrText>
          </w:r>
          <w:r>
            <w:rPr>
              <w:rFonts w:hint="default" w:ascii="Calibri" w:hAnsi="Calibri" w:eastAsia="楷体_GB2312" w:cs="Calibri"/>
              <w:lang w:eastAsia="zh-CN"/>
            </w:rPr>
            <w:fldChar w:fldCharType="separate"/>
          </w:r>
          <w:r>
            <w:rPr>
              <w:rFonts w:hint="default" w:ascii="Calibri" w:hAnsi="Calibri" w:eastAsia="楷体_GB2312" w:cs="Calibri"/>
              <w:bCs/>
              <w:szCs w:val="24"/>
              <w:lang w:val="en-US" w:eastAsia="zh-CN"/>
            </w:rPr>
            <w:t>八、报告精选</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PAGEREF _Toc23304 \h </w:instrText>
          </w:r>
          <w:r>
            <w:rPr>
              <w:rFonts w:hint="default" w:ascii="Calibri" w:hAnsi="Calibri" w:eastAsia="楷体_GB2312" w:cs="Calibri"/>
            </w:rPr>
            <w:fldChar w:fldCharType="separate"/>
          </w:r>
          <w:r>
            <w:rPr>
              <w:rFonts w:hint="default" w:ascii="Calibri" w:hAnsi="Calibri" w:eastAsia="楷体_GB2312" w:cs="Calibri"/>
            </w:rPr>
            <w:t>29</w:t>
          </w:r>
          <w:r>
            <w:rPr>
              <w:rFonts w:hint="default" w:ascii="Calibri" w:hAnsi="Calibri" w:eastAsia="楷体_GB2312" w:cs="Calibri"/>
            </w:rPr>
            <w:fldChar w:fldCharType="end"/>
          </w:r>
          <w:r>
            <w:rPr>
              <w:rFonts w:hint="default" w:ascii="Calibri" w:hAnsi="Calibri" w:eastAsia="楷体_GB2312" w:cs="Calibri"/>
              <w:lang w:eastAsia="zh-CN"/>
            </w:rPr>
            <w:fldChar w:fldCharType="end"/>
          </w:r>
        </w:p>
        <w:p w14:paraId="3C086716">
          <w:pPr>
            <w:rPr>
              <w:rFonts w:hint="default" w:ascii="Calibri" w:hAnsi="Calibri" w:eastAsia="楷体_GB2312" w:cs="Calibri"/>
              <w:b/>
              <w:bCs/>
              <w:color w:val="1F497D" w:themeColor="text2"/>
              <w:sz w:val="28"/>
              <w:szCs w:val="28"/>
              <w:lang w:val="en-US" w:eastAsia="zh-CN"/>
              <w14:textFill>
                <w14:solidFill>
                  <w14:schemeClr w14:val="tx2"/>
                </w14:solidFill>
              </w14:textFill>
            </w:rPr>
          </w:pPr>
          <w:r>
            <w:rPr>
              <w:rFonts w:hint="default" w:ascii="Calibri" w:hAnsi="Calibri" w:eastAsia="楷体_GB2312" w:cs="Calibri"/>
              <w:lang w:eastAsia="zh-CN"/>
            </w:rPr>
            <w:fldChar w:fldCharType="end"/>
          </w:r>
        </w:p>
      </w:sdtContent>
    </w:sdt>
    <w:p w14:paraId="602B4837">
      <w:pPr>
        <w:rPr>
          <w:rFonts w:hint="default" w:ascii="Calibri" w:hAnsi="Calibri" w:eastAsia="楷体_GB2312" w:cs="Calibri"/>
          <w:b/>
          <w:bCs/>
          <w:color w:val="1F497D" w:themeColor="text2"/>
          <w:sz w:val="28"/>
          <w:szCs w:val="28"/>
          <w:lang w:val="en-US" w:eastAsia="zh-CN"/>
          <w14:textFill>
            <w14:solidFill>
              <w14:schemeClr w14:val="tx2"/>
            </w14:solidFill>
          </w14:textFill>
        </w:rPr>
      </w:pPr>
      <w:r>
        <w:rPr>
          <w:rFonts w:hint="default" w:ascii="Calibri" w:hAnsi="Calibri" w:eastAsia="楷体_GB2312" w:cs="Calibri"/>
          <w:b/>
          <w:bCs/>
          <w:color w:val="1F497D" w:themeColor="text2"/>
          <w:sz w:val="28"/>
          <w:szCs w:val="28"/>
          <w:lang w:val="en-US" w:eastAsia="zh-CN"/>
          <w14:textFill>
            <w14:solidFill>
              <w14:schemeClr w14:val="tx2"/>
            </w14:solidFill>
          </w14:textFill>
        </w:rPr>
        <w:br w:type="page"/>
      </w:r>
    </w:p>
    <w:p w14:paraId="410B91E4">
      <w:pPr>
        <w:overflowPunct w:val="0"/>
        <w:ind w:left="3200" w:leftChars="2000"/>
        <w:jc w:val="both"/>
        <w:outlineLvl w:val="0"/>
        <w:rPr>
          <w:rFonts w:hint="default" w:ascii="Calibri" w:hAnsi="Calibri" w:eastAsia="楷体_GB2312" w:cs="Calibri"/>
          <w:b/>
          <w:bCs/>
          <w:color w:val="1F497D" w:themeColor="text2"/>
          <w:sz w:val="28"/>
          <w:szCs w:val="28"/>
          <w:lang w:val="en-US" w:eastAsia="zh-CN"/>
          <w14:textFill>
            <w14:solidFill>
              <w14:schemeClr w14:val="tx2"/>
            </w14:solidFill>
          </w14:textFill>
        </w:rPr>
      </w:pPr>
      <w:bookmarkStart w:id="5" w:name="_Toc28162"/>
      <w:r>
        <w:rPr>
          <w:rFonts w:hint="default" w:ascii="Calibri" w:hAnsi="Calibri" w:eastAsia="楷体_GB2312" w:cs="Calibri"/>
          <w:b/>
          <w:bCs/>
          <w:color w:val="1F497D" w:themeColor="text2"/>
          <w:sz w:val="28"/>
          <w:szCs w:val="28"/>
          <w:lang w:val="en-US" w:eastAsia="zh-CN"/>
          <w14:textFill>
            <w14:solidFill>
              <w14:schemeClr w14:val="tx2"/>
            </w14:solidFill>
          </w14:textFill>
        </w:rPr>
        <w:t>一、</w:t>
      </w:r>
      <w:bookmarkEnd w:id="1"/>
      <w:bookmarkEnd w:id="2"/>
      <w:r>
        <w:rPr>
          <w:rFonts w:hint="default" w:ascii="Calibri" w:hAnsi="Calibri" w:eastAsia="楷体_GB2312" w:cs="Calibri"/>
          <w:b/>
          <w:bCs/>
          <w:color w:val="1F497D" w:themeColor="text2"/>
          <w:sz w:val="28"/>
          <w:szCs w:val="28"/>
          <w:lang w:val="en-US" w:eastAsia="zh-CN"/>
          <w14:textFill>
            <w14:solidFill>
              <w14:schemeClr w14:val="tx2"/>
            </w14:solidFill>
          </w14:textFill>
        </w:rPr>
        <w:t>全球市场回顾</w:t>
      </w:r>
      <w:bookmarkEnd w:id="3"/>
      <w:bookmarkEnd w:id="4"/>
      <w:bookmarkEnd w:id="5"/>
    </w:p>
    <w:p w14:paraId="74009786">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美股市场本周表现回顾</w:t>
      </w:r>
      <w:r>
        <w:rPr>
          <w:rFonts w:hint="default" w:ascii="Calibri" w:hAnsi="Calibri" w:eastAsia="楷体_GB2312" w:cs="Calibri"/>
          <w:sz w:val="20"/>
          <w:szCs w:val="20"/>
          <w:lang w:val="en-US" w:eastAsia="zh-CN"/>
        </w:rPr>
        <w:t>——近几个交易日，美股主要股票指数在经历月初的波动后，呈现出高位震荡与重心上移并存的格局。标普 500 指数与道琼斯工业指数在关键心理关口附近展开拉锯，尽管面临部分获利盘回吐的压力，但在坚韧的经济数据支撑下，指数多次在回踩支撑位后展开反弹。市场整体情绪维持中性偏积极，投资者正在密切观察新一轮宏观政策指引，多空双方在当前位置维持力量平衡，等待进一步的方向性突破。</w:t>
      </w:r>
    </w:p>
    <w:p w14:paraId="3D5AE895">
      <w:pPr>
        <w:overflowPunct w:val="0"/>
        <w:ind w:left="3200" w:leftChars="2000"/>
        <w:jc w:val="both"/>
        <w:rPr>
          <w:rFonts w:hint="default" w:ascii="Calibri" w:hAnsi="Calibri" w:eastAsia="楷体_GB2312" w:cs="Calibri"/>
          <w:sz w:val="20"/>
          <w:szCs w:val="20"/>
          <w:lang w:val="en-US" w:eastAsia="zh-CN"/>
        </w:rPr>
      </w:pPr>
    </w:p>
    <w:tbl>
      <w:tblPr>
        <w:tblStyle w:val="26"/>
        <w:tblW w:w="10490" w:type="dxa"/>
        <w:jc w:val="right"/>
        <w:tblLayout w:type="fixed"/>
        <w:tblCellMar>
          <w:top w:w="0" w:type="dxa"/>
          <w:left w:w="108" w:type="dxa"/>
          <w:bottom w:w="0" w:type="dxa"/>
          <w:right w:w="108" w:type="dxa"/>
        </w:tblCellMar>
      </w:tblPr>
      <w:tblGrid>
        <w:gridCol w:w="5103"/>
        <w:gridCol w:w="238"/>
        <w:gridCol w:w="5149"/>
      </w:tblGrid>
      <w:tr w14:paraId="20A20F96">
        <w:tblPrEx>
          <w:tblCellMar>
            <w:top w:w="0" w:type="dxa"/>
            <w:left w:w="108" w:type="dxa"/>
            <w:bottom w:w="0" w:type="dxa"/>
            <w:right w:w="108" w:type="dxa"/>
          </w:tblCellMar>
        </w:tblPrEx>
        <w:trPr>
          <w:trHeight w:val="202" w:hRule="atLeast"/>
          <w:jc w:val="right"/>
        </w:trPr>
        <w:tc>
          <w:tcPr>
            <w:tcW w:w="5103" w:type="dxa"/>
            <w:tcBorders>
              <w:top w:val="nil"/>
              <w:left w:val="nil"/>
              <w:bottom w:val="single" w:color="auto" w:sz="4" w:space="0"/>
              <w:right w:val="nil"/>
            </w:tcBorders>
            <w:tcMar>
              <w:top w:w="0" w:type="dxa"/>
              <w:left w:w="0" w:type="dxa"/>
              <w:bottom w:w="0" w:type="dxa"/>
              <w:right w:w="28" w:type="dxa"/>
            </w:tcMar>
          </w:tcPr>
          <w:p w14:paraId="18ADE8B5">
            <w:pPr>
              <w:overflowPunct w:val="0"/>
              <w:rPr>
                <w:rFonts w:hint="default" w:ascii="Calibri" w:hAnsi="Calibri" w:eastAsia="楷体_GB2312" w:cs="Calibri"/>
                <w:b/>
                <w:color w:val="000000"/>
                <w:szCs w:val="20"/>
              </w:rPr>
            </w:pPr>
            <w:r>
              <w:rPr>
                <w:rFonts w:hint="default" w:ascii="Calibri" w:hAnsi="Calibri" w:eastAsia="楷体_GB2312" w:cs="Calibri"/>
                <w:b/>
                <w:sz w:val="18"/>
                <w:szCs w:val="18"/>
              </w:rPr>
              <w:t>图1：标普500指数今年以来表现（截止02/11/26）</w:t>
            </w:r>
          </w:p>
        </w:tc>
        <w:tc>
          <w:tcPr>
            <w:tcW w:w="238" w:type="dxa"/>
            <w:tcBorders>
              <w:top w:val="nil"/>
              <w:left w:val="nil"/>
              <w:bottom w:val="nil"/>
              <w:right w:val="nil"/>
            </w:tcBorders>
            <w:tcMar>
              <w:top w:w="0" w:type="dxa"/>
              <w:left w:w="0" w:type="dxa"/>
              <w:bottom w:w="0" w:type="dxa"/>
              <w:right w:w="28" w:type="dxa"/>
            </w:tcMar>
          </w:tcPr>
          <w:p w14:paraId="06906585">
            <w:pPr>
              <w:overflowPunct w:val="0"/>
              <w:spacing w:before="48" w:beforeLines="20" w:after="48" w:afterLines="20"/>
              <w:rPr>
                <w:rFonts w:hint="default" w:ascii="Calibri" w:hAnsi="Calibri" w:eastAsia="楷体_GB2312" w:cs="Calibri"/>
                <w:szCs w:val="20"/>
              </w:rPr>
            </w:pPr>
            <w:r>
              <w:rPr>
                <w:rFonts w:hint="default" w:ascii="Calibri" w:hAnsi="Calibri" w:eastAsia="楷体_GB2312" w:cs="Calibri"/>
                <w:szCs w:val="20"/>
              </w:rPr>
              <w:t xml:space="preserve">         </w:t>
            </w:r>
          </w:p>
        </w:tc>
        <w:tc>
          <w:tcPr>
            <w:tcW w:w="5149" w:type="dxa"/>
            <w:tcBorders>
              <w:top w:val="nil"/>
              <w:left w:val="nil"/>
              <w:bottom w:val="single" w:color="auto" w:sz="4" w:space="0"/>
              <w:right w:val="nil"/>
            </w:tcBorders>
            <w:tcMar>
              <w:top w:w="0" w:type="dxa"/>
              <w:left w:w="0" w:type="dxa"/>
              <w:bottom w:w="0" w:type="dxa"/>
              <w:right w:w="28" w:type="dxa"/>
            </w:tcMar>
          </w:tcPr>
          <w:p w14:paraId="11661E2A">
            <w:pPr>
              <w:overflowPunct w:val="0"/>
              <w:rPr>
                <w:rFonts w:hint="default" w:ascii="Calibri" w:hAnsi="Calibri" w:eastAsia="楷体_GB2312" w:cs="Calibri"/>
                <w:b/>
                <w:szCs w:val="20"/>
              </w:rPr>
            </w:pPr>
            <w:r>
              <w:rPr>
                <w:rFonts w:hint="default" w:ascii="Calibri" w:hAnsi="Calibri" w:eastAsia="楷体_GB2312" w:cs="Calibri"/>
                <w:b/>
                <w:sz w:val="18"/>
                <w:szCs w:val="18"/>
              </w:rPr>
              <w:t>图2：道琼斯指数今年以来表现（截止02/11/26）</w:t>
            </w:r>
          </w:p>
        </w:tc>
      </w:tr>
      <w:tr w14:paraId="143A108C">
        <w:tblPrEx>
          <w:tblCellMar>
            <w:top w:w="0" w:type="dxa"/>
            <w:left w:w="108" w:type="dxa"/>
            <w:bottom w:w="0" w:type="dxa"/>
            <w:right w:w="108" w:type="dxa"/>
          </w:tblCellMar>
        </w:tblPrEx>
        <w:trPr>
          <w:trHeight w:val="3109" w:hRule="atLeast"/>
          <w:jc w:val="right"/>
        </w:trPr>
        <w:tc>
          <w:tcPr>
            <w:tcW w:w="5103" w:type="dxa"/>
            <w:tcBorders>
              <w:top w:val="single" w:color="auto" w:sz="4" w:space="0"/>
              <w:left w:val="nil"/>
              <w:bottom w:val="single" w:color="auto" w:sz="4" w:space="0"/>
              <w:right w:val="nil"/>
            </w:tcBorders>
            <w:vAlign w:val="center"/>
          </w:tcPr>
          <w:p w14:paraId="4CB2E590">
            <w:pPr>
              <w:overflowPunct w:val="0"/>
              <w:spacing w:before="48" w:beforeLines="20" w:after="48" w:afterLines="20"/>
              <w:jc w:val="center"/>
              <w:textAlignment w:val="center"/>
              <w:rPr>
                <w:rFonts w:hint="default" w:ascii="Calibri" w:hAnsi="Calibri" w:eastAsia="楷体_GB2312" w:cs="Calibri"/>
                <w:b/>
                <w:color w:val="000000"/>
                <w:sz w:val="15"/>
                <w:szCs w:val="15"/>
              </w:rPr>
            </w:pPr>
            <w:r>
              <w:rPr>
                <w:rFonts w:hint="default" w:ascii="Calibri" w:hAnsi="Calibri" w:eastAsia="楷体_GB2312" w:cs="Calibri"/>
                <w:b/>
                <w:bCs/>
              </w:rPr>
              <w:drawing>
                <wp:inline distT="0" distB="0" distL="0" distR="0">
                  <wp:extent cx="3237865" cy="1960880"/>
                  <wp:effectExtent l="0" t="0" r="0" b="0"/>
                  <wp:docPr id="1559756828"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tc>
        <w:tc>
          <w:tcPr>
            <w:tcW w:w="238" w:type="dxa"/>
            <w:tcBorders>
              <w:top w:val="nil"/>
              <w:left w:val="nil"/>
              <w:bottom w:val="nil"/>
              <w:right w:val="nil"/>
            </w:tcBorders>
          </w:tcPr>
          <w:p w14:paraId="4D04CEFE">
            <w:pPr>
              <w:overflowPunct w:val="0"/>
              <w:spacing w:before="48" w:beforeLines="20" w:after="48" w:afterLines="20"/>
              <w:rPr>
                <w:rFonts w:hint="default" w:ascii="Calibri" w:hAnsi="Calibri" w:eastAsia="楷体_GB2312" w:cs="Calibri"/>
                <w:sz w:val="15"/>
                <w:szCs w:val="15"/>
              </w:rPr>
            </w:pPr>
          </w:p>
        </w:tc>
        <w:tc>
          <w:tcPr>
            <w:tcW w:w="5149" w:type="dxa"/>
            <w:tcBorders>
              <w:top w:val="single" w:color="auto" w:sz="4" w:space="0"/>
              <w:left w:val="nil"/>
              <w:bottom w:val="single" w:color="auto" w:sz="4" w:space="0"/>
              <w:right w:val="nil"/>
            </w:tcBorders>
          </w:tcPr>
          <w:p w14:paraId="4A583CB7">
            <w:pPr>
              <w:overflowPunct w:val="0"/>
              <w:spacing w:before="48" w:beforeLines="20" w:after="48" w:afterLines="20"/>
              <w:jc w:val="center"/>
              <w:rPr>
                <w:rFonts w:hint="default" w:ascii="Calibri" w:hAnsi="Calibri" w:eastAsia="楷体_GB2312" w:cs="Calibri"/>
                <w:b/>
                <w:sz w:val="15"/>
                <w:szCs w:val="15"/>
              </w:rPr>
            </w:pPr>
            <w:r>
              <w:rPr>
                <w:rFonts w:hint="default" w:ascii="Calibri" w:hAnsi="Calibri" w:eastAsia="楷体_GB2312" w:cs="Calibri"/>
                <w:b/>
                <w:bCs/>
              </w:rPr>
              <w:drawing>
                <wp:inline distT="0" distB="0" distL="0" distR="0">
                  <wp:extent cx="3208020" cy="1875790"/>
                  <wp:effectExtent l="0" t="0" r="0" b="0"/>
                  <wp:docPr id="1353294046"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tc>
      </w:tr>
      <w:tr w14:paraId="16DD776B">
        <w:tblPrEx>
          <w:tblCellMar>
            <w:top w:w="0" w:type="dxa"/>
            <w:left w:w="108" w:type="dxa"/>
            <w:bottom w:w="0" w:type="dxa"/>
            <w:right w:w="108" w:type="dxa"/>
          </w:tblCellMar>
        </w:tblPrEx>
        <w:trPr>
          <w:jc w:val="right"/>
        </w:trPr>
        <w:tc>
          <w:tcPr>
            <w:tcW w:w="5103" w:type="dxa"/>
            <w:tcBorders>
              <w:top w:val="single" w:color="auto" w:sz="4" w:space="0"/>
              <w:left w:val="nil"/>
              <w:bottom w:val="nil"/>
              <w:right w:val="nil"/>
            </w:tcBorders>
            <w:tcMar>
              <w:top w:w="0" w:type="dxa"/>
              <w:left w:w="0" w:type="dxa"/>
              <w:bottom w:w="0" w:type="dxa"/>
              <w:right w:w="28" w:type="dxa"/>
            </w:tcMar>
            <w:vAlign w:val="center"/>
          </w:tcPr>
          <w:p w14:paraId="3899FA17">
            <w:pPr>
              <w:overflowPunct w:val="0"/>
              <w:spacing w:before="48" w:beforeLines="20" w:after="48" w:afterLines="20"/>
              <w:textAlignment w:val="center"/>
              <w:rPr>
                <w:rFonts w:hint="default" w:ascii="Calibri" w:hAnsi="Calibri" w:eastAsia="楷体_GB2312" w:cs="Calibri"/>
                <w:i/>
                <w:iCs/>
                <w:sz w:val="10"/>
                <w:szCs w:val="10"/>
              </w:rPr>
            </w:pPr>
            <w:r>
              <w:rPr>
                <w:rFonts w:hint="default" w:ascii="Calibri" w:hAnsi="Calibri" w:eastAsia="楷体_GB2312" w:cs="Calibri"/>
                <w:i/>
                <w:iCs/>
                <w:lang w:val="zh-CN"/>
              </w:rPr>
              <w:t>资料来源：iFind，HFI</w:t>
            </w:r>
          </w:p>
        </w:tc>
        <w:tc>
          <w:tcPr>
            <w:tcW w:w="238" w:type="dxa"/>
            <w:tcBorders>
              <w:top w:val="nil"/>
              <w:left w:val="nil"/>
              <w:bottom w:val="nil"/>
              <w:right w:val="nil"/>
            </w:tcBorders>
            <w:tcMar>
              <w:top w:w="0" w:type="dxa"/>
              <w:left w:w="0" w:type="dxa"/>
              <w:bottom w:w="0" w:type="dxa"/>
              <w:right w:w="28" w:type="dxa"/>
            </w:tcMar>
          </w:tcPr>
          <w:p w14:paraId="0AE311D8">
            <w:pPr>
              <w:overflowPunct w:val="0"/>
              <w:spacing w:before="48" w:beforeLines="20" w:after="48" w:afterLines="20"/>
              <w:rPr>
                <w:rFonts w:hint="default" w:ascii="Calibri" w:hAnsi="Calibri" w:eastAsia="楷体_GB2312" w:cs="Calibri"/>
                <w:sz w:val="15"/>
                <w:szCs w:val="15"/>
              </w:rPr>
            </w:pPr>
          </w:p>
        </w:tc>
        <w:tc>
          <w:tcPr>
            <w:tcW w:w="5149" w:type="dxa"/>
            <w:tcBorders>
              <w:top w:val="single" w:color="auto" w:sz="4" w:space="0"/>
              <w:left w:val="nil"/>
              <w:bottom w:val="nil"/>
              <w:right w:val="nil"/>
            </w:tcBorders>
            <w:tcMar>
              <w:top w:w="0" w:type="dxa"/>
              <w:left w:w="0" w:type="dxa"/>
              <w:bottom w:w="0" w:type="dxa"/>
              <w:right w:w="28" w:type="dxa"/>
            </w:tcMar>
          </w:tcPr>
          <w:p w14:paraId="2A58FB09">
            <w:pPr>
              <w:overflowPunct w:val="0"/>
              <w:spacing w:before="48" w:beforeLines="20" w:after="48" w:afterLines="20"/>
              <w:textAlignment w:val="center"/>
              <w:rPr>
                <w:rFonts w:hint="default" w:ascii="Calibri" w:hAnsi="Calibri" w:eastAsia="楷体_GB2312" w:cs="Calibri"/>
                <w:sz w:val="10"/>
                <w:szCs w:val="10"/>
              </w:rPr>
            </w:pPr>
            <w:r>
              <w:rPr>
                <w:rFonts w:hint="default" w:ascii="Calibri" w:hAnsi="Calibri" w:eastAsia="楷体_GB2312" w:cs="Calibri"/>
                <w:i/>
                <w:iCs/>
                <w:lang w:val="zh-CN"/>
              </w:rPr>
              <w:t>资料来源：iFind，HFI</w:t>
            </w:r>
          </w:p>
        </w:tc>
      </w:tr>
    </w:tbl>
    <w:p w14:paraId="71B9C67D">
      <w:pPr>
        <w:overflowPunct w:val="0"/>
        <w:ind w:left="3200" w:leftChars="2000"/>
        <w:jc w:val="both"/>
        <w:rPr>
          <w:rFonts w:hint="default" w:ascii="Calibri" w:hAnsi="Calibri" w:eastAsia="楷体_GB2312" w:cs="Calibri"/>
          <w:sz w:val="20"/>
          <w:szCs w:val="20"/>
          <w:lang w:val="en-US" w:eastAsia="zh-CN"/>
        </w:rPr>
      </w:pPr>
    </w:p>
    <w:p w14:paraId="551FCF7C">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分行业来看——</w:t>
      </w:r>
      <w:r>
        <w:rPr>
          <w:rFonts w:hint="default" w:ascii="Calibri" w:hAnsi="Calibri" w:eastAsia="楷体_GB2312" w:cs="Calibri"/>
          <w:sz w:val="20"/>
          <w:szCs w:val="20"/>
          <w:lang w:val="en-US" w:eastAsia="zh-CN"/>
        </w:rPr>
        <w:t>从行业板块角度看，本周市场呈现出一定的结构性分化特征。受技术创新预期及稳健业绩指引带动，信息技术、通信服务及金融板块表现出较强的韧性，成为支撑大盘的核心力量。与此同时，随着市场风险偏好的波动，部分资金流向了工业与可选消费等顺周期领域，反映出对经济软着陆的持续乐观预期。相比之下，公用事业、医疗保健及日常消费品等传统防御性板块则在期内经历了小幅下调，显示出在风险偏好回升环境下，避险资金的普遍性流出。</w:t>
      </w:r>
    </w:p>
    <w:p w14:paraId="4DAA645B">
      <w:pPr>
        <w:overflowPunct w:val="0"/>
        <w:ind w:left="3200" w:leftChars="2000"/>
        <w:jc w:val="both"/>
        <w:rPr>
          <w:rFonts w:hint="default" w:ascii="Calibri" w:hAnsi="Calibri" w:eastAsia="楷体_GB2312" w:cs="Calibri"/>
          <w:sz w:val="20"/>
          <w:szCs w:val="20"/>
          <w:lang w:val="en-US" w:eastAsia="zh-CN"/>
        </w:rPr>
      </w:pPr>
    </w:p>
    <w:tbl>
      <w:tblPr>
        <w:tblStyle w:val="26"/>
        <w:tblpPr w:leftFromText="180" w:rightFromText="180" w:vertAnchor="text" w:horzAnchor="margin" w:tblpY="45"/>
        <w:tblW w:w="10738" w:type="dxa"/>
        <w:tblInd w:w="0" w:type="dxa"/>
        <w:tblLayout w:type="fixed"/>
        <w:tblCellMar>
          <w:top w:w="0" w:type="dxa"/>
          <w:left w:w="108" w:type="dxa"/>
          <w:bottom w:w="0" w:type="dxa"/>
          <w:right w:w="108" w:type="dxa"/>
        </w:tblCellMar>
      </w:tblPr>
      <w:tblGrid>
        <w:gridCol w:w="5457"/>
        <w:gridCol w:w="259"/>
        <w:gridCol w:w="5022"/>
      </w:tblGrid>
      <w:tr w14:paraId="28F187E1">
        <w:tblPrEx>
          <w:tblCellMar>
            <w:top w:w="0" w:type="dxa"/>
            <w:left w:w="108" w:type="dxa"/>
            <w:bottom w:w="0" w:type="dxa"/>
            <w:right w:w="108" w:type="dxa"/>
          </w:tblCellMar>
        </w:tblPrEx>
        <w:trPr>
          <w:trHeight w:val="110" w:hRule="atLeast"/>
        </w:trPr>
        <w:tc>
          <w:tcPr>
            <w:tcW w:w="5457" w:type="dxa"/>
            <w:tcBorders>
              <w:top w:val="nil"/>
              <w:left w:val="nil"/>
              <w:bottom w:val="single" w:color="auto" w:sz="4" w:space="0"/>
              <w:right w:val="nil"/>
            </w:tcBorders>
            <w:tcMar>
              <w:top w:w="0" w:type="dxa"/>
              <w:left w:w="0" w:type="dxa"/>
              <w:bottom w:w="0" w:type="dxa"/>
              <w:right w:w="28" w:type="dxa"/>
            </w:tcMar>
          </w:tcPr>
          <w:p w14:paraId="7EB7BCB8">
            <w:pPr>
              <w:overflowPunct w:val="0"/>
              <w:rPr>
                <w:rFonts w:hint="default" w:ascii="Calibri" w:hAnsi="Calibri" w:eastAsia="楷体_GB2312" w:cs="Calibri"/>
                <w:b/>
                <w:sz w:val="18"/>
                <w:szCs w:val="18"/>
              </w:rPr>
            </w:pPr>
            <w:r>
              <w:rPr>
                <w:rFonts w:hint="default" w:ascii="Calibri" w:hAnsi="Calibri" w:eastAsia="楷体_GB2312" w:cs="Calibri"/>
                <w:b/>
                <w:sz w:val="18"/>
                <w:szCs w:val="18"/>
              </w:rPr>
              <w:t>图3：标普指数分行业今年以来表现（截止02/11/26）</w:t>
            </w:r>
          </w:p>
        </w:tc>
        <w:tc>
          <w:tcPr>
            <w:tcW w:w="259" w:type="dxa"/>
            <w:tcBorders>
              <w:top w:val="nil"/>
              <w:left w:val="nil"/>
              <w:bottom w:val="nil"/>
              <w:right w:val="nil"/>
            </w:tcBorders>
            <w:tcMar>
              <w:top w:w="0" w:type="dxa"/>
              <w:left w:w="0" w:type="dxa"/>
              <w:bottom w:w="0" w:type="dxa"/>
              <w:right w:w="28" w:type="dxa"/>
            </w:tcMar>
          </w:tcPr>
          <w:p w14:paraId="230B5FF4">
            <w:pPr>
              <w:overflowPunct w:val="0"/>
              <w:rPr>
                <w:rFonts w:hint="default" w:ascii="Calibri" w:hAnsi="Calibri" w:eastAsia="楷体_GB2312" w:cs="Calibri"/>
                <w:b/>
                <w:sz w:val="18"/>
                <w:szCs w:val="18"/>
              </w:rPr>
            </w:pPr>
            <w:r>
              <w:rPr>
                <w:rFonts w:hint="default" w:ascii="Calibri" w:hAnsi="Calibri" w:eastAsia="楷体_GB2312" w:cs="Calibri"/>
                <w:b/>
                <w:sz w:val="18"/>
                <w:szCs w:val="18"/>
              </w:rPr>
              <w:t xml:space="preserve">         </w:t>
            </w:r>
          </w:p>
        </w:tc>
        <w:tc>
          <w:tcPr>
            <w:tcW w:w="5022" w:type="dxa"/>
            <w:tcBorders>
              <w:top w:val="nil"/>
              <w:left w:val="nil"/>
              <w:bottom w:val="single" w:color="auto" w:sz="4" w:space="0"/>
              <w:right w:val="nil"/>
            </w:tcBorders>
            <w:tcMar>
              <w:top w:w="0" w:type="dxa"/>
              <w:left w:w="0" w:type="dxa"/>
              <w:bottom w:w="0" w:type="dxa"/>
              <w:right w:w="28" w:type="dxa"/>
            </w:tcMar>
          </w:tcPr>
          <w:p w14:paraId="760DD814">
            <w:pPr>
              <w:overflowPunct w:val="0"/>
              <w:rPr>
                <w:rFonts w:hint="default" w:ascii="Calibri" w:hAnsi="Calibri" w:eastAsia="楷体_GB2312" w:cs="Calibri"/>
                <w:b/>
                <w:sz w:val="18"/>
                <w:szCs w:val="18"/>
              </w:rPr>
            </w:pPr>
            <w:r>
              <w:rPr>
                <w:rFonts w:hint="default" w:ascii="Calibri" w:hAnsi="Calibri" w:eastAsia="楷体_GB2312" w:cs="Calibri"/>
                <w:b/>
                <w:sz w:val="18"/>
                <w:szCs w:val="18"/>
              </w:rPr>
              <w:t>图4：全球市场表现（截止02/11/26）</w:t>
            </w:r>
          </w:p>
        </w:tc>
      </w:tr>
      <w:tr w14:paraId="76604E8C">
        <w:tblPrEx>
          <w:tblCellMar>
            <w:top w:w="0" w:type="dxa"/>
            <w:left w:w="108" w:type="dxa"/>
            <w:bottom w:w="0" w:type="dxa"/>
            <w:right w:w="108" w:type="dxa"/>
          </w:tblCellMar>
        </w:tblPrEx>
        <w:trPr>
          <w:trHeight w:val="1547" w:hRule="atLeast"/>
        </w:trPr>
        <w:tc>
          <w:tcPr>
            <w:tcW w:w="5457" w:type="dxa"/>
            <w:tcBorders>
              <w:top w:val="single" w:color="auto" w:sz="4" w:space="0"/>
              <w:left w:val="nil"/>
              <w:bottom w:val="single" w:color="auto" w:sz="4" w:space="0"/>
              <w:right w:val="nil"/>
            </w:tcBorders>
            <w:tcMar>
              <w:top w:w="0" w:type="dxa"/>
              <w:left w:w="0" w:type="dxa"/>
              <w:bottom w:w="0" w:type="dxa"/>
              <w:right w:w="28" w:type="dxa"/>
            </w:tcMar>
            <w:vAlign w:val="center"/>
          </w:tcPr>
          <w:p w14:paraId="19212858">
            <w:pPr>
              <w:overflowPunct w:val="0"/>
              <w:spacing w:before="48" w:beforeLines="20" w:after="48" w:afterLines="20"/>
              <w:jc w:val="center"/>
              <w:textAlignment w:val="center"/>
              <w:rPr>
                <w:rFonts w:hint="default" w:ascii="Calibri" w:hAnsi="Calibri" w:eastAsia="楷体_GB2312" w:cs="Calibri"/>
                <w:b/>
                <w:color w:val="000000"/>
                <w:sz w:val="15"/>
                <w:szCs w:val="15"/>
              </w:rPr>
            </w:pPr>
            <w:r>
              <w:rPr>
                <w:rFonts w:hint="default" w:ascii="Calibri" w:hAnsi="Calibri" w:eastAsia="楷体_GB2312" w:cs="Calibri"/>
                <w:b/>
                <w:bCs/>
              </w:rPr>
              <w:drawing>
                <wp:inline distT="0" distB="0" distL="0" distR="0">
                  <wp:extent cx="3863975" cy="2432050"/>
                  <wp:effectExtent l="0" t="0" r="0" b="0"/>
                  <wp:docPr id="1930304164"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tc>
        <w:tc>
          <w:tcPr>
            <w:tcW w:w="259" w:type="dxa"/>
            <w:tcBorders>
              <w:top w:val="nil"/>
              <w:left w:val="nil"/>
              <w:bottom w:val="nil"/>
              <w:right w:val="nil"/>
            </w:tcBorders>
            <w:tcMar>
              <w:top w:w="0" w:type="dxa"/>
              <w:left w:w="0" w:type="dxa"/>
              <w:bottom w:w="0" w:type="dxa"/>
              <w:right w:w="28" w:type="dxa"/>
            </w:tcMar>
          </w:tcPr>
          <w:p w14:paraId="4731F9F8">
            <w:pPr>
              <w:overflowPunct w:val="0"/>
              <w:spacing w:before="48" w:beforeLines="20" w:after="48" w:afterLines="20"/>
              <w:rPr>
                <w:rFonts w:hint="default" w:ascii="Calibri" w:hAnsi="Calibri" w:eastAsia="楷体_GB2312" w:cs="Calibri"/>
                <w:sz w:val="15"/>
                <w:szCs w:val="15"/>
              </w:rPr>
            </w:pPr>
          </w:p>
        </w:tc>
        <w:tc>
          <w:tcPr>
            <w:tcW w:w="5022" w:type="dxa"/>
            <w:tcBorders>
              <w:top w:val="single" w:color="auto" w:sz="4" w:space="0"/>
              <w:left w:val="nil"/>
              <w:bottom w:val="single" w:color="auto" w:sz="4" w:space="0"/>
              <w:right w:val="nil"/>
            </w:tcBorders>
            <w:tcMar>
              <w:top w:w="0" w:type="dxa"/>
              <w:left w:w="0" w:type="dxa"/>
              <w:bottom w:w="0" w:type="dxa"/>
              <w:right w:w="28" w:type="dxa"/>
            </w:tcMar>
          </w:tcPr>
          <w:p w14:paraId="7E6E8C5B">
            <w:pPr>
              <w:overflowPunct w:val="0"/>
              <w:spacing w:before="48" w:beforeLines="20" w:after="48" w:afterLines="20"/>
              <w:jc w:val="center"/>
              <w:rPr>
                <w:rFonts w:hint="default" w:ascii="Calibri" w:hAnsi="Calibri" w:eastAsia="楷体_GB2312" w:cs="Calibri"/>
                <w:b/>
                <w:sz w:val="15"/>
                <w:szCs w:val="15"/>
              </w:rPr>
            </w:pPr>
            <w:r>
              <w:rPr>
                <w:rFonts w:hint="default" w:ascii="Calibri" w:hAnsi="Calibri" w:eastAsia="楷体_GB2312" w:cs="Calibri"/>
                <w:b/>
                <w:bCs/>
              </w:rPr>
              <w:drawing>
                <wp:inline distT="0" distB="0" distL="0" distR="0">
                  <wp:extent cx="3262630" cy="2248535"/>
                  <wp:effectExtent l="0" t="0" r="0" b="0"/>
                  <wp:docPr id="1612755627" name="图表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tc>
      </w:tr>
      <w:tr w14:paraId="310ED8C5">
        <w:tblPrEx>
          <w:tblCellMar>
            <w:top w:w="0" w:type="dxa"/>
            <w:left w:w="108" w:type="dxa"/>
            <w:bottom w:w="0" w:type="dxa"/>
            <w:right w:w="108" w:type="dxa"/>
          </w:tblCellMar>
        </w:tblPrEx>
        <w:trPr>
          <w:trHeight w:val="184" w:hRule="atLeast"/>
        </w:trPr>
        <w:tc>
          <w:tcPr>
            <w:tcW w:w="5457" w:type="dxa"/>
            <w:tcBorders>
              <w:top w:val="single" w:color="auto" w:sz="4" w:space="0"/>
              <w:left w:val="nil"/>
              <w:bottom w:val="nil"/>
              <w:right w:val="nil"/>
            </w:tcBorders>
            <w:tcMar>
              <w:top w:w="0" w:type="dxa"/>
              <w:left w:w="0" w:type="dxa"/>
              <w:bottom w:w="0" w:type="dxa"/>
              <w:right w:w="28" w:type="dxa"/>
            </w:tcMar>
            <w:vAlign w:val="center"/>
          </w:tcPr>
          <w:p w14:paraId="59F787E8">
            <w:pPr>
              <w:overflowPunct w:val="0"/>
              <w:spacing w:before="48" w:beforeLines="20" w:after="48" w:afterLines="20"/>
              <w:textAlignment w:val="center"/>
              <w:rPr>
                <w:rFonts w:hint="default" w:ascii="Calibri" w:hAnsi="Calibri" w:eastAsia="楷体_GB2312" w:cs="Calibri"/>
                <w:sz w:val="10"/>
                <w:szCs w:val="10"/>
              </w:rPr>
            </w:pPr>
            <w:r>
              <w:rPr>
                <w:rFonts w:hint="default" w:ascii="Calibri" w:hAnsi="Calibri" w:eastAsia="楷体_GB2312" w:cs="Calibri"/>
                <w:i/>
                <w:iCs/>
                <w:lang w:val="zh-CN"/>
              </w:rPr>
              <w:t>资料来源：iFind，HFI</w:t>
            </w:r>
          </w:p>
        </w:tc>
        <w:tc>
          <w:tcPr>
            <w:tcW w:w="259" w:type="dxa"/>
            <w:tcBorders>
              <w:top w:val="nil"/>
              <w:left w:val="nil"/>
              <w:bottom w:val="nil"/>
              <w:right w:val="nil"/>
            </w:tcBorders>
            <w:tcMar>
              <w:top w:w="0" w:type="dxa"/>
              <w:left w:w="0" w:type="dxa"/>
              <w:bottom w:w="0" w:type="dxa"/>
              <w:right w:w="28" w:type="dxa"/>
            </w:tcMar>
          </w:tcPr>
          <w:p w14:paraId="3F7FE1BD">
            <w:pPr>
              <w:overflowPunct w:val="0"/>
              <w:spacing w:before="48" w:beforeLines="20" w:after="48" w:afterLines="20"/>
              <w:rPr>
                <w:rFonts w:hint="default" w:ascii="Calibri" w:hAnsi="Calibri" w:eastAsia="楷体_GB2312" w:cs="Calibri"/>
                <w:sz w:val="15"/>
                <w:szCs w:val="15"/>
              </w:rPr>
            </w:pPr>
          </w:p>
        </w:tc>
        <w:tc>
          <w:tcPr>
            <w:tcW w:w="5022" w:type="dxa"/>
            <w:tcBorders>
              <w:top w:val="single" w:color="auto" w:sz="4" w:space="0"/>
              <w:left w:val="nil"/>
              <w:bottom w:val="nil"/>
              <w:right w:val="nil"/>
            </w:tcBorders>
            <w:tcMar>
              <w:top w:w="0" w:type="dxa"/>
              <w:left w:w="0" w:type="dxa"/>
              <w:bottom w:w="0" w:type="dxa"/>
              <w:right w:w="28" w:type="dxa"/>
            </w:tcMar>
          </w:tcPr>
          <w:p w14:paraId="74046755">
            <w:pPr>
              <w:overflowPunct w:val="0"/>
              <w:spacing w:before="48" w:beforeLines="20" w:after="48" w:afterLines="20"/>
              <w:rPr>
                <w:rFonts w:hint="default" w:ascii="Calibri" w:hAnsi="Calibri" w:eastAsia="楷体_GB2312" w:cs="Calibri"/>
                <w:sz w:val="10"/>
                <w:szCs w:val="10"/>
              </w:rPr>
            </w:pPr>
            <w:r>
              <w:rPr>
                <w:rFonts w:hint="default" w:ascii="Calibri" w:hAnsi="Calibri" w:eastAsia="楷体_GB2312" w:cs="Calibri"/>
                <w:i/>
                <w:iCs/>
                <w:lang w:val="zh-CN"/>
              </w:rPr>
              <w:t>资料来源：iFind, HFI</w:t>
            </w:r>
          </w:p>
        </w:tc>
      </w:tr>
    </w:tbl>
    <w:p w14:paraId="7A801AFF">
      <w:pPr>
        <w:rPr>
          <w:rFonts w:hint="default" w:ascii="Calibri" w:hAnsi="Calibri" w:eastAsia="楷体_GB2312" w:cs="Calibri"/>
          <w:b/>
          <w:bCs/>
          <w:sz w:val="20"/>
          <w:szCs w:val="20"/>
          <w:lang w:val="en-US" w:eastAsia="zh-CN"/>
        </w:rPr>
      </w:pPr>
      <w:r>
        <w:rPr>
          <w:rFonts w:hint="default" w:ascii="Calibri" w:hAnsi="Calibri" w:eastAsia="楷体_GB2312" w:cs="Calibri"/>
          <w:b/>
          <w:bCs/>
          <w:sz w:val="20"/>
          <w:szCs w:val="20"/>
          <w:lang w:val="en-US" w:eastAsia="zh-CN"/>
        </w:rPr>
        <w:br w:type="page"/>
      </w:r>
    </w:p>
    <w:p w14:paraId="518738F6">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分市场来看</w:t>
      </w:r>
      <w:r>
        <w:rPr>
          <w:rFonts w:hint="default" w:ascii="Calibri" w:hAnsi="Calibri" w:eastAsia="楷体_GB2312" w:cs="Calibri"/>
          <w:sz w:val="20"/>
          <w:szCs w:val="20"/>
          <w:lang w:val="en-US" w:eastAsia="zh-CN"/>
        </w:rPr>
        <w:t>——近几个交易日，全球主要资本市场表现出区域分化与底部回暖交织的态势。亚洲市场整体呈现积极态势，其中大中华区股指，包括恒生指数与上证指数，在经历前期震荡后显现出较强的内生修复动力，政策面的积极信号有效提振了市场信心。日经 225 指数与韩国 KOSPI 指数则在窄幅区间内震荡整理，维持高位盘整态势。日经指数则表现出震荡筑底后企稳回升的态势。相较之下，欧洲主要股指如英国富时100与法国CAC40表现相对稳健，同样在周内消化了部分外部通胀压力后，呈现出震荡筑底后的企稳回升迹象，与美股的走势形成了一定的联动效应。东南亚市场中科技类指数在经历短期回调后有所企稳，但整体仍处于低位震荡阶段，等待进一步的资金流入。总体而言，全球多数市场在经历了年初的波动后，目前普遍进入了预期修正与震荡蓄势阶段，市场信心正在逐步巩固。</w:t>
      </w:r>
    </w:p>
    <w:p w14:paraId="76805E56">
      <w:pPr>
        <w:overflowPunct w:val="0"/>
        <w:ind w:left="3200" w:leftChars="2000"/>
        <w:jc w:val="both"/>
        <w:rPr>
          <w:rFonts w:hint="default" w:ascii="Calibri" w:hAnsi="Calibri" w:eastAsia="楷体_GB2312" w:cs="Calibri"/>
          <w:b/>
          <w:bCs/>
          <w:sz w:val="20"/>
          <w:szCs w:val="20"/>
          <w:lang w:val="en-US" w:eastAsia="zh-CN"/>
        </w:rPr>
      </w:pPr>
    </w:p>
    <w:tbl>
      <w:tblPr>
        <w:tblStyle w:val="27"/>
        <w:tblW w:w="7459" w:type="dxa"/>
        <w:tblInd w:w="3247"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fixed"/>
        <w:tblCellMar>
          <w:top w:w="0" w:type="dxa"/>
          <w:left w:w="0" w:type="dxa"/>
          <w:bottom w:w="0" w:type="dxa"/>
          <w:right w:w="0" w:type="dxa"/>
        </w:tblCellMar>
      </w:tblPr>
      <w:tblGrid>
        <w:gridCol w:w="7459"/>
      </w:tblGrid>
      <w:tr w14:paraId="2DA86226">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7459" w:type="dxa"/>
            <w:tcBorders>
              <w:bottom w:val="single" w:color="auto" w:sz="4" w:space="0"/>
            </w:tcBorders>
          </w:tcPr>
          <w:p w14:paraId="18056C54">
            <w:pPr>
              <w:overflowPunct w:val="0"/>
              <w:rPr>
                <w:rFonts w:hint="default" w:ascii="Calibri" w:hAnsi="Calibri" w:eastAsia="楷体_GB2312" w:cs="Calibri"/>
                <w:b/>
                <w:sz w:val="17"/>
              </w:rPr>
            </w:pPr>
            <w:r>
              <w:rPr>
                <w:rFonts w:hint="default" w:ascii="Calibri" w:hAnsi="Calibri" w:eastAsia="楷体_GB2312" w:cs="Calibri"/>
                <w:b/>
                <w:sz w:val="18"/>
                <w:szCs w:val="18"/>
              </w:rPr>
              <w:t>表1: 覆盖股票本周涨跌幅（截至02/11/26）</w:t>
            </w:r>
          </w:p>
        </w:tc>
      </w:tr>
      <w:tr w14:paraId="6EC4A2F9">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4316" w:hRule="atLeast"/>
        </w:trPr>
        <w:tc>
          <w:tcPr>
            <w:tcW w:w="7459" w:type="dxa"/>
            <w:tcBorders>
              <w:top w:val="single" w:color="auto" w:sz="4" w:space="0"/>
              <w:bottom w:val="single" w:color="auto" w:sz="4" w:space="0"/>
            </w:tcBorders>
            <w:vAlign w:val="center"/>
          </w:tcPr>
          <w:p w14:paraId="01373BE4">
            <w:pPr>
              <w:overflowPunct w:val="0"/>
              <w:jc w:val="center"/>
              <w:rPr>
                <w:rFonts w:hint="default" w:ascii="Calibri" w:hAnsi="Calibri" w:eastAsia="楷体_GB2312" w:cs="Calibri"/>
                <w:lang w:eastAsia="zh-CN"/>
              </w:rPr>
            </w:pPr>
            <w:r>
              <w:rPr>
                <w:rFonts w:hint="default" w:ascii="Calibri" w:hAnsi="Calibri" w:eastAsia="楷体_GB2312" w:cs="Calibri"/>
                <w:lang w:eastAsia="zh-CN"/>
              </w:rPr>
              <w:drawing>
                <wp:inline distT="0" distB="0" distL="114300" distR="114300">
                  <wp:extent cx="4596765" cy="4540250"/>
                  <wp:effectExtent l="0" t="0" r="5715" b="1270"/>
                  <wp:docPr id="1" name="图片 1" descr="864441c3420f02e2c19b476f2eac2d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864441c3420f02e2c19b476f2eac2d0b"/>
                          <pic:cNvPicPr>
                            <a:picLocks noChangeAspect="1"/>
                          </pic:cNvPicPr>
                        </pic:nvPicPr>
                        <pic:blipFill>
                          <a:blip r:embed="rId20"/>
                          <a:stretch>
                            <a:fillRect/>
                          </a:stretch>
                        </pic:blipFill>
                        <pic:spPr>
                          <a:xfrm>
                            <a:off x="0" y="0"/>
                            <a:ext cx="4596765" cy="4540250"/>
                          </a:xfrm>
                          <a:prstGeom prst="rect">
                            <a:avLst/>
                          </a:prstGeom>
                        </pic:spPr>
                      </pic:pic>
                    </a:graphicData>
                  </a:graphic>
                </wp:inline>
              </w:drawing>
            </w:r>
          </w:p>
          <w:p w14:paraId="6705E24D">
            <w:pPr>
              <w:overflowPunct w:val="0"/>
              <w:rPr>
                <w:rFonts w:hint="default" w:ascii="Calibri" w:hAnsi="Calibri" w:eastAsia="楷体_GB2312" w:cs="Calibri"/>
                <w:sz w:val="10"/>
              </w:rPr>
            </w:pPr>
            <w:r>
              <w:rPr>
                <w:rFonts w:hint="default" w:ascii="Calibri" w:hAnsi="Calibri" w:eastAsia="楷体_GB2312" w:cs="Calibri"/>
              </w:rPr>
              <w:fldChar w:fldCharType="begin"/>
            </w:r>
            <w:r>
              <w:rPr>
                <w:rFonts w:hint="default" w:ascii="Calibri" w:hAnsi="Calibri" w:eastAsia="楷体_GB2312" w:cs="Calibri"/>
              </w:rPr>
              <w:instrText xml:space="preserve"> INCLUDEPICTURE "https://ir.eia.gov/ngs/ngs.gif" \* MERGEFORMATINET </w:instrText>
            </w:r>
            <w:r>
              <w:rPr>
                <w:rFonts w:hint="default" w:ascii="Calibri" w:hAnsi="Calibri" w:eastAsia="楷体_GB2312" w:cs="Calibri"/>
              </w:rPr>
              <w:fldChar w:fldCharType="end"/>
            </w:r>
          </w:p>
        </w:tc>
      </w:tr>
      <w:tr w14:paraId="049490FB">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7459" w:type="dxa"/>
            <w:tcBorders>
              <w:top w:val="single" w:color="auto" w:sz="4" w:space="0"/>
            </w:tcBorders>
          </w:tcPr>
          <w:p w14:paraId="621AA6D4">
            <w:pPr>
              <w:rPr>
                <w:rFonts w:hint="default" w:ascii="Calibri" w:hAnsi="Calibri" w:eastAsia="楷体_GB2312" w:cs="Calibri"/>
                <w:i/>
                <w:iCs/>
              </w:rPr>
            </w:pPr>
            <w:r>
              <w:rPr>
                <w:rFonts w:hint="default" w:ascii="Calibri" w:hAnsi="Calibri" w:eastAsia="楷体_GB2312" w:cs="Calibri"/>
                <w:i/>
                <w:iCs/>
              </w:rPr>
              <w:t>资料来源：</w:t>
            </w:r>
            <w:r>
              <w:rPr>
                <w:rFonts w:hint="default" w:ascii="Calibri" w:hAnsi="Calibri" w:eastAsia="楷体_GB2312" w:cs="Calibri"/>
                <w:i/>
                <w:iCs/>
                <w:lang w:val="zh-CN"/>
              </w:rPr>
              <w:t>IFind, HFI</w:t>
            </w:r>
          </w:p>
        </w:tc>
      </w:tr>
    </w:tbl>
    <w:p w14:paraId="6722154F">
      <w:pPr>
        <w:overflowPunct w:val="0"/>
        <w:ind w:left="3200" w:leftChars="2000"/>
        <w:jc w:val="both"/>
        <w:rPr>
          <w:rFonts w:hint="default" w:ascii="Calibri" w:hAnsi="Calibri" w:eastAsia="楷体_GB2312" w:cs="Calibri"/>
          <w:b/>
          <w:bCs/>
          <w:sz w:val="20"/>
          <w:szCs w:val="20"/>
          <w:lang w:val="en-US" w:eastAsia="zh-CN"/>
        </w:rPr>
      </w:pPr>
    </w:p>
    <w:p w14:paraId="29ED6F84">
      <w:pPr>
        <w:overflowPunct w:val="0"/>
        <w:ind w:left="3200" w:leftChars="2000"/>
        <w:jc w:val="both"/>
        <w:outlineLvl w:val="0"/>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6" w:name="_Toc965616693"/>
      <w:bookmarkStart w:id="7" w:name="_Toc31110"/>
      <w:r>
        <w:rPr>
          <w:rFonts w:hint="default" w:ascii="Calibri" w:hAnsi="Calibri" w:eastAsia="楷体_GB2312" w:cs="Calibri"/>
          <w:b/>
          <w:bCs/>
          <w:color w:val="1F497D" w:themeColor="text2"/>
          <w:sz w:val="24"/>
          <w:szCs w:val="24"/>
          <w:lang w:val="en-US" w:eastAsia="zh-CN"/>
          <w14:textFill>
            <w14:solidFill>
              <w14:schemeClr w14:val="tx2"/>
            </w14:solidFill>
          </w14:textFill>
        </w:rPr>
        <w:t>二、全球基建与建筑装备</w:t>
      </w:r>
      <w:bookmarkEnd w:id="6"/>
      <w:bookmarkEnd w:id="7"/>
      <w:bookmarkStart w:id="8" w:name="_Toc585838872"/>
    </w:p>
    <w:p w14:paraId="45C02EFF">
      <w:pPr>
        <w:overflowPunct w:val="0"/>
        <w:ind w:left="3200" w:leftChars="2000"/>
        <w:jc w:val="both"/>
        <w:outlineLvl w:val="1"/>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9" w:name="_Toc23405"/>
      <w:r>
        <w:rPr>
          <w:rFonts w:hint="default" w:ascii="Calibri" w:hAnsi="Calibri" w:eastAsia="楷体_GB2312" w:cs="Calibri"/>
          <w:b/>
          <w:bCs/>
          <w:color w:val="1F497D" w:themeColor="text2"/>
          <w:sz w:val="24"/>
          <w:szCs w:val="24"/>
          <w:lang w:val="en-US" w:eastAsia="zh-CN"/>
          <w14:textFill>
            <w14:solidFill>
              <w14:schemeClr w14:val="tx2"/>
            </w14:solidFill>
          </w14:textFill>
        </w:rPr>
        <w:fldChar w:fldCharType="begin"/>
      </w:r>
      <w:r>
        <w:rPr>
          <w:rFonts w:hint="default" w:ascii="Calibri" w:hAnsi="Calibri" w:eastAsia="楷体_GB2312" w:cs="Calibri"/>
          <w:b/>
          <w:bCs/>
          <w:color w:val="1F497D" w:themeColor="text2"/>
          <w:sz w:val="24"/>
          <w:szCs w:val="24"/>
          <w:lang w:val="en-US" w:eastAsia="zh-CN"/>
          <w14:textFill>
            <w14:solidFill>
              <w14:schemeClr w14:val="tx2"/>
            </w14:solidFill>
          </w14:textFill>
        </w:rPr>
        <w:instrText xml:space="preserve"> HYPERLINK \l "_Toc192787046" </w:instrText>
      </w:r>
      <w:r>
        <w:rPr>
          <w:rFonts w:hint="default" w:ascii="Calibri" w:hAnsi="Calibri" w:eastAsia="楷体_GB2312" w:cs="Calibri"/>
          <w:b/>
          <w:bCs/>
          <w:color w:val="1F497D" w:themeColor="text2"/>
          <w:sz w:val="24"/>
          <w:szCs w:val="24"/>
          <w:lang w:val="en-US" w:eastAsia="zh-CN"/>
          <w14:textFill>
            <w14:solidFill>
              <w14:schemeClr w14:val="tx2"/>
            </w14:solidFill>
          </w14:textFill>
        </w:rPr>
        <w:fldChar w:fldCharType="separate"/>
      </w:r>
      <w:r>
        <w:rPr>
          <w:rFonts w:hint="default" w:ascii="Calibri" w:hAnsi="Calibri" w:eastAsia="楷体_GB2312" w:cs="Calibri"/>
          <w:b/>
          <w:bCs/>
          <w:color w:val="1F497D" w:themeColor="text2"/>
          <w:sz w:val="24"/>
          <w:szCs w:val="24"/>
          <w:lang w:val="en-US" w:eastAsia="zh-CN"/>
          <w14:textFill>
            <w14:solidFill>
              <w14:schemeClr w14:val="tx2"/>
            </w14:solidFill>
          </w14:textFill>
        </w:rPr>
        <w:t>（一）数据中心</w:t>
      </w:r>
      <w:r>
        <w:rPr>
          <w:rFonts w:hint="default" w:ascii="Calibri" w:hAnsi="Calibri" w:eastAsia="楷体_GB2312" w:cs="Calibri"/>
          <w:b/>
          <w:bCs/>
          <w:color w:val="1F497D" w:themeColor="text2"/>
          <w:sz w:val="24"/>
          <w:szCs w:val="24"/>
          <w:lang w:val="en-US" w:eastAsia="zh-CN"/>
          <w14:textFill>
            <w14:solidFill>
              <w14:schemeClr w14:val="tx2"/>
            </w14:solidFill>
          </w14:textFill>
        </w:rPr>
        <w:fldChar w:fldCharType="end"/>
      </w:r>
      <w:bookmarkEnd w:id="8"/>
      <w:bookmarkEnd w:id="9"/>
    </w:p>
    <w:p w14:paraId="0746674E">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AI 基础设施进入“主权级”竞赛， Stargate 项目加速填补算力缺口。 本周，由 OpenAI、SoftBank 与 Oracle 牵头的 Stargate LLC 计划再次成为焦点。继 1 月份宣布的 5000 亿美元总投资框架后，最新消息显示该项目正利用政策绿灯加速在德克萨斯州和俄亥俄州的电力并网进程。与此同时，微软与 OpenAI 的合作关系在进入 2026 年后展现出新的平衡：双方在维持 Azure 独家托管协议的同时，已开始在能源获取和物理机房建设上各自独立布局，以应对日益严峻的电力供应短缺。</w:t>
      </w:r>
    </w:p>
    <w:p w14:paraId="0A853511">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云巨头投资重点转向“推理”与“效率”，液冷技术全面普及。 2026 年初的市场数据显示，全球数据中心物理基础设施（DCPI）市场正以双位数增长，预计到 2030 年将突破 800 亿美元。随着 NVIDIA 新一代架构全面取消风扇设计，直接液冷（DLC） 已成为本周新开工超大规模园区的默认配置。云服务商（AWS、Google、Microsoft）正在调整其资本开支结构，资金正从通用服务器更多地流向具备超高功率密度（单机柜 100kW 以上）的 AI 专属设施，并尝试通过在现场部署小型模块化反应堆（SMR）或天然气发电来绕过传统电网的交付周期限制。</w:t>
      </w:r>
    </w:p>
    <w:p w14:paraId="3B20BAD3">
      <w:pPr>
        <w:overflowPunct w:val="0"/>
        <w:ind w:left="3200" w:leftChars="2000"/>
        <w:jc w:val="both"/>
        <w:rPr>
          <w:rFonts w:hint="default" w:ascii="Calibri" w:hAnsi="Calibri" w:eastAsia="楷体_GB2312" w:cs="Calibri"/>
          <w:sz w:val="20"/>
          <w:szCs w:val="20"/>
          <w:lang w:val="en-US" w:eastAsia="zh-CN"/>
        </w:rPr>
      </w:pPr>
    </w:p>
    <w:tbl>
      <w:tblPr>
        <w:tblStyle w:val="27"/>
        <w:tblW w:w="7454" w:type="dxa"/>
        <w:tblInd w:w="3247"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fixed"/>
        <w:tblCellMar>
          <w:top w:w="0" w:type="dxa"/>
          <w:left w:w="0" w:type="dxa"/>
          <w:bottom w:w="0" w:type="dxa"/>
          <w:right w:w="0" w:type="dxa"/>
        </w:tblCellMar>
      </w:tblPr>
      <w:tblGrid>
        <w:gridCol w:w="7454"/>
      </w:tblGrid>
      <w:tr w14:paraId="36B1FAC0">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PrEx>
        <w:trPr>
          <w:trHeight w:val="3887" w:hRule="atLeast"/>
        </w:trPr>
        <w:tc>
          <w:tcPr>
            <w:tcW w:w="7454" w:type="dxa"/>
            <w:tcBorders>
              <w:bottom w:val="single" w:color="auto" w:sz="4" w:space="0"/>
            </w:tcBorders>
          </w:tcPr>
          <w:p w14:paraId="644D5BD4">
            <w:pPr>
              <w:overflowPunct w:val="0"/>
              <w:rPr>
                <w:rFonts w:hint="default" w:ascii="Calibri" w:hAnsi="Calibri" w:eastAsia="楷体_GB2312" w:cs="Calibri"/>
                <w:b/>
                <w:sz w:val="17"/>
              </w:rPr>
            </w:pPr>
            <w:r>
              <w:rPr>
                <w:rFonts w:hint="default" w:ascii="Calibri" w:hAnsi="Calibri" w:eastAsia="楷体_GB2312" w:cs="Calibri"/>
                <w:b/>
                <w:sz w:val="18"/>
                <w:szCs w:val="18"/>
              </w:rPr>
              <w:t>表2： 美国本周数据中心建设项目情况</w:t>
            </w:r>
            <w:r>
              <w:rPr>
                <w:rFonts w:hint="default" w:ascii="Calibri" w:hAnsi="Calibri" w:eastAsia="楷体_GB2312" w:cs="Calibri"/>
                <w:b/>
              </w:rPr>
              <w:drawing>
                <wp:inline distT="0" distB="0" distL="0" distR="0">
                  <wp:extent cx="4660900" cy="4545965"/>
                  <wp:effectExtent l="0" t="0" r="2540" b="10795"/>
                  <wp:docPr id="17033722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72299" name="图片 1"/>
                          <pic:cNvPicPr>
                            <a:picLocks noChangeAspect="1"/>
                          </pic:cNvPicPr>
                        </pic:nvPicPr>
                        <pic:blipFill>
                          <a:blip r:embed="rId21"/>
                          <a:stretch>
                            <a:fillRect/>
                          </a:stretch>
                        </pic:blipFill>
                        <pic:spPr>
                          <a:xfrm>
                            <a:off x="0" y="0"/>
                            <a:ext cx="4660900" cy="4545965"/>
                          </a:xfrm>
                          <a:prstGeom prst="rect">
                            <a:avLst/>
                          </a:prstGeom>
                        </pic:spPr>
                      </pic:pic>
                    </a:graphicData>
                  </a:graphic>
                </wp:inline>
              </w:drawing>
            </w:r>
          </w:p>
        </w:tc>
      </w:tr>
      <w:tr w14:paraId="06D48ABB">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519" w:hRule="atLeast"/>
        </w:trPr>
        <w:tc>
          <w:tcPr>
            <w:tcW w:w="7454" w:type="dxa"/>
            <w:tcBorders>
              <w:top w:val="single" w:color="auto" w:sz="4" w:space="0"/>
              <w:bottom w:val="nil"/>
            </w:tcBorders>
            <w:vAlign w:val="top"/>
          </w:tcPr>
          <w:p w14:paraId="6B285A80">
            <w:pPr>
              <w:overflowPunct w:val="0"/>
              <w:jc w:val="left"/>
              <w:rPr>
                <w:rFonts w:hint="default" w:ascii="Calibri" w:hAnsi="Calibri" w:eastAsia="楷体_GB2312" w:cs="Calibri"/>
                <w:sz w:val="10"/>
              </w:rPr>
            </w:pPr>
            <w:r>
              <w:rPr>
                <w:rFonts w:hint="default" w:ascii="Calibri" w:hAnsi="Calibri" w:eastAsia="楷体_GB2312" w:cs="Calibri"/>
              </w:rPr>
              <w:t>资料来源：HFI</w:t>
            </w:r>
            <w:r>
              <w:rPr>
                <w:rFonts w:hint="default" w:ascii="Calibri" w:hAnsi="Calibri" w:eastAsia="楷体_GB2312" w:cs="Calibri"/>
              </w:rPr>
              <w:fldChar w:fldCharType="begin"/>
            </w:r>
            <w:r>
              <w:rPr>
                <w:rFonts w:hint="default" w:ascii="Calibri" w:hAnsi="Calibri" w:eastAsia="楷体_GB2312" w:cs="Calibri"/>
              </w:rPr>
              <w:instrText xml:space="preserve"> INCLUDEPICTURE "https://ir.eia.gov/ngs/ngs.gif" \* MERGEFORMATINET </w:instrText>
            </w:r>
            <w:r>
              <w:rPr>
                <w:rFonts w:hint="default" w:ascii="Calibri" w:hAnsi="Calibri" w:eastAsia="楷体_GB2312" w:cs="Calibri"/>
              </w:rPr>
              <w:fldChar w:fldCharType="end"/>
            </w:r>
          </w:p>
        </w:tc>
      </w:tr>
    </w:tbl>
    <w:p w14:paraId="03AFC042">
      <w:pPr>
        <w:overflowPunct w:val="0"/>
        <w:ind w:left="3200" w:leftChars="2000"/>
        <w:jc w:val="both"/>
        <w:outlineLvl w:val="1"/>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10" w:name="_Toc2128883856"/>
    </w:p>
    <w:p w14:paraId="00B83949">
      <w:pPr>
        <w:overflowPunct w:val="0"/>
        <w:ind w:left="3200" w:leftChars="2000"/>
        <w:jc w:val="both"/>
        <w:outlineLvl w:val="1"/>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11" w:name="_Toc17424"/>
      <w:r>
        <w:rPr>
          <w:rFonts w:hint="default" w:ascii="Calibri" w:hAnsi="Calibri" w:eastAsia="楷体_GB2312" w:cs="Calibri"/>
          <w:b/>
          <w:bCs/>
          <w:color w:val="1F497D" w:themeColor="text2"/>
          <w:sz w:val="24"/>
          <w:szCs w:val="24"/>
          <w:lang w:val="en-US" w:eastAsia="zh-CN"/>
          <w14:textFill>
            <w14:solidFill>
              <w14:schemeClr w14:val="tx2"/>
            </w14:solidFill>
          </w14:textFill>
        </w:rPr>
        <w:fldChar w:fldCharType="begin"/>
      </w:r>
      <w:r>
        <w:rPr>
          <w:rFonts w:hint="default" w:ascii="Calibri" w:hAnsi="Calibri" w:eastAsia="楷体_GB2312" w:cs="Calibri"/>
          <w:b/>
          <w:bCs/>
          <w:color w:val="1F497D" w:themeColor="text2"/>
          <w:sz w:val="24"/>
          <w:szCs w:val="24"/>
          <w:lang w:val="en-US" w:eastAsia="zh-CN"/>
          <w14:textFill>
            <w14:solidFill>
              <w14:schemeClr w14:val="tx2"/>
            </w14:solidFill>
          </w14:textFill>
        </w:rPr>
        <w:instrText xml:space="preserve"> HYPERLINK \l "_Toc192787047" </w:instrText>
      </w:r>
      <w:r>
        <w:rPr>
          <w:rFonts w:hint="default" w:ascii="Calibri" w:hAnsi="Calibri" w:eastAsia="楷体_GB2312" w:cs="Calibri"/>
          <w:b/>
          <w:bCs/>
          <w:color w:val="1F497D" w:themeColor="text2"/>
          <w:sz w:val="24"/>
          <w:szCs w:val="24"/>
          <w:lang w:val="en-US" w:eastAsia="zh-CN"/>
          <w14:textFill>
            <w14:solidFill>
              <w14:schemeClr w14:val="tx2"/>
            </w14:solidFill>
          </w14:textFill>
        </w:rPr>
        <w:fldChar w:fldCharType="separate"/>
      </w:r>
      <w:r>
        <w:rPr>
          <w:rFonts w:hint="default" w:ascii="Calibri" w:hAnsi="Calibri" w:eastAsia="楷体_GB2312" w:cs="Calibri"/>
          <w:b/>
          <w:bCs/>
          <w:color w:val="1F497D" w:themeColor="text2"/>
          <w:sz w:val="24"/>
          <w:szCs w:val="24"/>
          <w:lang w:val="en-US" w:eastAsia="zh-CN"/>
          <w14:textFill>
            <w14:solidFill>
              <w14:schemeClr w14:val="tx2"/>
            </w14:solidFill>
          </w14:textFill>
        </w:rPr>
        <w:t>（二）能源建设</w:t>
      </w:r>
      <w:r>
        <w:rPr>
          <w:rFonts w:hint="default" w:ascii="Calibri" w:hAnsi="Calibri" w:eastAsia="楷体_GB2312" w:cs="Calibri"/>
          <w:b/>
          <w:bCs/>
          <w:color w:val="1F497D" w:themeColor="text2"/>
          <w:sz w:val="24"/>
          <w:szCs w:val="24"/>
          <w:lang w:val="en-US" w:eastAsia="zh-CN"/>
          <w14:textFill>
            <w14:solidFill>
              <w14:schemeClr w14:val="tx2"/>
            </w14:solidFill>
          </w14:textFill>
        </w:rPr>
        <w:fldChar w:fldCharType="end"/>
      </w:r>
      <w:bookmarkEnd w:id="10"/>
      <w:bookmarkEnd w:id="11"/>
    </w:p>
    <w:p w14:paraId="1F7A0EDC">
      <w:pPr>
        <w:overflowPunct w:val="0"/>
        <w:ind w:left="32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美国联邦法院裁定恢复多个被叫停的海上风电项目施工。</w:t>
      </w:r>
      <w:r>
        <w:rPr>
          <w:rFonts w:hint="default" w:ascii="Calibri" w:hAnsi="Calibri" w:eastAsia="楷体_GB2312" w:cs="Calibri"/>
          <w:sz w:val="20"/>
          <w:szCs w:val="20"/>
          <w:lang w:val="en-US" w:eastAsia="zh-CN"/>
        </w:rPr>
        <w:t xml:space="preserve"> 美国哥伦比亚特区联邦地区法院于2月初先后对Empire Wind（2GW）和Revolution Wind（700MW）项目授予初步禁制令，允许其恢复施工活动。此前，上述项目因美国新一届政府的行政命令而在2025年底处于停工状态。法院的这一裁决为受政策波动影响的美国海上风电行业注入了确定性，有助于保障纽约等地的清洁电力供应目标。</w:t>
      </w:r>
    </w:p>
    <w:p w14:paraId="02E450DE">
      <w:pPr>
        <w:overflowPunct w:val="0"/>
        <w:ind w:left="3200"/>
        <w:jc w:val="both"/>
        <w:rPr>
          <w:rFonts w:hint="default" w:ascii="Calibri" w:hAnsi="Calibri" w:eastAsia="楷体_GB2312" w:cs="Calibri"/>
          <w:sz w:val="20"/>
          <w:szCs w:val="20"/>
          <w:lang w:val="en-US" w:eastAsia="zh-CN"/>
        </w:rPr>
      </w:pPr>
    </w:p>
    <w:p w14:paraId="7058E53F">
      <w:pPr>
        <w:overflowPunct w:val="0"/>
        <w:ind w:left="32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中国明确电网侧独立新型储能容量电价机制。</w:t>
      </w:r>
      <w:r>
        <w:rPr>
          <w:rFonts w:hint="default" w:ascii="Calibri" w:hAnsi="Calibri" w:eastAsia="楷体_GB2312" w:cs="Calibri"/>
          <w:sz w:val="20"/>
          <w:szCs w:val="20"/>
          <w:lang w:val="en-US" w:eastAsia="zh-CN"/>
        </w:rPr>
        <w:t xml:space="preserve"> 国家发展改革委与国家能源局联合发布《关于完善发电侧容量电价机制的通知》，正式将电网侧独立新型储能纳入容量电价补偿范围。新规明确了根据“满功率连续放电时长”进行顶峰能力折算的计算方法，旨在解决储能电站单一收益模式下的盈利难题。</w:t>
      </w:r>
    </w:p>
    <w:p w14:paraId="0E58DAB8">
      <w:pPr>
        <w:overflowPunct w:val="0"/>
        <w:ind w:left="32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全球首个628Ah超大型电池储能电站投入运营并获海外订单。</w:t>
      </w:r>
      <w:r>
        <w:rPr>
          <w:rFonts w:hint="default" w:ascii="Calibri" w:hAnsi="Calibri" w:eastAsia="楷体_GB2312" w:cs="Calibri"/>
          <w:sz w:val="20"/>
          <w:szCs w:val="20"/>
          <w:lang w:val="en-US" w:eastAsia="zh-CN"/>
        </w:rPr>
        <w:t>亿纬锂能（EVE Energy）规模化应用628Ah大电池的400MWh电站正式并网。此外，在2月7日，亿纬锂能与合作伙伴签署合同，将为其“Mr. Giant”储能系统提供技术支持，建设吉隆坡国际机场（KLIA）36MWh的光伏储能项目。</w:t>
      </w:r>
    </w:p>
    <w:p w14:paraId="26DE5DA5">
      <w:pPr>
        <w:overflowPunct w:val="0"/>
        <w:ind w:left="3200"/>
        <w:jc w:val="both"/>
        <w:rPr>
          <w:rFonts w:hint="default" w:ascii="Calibri" w:hAnsi="Calibri" w:eastAsia="楷体_GB2312" w:cs="Calibri"/>
          <w:sz w:val="20"/>
          <w:szCs w:val="20"/>
          <w:lang w:val="en-US" w:eastAsia="zh-CN"/>
        </w:rPr>
      </w:pPr>
    </w:p>
    <w:p w14:paraId="4225E745">
      <w:pPr>
        <w:overflowPunct w:val="0"/>
        <w:ind w:left="3200"/>
        <w:jc w:val="both"/>
        <w:rPr>
          <w:rFonts w:hint="default" w:ascii="Calibri" w:hAnsi="Calibri" w:eastAsia="楷体_GB2312" w:cs="Calibri"/>
          <w:lang w:eastAsia="zh-CN"/>
        </w:rPr>
      </w:pPr>
      <w:r>
        <w:rPr>
          <w:rFonts w:hint="default" w:ascii="Calibri" w:hAnsi="Calibri" w:eastAsia="楷体_GB2312" w:cs="Calibri"/>
          <w:b/>
          <w:bCs/>
          <w:sz w:val="20"/>
          <w:szCs w:val="20"/>
          <w:lang w:val="en-US" w:eastAsia="zh-CN"/>
        </w:rPr>
        <w:t xml:space="preserve">印度2026财年预算拨款22亿美元支持碳捕集与可再生能源建设。 </w:t>
      </w:r>
      <w:r>
        <w:rPr>
          <w:rFonts w:hint="default" w:ascii="Calibri" w:hAnsi="Calibri" w:eastAsia="楷体_GB2312" w:cs="Calibri"/>
          <w:sz w:val="20"/>
          <w:szCs w:val="20"/>
          <w:lang w:val="en-US" w:eastAsia="zh-CN"/>
        </w:rPr>
        <w:t>印度政府发布的 Union Budget 2026-27 中设立了约22亿美元（2000亿卢比）的专项基金用于CCUS（碳捕集、利用与封存）。预算还包括对锂电池制造设备免征关税，以及支持建设100GW核电长远目标的政策引导。</w:t>
      </w:r>
    </w:p>
    <w:p w14:paraId="2F390E82">
      <w:pPr>
        <w:overflowPunct w:val="0"/>
        <w:ind w:left="3200"/>
        <w:jc w:val="both"/>
        <w:rPr>
          <w:rFonts w:hint="default" w:ascii="Calibri" w:hAnsi="Calibri" w:eastAsia="楷体_GB2312" w:cs="Calibri"/>
          <w:lang w:eastAsia="zh-CN"/>
        </w:rPr>
      </w:pPr>
    </w:p>
    <w:p w14:paraId="48094D32">
      <w:pPr>
        <w:overflowPunct w:val="0"/>
        <w:ind w:left="3200" w:leftChars="2000"/>
        <w:jc w:val="both"/>
        <w:outlineLvl w:val="1"/>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12" w:name="_Toc19474"/>
      <w:r>
        <w:rPr>
          <w:rFonts w:hint="default" w:ascii="Calibri" w:hAnsi="Calibri" w:eastAsia="楷体_GB2312" w:cs="Calibri"/>
          <w:b/>
          <w:bCs/>
          <w:color w:val="1F497D" w:themeColor="text2"/>
          <w:sz w:val="24"/>
          <w:szCs w:val="24"/>
          <w:lang w:val="en-US" w:eastAsia="zh-CN"/>
          <w14:textFill>
            <w14:solidFill>
              <w14:schemeClr w14:val="tx2"/>
            </w14:solidFill>
          </w14:textFill>
        </w:rPr>
        <w:t>（三）</w:t>
      </w:r>
      <w:r>
        <w:rPr>
          <w:rFonts w:hint="default" w:ascii="Calibri" w:hAnsi="Calibri" w:eastAsia="楷体_GB2312" w:cs="Calibri"/>
        </w:rPr>
        <w:fldChar w:fldCharType="begin"/>
      </w:r>
      <w:r>
        <w:rPr>
          <w:rFonts w:hint="default" w:ascii="Calibri" w:hAnsi="Calibri" w:eastAsia="楷体_GB2312" w:cs="Calibri"/>
        </w:rPr>
        <w:instrText xml:space="preserve"> HYPERLINK \l "_Toc192787046" </w:instrText>
      </w:r>
      <w:r>
        <w:rPr>
          <w:rFonts w:hint="default" w:ascii="Calibri" w:hAnsi="Calibri" w:eastAsia="楷体_GB2312" w:cs="Calibri"/>
        </w:rPr>
        <w:fldChar w:fldCharType="separate"/>
      </w:r>
      <w:r>
        <w:rPr>
          <w:rFonts w:hint="default" w:ascii="Calibri" w:hAnsi="Calibri" w:eastAsia="楷体_GB2312" w:cs="Calibri"/>
          <w:b/>
          <w:bCs/>
          <w:color w:val="1F497D" w:themeColor="text2"/>
          <w:sz w:val="24"/>
          <w:szCs w:val="24"/>
          <w:lang w:val="en-US" w:eastAsia="zh-CN"/>
          <w14:textFill>
            <w14:solidFill>
              <w14:schemeClr w14:val="tx2"/>
            </w14:solidFill>
          </w14:textFill>
        </w:rPr>
        <w:t>SMR</w:t>
      </w:r>
      <w:r>
        <w:rPr>
          <w:rFonts w:hint="default" w:ascii="Calibri" w:hAnsi="Calibri" w:eastAsia="楷体_GB2312" w:cs="Calibri"/>
          <w:b/>
          <w:bCs/>
          <w:color w:val="1F497D" w:themeColor="text2"/>
          <w:sz w:val="24"/>
          <w:szCs w:val="24"/>
          <w:lang w:val="en-US" w:eastAsia="zh-CN"/>
          <w14:textFill>
            <w14:solidFill>
              <w14:schemeClr w14:val="tx2"/>
            </w14:solidFill>
          </w14:textFill>
        </w:rPr>
        <w:fldChar w:fldCharType="end"/>
      </w:r>
      <w:r>
        <w:rPr>
          <w:rFonts w:hint="default" w:ascii="Calibri" w:hAnsi="Calibri" w:eastAsia="楷体_GB2312" w:cs="Calibri"/>
          <w:b/>
          <w:bCs/>
          <w:color w:val="1F497D" w:themeColor="text2"/>
          <w:sz w:val="24"/>
          <w:szCs w:val="24"/>
          <w:lang w:val="en-US" w:eastAsia="zh-CN"/>
          <w14:textFill>
            <w14:solidFill>
              <w14:schemeClr w14:val="tx2"/>
            </w14:solidFill>
          </w14:textFill>
        </w:rPr>
        <w:t>装备</w:t>
      </w:r>
      <w:bookmarkEnd w:id="12"/>
    </w:p>
    <w:p w14:paraId="0F93FDAA">
      <w:pPr>
        <w:overflowPunct w:val="0"/>
        <w:ind w:left="32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AI 数据中心能源需求爆发，SMR成为2030年后最佳供电选择。</w:t>
      </w:r>
      <w:r>
        <w:rPr>
          <w:rFonts w:hint="default" w:ascii="Calibri" w:hAnsi="Calibri" w:eastAsia="楷体_GB2312" w:cs="Calibri"/>
          <w:sz w:val="20"/>
          <w:szCs w:val="20"/>
          <w:lang w:val="en-US" w:eastAsia="zh-CN"/>
        </w:rPr>
        <w:t>核电因其环保、高稳定性的特点是目前AI数据中心最为追捧的电力选择，而SMR因其更加灵活、更高的安全性、更容易共址的特点将成为2030年大规模商用后AI数据中心的最佳供电选择。根据ResearchAndMarkerts的预测，全球SMR市场规模将从2024年的1.594亿美元跃升至2035年的51.7亿美元，年均复合增长率高达42.31%。这一爆发式增长的核心驱动力来自AI数据中心的能源需求激增。全球科技巨头正积极布局，谷歌、甲骨文、AWS、Switch等公司在过去12个月内与SMR签署了长期供电协议。2026年1月，OKLO与Meta签署协议，支持在俄亥俄州建设1.2 GW核电园区，主要为AI数据中心提供清洁电力。</w:t>
      </w:r>
    </w:p>
    <w:p w14:paraId="438A7ED3">
      <w:pPr>
        <w:overflowPunct w:val="0"/>
        <w:ind w:left="3200"/>
        <w:jc w:val="both"/>
        <w:rPr>
          <w:rFonts w:hint="default" w:ascii="Calibri" w:hAnsi="Calibri" w:eastAsia="楷体_GB2312" w:cs="Calibri"/>
          <w:b/>
          <w:bCs/>
          <w:sz w:val="28"/>
          <w:szCs w:val="28"/>
          <w:lang w:val="en-US" w:eastAsia="zh-CN"/>
        </w:rPr>
      </w:pPr>
    </w:p>
    <w:p w14:paraId="662E2578">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美国政府政策加速推动，核能监管体系优化决策体系，共同加速先进反应堆和小型模块化反应堆（SMR）等核能创新产业商业化的发展。</w:t>
      </w:r>
      <w:r>
        <w:rPr>
          <w:rFonts w:hint="default" w:ascii="Calibri" w:hAnsi="Calibri" w:eastAsia="楷体_GB2312" w:cs="Calibri"/>
          <w:sz w:val="20"/>
          <w:szCs w:val="20"/>
          <w:lang w:val="en-US" w:eastAsia="zh-CN"/>
        </w:rPr>
        <w:t>2026年1月，美国能源部拨款27亿美元支持国内铀浓缩，进一步完善核燃料供应链，为SMR项目落地提供关键支撑。2026年2月，美国核管理委员会（NRC）宣布了一项重大重组计划，旨在通过优化决策流程、整合职能部门，加快新型核技术的许可和部署速度，以更好地配合国家能源战略目标。NRC预计将在未来60天内公布新的组织架构图和变革管理方案，包括为反应堆安全项目任命关键负责人，并计划在2026年9月底前全面实施重组计划。此次重组是美国核能监管体系适应新技术发展、提升行政效能的重要一步，特别是在先进反应堆和小型模块化反应堆(SMR)加速发展的背景下，更高效的许可流程将有助于推动核能产业的创新与安全发展。</w:t>
      </w:r>
    </w:p>
    <w:p w14:paraId="1A9B10DC">
      <w:pPr>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br w:type="page"/>
      </w:r>
    </w:p>
    <w:tbl>
      <w:tblPr>
        <w:tblStyle w:val="27"/>
        <w:tblW w:w="9914" w:type="dxa"/>
        <w:tblInd w:w="647"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fixed"/>
        <w:tblCellMar>
          <w:top w:w="0" w:type="dxa"/>
          <w:left w:w="0" w:type="dxa"/>
          <w:bottom w:w="0" w:type="dxa"/>
          <w:right w:w="0" w:type="dxa"/>
        </w:tblCellMar>
      </w:tblPr>
      <w:tblGrid>
        <w:gridCol w:w="9914"/>
      </w:tblGrid>
      <w:tr w14:paraId="37408FC6">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9914" w:type="dxa"/>
            <w:tcBorders>
              <w:bottom w:val="single" w:color="auto" w:sz="4" w:space="0"/>
            </w:tcBorders>
          </w:tcPr>
          <w:p w14:paraId="6E14A5A4">
            <w:pPr>
              <w:overflowPunct w:val="0"/>
              <w:rPr>
                <w:rFonts w:hint="default" w:ascii="Calibri" w:hAnsi="Calibri" w:eastAsia="楷体_GB2312" w:cs="Calibri"/>
                <w:b/>
                <w:sz w:val="18"/>
                <w:szCs w:val="20"/>
              </w:rPr>
            </w:pPr>
            <w:r>
              <w:rPr>
                <w:rFonts w:hint="default" w:ascii="Calibri" w:hAnsi="Calibri" w:eastAsia="楷体_GB2312" w:cs="Calibri"/>
                <w:b/>
                <w:sz w:val="18"/>
                <w:szCs w:val="18"/>
              </w:rPr>
              <w:t>表</w:t>
            </w:r>
            <w:r>
              <w:rPr>
                <w:rFonts w:hint="eastAsia" w:eastAsia="楷体_GB2312" w:cs="Calibri"/>
                <w:b/>
                <w:sz w:val="18"/>
                <w:szCs w:val="18"/>
                <w:lang w:val="en-US" w:eastAsia="zh-CN"/>
              </w:rPr>
              <w:t>3</w:t>
            </w:r>
            <w:r>
              <w:rPr>
                <w:rFonts w:hint="default" w:ascii="Calibri" w:hAnsi="Calibri" w:eastAsia="楷体_GB2312" w:cs="Calibri"/>
                <w:b/>
                <w:sz w:val="18"/>
                <w:szCs w:val="18"/>
              </w:rPr>
              <w:t>： SMR</w:t>
            </w:r>
            <w:r>
              <w:rPr>
                <w:rFonts w:hint="default" w:ascii="Calibri" w:hAnsi="Calibri" w:eastAsia="楷体_GB2312" w:cs="Calibri"/>
                <w:b/>
                <w:sz w:val="18"/>
                <w:szCs w:val="18"/>
                <w:lang w:val="en-US" w:eastAsia="zh-CN"/>
              </w:rPr>
              <w:t>投资情况及行业动态</w:t>
            </w:r>
          </w:p>
        </w:tc>
      </w:tr>
      <w:tr w14:paraId="78B95BAA">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1142" w:hRule="atLeast"/>
        </w:trPr>
        <w:tc>
          <w:tcPr>
            <w:tcW w:w="9914" w:type="dxa"/>
            <w:tcBorders>
              <w:top w:val="single" w:color="auto" w:sz="4" w:space="0"/>
              <w:bottom w:val="single" w:color="auto" w:sz="4" w:space="0"/>
            </w:tcBorders>
            <w:vAlign w:val="center"/>
          </w:tcPr>
          <w:tbl>
            <w:tblPr>
              <w:tblStyle w:val="26"/>
              <w:tblW w:w="9706" w:type="dxa"/>
              <w:tblInd w:w="0" w:type="dxa"/>
              <w:tblLayout w:type="fixed"/>
              <w:tblCellMar>
                <w:top w:w="0" w:type="dxa"/>
                <w:left w:w="108" w:type="dxa"/>
                <w:bottom w:w="0" w:type="dxa"/>
                <w:right w:w="108" w:type="dxa"/>
              </w:tblCellMar>
            </w:tblPr>
            <w:tblGrid>
              <w:gridCol w:w="1149"/>
              <w:gridCol w:w="8557"/>
            </w:tblGrid>
            <w:tr w14:paraId="6D47B000">
              <w:tblPrEx>
                <w:tblCellMar>
                  <w:top w:w="0" w:type="dxa"/>
                  <w:left w:w="108" w:type="dxa"/>
                  <w:bottom w:w="0" w:type="dxa"/>
                  <w:right w:w="108" w:type="dxa"/>
                </w:tblCellMar>
              </w:tblPrEx>
              <w:trPr>
                <w:trHeight w:val="248" w:hRule="atLeast"/>
              </w:trPr>
              <w:tc>
                <w:tcPr>
                  <w:tcW w:w="1149" w:type="dxa"/>
                  <w:tcBorders>
                    <w:top w:val="nil"/>
                    <w:left w:val="nil"/>
                    <w:bottom w:val="single" w:color="auto" w:sz="4" w:space="0"/>
                    <w:right w:val="nil"/>
                  </w:tcBorders>
                  <w:shd w:val="clear" w:color="000000" w:fill="002060"/>
                  <w:noWrap/>
                  <w:vAlign w:val="center"/>
                </w:tcPr>
                <w:p w14:paraId="4EBA8D19">
                  <w:pPr>
                    <w:jc w:val="center"/>
                    <w:rPr>
                      <w:rFonts w:hint="default" w:ascii="Calibri" w:hAnsi="Calibri" w:eastAsia="楷体_GB2312" w:cs="Calibri"/>
                      <w:b/>
                      <w:bCs/>
                      <w:color w:val="FFFFFF"/>
                      <w:sz w:val="18"/>
                      <w:szCs w:val="18"/>
                    </w:rPr>
                  </w:pPr>
                  <w:r>
                    <w:rPr>
                      <w:rFonts w:hint="default" w:ascii="Calibri" w:hAnsi="Calibri" w:eastAsia="楷体_GB2312" w:cs="Calibri"/>
                      <w:b/>
                      <w:bCs/>
                      <w:color w:val="FFFFFF"/>
                      <w:sz w:val="18"/>
                      <w:szCs w:val="18"/>
                    </w:rPr>
                    <w:t>日期</w:t>
                  </w:r>
                </w:p>
              </w:tc>
              <w:tc>
                <w:tcPr>
                  <w:tcW w:w="8557" w:type="dxa"/>
                  <w:tcBorders>
                    <w:top w:val="nil"/>
                    <w:left w:val="nil"/>
                    <w:bottom w:val="single" w:color="auto" w:sz="4" w:space="0"/>
                    <w:right w:val="nil"/>
                  </w:tcBorders>
                  <w:shd w:val="clear" w:color="000000" w:fill="002060"/>
                  <w:noWrap/>
                  <w:vAlign w:val="center"/>
                </w:tcPr>
                <w:p w14:paraId="0C539E70">
                  <w:pPr>
                    <w:jc w:val="center"/>
                    <w:rPr>
                      <w:rFonts w:hint="default" w:ascii="Calibri" w:hAnsi="Calibri" w:eastAsia="楷体_GB2312" w:cs="Calibri"/>
                      <w:b/>
                      <w:bCs/>
                      <w:color w:val="FFFFFF"/>
                      <w:sz w:val="18"/>
                      <w:szCs w:val="18"/>
                    </w:rPr>
                  </w:pPr>
                  <w:r>
                    <w:rPr>
                      <w:rFonts w:hint="default" w:ascii="Calibri" w:hAnsi="Calibri" w:eastAsia="楷体_GB2312" w:cs="Calibri"/>
                      <w:b/>
                      <w:bCs/>
                      <w:color w:val="FFFFFF"/>
                      <w:sz w:val="18"/>
                      <w:szCs w:val="18"/>
                    </w:rPr>
                    <w:t>简介</w:t>
                  </w:r>
                </w:p>
              </w:tc>
            </w:tr>
            <w:tr w14:paraId="60B32D05">
              <w:tblPrEx>
                <w:tblCellMar>
                  <w:top w:w="0" w:type="dxa"/>
                  <w:left w:w="108" w:type="dxa"/>
                  <w:bottom w:w="0" w:type="dxa"/>
                  <w:right w:w="108" w:type="dxa"/>
                </w:tblCellMar>
              </w:tblPrEx>
              <w:trPr>
                <w:trHeight w:val="248" w:hRule="atLeast"/>
              </w:trPr>
              <w:tc>
                <w:tcPr>
                  <w:tcW w:w="1149" w:type="dxa"/>
                  <w:tcBorders>
                    <w:top w:val="single" w:color="auto" w:sz="4" w:space="0"/>
                    <w:left w:val="single" w:color="auto" w:sz="4" w:space="0"/>
                    <w:bottom w:val="single" w:color="auto" w:sz="4" w:space="0"/>
                    <w:right w:val="single" w:color="auto" w:sz="4" w:space="0"/>
                  </w:tcBorders>
                  <w:shd w:val="clear" w:color="000000" w:fill="auto"/>
                  <w:noWrap/>
                  <w:vAlign w:val="center"/>
                </w:tcPr>
                <w:p w14:paraId="74F1C6BF">
                  <w:pPr>
                    <w:jc w:val="center"/>
                    <w:rPr>
                      <w:rFonts w:hint="default" w:ascii="Calibri" w:hAnsi="Calibri" w:eastAsia="楷体_GB2312" w:cs="Calibri"/>
                      <w:color w:val="000000"/>
                    </w:rPr>
                  </w:pPr>
                  <w:r>
                    <w:rPr>
                      <w:rFonts w:hint="default" w:ascii="Calibri" w:hAnsi="Calibri" w:eastAsia="楷体_GB2312" w:cs="Calibri"/>
                      <w:color w:val="000000"/>
                      <w:lang w:val="en-US" w:eastAsia="zh-CN"/>
                    </w:rPr>
                    <w:t>2026-02-02</w:t>
                  </w:r>
                </w:p>
              </w:tc>
              <w:tc>
                <w:tcPr>
                  <w:tcW w:w="8557" w:type="dxa"/>
                  <w:tcBorders>
                    <w:top w:val="single" w:color="auto" w:sz="4" w:space="0"/>
                    <w:left w:val="single" w:color="auto" w:sz="4" w:space="0"/>
                    <w:bottom w:val="single" w:color="auto" w:sz="4" w:space="0"/>
                    <w:right w:val="single" w:color="auto" w:sz="4" w:space="0"/>
                  </w:tcBorders>
                  <w:shd w:val="clear" w:color="000000" w:fill="auto"/>
                  <w:noWrap/>
                  <w:vAlign w:val="center"/>
                </w:tcPr>
                <w:p w14:paraId="4F42ACAD">
                  <w:pPr>
                    <w:rPr>
                      <w:rFonts w:hint="default" w:ascii="Calibri" w:hAnsi="Calibri" w:eastAsia="楷体_GB2312" w:cs="Calibri"/>
                      <w:color w:val="000000"/>
                    </w:rPr>
                  </w:pPr>
                  <w:r>
                    <w:rPr>
                      <w:rFonts w:hint="default" w:ascii="Calibri" w:hAnsi="Calibri" w:eastAsia="楷体_GB2312" w:cs="Calibri"/>
                      <w:color w:val="000000"/>
                    </w:rPr>
                    <w:t>由罗马尼亚国家核电公司Nuclearelectrica与美国NuScale Power合资成立的项目公司RoPower Nuclear将在2月就小型模块化反应堆SMR项目做出投资决定，推进东欧地区核能发展。项目计划建设六座NuScale反应堆，总装机容量达462MW，将为罗马尼亚能源结构转型提供重要支撑。根据项目规划，罗马尼亚有望成为欧洲首个实施小型模块化反应堆技术的国家，首个反应堆预计将于2027-2028年间投入商业运营。</w:t>
                  </w:r>
                </w:p>
              </w:tc>
            </w:tr>
            <w:tr w14:paraId="08910484">
              <w:tblPrEx>
                <w:tblCellMar>
                  <w:top w:w="0" w:type="dxa"/>
                  <w:left w:w="108" w:type="dxa"/>
                  <w:bottom w:w="0" w:type="dxa"/>
                  <w:right w:w="108" w:type="dxa"/>
                </w:tblCellMar>
              </w:tblPrEx>
              <w:trPr>
                <w:trHeight w:val="248" w:hRule="atLeast"/>
              </w:trPr>
              <w:tc>
                <w:tcPr>
                  <w:tcW w:w="1149" w:type="dxa"/>
                  <w:tcBorders>
                    <w:top w:val="single" w:color="auto" w:sz="4" w:space="0"/>
                    <w:left w:val="single" w:color="auto" w:sz="4" w:space="0"/>
                    <w:bottom w:val="single" w:color="auto" w:sz="4" w:space="0"/>
                    <w:right w:val="single" w:color="auto" w:sz="4" w:space="0"/>
                  </w:tcBorders>
                  <w:shd w:val="clear" w:color="000000" w:fill="auto"/>
                  <w:noWrap/>
                  <w:vAlign w:val="center"/>
                </w:tcPr>
                <w:p w14:paraId="6C842E2E">
                  <w:pPr>
                    <w:jc w:val="center"/>
                    <w:rPr>
                      <w:rFonts w:hint="default" w:ascii="Calibri" w:hAnsi="Calibri" w:eastAsia="楷体_GB2312" w:cs="Calibri"/>
                      <w:color w:val="000000"/>
                    </w:rPr>
                  </w:pPr>
                  <w:r>
                    <w:rPr>
                      <w:rFonts w:hint="default" w:ascii="Calibri" w:hAnsi="Calibri" w:eastAsia="楷体_GB2312" w:cs="Calibri"/>
                      <w:color w:val="000000"/>
                      <w:lang w:val="en-US" w:eastAsia="zh-CN"/>
                    </w:rPr>
                    <w:t>2026-01-09</w:t>
                  </w:r>
                </w:p>
              </w:tc>
              <w:tc>
                <w:tcPr>
                  <w:tcW w:w="8557" w:type="dxa"/>
                  <w:tcBorders>
                    <w:top w:val="single" w:color="auto" w:sz="4" w:space="0"/>
                    <w:left w:val="single" w:color="auto" w:sz="4" w:space="0"/>
                    <w:bottom w:val="single" w:color="auto" w:sz="4" w:space="0"/>
                    <w:right w:val="single" w:color="auto" w:sz="4" w:space="0"/>
                  </w:tcBorders>
                  <w:shd w:val="clear" w:color="000000" w:fill="auto"/>
                  <w:noWrap/>
                  <w:vAlign w:val="center"/>
                </w:tcPr>
                <w:p w14:paraId="39530425">
                  <w:pPr>
                    <w:rPr>
                      <w:rFonts w:hint="default" w:ascii="Calibri" w:hAnsi="Calibri" w:eastAsia="楷体_GB2312" w:cs="Calibri"/>
                      <w:color w:val="000000"/>
                    </w:rPr>
                  </w:pPr>
                  <w:r>
                    <w:rPr>
                      <w:rFonts w:hint="default" w:ascii="Calibri" w:hAnsi="Calibri" w:eastAsia="楷体_GB2312" w:cs="Calibri"/>
                      <w:color w:val="000000"/>
                    </w:rPr>
                    <w:t>Meta宣布与三家核电供应商达成协议，分别是Oklo、Vistra和TerraPower。Meta将从Vistra位于俄亥俄州的Perry核电站和Davis-Besse核电站，以及宾夕法尼亚州的Beaver Valley核电站购电。此外，Meta还将协助开发Oklo和TerraPower计划建设的小型模块化反应堆（SMR）项目</w:t>
                  </w:r>
                </w:p>
              </w:tc>
            </w:tr>
            <w:tr w14:paraId="73C96A85">
              <w:tblPrEx>
                <w:tblCellMar>
                  <w:top w:w="0" w:type="dxa"/>
                  <w:left w:w="108" w:type="dxa"/>
                  <w:bottom w:w="0" w:type="dxa"/>
                  <w:right w:w="108" w:type="dxa"/>
                </w:tblCellMar>
              </w:tblPrEx>
              <w:trPr>
                <w:trHeight w:val="248" w:hRule="atLeast"/>
              </w:trPr>
              <w:tc>
                <w:tcPr>
                  <w:tcW w:w="1149" w:type="dxa"/>
                  <w:tcBorders>
                    <w:top w:val="single" w:color="auto" w:sz="4" w:space="0"/>
                    <w:left w:val="single" w:color="auto" w:sz="4" w:space="0"/>
                    <w:bottom w:val="single" w:color="auto" w:sz="4" w:space="0"/>
                    <w:right w:val="single" w:color="auto" w:sz="4" w:space="0"/>
                  </w:tcBorders>
                  <w:shd w:val="clear" w:color="000000" w:fill="auto"/>
                  <w:noWrap/>
                  <w:vAlign w:val="center"/>
                </w:tcPr>
                <w:p w14:paraId="7C3BAFA3">
                  <w:pPr>
                    <w:jc w:val="center"/>
                    <w:rPr>
                      <w:rFonts w:hint="default" w:ascii="Calibri" w:hAnsi="Calibri" w:eastAsia="楷体_GB2312" w:cs="Calibri"/>
                      <w:color w:val="000000"/>
                    </w:rPr>
                  </w:pPr>
                  <w:r>
                    <w:rPr>
                      <w:rFonts w:hint="default" w:ascii="Calibri" w:hAnsi="Calibri" w:eastAsia="楷体_GB2312" w:cs="Calibri"/>
                      <w:color w:val="000000"/>
                      <w:lang w:val="en-US" w:eastAsia="zh-CN"/>
                    </w:rPr>
                    <w:t>2025-12-02</w:t>
                  </w:r>
                </w:p>
              </w:tc>
              <w:tc>
                <w:tcPr>
                  <w:tcW w:w="8557" w:type="dxa"/>
                  <w:tcBorders>
                    <w:top w:val="single" w:color="auto" w:sz="4" w:space="0"/>
                    <w:left w:val="single" w:color="auto" w:sz="4" w:space="0"/>
                    <w:bottom w:val="single" w:color="auto" w:sz="4" w:space="0"/>
                    <w:right w:val="single" w:color="auto" w:sz="4" w:space="0"/>
                  </w:tcBorders>
                  <w:shd w:val="clear" w:color="000000" w:fill="auto"/>
                  <w:noWrap/>
                  <w:vAlign w:val="center"/>
                </w:tcPr>
                <w:p w14:paraId="2BD509C2">
                  <w:pPr>
                    <w:rPr>
                      <w:rFonts w:hint="default" w:ascii="Calibri" w:hAnsi="Calibri" w:eastAsia="楷体_GB2312" w:cs="Calibri"/>
                      <w:color w:val="000000"/>
                    </w:rPr>
                  </w:pPr>
                  <w:r>
                    <w:rPr>
                      <w:rFonts w:hint="default" w:ascii="Calibri" w:hAnsi="Calibri" w:eastAsia="楷体_GB2312" w:cs="Calibri"/>
                      <w:color w:val="000000"/>
                    </w:rPr>
                    <w:t>美国能源部（DOE）宣布向田纳西河流域管理局（TVA）提供4亿美元拨款，以继续加速部署通用电气（GE）弗诺瓦和日立核能的BWRX-300小型模块化反应堆（SMR）。该公司的第一个BWRX-300商业运营计划在2030年代初的田纳西河流域公用事业 Clinch River 站，这将使其成为美国第一个商业SMR。</w:t>
                  </w:r>
                </w:p>
              </w:tc>
            </w:tr>
            <w:tr w14:paraId="289C3C3C">
              <w:tblPrEx>
                <w:tblCellMar>
                  <w:top w:w="0" w:type="dxa"/>
                  <w:left w:w="108" w:type="dxa"/>
                  <w:bottom w:w="0" w:type="dxa"/>
                  <w:right w:w="108" w:type="dxa"/>
                </w:tblCellMar>
              </w:tblPrEx>
              <w:trPr>
                <w:trHeight w:val="248" w:hRule="atLeast"/>
              </w:trPr>
              <w:tc>
                <w:tcPr>
                  <w:tcW w:w="1149" w:type="dxa"/>
                  <w:tcBorders>
                    <w:top w:val="single" w:color="auto" w:sz="4" w:space="0"/>
                    <w:left w:val="single" w:color="auto" w:sz="4" w:space="0"/>
                    <w:bottom w:val="single" w:color="auto" w:sz="4" w:space="0"/>
                    <w:right w:val="single" w:color="auto" w:sz="4" w:space="0"/>
                  </w:tcBorders>
                  <w:shd w:val="clear" w:color="000000" w:fill="auto"/>
                  <w:noWrap/>
                  <w:vAlign w:val="center"/>
                </w:tcPr>
                <w:p w14:paraId="481BD0C4">
                  <w:pPr>
                    <w:jc w:val="center"/>
                    <w:rPr>
                      <w:rFonts w:hint="default" w:ascii="Calibri" w:hAnsi="Calibri" w:eastAsia="楷体_GB2312" w:cs="Calibri"/>
                      <w:color w:val="000000"/>
                    </w:rPr>
                  </w:pPr>
                  <w:r>
                    <w:rPr>
                      <w:rFonts w:hint="default" w:ascii="Calibri" w:hAnsi="Calibri" w:eastAsia="楷体_GB2312" w:cs="Calibri"/>
                      <w:color w:val="000000"/>
                      <w:lang w:val="en-US" w:eastAsia="zh-CN"/>
                    </w:rPr>
                    <w:t>2025-10-15</w:t>
                  </w:r>
                </w:p>
              </w:tc>
              <w:tc>
                <w:tcPr>
                  <w:tcW w:w="8557" w:type="dxa"/>
                  <w:tcBorders>
                    <w:top w:val="single" w:color="auto" w:sz="4" w:space="0"/>
                    <w:left w:val="single" w:color="auto" w:sz="4" w:space="0"/>
                    <w:bottom w:val="single" w:color="auto" w:sz="4" w:space="0"/>
                    <w:right w:val="single" w:color="auto" w:sz="4" w:space="0"/>
                  </w:tcBorders>
                  <w:shd w:val="clear" w:color="000000" w:fill="auto"/>
                  <w:noWrap/>
                  <w:vAlign w:val="center"/>
                </w:tcPr>
                <w:p w14:paraId="39218549">
                  <w:pPr>
                    <w:rPr>
                      <w:rFonts w:hint="default" w:ascii="Calibri" w:hAnsi="Calibri" w:eastAsia="楷体_GB2312" w:cs="Calibri"/>
                      <w:color w:val="000000"/>
                    </w:rPr>
                  </w:pPr>
                  <w:r>
                    <w:rPr>
                      <w:rFonts w:hint="default" w:ascii="Calibri" w:hAnsi="Calibri" w:eastAsia="楷体_GB2312" w:cs="Calibri"/>
                      <w:color w:val="000000"/>
                    </w:rPr>
                    <w:t>亚马逊宣布将在美国华盛顿州参与建设全美首批小型模块化核反应堆(SMR)—Cascade先进能源厂，由Energy Northwest与X-Energy共同开发，预计2030年代初启用。该厂初期建设四座Xe-100高温气冷反应堆，总发电量320MW，最终可达960MW，为AI、云及数据中心提供24小时不间断的零碳电力。</w:t>
                  </w:r>
                </w:p>
              </w:tc>
            </w:tr>
            <w:tr w14:paraId="1A7E11D8">
              <w:tblPrEx>
                <w:tblCellMar>
                  <w:top w:w="0" w:type="dxa"/>
                  <w:left w:w="108" w:type="dxa"/>
                  <w:bottom w:w="0" w:type="dxa"/>
                  <w:right w:w="108" w:type="dxa"/>
                </w:tblCellMar>
              </w:tblPrEx>
              <w:trPr>
                <w:trHeight w:val="248" w:hRule="atLeast"/>
              </w:trPr>
              <w:tc>
                <w:tcPr>
                  <w:tcW w:w="1149" w:type="dxa"/>
                  <w:tcBorders>
                    <w:top w:val="single" w:color="auto" w:sz="4" w:space="0"/>
                    <w:left w:val="single" w:color="auto" w:sz="4" w:space="0"/>
                    <w:bottom w:val="single" w:color="auto" w:sz="4" w:space="0"/>
                    <w:right w:val="single" w:color="auto" w:sz="4" w:space="0"/>
                  </w:tcBorders>
                  <w:shd w:val="clear" w:color="000000" w:fill="auto"/>
                  <w:noWrap/>
                  <w:vAlign w:val="center"/>
                </w:tcPr>
                <w:p w14:paraId="3CF4764E">
                  <w:pPr>
                    <w:jc w:val="center"/>
                    <w:rPr>
                      <w:rFonts w:hint="default" w:ascii="Calibri" w:hAnsi="Calibri" w:eastAsia="楷体_GB2312" w:cs="Calibri"/>
                      <w:color w:val="000000"/>
                    </w:rPr>
                  </w:pPr>
                  <w:r>
                    <w:rPr>
                      <w:rFonts w:hint="default" w:ascii="Calibri" w:hAnsi="Calibri" w:eastAsia="楷体_GB2312" w:cs="Calibri"/>
                      <w:color w:val="000000"/>
                      <w:lang w:val="en-US" w:eastAsia="zh-CN"/>
                    </w:rPr>
                    <w:t>2025-09-30</w:t>
                  </w:r>
                </w:p>
              </w:tc>
              <w:tc>
                <w:tcPr>
                  <w:tcW w:w="8557" w:type="dxa"/>
                  <w:tcBorders>
                    <w:top w:val="single" w:color="auto" w:sz="4" w:space="0"/>
                    <w:left w:val="single" w:color="auto" w:sz="4" w:space="0"/>
                    <w:bottom w:val="single" w:color="auto" w:sz="4" w:space="0"/>
                    <w:right w:val="single" w:color="auto" w:sz="4" w:space="0"/>
                  </w:tcBorders>
                  <w:shd w:val="clear" w:color="000000" w:fill="auto"/>
                  <w:noWrap/>
                  <w:vAlign w:val="center"/>
                </w:tcPr>
                <w:p w14:paraId="6C606708">
                  <w:pPr>
                    <w:rPr>
                      <w:rFonts w:hint="default" w:ascii="Calibri" w:hAnsi="Calibri" w:eastAsia="楷体_GB2312" w:cs="Calibri"/>
                      <w:color w:val="000000"/>
                    </w:rPr>
                  </w:pPr>
                  <w:r>
                    <w:rPr>
                      <w:rFonts w:hint="default" w:ascii="Calibri" w:hAnsi="Calibri" w:eastAsia="楷体_GB2312" w:cs="Calibri"/>
                      <w:color w:val="000000"/>
                    </w:rPr>
                    <w:t>美国先进核技术公司Oklo与瑞典铅冷小型模块化反应堆技术开发商Blykalla宣布建立战略合作关系，专注于技术合作、供应链协调和监管知识共享。</w:t>
                  </w:r>
                </w:p>
              </w:tc>
            </w:tr>
            <w:tr w14:paraId="59164F39">
              <w:tblPrEx>
                <w:tblCellMar>
                  <w:top w:w="0" w:type="dxa"/>
                  <w:left w:w="108" w:type="dxa"/>
                  <w:bottom w:w="0" w:type="dxa"/>
                  <w:right w:w="108" w:type="dxa"/>
                </w:tblCellMar>
              </w:tblPrEx>
              <w:trPr>
                <w:trHeight w:val="248" w:hRule="atLeast"/>
              </w:trPr>
              <w:tc>
                <w:tcPr>
                  <w:tcW w:w="1149" w:type="dxa"/>
                  <w:tcBorders>
                    <w:top w:val="single" w:color="auto" w:sz="4" w:space="0"/>
                    <w:left w:val="single" w:color="auto" w:sz="4" w:space="0"/>
                    <w:bottom w:val="single" w:color="auto" w:sz="4" w:space="0"/>
                    <w:right w:val="single" w:color="auto" w:sz="4" w:space="0"/>
                  </w:tcBorders>
                  <w:shd w:val="clear" w:color="000000" w:fill="auto"/>
                  <w:noWrap/>
                  <w:vAlign w:val="center"/>
                </w:tcPr>
                <w:p w14:paraId="0E89BA41">
                  <w:pPr>
                    <w:jc w:val="center"/>
                    <w:rPr>
                      <w:rFonts w:hint="default" w:ascii="Calibri" w:hAnsi="Calibri" w:eastAsia="楷体_GB2312" w:cs="Calibri"/>
                      <w:color w:val="000000"/>
                    </w:rPr>
                  </w:pPr>
                  <w:r>
                    <w:rPr>
                      <w:rFonts w:hint="default" w:ascii="Calibri" w:hAnsi="Calibri" w:eastAsia="楷体_GB2312" w:cs="Calibri"/>
                      <w:color w:val="000000"/>
                      <w:lang w:val="en-US" w:eastAsia="zh-CN"/>
                    </w:rPr>
                    <w:t>2025-09-16</w:t>
                  </w:r>
                </w:p>
              </w:tc>
              <w:tc>
                <w:tcPr>
                  <w:tcW w:w="8557" w:type="dxa"/>
                  <w:tcBorders>
                    <w:top w:val="single" w:color="auto" w:sz="4" w:space="0"/>
                    <w:left w:val="single" w:color="auto" w:sz="4" w:space="0"/>
                    <w:bottom w:val="single" w:color="auto" w:sz="4" w:space="0"/>
                    <w:right w:val="single" w:color="auto" w:sz="4" w:space="0"/>
                  </w:tcBorders>
                  <w:shd w:val="clear" w:color="000000" w:fill="auto"/>
                  <w:noWrap/>
                  <w:vAlign w:val="center"/>
                </w:tcPr>
                <w:p w14:paraId="30E307C7">
                  <w:pPr>
                    <w:rPr>
                      <w:rFonts w:hint="default" w:ascii="Calibri" w:hAnsi="Calibri" w:eastAsia="楷体_GB2312" w:cs="Calibri"/>
                      <w:color w:val="000000"/>
                    </w:rPr>
                  </w:pPr>
                  <w:r>
                    <w:rPr>
                      <w:rFonts w:hint="default" w:ascii="Calibri" w:hAnsi="Calibri" w:eastAsia="楷体_GB2312" w:cs="Calibri"/>
                      <w:color w:val="000000"/>
                    </w:rPr>
                    <w:t>能源公司Centrica与美国核能企业X-Energy签署联合开发协议（JDA），计划在英格兰东北部城市哈特尔浦部署12台Xe-100先进模块化反应堆。</w:t>
                  </w:r>
                </w:p>
              </w:tc>
            </w:tr>
            <w:tr w14:paraId="1FAC1FD5">
              <w:tblPrEx>
                <w:tblCellMar>
                  <w:top w:w="0" w:type="dxa"/>
                  <w:left w:w="108" w:type="dxa"/>
                  <w:bottom w:w="0" w:type="dxa"/>
                  <w:right w:w="108" w:type="dxa"/>
                </w:tblCellMar>
              </w:tblPrEx>
              <w:trPr>
                <w:trHeight w:val="90" w:hRule="atLeast"/>
              </w:trPr>
              <w:tc>
                <w:tcPr>
                  <w:tcW w:w="1149" w:type="dxa"/>
                  <w:tcBorders>
                    <w:top w:val="single" w:color="auto" w:sz="4" w:space="0"/>
                    <w:left w:val="single" w:color="auto" w:sz="4" w:space="0"/>
                    <w:bottom w:val="single" w:color="auto" w:sz="4" w:space="0"/>
                    <w:right w:val="single" w:color="auto" w:sz="4" w:space="0"/>
                  </w:tcBorders>
                  <w:shd w:val="clear" w:color="000000" w:fill="auto"/>
                  <w:noWrap/>
                  <w:vAlign w:val="center"/>
                </w:tcPr>
                <w:p w14:paraId="55580CE0">
                  <w:pPr>
                    <w:jc w:val="center"/>
                    <w:rPr>
                      <w:rFonts w:hint="default" w:ascii="Calibri" w:hAnsi="Calibri" w:eastAsia="楷体_GB2312" w:cs="Calibri"/>
                      <w:color w:val="000000"/>
                    </w:rPr>
                  </w:pPr>
                  <w:r>
                    <w:rPr>
                      <w:rFonts w:hint="default" w:ascii="Calibri" w:hAnsi="Calibri" w:eastAsia="楷体_GB2312" w:cs="Calibri"/>
                      <w:color w:val="000000"/>
                      <w:lang w:val="en-US" w:eastAsia="zh-CN"/>
                    </w:rPr>
                    <w:t>2025-08-18</w:t>
                  </w:r>
                </w:p>
              </w:tc>
              <w:tc>
                <w:tcPr>
                  <w:tcW w:w="8557" w:type="dxa"/>
                  <w:tcBorders>
                    <w:top w:val="single" w:color="auto" w:sz="4" w:space="0"/>
                    <w:left w:val="single" w:color="auto" w:sz="4" w:space="0"/>
                    <w:bottom w:val="single" w:color="auto" w:sz="4" w:space="0"/>
                    <w:right w:val="single" w:color="auto" w:sz="4" w:space="0"/>
                  </w:tcBorders>
                  <w:shd w:val="clear" w:color="000000" w:fill="auto"/>
                  <w:noWrap/>
                  <w:vAlign w:val="center"/>
                </w:tcPr>
                <w:p w14:paraId="1D661449">
                  <w:pPr>
                    <w:rPr>
                      <w:rFonts w:hint="default" w:ascii="Calibri" w:hAnsi="Calibri" w:eastAsia="楷体_GB2312" w:cs="Calibri"/>
                      <w:color w:val="000000"/>
                    </w:rPr>
                  </w:pPr>
                  <w:r>
                    <w:rPr>
                      <w:rFonts w:hint="default" w:ascii="Calibri" w:hAnsi="Calibri" w:eastAsia="楷体_GB2312" w:cs="Calibri"/>
                      <w:color w:val="000000"/>
                    </w:rPr>
                    <w:t>谷歌支持的小型模块化反应堆（SMR）开发商Kairos Power已与美国公用事业公司田纳西河谷管理局（TVA）签署了一份50兆瓦的电力购买协议（PPA），将电力输送到位于田纳西州和阿拉巴马州的谷歌数据中心。</w:t>
                  </w:r>
                </w:p>
              </w:tc>
            </w:tr>
            <w:tr w14:paraId="3BADB21A">
              <w:tblPrEx>
                <w:tblCellMar>
                  <w:top w:w="0" w:type="dxa"/>
                  <w:left w:w="108" w:type="dxa"/>
                  <w:bottom w:w="0" w:type="dxa"/>
                  <w:right w:w="108" w:type="dxa"/>
                </w:tblCellMar>
              </w:tblPrEx>
              <w:trPr>
                <w:trHeight w:val="475" w:hRule="atLeast"/>
              </w:trPr>
              <w:tc>
                <w:tcPr>
                  <w:tcW w:w="1149" w:type="dxa"/>
                  <w:tcBorders>
                    <w:top w:val="single" w:color="auto" w:sz="4" w:space="0"/>
                    <w:left w:val="single" w:color="auto" w:sz="4" w:space="0"/>
                    <w:bottom w:val="single" w:color="auto" w:sz="4" w:space="0"/>
                    <w:right w:val="single" w:color="auto" w:sz="4" w:space="0"/>
                  </w:tcBorders>
                  <w:vAlign w:val="center"/>
                </w:tcPr>
                <w:p w14:paraId="5CC00B82">
                  <w:pPr>
                    <w:jc w:val="center"/>
                    <w:rPr>
                      <w:rFonts w:hint="default" w:ascii="Calibri" w:hAnsi="Calibri" w:eastAsia="楷体_GB2312" w:cs="Calibri"/>
                      <w:color w:val="000000"/>
                    </w:rPr>
                  </w:pPr>
                  <w:r>
                    <w:rPr>
                      <w:rFonts w:hint="default" w:ascii="Calibri" w:hAnsi="Calibri" w:eastAsia="楷体_GB2312" w:cs="Calibri"/>
                      <w:color w:val="000000"/>
                    </w:rPr>
                    <w:t>2025-06-12</w:t>
                  </w:r>
                </w:p>
              </w:tc>
              <w:tc>
                <w:tcPr>
                  <w:tcW w:w="8557" w:type="dxa"/>
                  <w:tcBorders>
                    <w:top w:val="single" w:color="auto" w:sz="4" w:space="0"/>
                    <w:left w:val="nil"/>
                    <w:bottom w:val="single" w:color="auto" w:sz="4" w:space="0"/>
                    <w:right w:val="single" w:color="auto" w:sz="4" w:space="0"/>
                  </w:tcBorders>
                  <w:vAlign w:val="center"/>
                </w:tcPr>
                <w:p w14:paraId="76C256E8">
                  <w:pPr>
                    <w:rPr>
                      <w:rFonts w:hint="default" w:ascii="Calibri" w:hAnsi="Calibri" w:eastAsia="楷体_GB2312" w:cs="Calibri"/>
                      <w:color w:val="000000"/>
                    </w:rPr>
                  </w:pPr>
                  <w:r>
                    <w:rPr>
                      <w:rFonts w:hint="default" w:ascii="Calibri" w:hAnsi="Calibri" w:eastAsia="楷体_GB2312" w:cs="Calibri"/>
                      <w:color w:val="000000"/>
                    </w:rPr>
                    <w:t>Talen 与AWS 将探索在 Talen 位于宾夕法尼亚州的工厂内建造新的小型模块化反应堆 (SMR)，并通过升级来扩大 Susquehanna 工厂的产量。</w:t>
                  </w:r>
                </w:p>
              </w:tc>
            </w:tr>
            <w:tr w14:paraId="4D2F47EC">
              <w:tblPrEx>
                <w:tblCellMar>
                  <w:top w:w="0" w:type="dxa"/>
                  <w:left w:w="108" w:type="dxa"/>
                  <w:bottom w:w="0" w:type="dxa"/>
                  <w:right w:w="108" w:type="dxa"/>
                </w:tblCellMar>
              </w:tblPrEx>
              <w:trPr>
                <w:trHeight w:val="314" w:hRule="atLeast"/>
              </w:trPr>
              <w:tc>
                <w:tcPr>
                  <w:tcW w:w="1149" w:type="dxa"/>
                  <w:tcBorders>
                    <w:top w:val="nil"/>
                    <w:left w:val="single" w:color="auto" w:sz="4" w:space="0"/>
                    <w:bottom w:val="single" w:color="auto" w:sz="4" w:space="0"/>
                    <w:right w:val="single" w:color="auto" w:sz="4" w:space="0"/>
                  </w:tcBorders>
                  <w:vAlign w:val="center"/>
                </w:tcPr>
                <w:p w14:paraId="3601EEC7">
                  <w:pPr>
                    <w:jc w:val="center"/>
                    <w:rPr>
                      <w:rFonts w:hint="default" w:ascii="Calibri" w:hAnsi="Calibri" w:eastAsia="楷体_GB2312" w:cs="Calibri"/>
                      <w:color w:val="000000"/>
                    </w:rPr>
                  </w:pPr>
                  <w:r>
                    <w:rPr>
                      <w:rFonts w:hint="default" w:ascii="Calibri" w:hAnsi="Calibri" w:eastAsia="楷体_GB2312" w:cs="Calibri"/>
                      <w:color w:val="000000"/>
                    </w:rPr>
                    <w:t>2025-06-12</w:t>
                  </w:r>
                </w:p>
              </w:tc>
              <w:tc>
                <w:tcPr>
                  <w:tcW w:w="8557" w:type="dxa"/>
                  <w:tcBorders>
                    <w:top w:val="nil"/>
                    <w:left w:val="nil"/>
                    <w:bottom w:val="single" w:color="auto" w:sz="4" w:space="0"/>
                    <w:right w:val="single" w:color="auto" w:sz="4" w:space="0"/>
                  </w:tcBorders>
                  <w:vAlign w:val="center"/>
                </w:tcPr>
                <w:p w14:paraId="64867C58">
                  <w:pPr>
                    <w:rPr>
                      <w:rFonts w:hint="default" w:ascii="Calibri" w:hAnsi="Calibri" w:eastAsia="楷体_GB2312" w:cs="Calibri"/>
                      <w:color w:val="000000"/>
                    </w:rPr>
                  </w:pPr>
                  <w:r>
                    <w:rPr>
                      <w:rFonts w:hint="default" w:ascii="Calibri" w:hAnsi="Calibri" w:eastAsia="楷体_GB2312" w:cs="Calibri"/>
                      <w:color w:val="000000"/>
                    </w:rPr>
                    <w:t>Oklo公告，国防部已发布意向通知，计划就一个试点反应堆授予购电协议。</w:t>
                  </w:r>
                </w:p>
              </w:tc>
            </w:tr>
            <w:tr w14:paraId="2236D199">
              <w:tblPrEx>
                <w:tblCellMar>
                  <w:top w:w="0" w:type="dxa"/>
                  <w:left w:w="108" w:type="dxa"/>
                  <w:bottom w:w="0" w:type="dxa"/>
                  <w:right w:w="108" w:type="dxa"/>
                </w:tblCellMar>
              </w:tblPrEx>
              <w:trPr>
                <w:trHeight w:val="371" w:hRule="atLeast"/>
              </w:trPr>
              <w:tc>
                <w:tcPr>
                  <w:tcW w:w="1149" w:type="dxa"/>
                  <w:tcBorders>
                    <w:top w:val="nil"/>
                    <w:left w:val="single" w:color="auto" w:sz="4" w:space="0"/>
                    <w:bottom w:val="single" w:color="auto" w:sz="4" w:space="0"/>
                    <w:right w:val="single" w:color="auto" w:sz="4" w:space="0"/>
                  </w:tcBorders>
                  <w:vAlign w:val="center"/>
                </w:tcPr>
                <w:p w14:paraId="02287B93">
                  <w:pPr>
                    <w:jc w:val="center"/>
                    <w:rPr>
                      <w:rFonts w:hint="default" w:ascii="Calibri" w:hAnsi="Calibri" w:eastAsia="楷体_GB2312" w:cs="Calibri"/>
                      <w:color w:val="000000"/>
                    </w:rPr>
                  </w:pPr>
                  <w:r>
                    <w:rPr>
                      <w:rFonts w:hint="default" w:ascii="Calibri" w:hAnsi="Calibri" w:eastAsia="楷体_GB2312" w:cs="Calibri"/>
                      <w:color w:val="000000"/>
                    </w:rPr>
                    <w:t>2025-05-08</w:t>
                  </w:r>
                </w:p>
              </w:tc>
              <w:tc>
                <w:tcPr>
                  <w:tcW w:w="8557" w:type="dxa"/>
                  <w:tcBorders>
                    <w:top w:val="nil"/>
                    <w:left w:val="nil"/>
                    <w:bottom w:val="single" w:color="auto" w:sz="4" w:space="0"/>
                    <w:right w:val="single" w:color="auto" w:sz="4" w:space="0"/>
                  </w:tcBorders>
                  <w:vAlign w:val="center"/>
                </w:tcPr>
                <w:p w14:paraId="34314833">
                  <w:pPr>
                    <w:rPr>
                      <w:rFonts w:hint="default" w:ascii="Calibri" w:hAnsi="Calibri" w:eastAsia="楷体_GB2312" w:cs="Calibri"/>
                      <w:color w:val="000000"/>
                    </w:rPr>
                  </w:pPr>
                  <w:r>
                    <w:rPr>
                      <w:rFonts w:hint="default" w:ascii="Calibri" w:hAnsi="Calibri" w:eastAsia="楷体_GB2312" w:cs="Calibri"/>
                      <w:color w:val="000000"/>
                    </w:rPr>
                    <w:t>谷歌与 Elementl 合作，支持美国三个“先进”核项目的开发每个项目的容量为 600MW</w:t>
                  </w:r>
                </w:p>
              </w:tc>
            </w:tr>
            <w:tr w14:paraId="30508F20">
              <w:tblPrEx>
                <w:tblCellMar>
                  <w:top w:w="0" w:type="dxa"/>
                  <w:left w:w="108" w:type="dxa"/>
                  <w:bottom w:w="0" w:type="dxa"/>
                  <w:right w:w="108" w:type="dxa"/>
                </w:tblCellMar>
              </w:tblPrEx>
              <w:trPr>
                <w:trHeight w:val="799" w:hRule="atLeast"/>
              </w:trPr>
              <w:tc>
                <w:tcPr>
                  <w:tcW w:w="1149" w:type="dxa"/>
                  <w:tcBorders>
                    <w:top w:val="nil"/>
                    <w:left w:val="single" w:color="auto" w:sz="4" w:space="0"/>
                    <w:bottom w:val="single" w:color="auto" w:sz="4" w:space="0"/>
                    <w:right w:val="single" w:color="auto" w:sz="4" w:space="0"/>
                  </w:tcBorders>
                  <w:vAlign w:val="center"/>
                </w:tcPr>
                <w:p w14:paraId="0A356386">
                  <w:pPr>
                    <w:jc w:val="center"/>
                    <w:rPr>
                      <w:rFonts w:hint="default" w:ascii="Calibri" w:hAnsi="Calibri" w:eastAsia="楷体_GB2312" w:cs="Calibri"/>
                      <w:color w:val="000000"/>
                    </w:rPr>
                  </w:pPr>
                  <w:r>
                    <w:rPr>
                      <w:rFonts w:hint="default" w:ascii="Calibri" w:hAnsi="Calibri" w:eastAsia="楷体_GB2312" w:cs="Calibri"/>
                      <w:color w:val="000000"/>
                    </w:rPr>
                    <w:t>2025-04-14</w:t>
                  </w:r>
                </w:p>
              </w:tc>
              <w:tc>
                <w:tcPr>
                  <w:tcW w:w="8557" w:type="dxa"/>
                  <w:tcBorders>
                    <w:top w:val="nil"/>
                    <w:left w:val="nil"/>
                    <w:bottom w:val="single" w:color="auto" w:sz="4" w:space="0"/>
                    <w:right w:val="single" w:color="auto" w:sz="4" w:space="0"/>
                  </w:tcBorders>
                  <w:vAlign w:val="center"/>
                </w:tcPr>
                <w:p w14:paraId="16E9EF3E">
                  <w:pPr>
                    <w:rPr>
                      <w:rFonts w:hint="default" w:ascii="Calibri" w:hAnsi="Calibri" w:eastAsia="楷体_GB2312" w:cs="Calibri"/>
                      <w:color w:val="000000"/>
                    </w:rPr>
                  </w:pPr>
                  <w:r>
                    <w:rPr>
                      <w:rFonts w:hint="default" w:ascii="Calibri" w:hAnsi="Calibri" w:eastAsia="楷体_GB2312" w:cs="Calibri"/>
                      <w:color w:val="000000"/>
                    </w:rPr>
                    <w:t>总部位于德克萨斯州的模块化核反应堆开发商 Aalo Atomics 公布了其首个模块化核电站的原型，该公司已经与市政电力公司爱达荷福尔斯电力公司签署了一份谅解备忘录（MoU），部署七座工厂建造的 Aalo-1 反应堆，总发电量为 75MW。</w:t>
                  </w:r>
                </w:p>
              </w:tc>
            </w:tr>
            <w:tr w14:paraId="3B1886FA">
              <w:tblPrEx>
                <w:tblCellMar>
                  <w:top w:w="0" w:type="dxa"/>
                  <w:left w:w="108" w:type="dxa"/>
                  <w:bottom w:w="0" w:type="dxa"/>
                  <w:right w:w="108" w:type="dxa"/>
                </w:tblCellMar>
              </w:tblPrEx>
              <w:trPr>
                <w:trHeight w:val="460" w:hRule="atLeast"/>
              </w:trPr>
              <w:tc>
                <w:tcPr>
                  <w:tcW w:w="1149" w:type="dxa"/>
                  <w:tcBorders>
                    <w:top w:val="nil"/>
                    <w:left w:val="single" w:color="auto" w:sz="4" w:space="0"/>
                    <w:bottom w:val="single" w:color="auto" w:sz="4" w:space="0"/>
                    <w:right w:val="single" w:color="auto" w:sz="4" w:space="0"/>
                  </w:tcBorders>
                  <w:vAlign w:val="center"/>
                </w:tcPr>
                <w:p w14:paraId="5BB15116">
                  <w:pPr>
                    <w:jc w:val="center"/>
                    <w:rPr>
                      <w:rFonts w:hint="default" w:ascii="Calibri" w:hAnsi="Calibri" w:eastAsia="楷体_GB2312" w:cs="Calibri"/>
                      <w:color w:val="000000"/>
                    </w:rPr>
                  </w:pPr>
                  <w:r>
                    <w:rPr>
                      <w:rFonts w:hint="default" w:ascii="Calibri" w:hAnsi="Calibri" w:eastAsia="楷体_GB2312" w:cs="Calibri"/>
                      <w:color w:val="000000"/>
                    </w:rPr>
                    <w:t>2025-03-11</w:t>
                  </w:r>
                </w:p>
              </w:tc>
              <w:tc>
                <w:tcPr>
                  <w:tcW w:w="8557" w:type="dxa"/>
                  <w:tcBorders>
                    <w:top w:val="nil"/>
                    <w:left w:val="nil"/>
                    <w:bottom w:val="single" w:color="auto" w:sz="4" w:space="0"/>
                    <w:right w:val="single" w:color="auto" w:sz="4" w:space="0"/>
                  </w:tcBorders>
                  <w:vAlign w:val="center"/>
                </w:tcPr>
                <w:p w14:paraId="27AD77EB">
                  <w:pPr>
                    <w:rPr>
                      <w:rFonts w:hint="default" w:ascii="Calibri" w:hAnsi="Calibri" w:eastAsia="楷体_GB2312" w:cs="Calibri"/>
                      <w:color w:val="000000"/>
                    </w:rPr>
                  </w:pPr>
                  <w:r>
                    <w:rPr>
                      <w:rFonts w:hint="default" w:ascii="Calibri" w:hAnsi="Calibri" w:eastAsia="楷体_GB2312" w:cs="Calibri"/>
                      <w:color w:val="000000"/>
                    </w:rPr>
                    <w:t>布鲁克菲尔德菲尔德旗下的 Data4 本周宣布已签署一份谅解备忘录 (MoU)，探讨使用西屋电气公司的 AP300 SMR 为欧洲未来的数据中心供电。</w:t>
                  </w:r>
                </w:p>
              </w:tc>
            </w:tr>
            <w:tr w14:paraId="44A83E31">
              <w:tblPrEx>
                <w:tblCellMar>
                  <w:top w:w="0" w:type="dxa"/>
                  <w:left w:w="108" w:type="dxa"/>
                  <w:bottom w:w="0" w:type="dxa"/>
                  <w:right w:w="108" w:type="dxa"/>
                </w:tblCellMar>
              </w:tblPrEx>
              <w:trPr>
                <w:trHeight w:val="374" w:hRule="atLeast"/>
              </w:trPr>
              <w:tc>
                <w:tcPr>
                  <w:tcW w:w="1149" w:type="dxa"/>
                  <w:tcBorders>
                    <w:top w:val="nil"/>
                    <w:left w:val="single" w:color="auto" w:sz="4" w:space="0"/>
                    <w:bottom w:val="single" w:color="auto" w:sz="4" w:space="0"/>
                    <w:right w:val="single" w:color="auto" w:sz="4" w:space="0"/>
                  </w:tcBorders>
                  <w:vAlign w:val="center"/>
                </w:tcPr>
                <w:p w14:paraId="0DA6C280">
                  <w:pPr>
                    <w:jc w:val="center"/>
                    <w:rPr>
                      <w:rFonts w:hint="default" w:ascii="Calibri" w:hAnsi="Calibri" w:eastAsia="楷体_GB2312" w:cs="Calibri"/>
                      <w:color w:val="000000"/>
                    </w:rPr>
                  </w:pPr>
                  <w:r>
                    <w:rPr>
                      <w:rFonts w:hint="default" w:ascii="Calibri" w:hAnsi="Calibri" w:eastAsia="楷体_GB2312" w:cs="Calibri"/>
                      <w:color w:val="000000"/>
                    </w:rPr>
                    <w:t>2025-02-28</w:t>
                  </w:r>
                </w:p>
              </w:tc>
              <w:tc>
                <w:tcPr>
                  <w:tcW w:w="8557" w:type="dxa"/>
                  <w:tcBorders>
                    <w:top w:val="nil"/>
                    <w:left w:val="nil"/>
                    <w:bottom w:val="single" w:color="auto" w:sz="4" w:space="0"/>
                    <w:right w:val="single" w:color="auto" w:sz="4" w:space="0"/>
                  </w:tcBorders>
                  <w:vAlign w:val="center"/>
                </w:tcPr>
                <w:p w14:paraId="35409016">
                  <w:pPr>
                    <w:rPr>
                      <w:rFonts w:hint="default" w:ascii="Calibri" w:hAnsi="Calibri" w:eastAsia="楷体_GB2312" w:cs="Calibri"/>
                      <w:color w:val="000000"/>
                    </w:rPr>
                  </w:pPr>
                  <w:r>
                    <w:rPr>
                      <w:rFonts w:hint="default" w:ascii="Calibri" w:hAnsi="Calibri" w:eastAsia="楷体_GB2312" w:cs="Calibri"/>
                      <w:color w:val="000000"/>
                    </w:rPr>
                    <w:t>Last Energy 计划在德克萨斯州建造 30 座微反应堆，以服务美国数据中心市场。</w:t>
                  </w:r>
                </w:p>
              </w:tc>
            </w:tr>
            <w:tr w14:paraId="401C79BF">
              <w:tblPrEx>
                <w:tblCellMar>
                  <w:top w:w="0" w:type="dxa"/>
                  <w:left w:w="108" w:type="dxa"/>
                  <w:bottom w:w="0" w:type="dxa"/>
                  <w:right w:w="108" w:type="dxa"/>
                </w:tblCellMar>
              </w:tblPrEx>
              <w:trPr>
                <w:trHeight w:val="360" w:hRule="atLeast"/>
              </w:trPr>
              <w:tc>
                <w:tcPr>
                  <w:tcW w:w="1149" w:type="dxa"/>
                  <w:tcBorders>
                    <w:top w:val="nil"/>
                    <w:left w:val="single" w:color="auto" w:sz="4" w:space="0"/>
                    <w:bottom w:val="single" w:color="auto" w:sz="4" w:space="0"/>
                    <w:right w:val="single" w:color="auto" w:sz="4" w:space="0"/>
                  </w:tcBorders>
                  <w:vAlign w:val="center"/>
                </w:tcPr>
                <w:p w14:paraId="14131500">
                  <w:pPr>
                    <w:jc w:val="center"/>
                    <w:rPr>
                      <w:rFonts w:hint="default" w:ascii="Calibri" w:hAnsi="Calibri" w:eastAsia="楷体_GB2312" w:cs="Calibri"/>
                      <w:color w:val="000000"/>
                    </w:rPr>
                  </w:pPr>
                  <w:r>
                    <w:rPr>
                      <w:rFonts w:hint="default" w:ascii="Calibri" w:hAnsi="Calibri" w:eastAsia="楷体_GB2312" w:cs="Calibri"/>
                      <w:color w:val="000000"/>
                    </w:rPr>
                    <w:t>2025-02-07</w:t>
                  </w:r>
                </w:p>
              </w:tc>
              <w:tc>
                <w:tcPr>
                  <w:tcW w:w="8557" w:type="dxa"/>
                  <w:tcBorders>
                    <w:top w:val="nil"/>
                    <w:left w:val="nil"/>
                    <w:bottom w:val="single" w:color="auto" w:sz="4" w:space="0"/>
                    <w:right w:val="single" w:color="auto" w:sz="4" w:space="0"/>
                  </w:tcBorders>
                  <w:vAlign w:val="center"/>
                </w:tcPr>
                <w:p w14:paraId="6B4FB2D4">
                  <w:pPr>
                    <w:rPr>
                      <w:rFonts w:hint="default" w:ascii="Calibri" w:hAnsi="Calibri" w:eastAsia="楷体_GB2312" w:cs="Calibri"/>
                      <w:color w:val="000000"/>
                    </w:rPr>
                  </w:pPr>
                  <w:r>
                    <w:rPr>
                      <w:rFonts w:hint="default" w:ascii="Calibri" w:hAnsi="Calibri" w:eastAsia="楷体_GB2312" w:cs="Calibri"/>
                      <w:color w:val="000000"/>
                    </w:rPr>
                    <w:t>SMR 公司 X-energy 完成由亚马逊领投的 7 亿美元融资。</w:t>
                  </w:r>
                </w:p>
              </w:tc>
            </w:tr>
            <w:tr w14:paraId="7A8B40B0">
              <w:tblPrEx>
                <w:tblCellMar>
                  <w:top w:w="0" w:type="dxa"/>
                  <w:left w:w="108" w:type="dxa"/>
                  <w:bottom w:w="0" w:type="dxa"/>
                  <w:right w:w="108" w:type="dxa"/>
                </w:tblCellMar>
              </w:tblPrEx>
              <w:trPr>
                <w:trHeight w:val="377" w:hRule="atLeast"/>
              </w:trPr>
              <w:tc>
                <w:tcPr>
                  <w:tcW w:w="1149" w:type="dxa"/>
                  <w:tcBorders>
                    <w:top w:val="nil"/>
                    <w:left w:val="single" w:color="auto" w:sz="4" w:space="0"/>
                    <w:bottom w:val="single" w:color="auto" w:sz="4" w:space="0"/>
                    <w:right w:val="single" w:color="auto" w:sz="4" w:space="0"/>
                  </w:tcBorders>
                  <w:vAlign w:val="center"/>
                </w:tcPr>
                <w:p w14:paraId="4E9A487C">
                  <w:pPr>
                    <w:jc w:val="center"/>
                    <w:rPr>
                      <w:rFonts w:hint="default" w:ascii="Calibri" w:hAnsi="Calibri" w:eastAsia="楷体_GB2312" w:cs="Calibri"/>
                      <w:color w:val="000000"/>
                    </w:rPr>
                  </w:pPr>
                  <w:r>
                    <w:rPr>
                      <w:rFonts w:hint="default" w:ascii="Calibri" w:hAnsi="Calibri" w:eastAsia="楷体_GB2312" w:cs="Calibri"/>
                      <w:color w:val="000000"/>
                    </w:rPr>
                    <w:t>2025-01-31</w:t>
                  </w:r>
                </w:p>
              </w:tc>
              <w:tc>
                <w:tcPr>
                  <w:tcW w:w="8557" w:type="dxa"/>
                  <w:tcBorders>
                    <w:top w:val="nil"/>
                    <w:left w:val="nil"/>
                    <w:bottom w:val="single" w:color="auto" w:sz="4" w:space="0"/>
                    <w:right w:val="single" w:color="auto" w:sz="4" w:space="0"/>
                  </w:tcBorders>
                  <w:vAlign w:val="center"/>
                </w:tcPr>
                <w:p w14:paraId="3A6D6D07">
                  <w:pPr>
                    <w:rPr>
                      <w:rFonts w:hint="default" w:ascii="Calibri" w:hAnsi="Calibri" w:eastAsia="楷体_GB2312" w:cs="Calibri"/>
                      <w:color w:val="000000"/>
                    </w:rPr>
                  </w:pPr>
                  <w:r>
                    <w:rPr>
                      <w:rFonts w:hint="default" w:ascii="Calibri" w:hAnsi="Calibri" w:eastAsia="楷体_GB2312" w:cs="Calibri"/>
                      <w:color w:val="000000"/>
                    </w:rPr>
                    <w:t>Kairos Power 已完成其第二座非核工程测试装置 (ETU 2.0) 的反应堆容器的设计、建造和安装。</w:t>
                  </w:r>
                </w:p>
              </w:tc>
            </w:tr>
            <w:tr w14:paraId="7AFE77CB">
              <w:tblPrEx>
                <w:tblCellMar>
                  <w:top w:w="0" w:type="dxa"/>
                  <w:left w:w="108" w:type="dxa"/>
                  <w:bottom w:w="0" w:type="dxa"/>
                  <w:right w:w="108" w:type="dxa"/>
                </w:tblCellMar>
              </w:tblPrEx>
              <w:trPr>
                <w:trHeight w:val="663" w:hRule="atLeast"/>
              </w:trPr>
              <w:tc>
                <w:tcPr>
                  <w:tcW w:w="1149" w:type="dxa"/>
                  <w:tcBorders>
                    <w:top w:val="nil"/>
                    <w:left w:val="single" w:color="auto" w:sz="4" w:space="0"/>
                    <w:bottom w:val="single" w:color="auto" w:sz="4" w:space="0"/>
                    <w:right w:val="single" w:color="auto" w:sz="4" w:space="0"/>
                  </w:tcBorders>
                  <w:vAlign w:val="center"/>
                </w:tcPr>
                <w:p w14:paraId="7E668E24">
                  <w:pPr>
                    <w:jc w:val="center"/>
                    <w:rPr>
                      <w:rFonts w:hint="default" w:ascii="Calibri" w:hAnsi="Calibri" w:eastAsia="楷体_GB2312" w:cs="Calibri"/>
                      <w:color w:val="000000"/>
                    </w:rPr>
                  </w:pPr>
                  <w:r>
                    <w:rPr>
                      <w:rFonts w:hint="default" w:ascii="Calibri" w:hAnsi="Calibri" w:eastAsia="楷体_GB2312" w:cs="Calibri"/>
                      <w:color w:val="000000"/>
                    </w:rPr>
                    <w:t>2025-01-22</w:t>
                  </w:r>
                </w:p>
              </w:tc>
              <w:tc>
                <w:tcPr>
                  <w:tcW w:w="8557" w:type="dxa"/>
                  <w:tcBorders>
                    <w:top w:val="nil"/>
                    <w:left w:val="nil"/>
                    <w:bottom w:val="single" w:color="auto" w:sz="4" w:space="0"/>
                    <w:right w:val="single" w:color="auto" w:sz="4" w:space="0"/>
                  </w:tcBorders>
                  <w:vAlign w:val="center"/>
                </w:tcPr>
                <w:p w14:paraId="14B13BF4">
                  <w:pPr>
                    <w:rPr>
                      <w:rFonts w:hint="default" w:ascii="Calibri" w:hAnsi="Calibri" w:eastAsia="楷体_GB2312" w:cs="Calibri"/>
                      <w:color w:val="000000"/>
                    </w:rPr>
                  </w:pPr>
                  <w:r>
                    <w:rPr>
                      <w:rFonts w:hint="default" w:ascii="Calibri" w:hAnsi="Calibri" w:eastAsia="楷体_GB2312" w:cs="Calibri"/>
                      <w:color w:val="000000"/>
                    </w:rPr>
                    <w:t>核电公司 TerraPower 和 Sabey 数据中心 (SDC) 签署了一份谅解备忘录 (MoU)，以探索将 TerraPower 的 Natrium 小型核反应堆开发并部署到 SDC 当前和未来的数据中心运营中。</w:t>
                  </w:r>
                </w:p>
              </w:tc>
            </w:tr>
            <w:tr w14:paraId="58AD463E">
              <w:tblPrEx>
                <w:tblCellMar>
                  <w:top w:w="0" w:type="dxa"/>
                  <w:left w:w="108" w:type="dxa"/>
                  <w:bottom w:w="0" w:type="dxa"/>
                  <w:right w:w="108" w:type="dxa"/>
                </w:tblCellMar>
              </w:tblPrEx>
              <w:trPr>
                <w:trHeight w:val="452" w:hRule="atLeast"/>
              </w:trPr>
              <w:tc>
                <w:tcPr>
                  <w:tcW w:w="1149" w:type="dxa"/>
                  <w:tcBorders>
                    <w:top w:val="nil"/>
                    <w:left w:val="single" w:color="auto" w:sz="4" w:space="0"/>
                    <w:bottom w:val="single" w:color="auto" w:sz="4" w:space="0"/>
                    <w:right w:val="single" w:color="auto" w:sz="4" w:space="0"/>
                  </w:tcBorders>
                  <w:vAlign w:val="center"/>
                </w:tcPr>
                <w:p w14:paraId="50ACD430">
                  <w:pPr>
                    <w:jc w:val="center"/>
                    <w:rPr>
                      <w:rFonts w:hint="default" w:ascii="Calibri" w:hAnsi="Calibri" w:eastAsia="楷体_GB2312" w:cs="Calibri"/>
                      <w:color w:val="000000"/>
                    </w:rPr>
                  </w:pPr>
                  <w:r>
                    <w:rPr>
                      <w:rFonts w:hint="default" w:ascii="Calibri" w:hAnsi="Calibri" w:eastAsia="楷体_GB2312" w:cs="Calibri"/>
                      <w:color w:val="000000"/>
                    </w:rPr>
                    <w:t>2025-01-18</w:t>
                  </w:r>
                </w:p>
              </w:tc>
              <w:tc>
                <w:tcPr>
                  <w:tcW w:w="8557" w:type="dxa"/>
                  <w:tcBorders>
                    <w:top w:val="nil"/>
                    <w:left w:val="nil"/>
                    <w:bottom w:val="single" w:color="auto" w:sz="4" w:space="0"/>
                    <w:right w:val="single" w:color="auto" w:sz="4" w:space="0"/>
                  </w:tcBorders>
                  <w:vAlign w:val="center"/>
                </w:tcPr>
                <w:p w14:paraId="4F564AB9">
                  <w:pPr>
                    <w:rPr>
                      <w:rFonts w:hint="default" w:ascii="Calibri" w:hAnsi="Calibri" w:eastAsia="楷体_GB2312" w:cs="Calibri"/>
                      <w:color w:val="000000"/>
                    </w:rPr>
                  </w:pPr>
                  <w:r>
                    <w:rPr>
                      <w:rFonts w:hint="default" w:ascii="Calibri" w:hAnsi="Calibri" w:eastAsia="楷体_GB2312" w:cs="Calibri"/>
                      <w:color w:val="000000"/>
                    </w:rPr>
                    <w:t> Oklo与备用电源解决方案提供商 RPower 签署了一份谅解备忘录 (MoU)，为数据中心领域部署结合天然气和核电的分阶段电力模式。</w:t>
                  </w:r>
                </w:p>
              </w:tc>
            </w:tr>
            <w:tr w14:paraId="2C8523B8">
              <w:tblPrEx>
                <w:tblCellMar>
                  <w:top w:w="0" w:type="dxa"/>
                  <w:left w:w="108" w:type="dxa"/>
                  <w:bottom w:w="0" w:type="dxa"/>
                  <w:right w:w="108" w:type="dxa"/>
                </w:tblCellMar>
              </w:tblPrEx>
              <w:trPr>
                <w:trHeight w:val="395" w:hRule="atLeast"/>
              </w:trPr>
              <w:tc>
                <w:tcPr>
                  <w:tcW w:w="1149" w:type="dxa"/>
                  <w:tcBorders>
                    <w:top w:val="nil"/>
                    <w:left w:val="single" w:color="auto" w:sz="4" w:space="0"/>
                    <w:bottom w:val="single" w:color="auto" w:sz="4" w:space="0"/>
                    <w:right w:val="single" w:color="auto" w:sz="4" w:space="0"/>
                  </w:tcBorders>
                  <w:vAlign w:val="center"/>
                </w:tcPr>
                <w:p w14:paraId="793DE9DC">
                  <w:pPr>
                    <w:jc w:val="center"/>
                    <w:rPr>
                      <w:rFonts w:hint="default" w:ascii="Calibri" w:hAnsi="Calibri" w:eastAsia="楷体_GB2312" w:cs="Calibri"/>
                      <w:color w:val="000000"/>
                    </w:rPr>
                  </w:pPr>
                  <w:r>
                    <w:rPr>
                      <w:rFonts w:hint="default" w:ascii="Calibri" w:hAnsi="Calibri" w:eastAsia="楷体_GB2312" w:cs="Calibri"/>
                      <w:color w:val="000000"/>
                    </w:rPr>
                    <w:t>2025-01-17</w:t>
                  </w:r>
                </w:p>
              </w:tc>
              <w:tc>
                <w:tcPr>
                  <w:tcW w:w="8557" w:type="dxa"/>
                  <w:tcBorders>
                    <w:top w:val="nil"/>
                    <w:left w:val="nil"/>
                    <w:bottom w:val="single" w:color="auto" w:sz="4" w:space="0"/>
                    <w:right w:val="single" w:color="auto" w:sz="4" w:space="0"/>
                  </w:tcBorders>
                  <w:vAlign w:val="center"/>
                </w:tcPr>
                <w:p w14:paraId="7FE40FA2">
                  <w:pPr>
                    <w:rPr>
                      <w:rFonts w:hint="default" w:ascii="Calibri" w:hAnsi="Calibri" w:eastAsia="楷体_GB2312" w:cs="Calibri"/>
                      <w:color w:val="000000"/>
                    </w:rPr>
                  </w:pPr>
                  <w:r>
                    <w:rPr>
                      <w:rFonts w:hint="default" w:ascii="Calibri" w:hAnsi="Calibri" w:eastAsia="楷体_GB2312" w:cs="Calibri"/>
                      <w:color w:val="000000"/>
                    </w:rPr>
                    <w:t>Energy Vault与NuCube Energy 签署了战略合作伙伴关系，以支持 NuCube的NuSun小型核反应堆用于数据中心行业。</w:t>
                  </w:r>
                </w:p>
              </w:tc>
            </w:tr>
            <w:tr w14:paraId="7B4ACE7F">
              <w:tblPrEx>
                <w:tblCellMar>
                  <w:top w:w="0" w:type="dxa"/>
                  <w:left w:w="108" w:type="dxa"/>
                  <w:bottom w:w="0" w:type="dxa"/>
                  <w:right w:w="108" w:type="dxa"/>
                </w:tblCellMar>
              </w:tblPrEx>
              <w:trPr>
                <w:trHeight w:val="678" w:hRule="atLeast"/>
              </w:trPr>
              <w:tc>
                <w:tcPr>
                  <w:tcW w:w="1149" w:type="dxa"/>
                  <w:tcBorders>
                    <w:top w:val="nil"/>
                    <w:left w:val="single" w:color="auto" w:sz="4" w:space="0"/>
                    <w:bottom w:val="single" w:color="auto" w:sz="4" w:space="0"/>
                    <w:right w:val="single" w:color="auto" w:sz="4" w:space="0"/>
                  </w:tcBorders>
                  <w:vAlign w:val="center"/>
                </w:tcPr>
                <w:p w14:paraId="4546833D">
                  <w:pPr>
                    <w:jc w:val="center"/>
                    <w:rPr>
                      <w:rFonts w:hint="default" w:ascii="Calibri" w:hAnsi="Calibri" w:eastAsia="楷体_GB2312" w:cs="Calibri"/>
                      <w:color w:val="000000"/>
                    </w:rPr>
                  </w:pPr>
                  <w:r>
                    <w:rPr>
                      <w:rFonts w:hint="default" w:ascii="Calibri" w:hAnsi="Calibri" w:eastAsia="楷体_GB2312" w:cs="Calibri"/>
                      <w:color w:val="000000"/>
                    </w:rPr>
                    <w:t>2025-01-07</w:t>
                  </w:r>
                </w:p>
              </w:tc>
              <w:tc>
                <w:tcPr>
                  <w:tcW w:w="8557" w:type="dxa"/>
                  <w:tcBorders>
                    <w:top w:val="nil"/>
                    <w:left w:val="nil"/>
                    <w:bottom w:val="single" w:color="auto" w:sz="4" w:space="0"/>
                    <w:right w:val="single" w:color="auto" w:sz="4" w:space="0"/>
                  </w:tcBorders>
                  <w:vAlign w:val="center"/>
                </w:tcPr>
                <w:p w14:paraId="027D7CBE">
                  <w:pPr>
                    <w:rPr>
                      <w:rFonts w:hint="default" w:ascii="Calibri" w:hAnsi="Calibri" w:eastAsia="楷体_GB2312" w:cs="Calibri"/>
                      <w:color w:val="000000"/>
                    </w:rPr>
                  </w:pPr>
                  <w:r>
                    <w:rPr>
                      <w:rFonts w:hint="default" w:ascii="Calibri" w:hAnsi="Calibri" w:eastAsia="楷体_GB2312" w:cs="Calibri"/>
                      <w:color w:val="000000"/>
                    </w:rPr>
                    <w:t>小型模块化核反应堆 (SMR) 开发商 Deep Fission 已与美国可持续基础设施开发商 Endeavour Energy 合作，承诺共同开发 2GW 核能，为 Endeavour 的全球 Edged 数据中心组合供电，首批反应堆预计将于 2029 年投入运营。</w:t>
                  </w:r>
                </w:p>
              </w:tc>
            </w:tr>
          </w:tbl>
          <w:p w14:paraId="3F7A49E1">
            <w:pPr>
              <w:overflowPunct w:val="0"/>
              <w:spacing w:before="20" w:after="20"/>
              <w:rPr>
                <w:rFonts w:hint="default" w:ascii="Calibri" w:hAnsi="Calibri" w:eastAsia="楷体_GB2312" w:cs="Calibri"/>
              </w:rPr>
            </w:pPr>
          </w:p>
        </w:tc>
      </w:tr>
      <w:tr w14:paraId="155A052E">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9914" w:type="dxa"/>
            <w:tcBorders>
              <w:top w:val="single" w:color="auto" w:sz="4" w:space="0"/>
            </w:tcBorders>
          </w:tcPr>
          <w:p w14:paraId="2FD9AAC3">
            <w:pPr>
              <w:rPr>
                <w:rFonts w:hint="default" w:ascii="Calibri" w:hAnsi="Calibri" w:eastAsia="楷体_GB2312" w:cs="Calibri"/>
                <w:i/>
                <w:iCs/>
                <w:sz w:val="15"/>
                <w:szCs w:val="15"/>
                <w:lang w:eastAsia="zh-CN"/>
              </w:rPr>
            </w:pPr>
            <w:r>
              <w:rPr>
                <w:rFonts w:hint="default" w:ascii="Calibri" w:hAnsi="Calibri" w:eastAsia="楷体_GB2312" w:cs="Calibri"/>
                <w:i/>
                <w:iCs/>
              </w:rPr>
              <w:t>资料来源：DCD，</w:t>
            </w:r>
            <w:r>
              <w:rPr>
                <w:rFonts w:hint="default" w:ascii="Calibri" w:hAnsi="Calibri" w:eastAsia="楷体_GB2312" w:cs="Calibri"/>
                <w:i/>
                <w:iCs/>
                <w:lang w:eastAsia="zh-CN"/>
              </w:rPr>
              <w:t>HFI</w:t>
            </w:r>
          </w:p>
        </w:tc>
      </w:tr>
    </w:tbl>
    <w:p w14:paraId="613877B5">
      <w:pPr>
        <w:overflowPunct w:val="0"/>
        <w:ind w:left="3200" w:leftChars="2000"/>
        <w:jc w:val="both"/>
        <w:outlineLvl w:val="1"/>
        <w:rPr>
          <w:rFonts w:hint="default" w:ascii="Calibri" w:hAnsi="Calibri" w:eastAsia="楷体_GB2312" w:cs="Calibri"/>
          <w:b/>
          <w:bCs/>
          <w:sz w:val="20"/>
          <w:szCs w:val="20"/>
          <w:lang w:val="en-US" w:eastAsia="zh-CN"/>
        </w:rPr>
      </w:pPr>
    </w:p>
    <w:p w14:paraId="4D053C6A">
      <w:pPr>
        <w:overflowPunct w:val="0"/>
        <w:ind w:left="3200" w:leftChars="2000"/>
        <w:jc w:val="both"/>
        <w:outlineLvl w:val="1"/>
        <w:rPr>
          <w:rFonts w:hint="default" w:ascii="Calibri" w:hAnsi="Calibri" w:eastAsia="楷体_GB2312" w:cs="Calibri"/>
          <w:b/>
          <w:bCs/>
          <w:sz w:val="20"/>
          <w:szCs w:val="20"/>
          <w:lang w:val="en-US" w:eastAsia="zh-CN"/>
        </w:rPr>
      </w:pPr>
      <w:bookmarkStart w:id="13" w:name="_Toc26487"/>
      <w:r>
        <w:rPr>
          <w:rFonts w:hint="default" w:ascii="Calibri" w:hAnsi="Calibri" w:eastAsia="楷体_GB2312" w:cs="Calibri"/>
          <w:b/>
          <w:bCs/>
          <w:sz w:val="20"/>
          <w:szCs w:val="20"/>
          <w:lang w:val="en-US" w:eastAsia="zh-CN"/>
        </w:rPr>
        <w:t>（</w:t>
      </w:r>
      <w:r>
        <w:rPr>
          <w:rFonts w:hint="default" w:ascii="Calibri" w:hAnsi="Calibri" w:eastAsia="楷体_GB2312" w:cs="Calibri"/>
          <w:b/>
          <w:bCs/>
          <w:color w:val="1F497D" w:themeColor="text2"/>
          <w:sz w:val="24"/>
          <w:szCs w:val="24"/>
          <w:lang w:val="en-US" w:eastAsia="zh-CN"/>
          <w14:textFill>
            <w14:solidFill>
              <w14:schemeClr w14:val="tx2"/>
            </w14:solidFill>
          </w14:textFill>
        </w:rPr>
        <w:t>四）机器人-工业机器人</w:t>
      </w:r>
      <w:bookmarkEnd w:id="13"/>
    </w:p>
    <w:p w14:paraId="77735338">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2024年全球工业机器人安装总量预估为537,000台（</w:t>
      </w:r>
      <w:r>
        <w:rPr>
          <w:rFonts w:hint="default" w:ascii="Calibri" w:hAnsi="Calibri" w:eastAsia="楷体_GB2312" w:cs="Calibri"/>
          <w:sz w:val="20"/>
          <w:szCs w:val="20"/>
          <w:lang w:val="en-US" w:eastAsia="zh-CN"/>
        </w:rPr>
        <w:t>亚洲/澳大利亚402,000台，欧洲85,000台，美洲50,000台）。这标志着在经历了2023年略低于2022年峰值的安装量（2023年总计529,000台）之后，市场呈现出显著的复苏趋势。2024年的安装量是连续第四年突破50万台大关。从地域分布来看，亚洲/澳大利亚地区依旧是绝对的主导力量，贡献了约74.86%的全球安装量，其402,000台的安装量接近2022年的历史高点404,000台，表明该区域市场的强劲韧性和增长潜力。欧洲地区在2023年达到92,000台安装量的阶段性峰值后，2024年小幅回落至85,000台，但仍维持在较高水平。美洲地区则从2023年的55,000台略降至2024年的50,000台。</w:t>
      </w:r>
    </w:p>
    <w:tbl>
      <w:tblPr>
        <w:tblStyle w:val="27"/>
        <w:tblW w:w="7423" w:type="dxa"/>
        <w:jc w:val="right"/>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7423"/>
      </w:tblGrid>
      <w:tr w14:paraId="59A1DD64">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rPr>
          <w:trHeight w:val="397" w:hRule="atLeast"/>
          <w:jc w:val="right"/>
        </w:trPr>
        <w:tc>
          <w:tcPr>
            <w:tcW w:w="7423" w:type="dxa"/>
            <w:tcBorders>
              <w:bottom w:val="single" w:color="auto" w:sz="4" w:space="0"/>
            </w:tcBorders>
            <w:vAlign w:val="center"/>
          </w:tcPr>
          <w:p w14:paraId="2E4DDF6C">
            <w:pPr>
              <w:overflowPunct w:val="0"/>
              <w:jc w:val="both"/>
              <w:rPr>
                <w:rFonts w:hint="default" w:ascii="Calibri" w:hAnsi="Calibri" w:eastAsia="楷体_GB2312" w:cs="Calibri"/>
                <w:b/>
                <w:bCs/>
                <w:color w:val="1F497D" w:themeColor="text2"/>
                <w:sz w:val="24"/>
                <w:szCs w:val="24"/>
                <w:lang w:val="en-US" w:eastAsia="zh-CN"/>
                <w14:textFill>
                  <w14:solidFill>
                    <w14:schemeClr w14:val="tx2"/>
                  </w14:solidFill>
                </w14:textFill>
              </w:rPr>
            </w:pPr>
            <w:r>
              <w:rPr>
                <w:rFonts w:hint="default" w:ascii="Calibri" w:hAnsi="Calibri" w:eastAsia="楷体_GB2312" w:cs="Calibri"/>
                <w:b/>
                <w:bCs/>
                <w:color w:val="auto"/>
                <w:sz w:val="18"/>
                <w:szCs w:val="18"/>
                <w:lang w:val="en-US" w:eastAsia="zh-CN"/>
              </w:rPr>
              <w:t>图5: 工业机器人年安装数量（千台）</w:t>
            </w:r>
          </w:p>
        </w:tc>
      </w:tr>
      <w:tr w14:paraId="781877A9">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3222" w:hRule="atLeast"/>
          <w:jc w:val="right"/>
        </w:trPr>
        <w:tc>
          <w:tcPr>
            <w:tcW w:w="7423" w:type="dxa"/>
            <w:tcBorders>
              <w:top w:val="single" w:color="auto" w:sz="4" w:space="0"/>
              <w:bottom w:val="single" w:color="auto" w:sz="4" w:space="0"/>
            </w:tcBorders>
            <w:vAlign w:val="center"/>
          </w:tcPr>
          <w:p w14:paraId="7C5A9F82">
            <w:pPr>
              <w:overflowPunct w:val="0"/>
              <w:ind w:left="3200" w:leftChars="2000"/>
              <w:jc w:val="both"/>
              <w:rPr>
                <w:rFonts w:hint="default" w:ascii="Calibri" w:hAnsi="Calibri" w:eastAsia="楷体_GB2312" w:cs="Calibri"/>
                <w:b/>
                <w:bCs/>
                <w:color w:val="1F497D" w:themeColor="text2"/>
                <w:sz w:val="24"/>
                <w:szCs w:val="24"/>
                <w:lang w:val="en-US" w:eastAsia="zh-CN"/>
                <w14:textFill>
                  <w14:solidFill>
                    <w14:schemeClr w14:val="tx2"/>
                  </w14:solidFill>
                </w14:textFill>
              </w:rPr>
            </w:pPr>
            <w:r>
              <w:rPr>
                <w:rFonts w:hint="default" w:ascii="Calibri" w:hAnsi="Calibri" w:eastAsia="楷体_GB2312" w:cs="Calibri"/>
                <w:b/>
                <w:bCs/>
                <w:color w:val="1F497D" w:themeColor="text2"/>
                <w:sz w:val="24"/>
                <w:szCs w:val="24"/>
                <w:lang w:val="en-US" w:eastAsia="zh-CN"/>
                <w14:textFill>
                  <w14:solidFill>
                    <w14:schemeClr w14:val="tx2"/>
                  </w14:solidFill>
                </w14:textFill>
              </w:rPr>
              <w:drawing>
                <wp:anchor distT="0" distB="0" distL="114300" distR="114300" simplePos="0" relativeHeight="251660288" behindDoc="0" locked="0" layoutInCell="1" allowOverlap="1">
                  <wp:simplePos x="0" y="0"/>
                  <wp:positionH relativeFrom="column">
                    <wp:posOffset>1003300</wp:posOffset>
                  </wp:positionH>
                  <wp:positionV relativeFrom="paragraph">
                    <wp:posOffset>0</wp:posOffset>
                  </wp:positionV>
                  <wp:extent cx="4596765" cy="2526665"/>
                  <wp:effectExtent l="0" t="0" r="5715" b="3175"/>
                  <wp:wrapTopAndBottom/>
                  <wp:docPr id="2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anchor>
              </w:drawing>
            </w:r>
          </w:p>
        </w:tc>
      </w:tr>
      <w:tr w14:paraId="53962373">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rPr>
          <w:jc w:val="right"/>
        </w:trPr>
        <w:tc>
          <w:tcPr>
            <w:tcW w:w="7423" w:type="dxa"/>
            <w:tcBorders>
              <w:top w:val="single" w:color="auto" w:sz="4" w:space="0"/>
            </w:tcBorders>
          </w:tcPr>
          <w:p w14:paraId="2F1C9FE5">
            <w:pPr>
              <w:rPr>
                <w:rFonts w:hint="default" w:ascii="Calibri" w:hAnsi="Calibri" w:eastAsia="楷体_GB2312" w:cs="Calibri"/>
                <w:i/>
                <w:iCs/>
                <w:lang w:val="en-US" w:eastAsia="zh-CN"/>
              </w:rPr>
            </w:pPr>
            <w:r>
              <w:rPr>
                <w:rFonts w:hint="default" w:ascii="Calibri" w:hAnsi="Calibri" w:eastAsia="楷体_GB2312" w:cs="Calibri"/>
                <w:i/>
                <w:iCs/>
                <w:lang w:val="en-US" w:eastAsia="zh-CN"/>
              </w:rPr>
              <w:t>资料来源：U.S. Bureau of Economic Analysis，HFI</w:t>
            </w:r>
          </w:p>
        </w:tc>
      </w:tr>
    </w:tbl>
    <w:p w14:paraId="2AF6D589">
      <w:pPr>
        <w:overflowPunct w:val="0"/>
        <w:ind w:left="3200" w:leftChars="2000"/>
        <w:jc w:val="both"/>
        <w:rPr>
          <w:rFonts w:hint="default" w:ascii="Calibri" w:hAnsi="Calibri" w:eastAsia="楷体_GB2312" w:cs="Calibri"/>
          <w:b/>
          <w:bCs/>
          <w:sz w:val="20"/>
          <w:szCs w:val="20"/>
          <w:lang w:val="en-US" w:eastAsia="zh-CN"/>
        </w:rPr>
      </w:pPr>
    </w:p>
    <w:p w14:paraId="520A4719">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根据成本端压力分析（基于美国机械制造PPI数据), 全球机械制造业的价格体系呈现出显著的输入型通胀固化特征。</w:t>
      </w:r>
      <w:r>
        <w:rPr>
          <w:rFonts w:hint="default" w:ascii="Calibri" w:hAnsi="Calibri" w:eastAsia="楷体_GB2312" w:cs="Calibri"/>
          <w:sz w:val="20"/>
          <w:szCs w:val="20"/>
          <w:lang w:val="en-US" w:eastAsia="zh-CN"/>
        </w:rPr>
        <w:t>2025年，美国工业机械制造（NAICS 333）PPI指数在年初经历阶跃式增长后，年末稳定收于 264.258 的高位，反映出行业资本开支（CAPEX）成本的持续高企。特别是受劳动力成本与供应链韧性建设影响，核心动力模组（如电机、发电机及旋转设备零部件）的价格指数在2025年内录得高达 23.4% 的同比涨幅。</w:t>
      </w:r>
    </w:p>
    <w:p w14:paraId="3E9590C0">
      <w:pPr>
        <w:overflowPunct w:val="0"/>
        <w:ind w:left="3200" w:leftChars="2000"/>
        <w:jc w:val="both"/>
        <w:rPr>
          <w:rFonts w:hint="default" w:ascii="Calibri" w:hAnsi="Calibri" w:eastAsia="楷体_GB2312" w:cs="Calibri"/>
          <w:sz w:val="20"/>
          <w:szCs w:val="20"/>
          <w:lang w:val="en-US" w:eastAsia="zh-CN"/>
        </w:rPr>
      </w:pPr>
    </w:p>
    <w:tbl>
      <w:tblPr>
        <w:tblStyle w:val="27"/>
        <w:tblW w:w="7557" w:type="dxa"/>
        <w:jc w:val="right"/>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fixed"/>
        <w:tblCellMar>
          <w:top w:w="0" w:type="dxa"/>
          <w:left w:w="0" w:type="dxa"/>
          <w:bottom w:w="0" w:type="dxa"/>
          <w:right w:w="0" w:type="dxa"/>
        </w:tblCellMar>
      </w:tblPr>
      <w:tblGrid>
        <w:gridCol w:w="7557"/>
      </w:tblGrid>
      <w:tr w14:paraId="75C0DCC7">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rPr>
          <w:jc w:val="right"/>
        </w:trPr>
        <w:tc>
          <w:tcPr>
            <w:tcW w:w="7557" w:type="dxa"/>
            <w:tcBorders>
              <w:bottom w:val="single" w:color="auto" w:sz="4" w:space="0"/>
            </w:tcBorders>
          </w:tcPr>
          <w:p w14:paraId="227A7763">
            <w:pPr>
              <w:overflowPunct w:val="0"/>
              <w:jc w:val="both"/>
              <w:rPr>
                <w:rFonts w:hint="default" w:ascii="Calibri" w:hAnsi="Calibri" w:eastAsia="楷体_GB2312" w:cs="Calibri"/>
                <w:b/>
                <w:bCs/>
                <w:color w:val="1F497D" w:themeColor="text2"/>
                <w:sz w:val="24"/>
                <w:szCs w:val="24"/>
                <w:lang w:val="en-US" w:eastAsia="zh-CN"/>
                <w14:textFill>
                  <w14:solidFill>
                    <w14:schemeClr w14:val="tx2"/>
                  </w14:solidFill>
                </w14:textFill>
              </w:rPr>
            </w:pPr>
            <w:r>
              <w:rPr>
                <w:rFonts w:hint="default" w:ascii="Calibri" w:hAnsi="Calibri" w:eastAsia="楷体_GB2312" w:cs="Calibri"/>
                <w:b/>
                <w:bCs/>
                <w:color w:val="auto"/>
                <w:sz w:val="18"/>
                <w:szCs w:val="18"/>
                <w:lang w:val="en-US" w:eastAsia="zh-CN"/>
              </w:rPr>
              <w:t>图</w:t>
            </w:r>
            <w:r>
              <w:rPr>
                <w:rFonts w:hint="eastAsia" w:eastAsia="楷体_GB2312" w:cs="Calibri"/>
                <w:b/>
                <w:bCs/>
                <w:color w:val="auto"/>
                <w:sz w:val="18"/>
                <w:szCs w:val="18"/>
                <w:lang w:val="en-US" w:eastAsia="zh-CN"/>
              </w:rPr>
              <w:t>6</w:t>
            </w:r>
            <w:r>
              <w:rPr>
                <w:rFonts w:hint="default" w:ascii="Calibri" w:hAnsi="Calibri" w:eastAsia="楷体_GB2312" w:cs="Calibri"/>
                <w:b/>
                <w:bCs/>
                <w:color w:val="auto"/>
                <w:sz w:val="18"/>
                <w:szCs w:val="18"/>
                <w:lang w:val="en-US" w:eastAsia="zh-CN"/>
              </w:rPr>
              <w:t>: 美国工业品价格指数：机械制造业</w:t>
            </w:r>
          </w:p>
        </w:tc>
      </w:tr>
      <w:tr w14:paraId="5C7C4C18">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3056" w:hRule="atLeast"/>
          <w:jc w:val="right"/>
        </w:trPr>
        <w:tc>
          <w:tcPr>
            <w:tcW w:w="7557" w:type="dxa"/>
            <w:tcBorders>
              <w:top w:val="single" w:color="auto" w:sz="4" w:space="0"/>
              <w:bottom w:val="single" w:color="auto" w:sz="4" w:space="0"/>
            </w:tcBorders>
            <w:vAlign w:val="center"/>
          </w:tcPr>
          <w:p w14:paraId="7F7B8715">
            <w:pPr>
              <w:overflowPunct w:val="0"/>
              <w:ind w:left="3200" w:leftChars="2000"/>
              <w:jc w:val="both"/>
              <w:rPr>
                <w:rFonts w:hint="default" w:ascii="Calibri" w:hAnsi="Calibri" w:eastAsia="楷体_GB2312" w:cs="Calibri"/>
                <w:b/>
                <w:bCs/>
                <w:color w:val="1F497D" w:themeColor="text2"/>
                <w:sz w:val="24"/>
                <w:szCs w:val="24"/>
                <w:lang w:val="en-US" w:eastAsia="zh-CN"/>
                <w14:textFill>
                  <w14:solidFill>
                    <w14:schemeClr w14:val="tx2"/>
                  </w14:solidFill>
                </w14:textFill>
              </w:rPr>
            </w:pPr>
            <w:r>
              <w:rPr>
                <w:rFonts w:hint="default" w:ascii="Calibri" w:hAnsi="Calibri" w:eastAsia="楷体_GB2312" w:cs="Calibri"/>
                <w:b/>
                <w:bCs/>
                <w:color w:val="1F497D" w:themeColor="text2"/>
                <w:sz w:val="24"/>
                <w:szCs w:val="24"/>
                <w:lang w:val="en-US" w:eastAsia="zh-CN"/>
                <w14:textFill>
                  <w14:solidFill>
                    <w14:schemeClr w14:val="tx2"/>
                  </w14:solidFill>
                </w14:textFill>
              </w:rPr>
              <w:drawing>
                <wp:anchor distT="0" distB="0" distL="114300" distR="114300" simplePos="0" relativeHeight="251659264" behindDoc="0" locked="0" layoutInCell="1" allowOverlap="1">
                  <wp:simplePos x="0" y="0"/>
                  <wp:positionH relativeFrom="column">
                    <wp:posOffset>2032000</wp:posOffset>
                  </wp:positionH>
                  <wp:positionV relativeFrom="paragraph">
                    <wp:posOffset>3175</wp:posOffset>
                  </wp:positionV>
                  <wp:extent cx="4589145" cy="1656080"/>
                  <wp:effectExtent l="0" t="0" r="8255" b="20320"/>
                  <wp:wrapTopAndBottom/>
                  <wp:docPr id="24" name="图片 24" descr="fredgrap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fredgraph (1)"/>
                          <pic:cNvPicPr>
                            <a:picLocks noChangeAspect="1"/>
                          </pic:cNvPicPr>
                        </pic:nvPicPr>
                        <pic:blipFill>
                          <a:blip r:embed="rId23"/>
                          <a:srcRect t="7386" b="8888"/>
                          <a:stretch>
                            <a:fillRect/>
                          </a:stretch>
                        </pic:blipFill>
                        <pic:spPr>
                          <a:xfrm>
                            <a:off x="0" y="0"/>
                            <a:ext cx="4589145" cy="1656080"/>
                          </a:xfrm>
                          <a:prstGeom prst="rect">
                            <a:avLst/>
                          </a:prstGeom>
                        </pic:spPr>
                      </pic:pic>
                    </a:graphicData>
                  </a:graphic>
                </wp:anchor>
              </w:drawing>
            </w:r>
          </w:p>
        </w:tc>
      </w:tr>
      <w:tr w14:paraId="70B27E77">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rPr>
          <w:jc w:val="right"/>
        </w:trPr>
        <w:tc>
          <w:tcPr>
            <w:tcW w:w="7557" w:type="dxa"/>
            <w:tcBorders>
              <w:top w:val="single" w:color="auto" w:sz="4" w:space="0"/>
            </w:tcBorders>
          </w:tcPr>
          <w:p w14:paraId="492AA4B4">
            <w:pPr>
              <w:rPr>
                <w:rFonts w:hint="default" w:ascii="Calibri" w:hAnsi="Calibri" w:eastAsia="楷体_GB2312" w:cs="Calibri"/>
                <w:b/>
                <w:bCs/>
                <w:color w:val="1F497D" w:themeColor="text2"/>
                <w:sz w:val="24"/>
                <w:szCs w:val="24"/>
                <w:lang w:val="en-US" w:eastAsia="zh-CN"/>
                <w14:textFill>
                  <w14:solidFill>
                    <w14:schemeClr w14:val="tx2"/>
                  </w14:solidFill>
                </w14:textFill>
              </w:rPr>
            </w:pPr>
            <w:r>
              <w:rPr>
                <w:rFonts w:hint="default" w:ascii="Calibri" w:hAnsi="Calibri" w:eastAsia="楷体_GB2312" w:cs="Calibri"/>
                <w:i/>
                <w:iCs/>
                <w:lang w:val="en-US" w:eastAsia="zh-CN"/>
              </w:rPr>
              <w:t>资料来源：U.S. Bureau of Economic Analysis，HFI</w:t>
            </w:r>
          </w:p>
        </w:tc>
      </w:tr>
    </w:tbl>
    <w:p w14:paraId="15792763">
      <w:pPr>
        <w:overflowPunct w:val="0"/>
        <w:ind w:left="3200" w:leftChars="2000"/>
        <w:jc w:val="both"/>
        <w:rPr>
          <w:rFonts w:hint="default" w:ascii="Calibri" w:hAnsi="Calibri" w:eastAsia="楷体_GB2312" w:cs="Calibri"/>
          <w:b/>
          <w:bCs/>
          <w:sz w:val="20"/>
          <w:szCs w:val="20"/>
          <w:lang w:val="en-US" w:eastAsia="zh-CN"/>
        </w:rPr>
      </w:pPr>
    </w:p>
    <w:p w14:paraId="7CF096E0">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在具身智能商业化落地与制造业数字化转型深化的双重驱动下，预计2025年安装量有望触达 57.5万台 的历史新高，实现约 6% 的年度反弹增长。</w:t>
      </w:r>
      <w:r>
        <w:rPr>
          <w:rFonts w:hint="default" w:ascii="Calibri" w:hAnsi="Calibri" w:eastAsia="楷体_GB2312" w:cs="Calibri"/>
          <w:sz w:val="20"/>
          <w:szCs w:val="20"/>
          <w:lang w:val="en-US" w:eastAsia="zh-CN"/>
        </w:rPr>
        <w:t>从全球竞争格局来看，中国依然发挥着压舱石作用，其2024年安装量（29.5万台）已占据全球 54% 的份额，且在2025年实现了国产化率突破 57% 的里程碑。尽管欧洲市场受地缘政治波动影响，2024-2025年间装机量回落至约 8.2万台 的低位，且美洲市场因高利率环境经历了约 9% 的结构性下滑，但随着《通胀削减法案》推动的供应链近岸化效应显现，全球自动化资本开支正展现出强劲的复苏韧性，有望推动全球工业机器人年安装量迈向“60万台时代”的新周期。</w:t>
      </w:r>
    </w:p>
    <w:p w14:paraId="5E4974E4">
      <w:pPr>
        <w:overflowPunct w:val="0"/>
        <w:jc w:val="both"/>
        <w:rPr>
          <w:rFonts w:hint="default" w:ascii="Calibri" w:hAnsi="Calibri" w:eastAsia="楷体_GB2312" w:cs="Calibri"/>
          <w:b/>
          <w:bCs/>
          <w:color w:val="1F497D" w:themeColor="text2"/>
          <w:sz w:val="24"/>
          <w:szCs w:val="24"/>
          <w:lang w:val="en-US" w:eastAsia="zh-CN"/>
          <w14:textFill>
            <w14:solidFill>
              <w14:schemeClr w14:val="tx2"/>
            </w14:solidFill>
          </w14:textFill>
        </w:rPr>
      </w:pPr>
    </w:p>
    <w:p w14:paraId="5E7D5F39">
      <w:pPr>
        <w:overflowPunct w:val="0"/>
        <w:ind w:left="3200" w:leftChars="2000"/>
        <w:jc w:val="both"/>
        <w:outlineLvl w:val="0"/>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14" w:name="_Toc20345"/>
      <w:r>
        <w:rPr>
          <w:rFonts w:hint="default" w:ascii="Calibri" w:hAnsi="Calibri" w:eastAsia="楷体_GB2312" w:cs="Calibri"/>
          <w:b/>
          <w:bCs/>
          <w:color w:val="1F497D" w:themeColor="text2"/>
          <w:sz w:val="24"/>
          <w:szCs w:val="24"/>
          <w:lang w:val="en-US" w:eastAsia="zh-CN"/>
          <w14:textFill>
            <w14:solidFill>
              <w14:schemeClr w14:val="tx2"/>
            </w14:solidFill>
          </w14:textFill>
        </w:rPr>
        <w:t>三、全球电气与智能装备</w:t>
      </w:r>
      <w:bookmarkEnd w:id="14"/>
      <w:bookmarkStart w:id="15" w:name="_Toc1994335251"/>
    </w:p>
    <w:p w14:paraId="6F52D0CA">
      <w:pPr>
        <w:overflowPunct w:val="0"/>
        <w:ind w:left="3200" w:leftChars="2000"/>
        <w:jc w:val="both"/>
        <w:outlineLvl w:val="1"/>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16" w:name="_Toc11153"/>
      <w:r>
        <w:rPr>
          <w:rFonts w:hint="default" w:ascii="Calibri" w:hAnsi="Calibri" w:eastAsia="楷体_GB2312" w:cs="Calibri"/>
          <w:b/>
          <w:bCs/>
          <w:color w:val="1F497D" w:themeColor="text2"/>
          <w:sz w:val="24"/>
          <w:szCs w:val="24"/>
          <w:lang w:val="en-US" w:eastAsia="zh-CN"/>
          <w14:textFill>
            <w14:solidFill>
              <w14:schemeClr w14:val="tx2"/>
            </w14:solidFill>
          </w14:textFill>
        </w:rPr>
        <w:fldChar w:fldCharType="begin"/>
      </w:r>
      <w:r>
        <w:rPr>
          <w:rFonts w:hint="default" w:ascii="Calibri" w:hAnsi="Calibri" w:eastAsia="楷体_GB2312" w:cs="Calibri"/>
          <w:b/>
          <w:bCs/>
          <w:color w:val="1F497D" w:themeColor="text2"/>
          <w:sz w:val="24"/>
          <w:szCs w:val="24"/>
          <w:lang w:val="en-US" w:eastAsia="zh-CN"/>
          <w14:textFill>
            <w14:solidFill>
              <w14:schemeClr w14:val="tx2"/>
            </w14:solidFill>
          </w14:textFill>
        </w:rPr>
        <w:instrText xml:space="preserve"> HYPERLINK \l "_Toc192787052" </w:instrText>
      </w:r>
      <w:r>
        <w:rPr>
          <w:rFonts w:hint="default" w:ascii="Calibri" w:hAnsi="Calibri" w:eastAsia="楷体_GB2312" w:cs="Calibri"/>
          <w:b/>
          <w:bCs/>
          <w:color w:val="1F497D" w:themeColor="text2"/>
          <w:sz w:val="24"/>
          <w:szCs w:val="24"/>
          <w:lang w:val="en-US" w:eastAsia="zh-CN"/>
          <w14:textFill>
            <w14:solidFill>
              <w14:schemeClr w14:val="tx2"/>
            </w14:solidFill>
          </w14:textFill>
        </w:rPr>
        <w:fldChar w:fldCharType="separate"/>
      </w:r>
      <w:r>
        <w:rPr>
          <w:rFonts w:hint="default" w:ascii="Calibri" w:hAnsi="Calibri" w:eastAsia="楷体_GB2312" w:cs="Calibri"/>
          <w:b/>
          <w:bCs/>
          <w:color w:val="1F497D" w:themeColor="text2"/>
          <w:sz w:val="24"/>
          <w:szCs w:val="24"/>
          <w:lang w:val="en-US" w:eastAsia="zh-CN"/>
          <w14:textFill>
            <w14:solidFill>
              <w14:schemeClr w14:val="tx2"/>
            </w14:solidFill>
          </w14:textFill>
        </w:rPr>
        <w:t>（一）工业设备价格指数</w:t>
      </w:r>
      <w:r>
        <w:rPr>
          <w:rFonts w:hint="default" w:ascii="Calibri" w:hAnsi="Calibri" w:eastAsia="楷体_GB2312" w:cs="Calibri"/>
          <w:b/>
          <w:bCs/>
          <w:color w:val="1F497D" w:themeColor="text2"/>
          <w:sz w:val="24"/>
          <w:szCs w:val="24"/>
          <w:lang w:val="en-US" w:eastAsia="zh-CN"/>
          <w14:textFill>
            <w14:solidFill>
              <w14:schemeClr w14:val="tx2"/>
            </w14:solidFill>
          </w14:textFill>
        </w:rPr>
        <w:fldChar w:fldCharType="end"/>
      </w:r>
      <w:bookmarkEnd w:id="15"/>
      <w:bookmarkEnd w:id="16"/>
    </w:p>
    <w:p w14:paraId="2C87C293">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供需关系持续偏紧、行业竞争格局稳定，共同推动燃气轮机价格指数延续上行趋势。</w:t>
      </w:r>
      <w:r>
        <w:rPr>
          <w:rFonts w:hint="default" w:ascii="Calibri" w:hAnsi="Calibri" w:eastAsia="楷体_GB2312" w:cs="Calibri"/>
          <w:sz w:val="20"/>
          <w:szCs w:val="20"/>
          <w:lang w:val="en-US" w:eastAsia="zh-CN"/>
        </w:rPr>
        <w:t>2024年以来指数增速明显加快，价格中枢持续抬升。2024年12月指数为155.934，2025年12月升至168.297，同比上涨约7.9%，创近二十年新高。相较历史区间，当前价格已处于高位水平，在供需紧张背景下，短期内仍存在进一步上行可能。</w:t>
      </w:r>
    </w:p>
    <w:p w14:paraId="246A1A10">
      <w:pPr>
        <w:overflowPunct w:val="0"/>
        <w:ind w:left="3200" w:leftChars="2000"/>
        <w:jc w:val="both"/>
        <w:rPr>
          <w:rFonts w:hint="default" w:ascii="Calibri" w:hAnsi="Calibri" w:eastAsia="楷体_GB2312" w:cs="Calibri"/>
          <w:sz w:val="20"/>
          <w:szCs w:val="20"/>
          <w:lang w:val="en-US" w:eastAsia="zh-CN"/>
        </w:rPr>
      </w:pPr>
    </w:p>
    <w:tbl>
      <w:tblPr>
        <w:tblStyle w:val="27"/>
        <w:tblW w:w="8150" w:type="dxa"/>
        <w:jc w:val="right"/>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fixed"/>
        <w:tblCellMar>
          <w:top w:w="0" w:type="dxa"/>
          <w:left w:w="0" w:type="dxa"/>
          <w:bottom w:w="0" w:type="dxa"/>
          <w:right w:w="0" w:type="dxa"/>
        </w:tblCellMar>
      </w:tblPr>
      <w:tblGrid>
        <w:gridCol w:w="8150"/>
      </w:tblGrid>
      <w:tr w14:paraId="0DEF7D47">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PrEx>
        <w:trPr>
          <w:jc w:val="right"/>
        </w:trPr>
        <w:tc>
          <w:tcPr>
            <w:tcW w:w="8150" w:type="dxa"/>
            <w:tcBorders>
              <w:bottom w:val="single" w:color="auto" w:sz="4" w:space="0"/>
            </w:tcBorders>
          </w:tcPr>
          <w:p w14:paraId="7CB53E02">
            <w:pPr>
              <w:overflowPunct w:val="0"/>
              <w:rPr>
                <w:rFonts w:hint="default" w:ascii="Calibri" w:hAnsi="Calibri" w:eastAsia="楷体_GB2312" w:cs="Calibri"/>
                <w:b/>
                <w:sz w:val="17"/>
              </w:rPr>
            </w:pPr>
            <w:r>
              <w:rPr>
                <w:rFonts w:hint="default" w:ascii="Calibri" w:hAnsi="Calibri" w:eastAsia="楷体_GB2312" w:cs="Calibri"/>
                <w:b/>
                <w:sz w:val="18"/>
                <w:szCs w:val="18"/>
              </w:rPr>
              <w:t>图</w:t>
            </w:r>
            <w:r>
              <w:rPr>
                <w:rFonts w:hint="eastAsia" w:eastAsia="楷体_GB2312" w:cs="Calibri"/>
                <w:b/>
                <w:sz w:val="18"/>
                <w:szCs w:val="18"/>
                <w:lang w:val="en-US" w:eastAsia="zh-CN"/>
              </w:rPr>
              <w:t>7</w:t>
            </w:r>
            <w:r>
              <w:rPr>
                <w:rFonts w:hint="default" w:ascii="Calibri" w:hAnsi="Calibri" w:eastAsia="楷体_GB2312" w:cs="Calibri"/>
                <w:b/>
                <w:sz w:val="18"/>
                <w:szCs w:val="18"/>
              </w:rPr>
              <w:t>: PPI：燃气轮机</w:t>
            </w:r>
          </w:p>
        </w:tc>
      </w:tr>
      <w:tr w14:paraId="6EE34794">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1746" w:hRule="atLeast"/>
          <w:jc w:val="right"/>
        </w:trPr>
        <w:tc>
          <w:tcPr>
            <w:tcW w:w="8150" w:type="dxa"/>
            <w:tcBorders>
              <w:top w:val="single" w:color="auto" w:sz="4" w:space="0"/>
              <w:bottom w:val="single" w:color="auto" w:sz="4" w:space="0"/>
            </w:tcBorders>
            <w:vAlign w:val="center"/>
          </w:tcPr>
          <w:p w14:paraId="0DA8AF50">
            <w:pPr>
              <w:overflowPunct w:val="0"/>
              <w:jc w:val="center"/>
              <w:rPr>
                <w:rFonts w:hint="default" w:ascii="Calibri" w:hAnsi="Calibri" w:eastAsia="楷体_GB2312" w:cs="Calibri"/>
                <w:sz w:val="10"/>
              </w:rPr>
            </w:pPr>
            <w:r>
              <w:rPr>
                <w:rFonts w:hint="default" w:ascii="Calibri" w:hAnsi="Calibri" w:eastAsia="楷体_GB2312" w:cs="Calibri"/>
              </w:rPr>
              <w:drawing>
                <wp:inline distT="0" distB="0" distL="0" distR="0">
                  <wp:extent cx="5010150" cy="1807845"/>
                  <wp:effectExtent l="0" t="0" r="3810" b="5715"/>
                  <wp:docPr id="533675888" name="图片 1" descr="C:/Users/Zipline/Downloads/fredgraph.pngfred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75888" name="图片 1" descr="C:/Users/Zipline/Downloads/fredgraph.pngfredgraph"/>
                          <pic:cNvPicPr>
                            <a:picLocks noChangeAspect="1"/>
                          </pic:cNvPicPr>
                        </pic:nvPicPr>
                        <pic:blipFill>
                          <a:blip r:embed="rId24"/>
                          <a:srcRect t="551" b="551"/>
                          <a:stretch>
                            <a:fillRect/>
                          </a:stretch>
                        </pic:blipFill>
                        <pic:spPr>
                          <a:xfrm>
                            <a:off x="0" y="0"/>
                            <a:ext cx="5010150" cy="1807845"/>
                          </a:xfrm>
                          <a:prstGeom prst="rect">
                            <a:avLst/>
                          </a:prstGeom>
                        </pic:spPr>
                      </pic:pic>
                    </a:graphicData>
                  </a:graphic>
                </wp:inline>
              </w:drawing>
            </w:r>
          </w:p>
        </w:tc>
      </w:tr>
      <w:tr w14:paraId="188EDE07">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rPr>
          <w:jc w:val="right"/>
        </w:trPr>
        <w:tc>
          <w:tcPr>
            <w:tcW w:w="8150" w:type="dxa"/>
            <w:tcBorders>
              <w:top w:val="single" w:color="auto" w:sz="4" w:space="0"/>
            </w:tcBorders>
          </w:tcPr>
          <w:p w14:paraId="262E6DFA">
            <w:pPr>
              <w:overflowPunct w:val="0"/>
              <w:rPr>
                <w:rFonts w:hint="default" w:ascii="Calibri" w:hAnsi="Calibri" w:eastAsia="楷体_GB2312" w:cs="Calibri"/>
                <w:i/>
                <w:iCs/>
                <w:sz w:val="15"/>
                <w:szCs w:val="15"/>
                <w:lang w:val="en-US" w:eastAsia="zh-CN"/>
              </w:rPr>
            </w:pPr>
            <w:r>
              <w:rPr>
                <w:rFonts w:hint="default" w:ascii="Calibri" w:hAnsi="Calibri" w:eastAsia="楷体_GB2312" w:cs="Calibri"/>
                <w:i/>
                <w:iCs/>
                <w:sz w:val="15"/>
                <w:szCs w:val="15"/>
                <w:lang w:val="en-US" w:eastAsia="zh-CN"/>
              </w:rPr>
              <w:t>资料来源：U.S. Bureau of Labor Statistics</w:t>
            </w:r>
          </w:p>
        </w:tc>
      </w:tr>
    </w:tbl>
    <w:p w14:paraId="797FEEE0">
      <w:pPr>
        <w:overflowPunct w:val="0"/>
        <w:ind w:left="3200" w:leftChars="2000"/>
        <w:jc w:val="both"/>
        <w:rPr>
          <w:rFonts w:hint="default" w:ascii="Calibri" w:hAnsi="Calibri" w:eastAsia="楷体_GB2312" w:cs="Calibri"/>
          <w:b/>
          <w:bCs/>
          <w:sz w:val="20"/>
          <w:szCs w:val="20"/>
          <w:lang w:val="en-US" w:eastAsia="zh-CN"/>
        </w:rPr>
      </w:pPr>
    </w:p>
    <w:p w14:paraId="66C81183">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展望未来，美国燃气轮机市场的新增需求更多由结构性因素驱动。</w:t>
      </w:r>
      <w:r>
        <w:rPr>
          <w:rFonts w:hint="default" w:ascii="Calibri" w:hAnsi="Calibri" w:eastAsia="楷体_GB2312" w:cs="Calibri"/>
          <w:sz w:val="20"/>
          <w:szCs w:val="20"/>
          <w:lang w:val="en-US" w:eastAsia="zh-CN"/>
        </w:rPr>
        <w:t>一方面，再工业化进程和制造业回流对电力系统提出更高稳定性与调峰要求；另一方面，AI与云计算带动的数据中心快速扩张，显著抬升高可靠电源需求。尽管美国燃气发电量已显著高于中国，但整体用电需求增速相对温和，且燃气轮机装机主要集中于2000—2005年建设高峰期，现有机组规模在短期内仍可覆盖常规发电需求。因此，美国燃气轮机市场的新增建设空间有限，未来增长重心预计将更多来自数据中心相关项目的拉动。</w:t>
      </w:r>
    </w:p>
    <w:p w14:paraId="0F8B9D0F">
      <w:pPr>
        <w:overflowPunct w:val="0"/>
        <w:jc w:val="both"/>
        <w:rPr>
          <w:rFonts w:hint="default" w:ascii="Calibri" w:hAnsi="Calibri" w:eastAsia="楷体_GB2312" w:cs="Calibri"/>
          <w:b/>
          <w:bCs/>
          <w:sz w:val="20"/>
          <w:szCs w:val="20"/>
          <w:lang w:val="en-US" w:eastAsia="zh-CN"/>
        </w:rPr>
      </w:pPr>
    </w:p>
    <w:tbl>
      <w:tblPr>
        <w:tblStyle w:val="27"/>
        <w:tblW w:w="8286" w:type="dxa"/>
        <w:tblInd w:w="2422"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8286"/>
      </w:tblGrid>
      <w:tr w14:paraId="03EF2FB0">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8286" w:type="dxa"/>
            <w:tcBorders>
              <w:bottom w:val="single" w:color="auto" w:sz="4" w:space="0"/>
            </w:tcBorders>
          </w:tcPr>
          <w:p w14:paraId="5A16959F">
            <w:pPr>
              <w:overflowPunct w:val="0"/>
              <w:rPr>
                <w:rFonts w:hint="default" w:ascii="Calibri" w:hAnsi="Calibri" w:eastAsia="楷体_GB2312" w:cs="Calibri"/>
                <w:sz w:val="20"/>
                <w:szCs w:val="20"/>
                <w:lang w:val="en-US" w:eastAsia="zh-CN"/>
              </w:rPr>
            </w:pPr>
            <w:r>
              <w:rPr>
                <w:rFonts w:hint="default" w:ascii="Calibri" w:hAnsi="Calibri" w:eastAsia="楷体_GB2312" w:cs="Calibri"/>
                <w:b/>
                <w:sz w:val="18"/>
                <w:szCs w:val="18"/>
              </w:rPr>
              <w:t>图</w:t>
            </w:r>
            <w:r>
              <w:rPr>
                <w:rFonts w:hint="eastAsia" w:eastAsia="楷体_GB2312" w:cs="Calibri"/>
                <w:b/>
                <w:sz w:val="18"/>
                <w:szCs w:val="18"/>
                <w:lang w:val="en-US" w:eastAsia="zh-CN"/>
              </w:rPr>
              <w:t>8</w:t>
            </w:r>
            <w:r>
              <w:rPr>
                <w:rFonts w:hint="default" w:ascii="Calibri" w:hAnsi="Calibri" w:eastAsia="楷体_GB2312" w:cs="Calibri"/>
                <w:b/>
                <w:sz w:val="18"/>
                <w:szCs w:val="18"/>
              </w:rPr>
              <w:t>: 美国例年联合循环燃气轮机新装机量</w:t>
            </w:r>
          </w:p>
        </w:tc>
      </w:tr>
      <w:tr w14:paraId="43D748AF">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2468" w:hRule="atLeast"/>
        </w:trPr>
        <w:tc>
          <w:tcPr>
            <w:tcW w:w="8286" w:type="dxa"/>
            <w:tcBorders>
              <w:top w:val="single" w:color="auto" w:sz="4" w:space="0"/>
              <w:bottom w:val="single" w:color="auto" w:sz="4" w:space="0"/>
            </w:tcBorders>
            <w:vAlign w:val="center"/>
          </w:tcPr>
          <w:p w14:paraId="0E4FE994">
            <w:pPr>
              <w:overflowPunct w:val="0"/>
              <w:jc w:val="center"/>
              <w:rPr>
                <w:rFonts w:hint="default" w:ascii="Calibri" w:hAnsi="Calibri" w:eastAsia="楷体_GB2312" w:cs="Calibri"/>
                <w:sz w:val="10"/>
              </w:rPr>
            </w:pPr>
            <w:r>
              <w:rPr>
                <w:rFonts w:hint="default" w:ascii="Calibri" w:hAnsi="Calibri" w:eastAsia="楷体_GB2312" w:cs="Calibri"/>
              </w:rPr>
              <w:drawing>
                <wp:inline distT="0" distB="0" distL="114300" distR="114300">
                  <wp:extent cx="5120005" cy="2543175"/>
                  <wp:effectExtent l="0" t="0" r="4445"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5"/>
                          <a:stretch>
                            <a:fillRect/>
                          </a:stretch>
                        </pic:blipFill>
                        <pic:spPr>
                          <a:xfrm>
                            <a:off x="0" y="0"/>
                            <a:ext cx="5120005" cy="2543175"/>
                          </a:xfrm>
                          <a:prstGeom prst="rect">
                            <a:avLst/>
                          </a:prstGeom>
                          <a:noFill/>
                          <a:ln>
                            <a:noFill/>
                          </a:ln>
                        </pic:spPr>
                      </pic:pic>
                    </a:graphicData>
                  </a:graphic>
                </wp:inline>
              </w:drawing>
            </w:r>
          </w:p>
        </w:tc>
      </w:tr>
      <w:tr w14:paraId="1C0059C4">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8286" w:type="dxa"/>
            <w:tcBorders>
              <w:top w:val="single" w:color="auto" w:sz="4" w:space="0"/>
            </w:tcBorders>
          </w:tcPr>
          <w:p w14:paraId="1350BF6F">
            <w:pPr>
              <w:overflowPunct w:val="0"/>
              <w:rPr>
                <w:rFonts w:hint="default" w:ascii="Calibri" w:hAnsi="Calibri" w:eastAsia="楷体_GB2312" w:cs="Calibri"/>
                <w:sz w:val="15"/>
                <w:szCs w:val="15"/>
              </w:rPr>
            </w:pPr>
            <w:r>
              <w:rPr>
                <w:rFonts w:hint="default" w:ascii="Calibri" w:hAnsi="Calibri" w:eastAsia="楷体_GB2312" w:cs="Calibri"/>
                <w:i/>
                <w:iCs/>
                <w:lang w:val="zh-CN"/>
              </w:rPr>
              <w:t>资料来源：EIA</w:t>
            </w:r>
          </w:p>
        </w:tc>
      </w:tr>
    </w:tbl>
    <w:p w14:paraId="56039655">
      <w:pPr>
        <w:overflowPunct w:val="0"/>
        <w:ind w:firstLine="3000" w:firstLineChars="1500"/>
        <w:rPr>
          <w:rFonts w:hint="default" w:ascii="Calibri" w:hAnsi="Calibri" w:eastAsia="楷体_GB2312" w:cs="Calibri"/>
          <w:sz w:val="20"/>
          <w:szCs w:val="20"/>
          <w:lang w:val="en-US" w:eastAsia="zh-CN"/>
        </w:rPr>
      </w:pPr>
    </w:p>
    <w:p w14:paraId="5C6483D6">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在价格走势上，泵与压缩机制造环节PPI整体呈现长期上行态势。</w:t>
      </w:r>
      <w:r>
        <w:rPr>
          <w:rFonts w:hint="default" w:ascii="Calibri" w:hAnsi="Calibri" w:eastAsia="楷体_GB2312" w:cs="Calibri"/>
          <w:sz w:val="20"/>
          <w:szCs w:val="20"/>
          <w:lang w:val="en-US" w:eastAsia="zh-CN"/>
        </w:rPr>
        <w:t>作为工业系统中的关键通用设备，其生产者出厂价格指数自2003年基期以来持续抬升，2020年后涨幅明显扩大，并在2022年起进入加速上行阶段。至2025年12月，指数升至238.872，处于历史高位区间。预计在AI 数据中心建设、工业投资回暖等因素支撑下，相关需求具备较强韧性，价格中枢有望维持高位运行。</w:t>
      </w:r>
    </w:p>
    <w:p w14:paraId="5694455C">
      <w:pPr>
        <w:overflowPunct w:val="0"/>
        <w:ind w:left="3200" w:leftChars="2000"/>
        <w:jc w:val="both"/>
        <w:rPr>
          <w:rFonts w:hint="default" w:ascii="Calibri" w:hAnsi="Calibri" w:eastAsia="楷体_GB2312" w:cs="Calibri"/>
          <w:sz w:val="20"/>
          <w:szCs w:val="20"/>
          <w:lang w:val="en-US" w:eastAsia="zh-CN"/>
        </w:rPr>
      </w:pPr>
    </w:p>
    <w:tbl>
      <w:tblPr>
        <w:tblStyle w:val="27"/>
        <w:tblW w:w="8376" w:type="dxa"/>
        <w:tblInd w:w="2336"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8376"/>
      </w:tblGrid>
      <w:tr w14:paraId="171EFB87">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PrEx>
        <w:tc>
          <w:tcPr>
            <w:tcW w:w="8376" w:type="dxa"/>
            <w:tcBorders>
              <w:bottom w:val="single" w:color="auto" w:sz="4" w:space="0"/>
            </w:tcBorders>
          </w:tcPr>
          <w:p w14:paraId="7F5C4CE6">
            <w:pPr>
              <w:overflowPunct w:val="0"/>
              <w:rPr>
                <w:rFonts w:hint="default" w:ascii="Calibri" w:hAnsi="Calibri" w:eastAsia="楷体_GB2312" w:cs="Calibri"/>
                <w:b/>
                <w:sz w:val="18"/>
                <w:szCs w:val="18"/>
              </w:rPr>
            </w:pPr>
            <w:r>
              <w:rPr>
                <w:rFonts w:hint="default" w:ascii="Calibri" w:hAnsi="Calibri" w:eastAsia="楷体_GB2312" w:cs="Calibri"/>
                <w:b/>
                <w:sz w:val="18"/>
                <w:szCs w:val="18"/>
              </w:rPr>
              <w:t>图</w:t>
            </w:r>
            <w:r>
              <w:rPr>
                <w:rFonts w:hint="eastAsia" w:eastAsia="楷体_GB2312" w:cs="Calibri"/>
                <w:b/>
                <w:sz w:val="18"/>
                <w:szCs w:val="18"/>
                <w:lang w:val="en-US" w:eastAsia="zh-CN"/>
              </w:rPr>
              <w:t>9</w:t>
            </w:r>
            <w:r>
              <w:rPr>
                <w:rFonts w:hint="default" w:ascii="Calibri" w:hAnsi="Calibri" w:eastAsia="楷体_GB2312" w:cs="Calibri"/>
                <w:b/>
                <w:sz w:val="18"/>
                <w:szCs w:val="18"/>
              </w:rPr>
              <w:t>: 生产商价格指数按行业：泵和压缩机制造</w:t>
            </w:r>
          </w:p>
        </w:tc>
      </w:tr>
      <w:tr w14:paraId="2B95B844">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2554" w:hRule="atLeast"/>
        </w:trPr>
        <w:tc>
          <w:tcPr>
            <w:tcW w:w="8376" w:type="dxa"/>
            <w:tcBorders>
              <w:top w:val="single" w:color="auto" w:sz="4" w:space="0"/>
              <w:bottom w:val="single" w:color="auto" w:sz="4" w:space="0"/>
            </w:tcBorders>
            <w:vAlign w:val="center"/>
          </w:tcPr>
          <w:p w14:paraId="4FDBCDBE">
            <w:pPr>
              <w:overflowPunct w:val="0"/>
              <w:jc w:val="center"/>
              <w:rPr>
                <w:rFonts w:hint="default" w:ascii="Calibri" w:hAnsi="Calibri" w:eastAsia="楷体_GB2312" w:cs="Calibri"/>
                <w:sz w:val="10"/>
              </w:rPr>
            </w:pPr>
            <w:r>
              <w:rPr>
                <w:rFonts w:hint="default" w:ascii="Calibri" w:hAnsi="Calibri" w:eastAsia="楷体_GB2312" w:cs="Calibri"/>
                <w:sz w:val="10"/>
              </w:rPr>
              <w:drawing>
                <wp:inline distT="0" distB="0" distL="114300" distR="114300">
                  <wp:extent cx="5180965" cy="2656840"/>
                  <wp:effectExtent l="0" t="0" r="635" b="635"/>
                  <wp:docPr id="4" name="图片 4" descr="fredgrap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redgraph (1)"/>
                          <pic:cNvPicPr>
                            <a:picLocks noChangeAspect="1"/>
                          </pic:cNvPicPr>
                        </pic:nvPicPr>
                        <pic:blipFill>
                          <a:blip r:embed="rId26"/>
                          <a:stretch>
                            <a:fillRect/>
                          </a:stretch>
                        </pic:blipFill>
                        <pic:spPr>
                          <a:xfrm>
                            <a:off x="0" y="0"/>
                            <a:ext cx="5180965" cy="2656840"/>
                          </a:xfrm>
                          <a:prstGeom prst="rect">
                            <a:avLst/>
                          </a:prstGeom>
                        </pic:spPr>
                      </pic:pic>
                    </a:graphicData>
                  </a:graphic>
                </wp:inline>
              </w:drawing>
            </w:r>
          </w:p>
        </w:tc>
      </w:tr>
      <w:tr w14:paraId="344293A9">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8376" w:type="dxa"/>
            <w:tcBorders>
              <w:top w:val="single" w:color="auto" w:sz="4" w:space="0"/>
            </w:tcBorders>
          </w:tcPr>
          <w:p w14:paraId="7D7885B5">
            <w:pPr>
              <w:overflowPunct w:val="0"/>
              <w:rPr>
                <w:rFonts w:hint="default" w:ascii="Calibri" w:hAnsi="Calibri" w:eastAsia="楷体_GB2312" w:cs="Calibri"/>
                <w:sz w:val="15"/>
                <w:szCs w:val="15"/>
              </w:rPr>
            </w:pPr>
            <w:r>
              <w:rPr>
                <w:rFonts w:hint="default" w:ascii="Calibri" w:hAnsi="Calibri" w:eastAsia="楷体_GB2312" w:cs="Calibri"/>
                <w:i/>
                <w:iCs/>
                <w:lang w:val="zh-CN"/>
              </w:rPr>
              <w:t>资料来源：U.S. Bureau of Labor Statistics via FRED® , HFI</w:t>
            </w:r>
          </w:p>
        </w:tc>
      </w:tr>
    </w:tbl>
    <w:p w14:paraId="2C356093">
      <w:pPr>
        <w:overflowPunct w:val="0"/>
        <w:rPr>
          <w:rFonts w:hint="default" w:ascii="Calibri" w:hAnsi="Calibri" w:eastAsia="楷体_GB2312" w:cs="Calibri"/>
          <w:b/>
          <w:bCs/>
          <w:kern w:val="28"/>
          <w:szCs w:val="20"/>
          <w:lang w:eastAsia="zh-CN"/>
        </w:rPr>
      </w:pPr>
    </w:p>
    <w:p w14:paraId="03180AAB">
      <w:pPr>
        <w:overflowPunct w:val="0"/>
        <w:ind w:left="3200" w:leftChars="2000"/>
        <w:jc w:val="both"/>
        <w:rPr>
          <w:rFonts w:hint="default" w:ascii="Calibri" w:hAnsi="Calibri" w:eastAsia="楷体_GB2312" w:cs="Calibri"/>
          <w:sz w:val="20"/>
          <w:szCs w:val="20"/>
          <w:lang w:val="en-US" w:eastAsia="zh-CN"/>
        </w:rPr>
      </w:pPr>
    </w:p>
    <w:p w14:paraId="67B2E431">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美国电力及特种变压器：初级产品生产价格指数月环比稳定</w:t>
      </w:r>
      <w:r>
        <w:rPr>
          <w:rFonts w:hint="default" w:ascii="Calibri" w:hAnsi="Calibri" w:eastAsia="楷体_GB2312" w:cs="Calibri"/>
          <w:sz w:val="20"/>
          <w:szCs w:val="20"/>
          <w:lang w:val="en-US" w:eastAsia="zh-CN"/>
        </w:rPr>
        <w:t>。电力及特种变压器初级产品生产价格指数2025年12月为441.856，环比上升，同比增长5.86%。</w:t>
      </w:r>
    </w:p>
    <w:tbl>
      <w:tblPr>
        <w:tblStyle w:val="27"/>
        <w:tblpPr w:leftFromText="180" w:rightFromText="180" w:vertAnchor="text" w:horzAnchor="margin" w:tblpXSpec="right" w:tblpY="283"/>
        <w:tblW w:w="8316" w:type="dxa"/>
        <w:tblInd w:w="0"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8316"/>
      </w:tblGrid>
      <w:tr w14:paraId="78A00AD4">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PrEx>
        <w:trPr>
          <w:trHeight w:val="90" w:hRule="atLeast"/>
        </w:trPr>
        <w:tc>
          <w:tcPr>
            <w:tcW w:w="8316" w:type="dxa"/>
            <w:tcBorders>
              <w:bottom w:val="single" w:color="auto" w:sz="4" w:space="0"/>
            </w:tcBorders>
          </w:tcPr>
          <w:p w14:paraId="749CEF9D">
            <w:pPr>
              <w:overflowPunct w:val="0"/>
              <w:rPr>
                <w:rFonts w:hint="default" w:ascii="Calibri" w:hAnsi="Calibri" w:eastAsia="楷体_GB2312" w:cs="Calibri"/>
                <w:b/>
                <w:sz w:val="17"/>
              </w:rPr>
            </w:pPr>
            <w:r>
              <w:rPr>
                <w:rFonts w:hint="default" w:ascii="Calibri" w:hAnsi="Calibri" w:eastAsia="楷体_GB2312" w:cs="Calibri"/>
                <w:b/>
                <w:sz w:val="18"/>
                <w:szCs w:val="18"/>
              </w:rPr>
              <w:t>图</w:t>
            </w:r>
            <w:r>
              <w:rPr>
                <w:rFonts w:hint="eastAsia" w:eastAsia="楷体_GB2312" w:cs="Calibri"/>
                <w:b/>
                <w:sz w:val="18"/>
                <w:szCs w:val="18"/>
                <w:lang w:val="en-US" w:eastAsia="zh-CN"/>
              </w:rPr>
              <w:t>10</w:t>
            </w:r>
            <w:r>
              <w:rPr>
                <w:rFonts w:hint="default" w:ascii="Calibri" w:hAnsi="Calibri" w:eastAsia="楷体_GB2312" w:cs="Calibri"/>
                <w:b/>
                <w:sz w:val="18"/>
                <w:szCs w:val="18"/>
              </w:rPr>
              <w:t>: 工业生产者出厂价格指数 : 电力及特种变压器初级产品</w:t>
            </w:r>
          </w:p>
        </w:tc>
      </w:tr>
      <w:tr w14:paraId="6965F8C5">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2761" w:hRule="atLeast"/>
        </w:trPr>
        <w:tc>
          <w:tcPr>
            <w:tcW w:w="8316" w:type="dxa"/>
            <w:tcBorders>
              <w:top w:val="single" w:color="auto" w:sz="4" w:space="0"/>
              <w:bottom w:val="single" w:color="auto" w:sz="4" w:space="0"/>
            </w:tcBorders>
            <w:vAlign w:val="center"/>
          </w:tcPr>
          <w:p w14:paraId="5B9B1871">
            <w:pPr>
              <w:overflowPunct w:val="0"/>
              <w:jc w:val="center"/>
              <w:rPr>
                <w:rFonts w:hint="default" w:ascii="Calibri" w:hAnsi="Calibri" w:eastAsia="楷体_GB2312" w:cs="Calibri"/>
                <w:sz w:val="10"/>
              </w:rPr>
            </w:pPr>
            <w:r>
              <w:rPr>
                <w:rFonts w:hint="default" w:ascii="Calibri" w:hAnsi="Calibri" w:eastAsia="楷体_GB2312" w:cs="Calibri"/>
                <w:sz w:val="10"/>
              </w:rPr>
              <w:drawing>
                <wp:inline distT="0" distB="0" distL="114300" distR="114300">
                  <wp:extent cx="5134610" cy="2872740"/>
                  <wp:effectExtent l="0" t="0" r="8890" b="3810"/>
                  <wp:docPr id="8" name="图片 8" descr="fredgrap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redgraph (5)"/>
                          <pic:cNvPicPr>
                            <a:picLocks noChangeAspect="1"/>
                          </pic:cNvPicPr>
                        </pic:nvPicPr>
                        <pic:blipFill>
                          <a:blip r:embed="rId27"/>
                          <a:stretch>
                            <a:fillRect/>
                          </a:stretch>
                        </pic:blipFill>
                        <pic:spPr>
                          <a:xfrm>
                            <a:off x="0" y="0"/>
                            <a:ext cx="5134610" cy="2872740"/>
                          </a:xfrm>
                          <a:prstGeom prst="rect">
                            <a:avLst/>
                          </a:prstGeom>
                        </pic:spPr>
                      </pic:pic>
                    </a:graphicData>
                  </a:graphic>
                </wp:inline>
              </w:drawing>
            </w:r>
          </w:p>
        </w:tc>
      </w:tr>
      <w:tr w14:paraId="71BF4BB9">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8316" w:type="dxa"/>
            <w:tcBorders>
              <w:top w:val="single" w:color="auto" w:sz="4" w:space="0"/>
            </w:tcBorders>
          </w:tcPr>
          <w:p w14:paraId="59496775">
            <w:pPr>
              <w:overflowPunct w:val="0"/>
              <w:rPr>
                <w:rFonts w:hint="default" w:ascii="Calibri" w:hAnsi="Calibri" w:eastAsia="楷体_GB2312" w:cs="Calibri"/>
                <w:i/>
                <w:iCs/>
                <w:sz w:val="15"/>
                <w:szCs w:val="15"/>
              </w:rPr>
            </w:pPr>
            <w:r>
              <w:rPr>
                <w:rFonts w:hint="default" w:ascii="Calibri" w:hAnsi="Calibri" w:eastAsia="楷体_GB2312" w:cs="Calibri"/>
                <w:i/>
                <w:iCs/>
                <w:sz w:val="15"/>
                <w:szCs w:val="15"/>
              </w:rPr>
              <w:t>资料来源：U.S. Bureau of Labor Statistics，</w:t>
            </w:r>
            <w:r>
              <w:rPr>
                <w:rFonts w:hint="default" w:ascii="Calibri" w:hAnsi="Calibri" w:eastAsia="楷体_GB2312" w:cs="Calibri"/>
                <w:i/>
                <w:iCs/>
                <w:sz w:val="15"/>
                <w:szCs w:val="15"/>
                <w:lang w:eastAsia="zh-CN"/>
              </w:rPr>
              <w:t>HFI</w:t>
            </w:r>
          </w:p>
        </w:tc>
      </w:tr>
    </w:tbl>
    <w:p w14:paraId="6A321CFE">
      <w:pPr>
        <w:overflowPunct w:val="0"/>
        <w:ind w:left="3200" w:leftChars="2000"/>
        <w:jc w:val="both"/>
        <w:rPr>
          <w:rFonts w:hint="default" w:ascii="Calibri" w:hAnsi="Calibri" w:eastAsia="楷体_GB2312" w:cs="Calibri"/>
          <w:sz w:val="20"/>
          <w:szCs w:val="20"/>
          <w:lang w:val="en-US" w:eastAsia="zh-CN"/>
        </w:rPr>
      </w:pPr>
    </w:p>
    <w:p w14:paraId="5278FE41">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美国电力及特种变压器制造价格指数月环比稳定。</w:t>
      </w:r>
      <w:r>
        <w:rPr>
          <w:rFonts w:hint="default" w:ascii="Calibri" w:hAnsi="Calibri" w:eastAsia="楷体_GB2312" w:cs="Calibri"/>
          <w:sz w:val="20"/>
          <w:szCs w:val="20"/>
          <w:lang w:val="en-US" w:eastAsia="zh-CN"/>
        </w:rPr>
        <w:t>电力及特种变压器生产价格指数2025年12月为458.394，环比上升，同比增长5.95%。</w:t>
      </w:r>
    </w:p>
    <w:p w14:paraId="1AFB262F">
      <w:pPr>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br w:type="page"/>
      </w:r>
    </w:p>
    <w:tbl>
      <w:tblPr>
        <w:tblStyle w:val="27"/>
        <w:tblW w:w="8646" w:type="dxa"/>
        <w:tblInd w:w="2057"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8646"/>
      </w:tblGrid>
      <w:tr w14:paraId="234F8261">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PrEx>
        <w:tc>
          <w:tcPr>
            <w:tcW w:w="8646" w:type="dxa"/>
            <w:tcBorders>
              <w:bottom w:val="single" w:color="auto" w:sz="4" w:space="0"/>
            </w:tcBorders>
          </w:tcPr>
          <w:p w14:paraId="0D39DD5A">
            <w:pPr>
              <w:overflowPunct w:val="0"/>
              <w:rPr>
                <w:rFonts w:hint="default" w:ascii="Calibri" w:hAnsi="Calibri" w:eastAsia="楷体_GB2312" w:cs="Calibri"/>
                <w:b/>
                <w:sz w:val="17"/>
              </w:rPr>
            </w:pPr>
            <w:r>
              <w:rPr>
                <w:rFonts w:hint="default" w:ascii="Calibri" w:hAnsi="Calibri" w:eastAsia="楷体_GB2312" w:cs="Calibri"/>
                <w:b/>
                <w:sz w:val="18"/>
                <w:szCs w:val="18"/>
              </w:rPr>
              <w:t>图</w:t>
            </w:r>
            <w:r>
              <w:rPr>
                <w:rFonts w:hint="eastAsia" w:eastAsia="楷体_GB2312" w:cs="Calibri"/>
                <w:b/>
                <w:sz w:val="18"/>
                <w:szCs w:val="18"/>
                <w:lang w:val="en-US" w:eastAsia="zh-CN"/>
              </w:rPr>
              <w:t>11</w:t>
            </w:r>
            <w:r>
              <w:rPr>
                <w:rFonts w:hint="default" w:ascii="Calibri" w:hAnsi="Calibri" w:eastAsia="楷体_GB2312" w:cs="Calibri"/>
                <w:b/>
                <w:sz w:val="18"/>
                <w:szCs w:val="18"/>
              </w:rPr>
              <w:t>: 工业生产者出厂价格指数 : 电力及特种变压器制造</w:t>
            </w:r>
          </w:p>
        </w:tc>
      </w:tr>
      <w:tr w14:paraId="76B6ACB4">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2982" w:hRule="atLeast"/>
        </w:trPr>
        <w:tc>
          <w:tcPr>
            <w:tcW w:w="8646" w:type="dxa"/>
            <w:tcBorders>
              <w:top w:val="single" w:color="auto" w:sz="4" w:space="0"/>
              <w:bottom w:val="single" w:color="auto" w:sz="4" w:space="0"/>
            </w:tcBorders>
            <w:vAlign w:val="center"/>
          </w:tcPr>
          <w:p w14:paraId="118EC359">
            <w:pPr>
              <w:overflowPunct w:val="0"/>
              <w:jc w:val="center"/>
              <w:rPr>
                <w:rFonts w:hint="default" w:ascii="Calibri" w:hAnsi="Calibri" w:eastAsia="楷体_GB2312" w:cs="Calibri"/>
                <w:sz w:val="10"/>
              </w:rPr>
            </w:pPr>
            <w:r>
              <w:rPr>
                <w:rFonts w:hint="default" w:ascii="Calibri" w:hAnsi="Calibri" w:eastAsia="楷体_GB2312" w:cs="Calibri"/>
                <w:sz w:val="10"/>
              </w:rPr>
              <w:drawing>
                <wp:inline distT="0" distB="0" distL="114300" distR="114300">
                  <wp:extent cx="5344795" cy="2634615"/>
                  <wp:effectExtent l="0" t="0" r="8255" b="3810"/>
                  <wp:docPr id="10" name="图片 10" descr="fredgrap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redgraph (6)"/>
                          <pic:cNvPicPr>
                            <a:picLocks noChangeAspect="1"/>
                          </pic:cNvPicPr>
                        </pic:nvPicPr>
                        <pic:blipFill>
                          <a:blip r:embed="rId28"/>
                          <a:stretch>
                            <a:fillRect/>
                          </a:stretch>
                        </pic:blipFill>
                        <pic:spPr>
                          <a:xfrm>
                            <a:off x="0" y="0"/>
                            <a:ext cx="5344795" cy="2634615"/>
                          </a:xfrm>
                          <a:prstGeom prst="rect">
                            <a:avLst/>
                          </a:prstGeom>
                        </pic:spPr>
                      </pic:pic>
                    </a:graphicData>
                  </a:graphic>
                </wp:inline>
              </w:drawing>
            </w:r>
          </w:p>
        </w:tc>
      </w:tr>
      <w:tr w14:paraId="04641117">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8646" w:type="dxa"/>
            <w:tcBorders>
              <w:top w:val="single" w:color="auto" w:sz="4" w:space="0"/>
            </w:tcBorders>
          </w:tcPr>
          <w:p w14:paraId="037A3CE1">
            <w:pPr>
              <w:overflowPunct w:val="0"/>
              <w:rPr>
                <w:rFonts w:hint="default" w:ascii="Calibri" w:hAnsi="Calibri" w:eastAsia="楷体_GB2312" w:cs="Calibri"/>
                <w:i/>
                <w:iCs/>
                <w:sz w:val="15"/>
                <w:szCs w:val="15"/>
              </w:rPr>
            </w:pPr>
            <w:r>
              <w:rPr>
                <w:rFonts w:hint="default" w:ascii="Calibri" w:hAnsi="Calibri" w:eastAsia="楷体_GB2312" w:cs="Calibri"/>
                <w:i/>
                <w:iCs/>
                <w:sz w:val="15"/>
                <w:szCs w:val="15"/>
              </w:rPr>
              <w:t>资料来源：U.S. Bureau of Labor Statistics，</w:t>
            </w:r>
            <w:r>
              <w:rPr>
                <w:rFonts w:hint="default" w:ascii="Calibri" w:hAnsi="Calibri" w:eastAsia="楷体_GB2312" w:cs="Calibri"/>
                <w:i/>
                <w:iCs/>
                <w:sz w:val="15"/>
                <w:szCs w:val="15"/>
                <w:lang w:eastAsia="zh-CN"/>
              </w:rPr>
              <w:t>HFI</w:t>
            </w:r>
          </w:p>
        </w:tc>
      </w:tr>
    </w:tbl>
    <w:p w14:paraId="07D8C25E">
      <w:pPr>
        <w:overflowPunct w:val="0"/>
        <w:ind w:left="3200" w:leftChars="2000"/>
        <w:jc w:val="both"/>
        <w:rPr>
          <w:rFonts w:hint="default" w:ascii="Calibri" w:hAnsi="Calibri" w:eastAsia="楷体_GB2312" w:cs="Calibri"/>
          <w:b/>
          <w:bCs/>
          <w:sz w:val="20"/>
          <w:szCs w:val="20"/>
          <w:lang w:val="en-US" w:eastAsia="zh-CN"/>
        </w:rPr>
      </w:pPr>
    </w:p>
    <w:p w14:paraId="1E72BA3C">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美国变压器和电力调节器价格指数月环比稳定。</w:t>
      </w:r>
      <w:r>
        <w:rPr>
          <w:rFonts w:hint="default" w:ascii="Calibri" w:hAnsi="Calibri" w:eastAsia="楷体_GB2312" w:cs="Calibri"/>
          <w:sz w:val="20"/>
          <w:szCs w:val="20"/>
          <w:lang w:val="en-US" w:eastAsia="zh-CN"/>
        </w:rPr>
        <w:t>变压器和电力调节器生产价格指数2025年12月为419.143，环比上升，同比增长5.72%。</w:t>
      </w:r>
    </w:p>
    <w:p w14:paraId="4E9F3530">
      <w:pPr>
        <w:overflowPunct w:val="0"/>
        <w:ind w:left="3200" w:leftChars="2000"/>
        <w:jc w:val="both"/>
        <w:rPr>
          <w:rFonts w:hint="default" w:ascii="Calibri" w:hAnsi="Calibri" w:eastAsia="楷体_GB2312" w:cs="Calibri"/>
          <w:sz w:val="20"/>
          <w:szCs w:val="20"/>
          <w:lang w:eastAsia="zh-CN"/>
        </w:rPr>
      </w:pPr>
    </w:p>
    <w:p w14:paraId="31ABC0C6">
      <w:pPr>
        <w:overflowPunct w:val="0"/>
        <w:ind w:left="3200" w:leftChars="2000"/>
        <w:jc w:val="both"/>
        <w:rPr>
          <w:rFonts w:hint="default" w:ascii="Calibri" w:hAnsi="Calibri" w:eastAsia="楷体_GB2312" w:cs="Calibri"/>
          <w:b/>
          <w:bCs/>
          <w:sz w:val="20"/>
          <w:szCs w:val="20"/>
          <w:lang w:val="en-US" w:eastAsia="zh-CN"/>
        </w:rPr>
      </w:pPr>
    </w:p>
    <w:tbl>
      <w:tblPr>
        <w:tblStyle w:val="27"/>
        <w:tblW w:w="8541" w:type="dxa"/>
        <w:tblInd w:w="2164"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8541"/>
      </w:tblGrid>
      <w:tr w14:paraId="6FB8A0EF">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8541" w:type="dxa"/>
            <w:tcBorders>
              <w:bottom w:val="single" w:color="auto" w:sz="4" w:space="0"/>
            </w:tcBorders>
          </w:tcPr>
          <w:p w14:paraId="0425C0C6">
            <w:pPr>
              <w:overflowPunct w:val="0"/>
              <w:rPr>
                <w:rFonts w:hint="default" w:ascii="Calibri" w:hAnsi="Calibri" w:eastAsia="楷体_GB2312" w:cs="Calibri"/>
                <w:b/>
                <w:szCs w:val="20"/>
              </w:rPr>
            </w:pPr>
            <w:r>
              <w:rPr>
                <w:rFonts w:hint="default" w:ascii="Calibri" w:hAnsi="Calibri" w:eastAsia="楷体_GB2312" w:cs="Calibri"/>
                <w:b/>
                <w:sz w:val="18"/>
                <w:szCs w:val="18"/>
              </w:rPr>
              <w:t>图</w:t>
            </w:r>
            <w:r>
              <w:rPr>
                <w:rFonts w:hint="default" w:ascii="Calibri" w:hAnsi="Calibri" w:eastAsia="楷体_GB2312" w:cs="Calibri"/>
                <w:b/>
                <w:sz w:val="18"/>
                <w:szCs w:val="18"/>
                <w:lang w:val="en-US" w:eastAsia="zh-CN"/>
              </w:rPr>
              <w:t>1</w:t>
            </w:r>
            <w:r>
              <w:rPr>
                <w:rFonts w:hint="eastAsia" w:eastAsia="楷体_GB2312" w:cs="Calibri"/>
                <w:b/>
                <w:sz w:val="18"/>
                <w:szCs w:val="18"/>
                <w:lang w:val="en-US" w:eastAsia="zh-CN"/>
              </w:rPr>
              <w:t>2</w:t>
            </w:r>
            <w:r>
              <w:rPr>
                <w:rFonts w:hint="default" w:ascii="Calibri" w:hAnsi="Calibri" w:eastAsia="楷体_GB2312" w:cs="Calibri"/>
                <w:b/>
                <w:sz w:val="18"/>
                <w:szCs w:val="18"/>
              </w:rPr>
              <w:t>: 工业生产者出厂价格指数 : 机械和设备-变压器和电力调节器</w:t>
            </w:r>
          </w:p>
        </w:tc>
      </w:tr>
      <w:tr w14:paraId="26D05991">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2792" w:hRule="atLeast"/>
        </w:trPr>
        <w:tc>
          <w:tcPr>
            <w:tcW w:w="8541" w:type="dxa"/>
            <w:tcBorders>
              <w:top w:val="single" w:color="auto" w:sz="4" w:space="0"/>
              <w:bottom w:val="single" w:color="auto" w:sz="4" w:space="0"/>
            </w:tcBorders>
            <w:vAlign w:val="center"/>
          </w:tcPr>
          <w:p w14:paraId="0615DC78">
            <w:pPr>
              <w:overflowPunct w:val="0"/>
              <w:jc w:val="center"/>
              <w:rPr>
                <w:rFonts w:hint="default" w:ascii="Calibri" w:hAnsi="Calibri" w:eastAsia="楷体_GB2312" w:cs="Calibri"/>
                <w:sz w:val="10"/>
              </w:rPr>
            </w:pPr>
            <w:r>
              <w:rPr>
                <w:rFonts w:hint="default" w:ascii="Calibri" w:hAnsi="Calibri" w:eastAsia="楷体_GB2312" w:cs="Calibri"/>
                <w:sz w:val="10"/>
              </w:rPr>
              <w:drawing>
                <wp:inline distT="0" distB="0" distL="114300" distR="114300">
                  <wp:extent cx="5286375" cy="2863215"/>
                  <wp:effectExtent l="0" t="0" r="0" b="3810"/>
                  <wp:docPr id="7" name="图片 7" descr="fredgrap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redgraph (4)"/>
                          <pic:cNvPicPr>
                            <a:picLocks noChangeAspect="1"/>
                          </pic:cNvPicPr>
                        </pic:nvPicPr>
                        <pic:blipFill>
                          <a:blip r:embed="rId29"/>
                          <a:stretch>
                            <a:fillRect/>
                          </a:stretch>
                        </pic:blipFill>
                        <pic:spPr>
                          <a:xfrm>
                            <a:off x="0" y="0"/>
                            <a:ext cx="5286375" cy="2863215"/>
                          </a:xfrm>
                          <a:prstGeom prst="rect">
                            <a:avLst/>
                          </a:prstGeom>
                        </pic:spPr>
                      </pic:pic>
                    </a:graphicData>
                  </a:graphic>
                </wp:inline>
              </w:drawing>
            </w:r>
          </w:p>
        </w:tc>
      </w:tr>
      <w:tr w14:paraId="2B7B400F">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8541" w:type="dxa"/>
            <w:tcBorders>
              <w:top w:val="single" w:color="auto" w:sz="4" w:space="0"/>
            </w:tcBorders>
          </w:tcPr>
          <w:p w14:paraId="7119F554">
            <w:pPr>
              <w:overflowPunct w:val="0"/>
              <w:rPr>
                <w:rFonts w:hint="default" w:ascii="Calibri" w:hAnsi="Calibri" w:eastAsia="楷体_GB2312" w:cs="Calibri"/>
                <w:i/>
                <w:iCs/>
                <w:sz w:val="15"/>
                <w:szCs w:val="15"/>
                <w:lang w:eastAsia="zh-CN"/>
              </w:rPr>
            </w:pPr>
            <w:r>
              <w:rPr>
                <w:rFonts w:hint="default" w:ascii="Calibri" w:hAnsi="Calibri" w:eastAsia="楷体_GB2312" w:cs="Calibri"/>
                <w:i/>
                <w:iCs/>
                <w:sz w:val="15"/>
                <w:szCs w:val="15"/>
              </w:rPr>
              <w:t>资料来源：U.S. Bureau of Labor Statistics，</w:t>
            </w:r>
            <w:r>
              <w:rPr>
                <w:rFonts w:hint="default" w:ascii="Calibri" w:hAnsi="Calibri" w:eastAsia="楷体_GB2312" w:cs="Calibri"/>
                <w:i/>
                <w:iCs/>
                <w:sz w:val="15"/>
                <w:szCs w:val="15"/>
                <w:lang w:eastAsia="zh-CN"/>
              </w:rPr>
              <w:t>HFI</w:t>
            </w:r>
          </w:p>
          <w:p w14:paraId="6EFE1DF3">
            <w:pPr>
              <w:overflowPunct w:val="0"/>
              <w:rPr>
                <w:rFonts w:hint="default" w:ascii="Calibri" w:hAnsi="Calibri" w:eastAsia="楷体_GB2312" w:cs="Calibri"/>
                <w:i/>
                <w:iCs/>
                <w:sz w:val="15"/>
                <w:szCs w:val="15"/>
              </w:rPr>
            </w:pPr>
          </w:p>
        </w:tc>
      </w:tr>
    </w:tbl>
    <w:p w14:paraId="797B0370">
      <w:pPr>
        <w:overflowPunct w:val="0"/>
        <w:ind w:left="3200" w:leftChars="2000"/>
        <w:jc w:val="both"/>
        <w:rPr>
          <w:rFonts w:hint="default" w:ascii="Calibri" w:hAnsi="Calibri" w:eastAsia="楷体_GB2312" w:cs="Calibri"/>
          <w:b/>
          <w:bCs/>
          <w:sz w:val="20"/>
          <w:szCs w:val="20"/>
          <w:lang w:val="en-US" w:eastAsia="zh-CN"/>
        </w:rPr>
      </w:pPr>
    </w:p>
    <w:p w14:paraId="007A9C6B">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欧洲电动机、发电机、变压器制造和配电生产价格指数月环比稳定。</w:t>
      </w:r>
      <w:r>
        <w:rPr>
          <w:rFonts w:hint="default" w:ascii="Calibri" w:hAnsi="Calibri" w:eastAsia="楷体_GB2312" w:cs="Calibri"/>
          <w:sz w:val="20"/>
          <w:szCs w:val="20"/>
          <w:lang w:val="en-US" w:eastAsia="zh-CN"/>
        </w:rPr>
        <w:t>欧洲电动机、发电机、变压器制造和配电生产价格指数2025年11月为120.8，环比微增，同比增长0.83%。</w:t>
      </w:r>
    </w:p>
    <w:p w14:paraId="4C46DE9C">
      <w:pPr>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br w:type="page"/>
      </w:r>
    </w:p>
    <w:tbl>
      <w:tblPr>
        <w:tblStyle w:val="27"/>
        <w:tblpPr w:leftFromText="180" w:rightFromText="180" w:vertAnchor="text" w:horzAnchor="margin" w:tblpXSpec="right" w:tblpY="128"/>
        <w:tblW w:w="8095" w:type="dxa"/>
        <w:tblInd w:w="0"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8095"/>
      </w:tblGrid>
      <w:tr w14:paraId="4003D1B9">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PrEx>
        <w:tc>
          <w:tcPr>
            <w:tcW w:w="8095" w:type="dxa"/>
            <w:tcBorders>
              <w:bottom w:val="single" w:color="auto" w:sz="4" w:space="0"/>
            </w:tcBorders>
          </w:tcPr>
          <w:p w14:paraId="1A0B7AD2">
            <w:pPr>
              <w:overflowPunct w:val="0"/>
              <w:rPr>
                <w:rFonts w:hint="default" w:ascii="Calibri" w:hAnsi="Calibri" w:eastAsia="楷体_GB2312" w:cs="Calibri"/>
                <w:b/>
                <w:bCs/>
                <w:szCs w:val="20"/>
              </w:rPr>
            </w:pPr>
            <w:r>
              <w:rPr>
                <w:rFonts w:hint="default" w:ascii="Calibri" w:hAnsi="Calibri" w:eastAsia="楷体_GB2312" w:cs="Calibri"/>
                <w:b/>
                <w:sz w:val="18"/>
                <w:szCs w:val="18"/>
              </w:rPr>
              <w:t>图</w:t>
            </w:r>
            <w:r>
              <w:rPr>
                <w:rFonts w:hint="eastAsia" w:eastAsia="楷体_GB2312" w:cs="Calibri"/>
                <w:b/>
                <w:sz w:val="18"/>
                <w:szCs w:val="18"/>
                <w:lang w:val="en-US" w:eastAsia="zh-CN"/>
              </w:rPr>
              <w:t>13</w:t>
            </w:r>
            <w:r>
              <w:rPr>
                <w:rFonts w:hint="default" w:ascii="Calibri" w:hAnsi="Calibri" w:eastAsia="楷体_GB2312" w:cs="Calibri"/>
                <w:b/>
                <w:sz w:val="18"/>
                <w:szCs w:val="18"/>
              </w:rPr>
              <w:t>：欧盟 - 工业生产者价格：电动机、发电机、变压器制造和配电</w:t>
            </w:r>
          </w:p>
        </w:tc>
      </w:tr>
      <w:tr w14:paraId="2DC27AAF">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rPr>
          <w:trHeight w:val="4409" w:hRule="atLeast"/>
        </w:trPr>
        <w:tc>
          <w:tcPr>
            <w:tcW w:w="8095" w:type="dxa"/>
            <w:tcBorders>
              <w:top w:val="single" w:color="auto" w:sz="4" w:space="0"/>
              <w:bottom w:val="single" w:color="auto" w:sz="4" w:space="0"/>
            </w:tcBorders>
          </w:tcPr>
          <w:p w14:paraId="31C702B9">
            <w:pPr>
              <w:rPr>
                <w:rFonts w:hint="default" w:ascii="Calibri" w:hAnsi="Calibri" w:eastAsia="楷体_GB2312" w:cs="Calibri"/>
                <w:szCs w:val="20"/>
              </w:rPr>
            </w:pPr>
            <w:r>
              <w:rPr>
                <w:rFonts w:hint="default" w:ascii="Calibri" w:hAnsi="Calibri" w:eastAsia="楷体_GB2312" w:cs="Calibri"/>
                <w:szCs w:val="20"/>
              </w:rPr>
              <w:drawing>
                <wp:inline distT="0" distB="0" distL="114300" distR="114300">
                  <wp:extent cx="5140325" cy="2706370"/>
                  <wp:effectExtent l="0" t="0" r="0" b="0"/>
                  <wp:docPr id="11" name="图片 11" descr="European_Union_Producer_prices_in_industry_Manufacture_of_electric_motors_generators_transformers_and_electricity_distribution_and_control_appar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European_Union_Producer_prices_in_industry_Manufacture_of_electric_motors_generators_transformers_and_electricity_distribution_and_control_apparatus"/>
                          <pic:cNvPicPr>
                            <a:picLocks noChangeAspect="1"/>
                          </pic:cNvPicPr>
                        </pic:nvPicPr>
                        <pic:blipFill>
                          <a:blip r:embed="rId30"/>
                          <a:srcRect t="4018" b="8621"/>
                          <a:stretch>
                            <a:fillRect/>
                          </a:stretch>
                        </pic:blipFill>
                        <pic:spPr>
                          <a:xfrm>
                            <a:off x="0" y="0"/>
                            <a:ext cx="5140325" cy="2706370"/>
                          </a:xfrm>
                          <a:prstGeom prst="rect">
                            <a:avLst/>
                          </a:prstGeom>
                        </pic:spPr>
                      </pic:pic>
                    </a:graphicData>
                  </a:graphic>
                </wp:inline>
              </w:drawing>
            </w:r>
          </w:p>
        </w:tc>
      </w:tr>
      <w:tr w14:paraId="174B025D">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PrEx>
        <w:trPr>
          <w:trHeight w:val="61" w:hRule="atLeast"/>
        </w:trPr>
        <w:tc>
          <w:tcPr>
            <w:tcW w:w="8095" w:type="dxa"/>
            <w:tcBorders>
              <w:top w:val="single" w:color="auto" w:sz="4" w:space="0"/>
            </w:tcBorders>
          </w:tcPr>
          <w:p w14:paraId="7E3897FD">
            <w:pPr>
              <w:overflowPunct w:val="0"/>
              <w:rPr>
                <w:rFonts w:hint="default" w:ascii="Calibri" w:hAnsi="Calibri" w:eastAsia="楷体_GB2312" w:cs="Calibri"/>
                <w:i/>
                <w:iCs/>
                <w:szCs w:val="20"/>
              </w:rPr>
            </w:pPr>
            <w:r>
              <w:rPr>
                <w:rFonts w:hint="default" w:ascii="Calibri" w:hAnsi="Calibri" w:eastAsia="楷体_GB2312" w:cs="Calibri"/>
                <w:i/>
                <w:iCs/>
                <w:sz w:val="15"/>
                <w:szCs w:val="15"/>
              </w:rPr>
              <w:t xml:space="preserve">资料来源: Trading Economics， </w:t>
            </w:r>
            <w:r>
              <w:rPr>
                <w:rFonts w:hint="default" w:ascii="Calibri" w:hAnsi="Calibri" w:eastAsia="楷体_GB2312" w:cs="Calibri"/>
                <w:i/>
                <w:iCs/>
                <w:sz w:val="15"/>
                <w:szCs w:val="15"/>
                <w:lang w:eastAsia="zh-CN"/>
              </w:rPr>
              <w:t>HFI</w:t>
            </w:r>
          </w:p>
        </w:tc>
      </w:tr>
    </w:tbl>
    <w:p w14:paraId="57214079">
      <w:pPr>
        <w:overflowPunct w:val="0"/>
        <w:ind w:left="3200" w:leftChars="2000"/>
        <w:jc w:val="both"/>
        <w:rPr>
          <w:rFonts w:hint="default" w:ascii="Calibri" w:hAnsi="Calibri" w:eastAsia="楷体_GB2312" w:cs="Calibri"/>
          <w:b/>
          <w:bCs/>
          <w:sz w:val="20"/>
          <w:szCs w:val="20"/>
          <w:lang w:eastAsia="zh-CN"/>
        </w:rPr>
      </w:pPr>
    </w:p>
    <w:p w14:paraId="0B52248B">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美国电机和发电机制造：电机、发电机、发电机组和其他旋转设备的零部件、用品价格指数月环比稳定。</w:t>
      </w:r>
      <w:r>
        <w:rPr>
          <w:rFonts w:hint="default" w:ascii="Calibri" w:hAnsi="Calibri" w:eastAsia="楷体_GB2312" w:cs="Calibri"/>
          <w:sz w:val="20"/>
          <w:szCs w:val="20"/>
          <w:lang w:val="en-US" w:eastAsia="zh-CN"/>
        </w:rPr>
        <w:t>美国电机和发电机制造：电机、发电机、发电机组和其他旋转设备的零部件、用品价格指数2025年12月为386.080，环比稳定，同比增长5.42%。</w:t>
      </w:r>
    </w:p>
    <w:p w14:paraId="140385AB">
      <w:pPr>
        <w:overflowPunct w:val="0"/>
        <w:ind w:left="3200" w:leftChars="2000"/>
        <w:jc w:val="both"/>
        <w:rPr>
          <w:rFonts w:hint="default" w:ascii="Calibri" w:hAnsi="Calibri" w:eastAsia="楷体_GB2312" w:cs="Calibri"/>
          <w:sz w:val="20"/>
          <w:szCs w:val="20"/>
          <w:lang w:eastAsia="zh-CN"/>
        </w:rPr>
      </w:pPr>
    </w:p>
    <w:tbl>
      <w:tblPr>
        <w:tblStyle w:val="27"/>
        <w:tblW w:w="8556" w:type="dxa"/>
        <w:tblInd w:w="2153"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8556"/>
      </w:tblGrid>
      <w:tr w14:paraId="1258DA4E">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8556" w:type="dxa"/>
            <w:tcBorders>
              <w:bottom w:val="single" w:color="auto" w:sz="4" w:space="0"/>
            </w:tcBorders>
          </w:tcPr>
          <w:p w14:paraId="027A1299">
            <w:pPr>
              <w:overflowPunct w:val="0"/>
              <w:rPr>
                <w:rFonts w:hint="default" w:ascii="Calibri" w:hAnsi="Calibri" w:eastAsia="楷体_GB2312" w:cs="Calibri"/>
                <w:b/>
                <w:szCs w:val="20"/>
              </w:rPr>
            </w:pPr>
            <w:r>
              <w:rPr>
                <w:rFonts w:hint="default" w:ascii="Calibri" w:hAnsi="Calibri" w:eastAsia="楷体_GB2312" w:cs="Calibri"/>
                <w:b/>
                <w:sz w:val="18"/>
                <w:szCs w:val="18"/>
              </w:rPr>
              <w:t>图</w:t>
            </w:r>
            <w:r>
              <w:rPr>
                <w:rFonts w:hint="default" w:ascii="Calibri" w:hAnsi="Calibri" w:eastAsia="楷体_GB2312" w:cs="Calibri"/>
                <w:b/>
                <w:sz w:val="18"/>
                <w:szCs w:val="18"/>
                <w:lang w:val="en-US" w:eastAsia="zh-CN"/>
              </w:rPr>
              <w:t>1</w:t>
            </w:r>
            <w:r>
              <w:rPr>
                <w:rFonts w:hint="eastAsia" w:eastAsia="楷体_GB2312" w:cs="Calibri"/>
                <w:b/>
                <w:sz w:val="18"/>
                <w:szCs w:val="18"/>
                <w:lang w:val="en-US" w:eastAsia="zh-CN"/>
              </w:rPr>
              <w:t>4</w:t>
            </w:r>
            <w:r>
              <w:rPr>
                <w:rFonts w:hint="default" w:ascii="Calibri" w:hAnsi="Calibri" w:eastAsia="楷体_GB2312" w:cs="Calibri"/>
                <w:b/>
                <w:sz w:val="18"/>
                <w:szCs w:val="18"/>
              </w:rPr>
              <w:t>: 美国电机和发电机制造：电机、发电机、发电机组和其他旋转设备的零部件、用品价格指数</w:t>
            </w:r>
          </w:p>
        </w:tc>
      </w:tr>
      <w:tr w14:paraId="4A0377C6">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2587" w:hRule="atLeast"/>
        </w:trPr>
        <w:tc>
          <w:tcPr>
            <w:tcW w:w="8556" w:type="dxa"/>
            <w:tcBorders>
              <w:top w:val="single" w:color="auto" w:sz="4" w:space="0"/>
              <w:bottom w:val="single" w:color="auto" w:sz="4" w:space="0"/>
            </w:tcBorders>
            <w:vAlign w:val="center"/>
          </w:tcPr>
          <w:p w14:paraId="7F7882AD">
            <w:pPr>
              <w:overflowPunct w:val="0"/>
              <w:jc w:val="center"/>
              <w:rPr>
                <w:rFonts w:hint="default" w:ascii="Calibri" w:hAnsi="Calibri" w:eastAsia="楷体_GB2312" w:cs="Calibri"/>
                <w:sz w:val="10"/>
              </w:rPr>
            </w:pPr>
            <w:r>
              <w:rPr>
                <w:rFonts w:hint="default" w:ascii="Calibri" w:hAnsi="Calibri" w:eastAsia="楷体_GB2312" w:cs="Calibri"/>
                <w:sz w:val="10"/>
              </w:rPr>
              <w:drawing>
                <wp:inline distT="0" distB="0" distL="114300" distR="114300">
                  <wp:extent cx="5295265" cy="2291715"/>
                  <wp:effectExtent l="0" t="0" r="635" b="3810"/>
                  <wp:docPr id="12" name="图片 12" descr="fredgrap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redgraph (7)"/>
                          <pic:cNvPicPr>
                            <a:picLocks noChangeAspect="1"/>
                          </pic:cNvPicPr>
                        </pic:nvPicPr>
                        <pic:blipFill>
                          <a:blip r:embed="rId31"/>
                          <a:stretch>
                            <a:fillRect/>
                          </a:stretch>
                        </pic:blipFill>
                        <pic:spPr>
                          <a:xfrm>
                            <a:off x="0" y="0"/>
                            <a:ext cx="5295265" cy="2291715"/>
                          </a:xfrm>
                          <a:prstGeom prst="rect">
                            <a:avLst/>
                          </a:prstGeom>
                        </pic:spPr>
                      </pic:pic>
                    </a:graphicData>
                  </a:graphic>
                </wp:inline>
              </w:drawing>
            </w:r>
          </w:p>
        </w:tc>
      </w:tr>
      <w:tr w14:paraId="56332E75">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8556" w:type="dxa"/>
            <w:tcBorders>
              <w:top w:val="single" w:color="auto" w:sz="4" w:space="0"/>
            </w:tcBorders>
          </w:tcPr>
          <w:p w14:paraId="5D34EB3A">
            <w:pPr>
              <w:overflowPunct w:val="0"/>
              <w:rPr>
                <w:rFonts w:hint="default" w:ascii="Calibri" w:hAnsi="Calibri" w:eastAsia="楷体_GB2312" w:cs="Calibri"/>
                <w:i/>
                <w:iCs/>
                <w:sz w:val="15"/>
                <w:szCs w:val="15"/>
              </w:rPr>
            </w:pPr>
            <w:r>
              <w:rPr>
                <w:rFonts w:hint="default" w:ascii="Calibri" w:hAnsi="Calibri" w:eastAsia="楷体_GB2312" w:cs="Calibri"/>
                <w:i/>
                <w:iCs/>
                <w:sz w:val="15"/>
                <w:szCs w:val="15"/>
              </w:rPr>
              <w:t>资料来源：U.S. Bureau of Labor Statistics，</w:t>
            </w:r>
            <w:r>
              <w:rPr>
                <w:rFonts w:hint="default" w:ascii="Calibri" w:hAnsi="Calibri" w:eastAsia="楷体_GB2312" w:cs="Calibri"/>
                <w:i/>
                <w:iCs/>
                <w:sz w:val="15"/>
                <w:szCs w:val="15"/>
                <w:lang w:eastAsia="zh-CN"/>
              </w:rPr>
              <w:t>HFI</w:t>
            </w:r>
          </w:p>
        </w:tc>
      </w:tr>
    </w:tbl>
    <w:p w14:paraId="05CA8FD9">
      <w:pPr>
        <w:rPr>
          <w:rFonts w:hint="default" w:ascii="Calibri" w:hAnsi="Calibri" w:eastAsia="楷体_GB2312" w:cs="Calibri"/>
          <w:lang w:eastAsia="zh-CN"/>
        </w:rPr>
      </w:pPr>
    </w:p>
    <w:p w14:paraId="6724BC99">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2024年安装了542,076台机器人，机器人安装量较2023年创纪录的541,302台微增0.1%。</w:t>
      </w:r>
      <w:r>
        <w:rPr>
          <w:rFonts w:hint="default" w:ascii="Calibri" w:hAnsi="Calibri" w:eastAsia="楷体_GB2312" w:cs="Calibri"/>
          <w:sz w:val="20"/>
          <w:szCs w:val="20"/>
          <w:lang w:val="en-US" w:eastAsia="zh-CN"/>
        </w:rPr>
        <w:t>年度安装量连续第四年突破50万台大关。尽管全球宏观经济环境仍面临压力，但安装量基本与前一年持平，仅比2022年历史最高纪录的552,946台低约2%。主要客户行业的需求出现明显结构性调整：电子行业重新夺回工业机器人最大客户的地位，因为汽车行业需求出现回落。2024年，电子行业安装了约128,899台机器人（+2.5%），占比成为第一；汽车行业安装了126,088台（-6.9%），占比下降。金属和机械行业保持稳定位置，其次是塑料和化工产品行业以及食品和饮料行业。部分机器人安装量（比例通常在15-20%左右）仍缺乏具体的客户行业信息。2024年，工业机器人运行存量显著增长，达到4,663,773台（+8.9%）。自2018年以来，工业机器人运行存量平均每年增长约10-12%。</w:t>
      </w:r>
    </w:p>
    <w:tbl>
      <w:tblPr>
        <w:tblStyle w:val="27"/>
        <w:tblW w:w="8543" w:type="dxa"/>
        <w:tblInd w:w="2164"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4086"/>
        <w:gridCol w:w="4457"/>
      </w:tblGrid>
      <w:tr w14:paraId="7ACF9FAC">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rPr>
          <w:trHeight w:val="295" w:hRule="atLeast"/>
        </w:trPr>
        <w:tc>
          <w:tcPr>
            <w:tcW w:w="4086" w:type="dxa"/>
            <w:tcBorders>
              <w:bottom w:val="single" w:color="auto" w:sz="4" w:space="0"/>
            </w:tcBorders>
          </w:tcPr>
          <w:p w14:paraId="7A10F6B9">
            <w:pPr>
              <w:overflowPunct w:val="0"/>
              <w:rPr>
                <w:rFonts w:hint="default" w:ascii="Calibri" w:hAnsi="Calibri" w:eastAsia="楷体_GB2312" w:cs="Calibri"/>
                <w:b/>
                <w:sz w:val="18"/>
                <w:szCs w:val="20"/>
              </w:rPr>
            </w:pPr>
            <w:r>
              <w:rPr>
                <w:rFonts w:hint="default" w:ascii="Calibri" w:hAnsi="Calibri" w:eastAsia="楷体_GB2312" w:cs="Calibri"/>
                <w:b/>
                <w:sz w:val="18"/>
                <w:szCs w:val="20"/>
              </w:rPr>
              <w:t>图</w:t>
            </w:r>
            <w:r>
              <w:rPr>
                <w:rFonts w:hint="default" w:ascii="Calibri" w:hAnsi="Calibri" w:eastAsia="楷体_GB2312" w:cs="Calibri"/>
                <w:b/>
                <w:sz w:val="18"/>
                <w:szCs w:val="20"/>
                <w:lang w:val="en-US" w:eastAsia="zh-CN"/>
              </w:rPr>
              <w:t>1</w:t>
            </w:r>
            <w:r>
              <w:rPr>
                <w:rFonts w:hint="eastAsia" w:eastAsia="楷体_GB2312" w:cs="Calibri"/>
                <w:b/>
                <w:sz w:val="18"/>
                <w:szCs w:val="20"/>
                <w:lang w:val="en-US" w:eastAsia="zh-CN"/>
              </w:rPr>
              <w:t>5</w:t>
            </w:r>
            <w:r>
              <w:rPr>
                <w:rFonts w:hint="default" w:ascii="Calibri" w:hAnsi="Calibri" w:eastAsia="楷体_GB2312" w:cs="Calibri"/>
                <w:b/>
                <w:sz w:val="18"/>
                <w:szCs w:val="20"/>
              </w:rPr>
              <w:t>: 工业机器人年安装数量（千台）</w:t>
            </w:r>
          </w:p>
        </w:tc>
        <w:tc>
          <w:tcPr>
            <w:tcW w:w="4457" w:type="dxa"/>
            <w:tcBorders>
              <w:bottom w:val="single" w:color="auto" w:sz="4" w:space="0"/>
            </w:tcBorders>
          </w:tcPr>
          <w:p w14:paraId="0CB6D90A">
            <w:pPr>
              <w:overflowPunct w:val="0"/>
              <w:rPr>
                <w:rFonts w:hint="default" w:ascii="Calibri" w:hAnsi="Calibri" w:eastAsia="楷体_GB2312" w:cs="Calibri"/>
                <w:b/>
                <w:sz w:val="18"/>
                <w:szCs w:val="20"/>
              </w:rPr>
            </w:pPr>
            <w:r>
              <w:rPr>
                <w:rFonts w:hint="default" w:ascii="Calibri" w:hAnsi="Calibri" w:eastAsia="楷体_GB2312" w:cs="Calibri"/>
                <w:b/>
                <w:sz w:val="18"/>
                <w:szCs w:val="20"/>
                <w:lang w:val="en-US" w:eastAsia="zh-CN"/>
              </w:rPr>
              <w:t>图1</w:t>
            </w:r>
            <w:r>
              <w:rPr>
                <w:rFonts w:hint="eastAsia" w:eastAsia="楷体_GB2312" w:cs="Calibri"/>
                <w:b/>
                <w:sz w:val="18"/>
                <w:szCs w:val="20"/>
                <w:lang w:val="en-US" w:eastAsia="zh-CN"/>
              </w:rPr>
              <w:t>6</w:t>
            </w:r>
            <w:r>
              <w:rPr>
                <w:rFonts w:hint="default" w:ascii="Calibri" w:hAnsi="Calibri" w:eastAsia="楷体_GB2312" w:cs="Calibri"/>
                <w:b/>
                <w:sz w:val="18"/>
                <w:szCs w:val="20"/>
                <w:lang w:val="en-US" w:eastAsia="zh-CN"/>
              </w:rPr>
              <w:t>：工业机器人2024年安装份额（%）</w:t>
            </w:r>
          </w:p>
        </w:tc>
      </w:tr>
      <w:tr w14:paraId="361662B6">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2660" w:hRule="atLeast"/>
        </w:trPr>
        <w:tc>
          <w:tcPr>
            <w:tcW w:w="4086" w:type="dxa"/>
            <w:tcBorders>
              <w:top w:val="single" w:color="auto" w:sz="4" w:space="0"/>
              <w:bottom w:val="single" w:color="auto" w:sz="4" w:space="0"/>
            </w:tcBorders>
            <w:vAlign w:val="center"/>
          </w:tcPr>
          <w:p w14:paraId="5831CEA0">
            <w:pPr>
              <w:overflowPunct w:val="0"/>
              <w:rPr>
                <w:rFonts w:hint="default" w:ascii="Calibri" w:hAnsi="Calibri" w:eastAsia="楷体_GB2312" w:cs="Calibri"/>
                <w:sz w:val="10"/>
              </w:rPr>
            </w:pPr>
            <w:r>
              <w:rPr>
                <w:rFonts w:hint="default" w:ascii="Calibri" w:hAnsi="Calibri" w:eastAsia="楷体_GB2312" w:cs="Calibri"/>
              </w:rPr>
              <w:drawing>
                <wp:inline distT="0" distB="0" distL="114300" distR="114300">
                  <wp:extent cx="2449195" cy="1656080"/>
                  <wp:effectExtent l="0" t="0" r="8255" b="127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32"/>
                          <a:stretch>
                            <a:fillRect/>
                          </a:stretch>
                        </pic:blipFill>
                        <pic:spPr>
                          <a:xfrm>
                            <a:off x="0" y="0"/>
                            <a:ext cx="2449195" cy="1656080"/>
                          </a:xfrm>
                          <a:prstGeom prst="rect">
                            <a:avLst/>
                          </a:prstGeom>
                          <a:noFill/>
                          <a:ln>
                            <a:noFill/>
                          </a:ln>
                        </pic:spPr>
                      </pic:pic>
                    </a:graphicData>
                  </a:graphic>
                </wp:inline>
              </w:drawing>
            </w:r>
          </w:p>
        </w:tc>
        <w:tc>
          <w:tcPr>
            <w:tcW w:w="4457" w:type="dxa"/>
            <w:tcBorders>
              <w:top w:val="single" w:color="auto" w:sz="4" w:space="0"/>
              <w:bottom w:val="single" w:color="auto" w:sz="4" w:space="0"/>
            </w:tcBorders>
            <w:vAlign w:val="center"/>
          </w:tcPr>
          <w:p w14:paraId="2E8CC6C0">
            <w:pPr>
              <w:overflowPunct w:val="0"/>
              <w:rPr>
                <w:rFonts w:hint="default" w:ascii="Calibri" w:hAnsi="Calibri" w:eastAsia="楷体_GB2312" w:cs="Calibri"/>
              </w:rPr>
            </w:pPr>
            <w:r>
              <w:rPr>
                <w:rFonts w:hint="default" w:ascii="Calibri" w:hAnsi="Calibri" w:eastAsia="楷体_GB2312" w:cs="Calibri"/>
              </w:rPr>
              <w:drawing>
                <wp:inline distT="0" distB="0" distL="114300" distR="114300">
                  <wp:extent cx="2693035" cy="1696720"/>
                  <wp:effectExtent l="0" t="0" r="0" b="0"/>
                  <wp:docPr id="400476844" name="图片 3" descr="图表, 饼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76844" name="图片 3" descr="图表, 饼图&#10;&#10;AI 生成的内容可能不正确。"/>
                          <pic:cNvPicPr>
                            <a:picLocks noChangeAspect="1"/>
                          </pic:cNvPicPr>
                        </pic:nvPicPr>
                        <pic:blipFill>
                          <a:blip r:embed="rId33"/>
                          <a:srcRect b="10064"/>
                          <a:stretch>
                            <a:fillRect/>
                          </a:stretch>
                        </pic:blipFill>
                        <pic:spPr>
                          <a:xfrm>
                            <a:off x="0" y="0"/>
                            <a:ext cx="2693035" cy="1696720"/>
                          </a:xfrm>
                          <a:prstGeom prst="rect">
                            <a:avLst/>
                          </a:prstGeom>
                          <a:noFill/>
                          <a:ln>
                            <a:noFill/>
                          </a:ln>
                        </pic:spPr>
                      </pic:pic>
                    </a:graphicData>
                  </a:graphic>
                </wp:inline>
              </w:drawing>
            </w:r>
          </w:p>
        </w:tc>
      </w:tr>
      <w:tr w14:paraId="49AE9702">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rPr>
          <w:trHeight w:val="304" w:hRule="atLeast"/>
        </w:trPr>
        <w:tc>
          <w:tcPr>
            <w:tcW w:w="4086" w:type="dxa"/>
            <w:tcBorders>
              <w:top w:val="single" w:color="auto" w:sz="4" w:space="0"/>
            </w:tcBorders>
          </w:tcPr>
          <w:p w14:paraId="51F5F47D">
            <w:pPr>
              <w:overflowPunct w:val="0"/>
              <w:rPr>
                <w:rFonts w:hint="default" w:ascii="Calibri" w:hAnsi="Calibri" w:eastAsia="楷体_GB2312" w:cs="Calibri"/>
                <w:i/>
                <w:iCs/>
                <w:sz w:val="15"/>
                <w:szCs w:val="15"/>
              </w:rPr>
            </w:pPr>
            <w:r>
              <w:rPr>
                <w:rFonts w:hint="default" w:ascii="Calibri" w:hAnsi="Calibri" w:eastAsia="楷体_GB2312" w:cs="Calibri"/>
                <w:i/>
                <w:iCs/>
                <w:sz w:val="15"/>
                <w:szCs w:val="15"/>
              </w:rPr>
              <w:t>资料来源：</w:t>
            </w:r>
            <w:r>
              <w:rPr>
                <w:rFonts w:hint="default" w:ascii="Calibri" w:hAnsi="Calibri" w:eastAsia="楷体_GB2312" w:cs="Calibri"/>
                <w:i/>
                <w:iCs/>
                <w:sz w:val="15"/>
                <w:szCs w:val="15"/>
                <w:lang w:val="en-US" w:eastAsia="zh-CN"/>
              </w:rPr>
              <w:t>World Robotics 2025</w:t>
            </w:r>
          </w:p>
        </w:tc>
        <w:tc>
          <w:tcPr>
            <w:tcW w:w="4457" w:type="dxa"/>
            <w:tcBorders>
              <w:top w:val="single" w:color="auto" w:sz="4" w:space="0"/>
            </w:tcBorders>
          </w:tcPr>
          <w:p w14:paraId="0197DF93">
            <w:pPr>
              <w:overflowPunct w:val="0"/>
              <w:rPr>
                <w:rFonts w:hint="default" w:ascii="Calibri" w:hAnsi="Calibri" w:eastAsia="楷体_GB2312" w:cs="Calibri"/>
                <w:i/>
                <w:iCs/>
                <w:sz w:val="15"/>
                <w:szCs w:val="15"/>
              </w:rPr>
            </w:pPr>
            <w:r>
              <w:rPr>
                <w:rFonts w:hint="default" w:ascii="Calibri" w:hAnsi="Calibri" w:eastAsia="楷体_GB2312" w:cs="Calibri"/>
                <w:i/>
                <w:iCs/>
                <w:sz w:val="15"/>
                <w:szCs w:val="15"/>
                <w:lang w:val="en-US" w:eastAsia="zh-CN"/>
              </w:rPr>
              <w:t>资料来源：International Federation of Robotics</w:t>
            </w:r>
          </w:p>
        </w:tc>
      </w:tr>
    </w:tbl>
    <w:p w14:paraId="3AAC9AC6">
      <w:pPr>
        <w:overflowPunct w:val="0"/>
        <w:ind w:left="3200" w:leftChars="2000"/>
        <w:jc w:val="both"/>
        <w:rPr>
          <w:rFonts w:hint="default" w:ascii="Calibri" w:hAnsi="Calibri" w:eastAsia="楷体_GB2312" w:cs="Calibri"/>
          <w:sz w:val="20"/>
          <w:szCs w:val="20"/>
          <w:lang w:val="en-US" w:eastAsia="zh-CN"/>
        </w:rPr>
      </w:pPr>
    </w:p>
    <w:p w14:paraId="0F8E5745">
      <w:pPr>
        <w:overflowPunct w:val="0"/>
        <w:ind w:left="3200" w:leftChars="2000"/>
        <w:jc w:val="both"/>
        <w:rPr>
          <w:rFonts w:hint="default" w:ascii="Calibri" w:hAnsi="Calibri" w:eastAsia="楷体_GB2312" w:cs="Calibri"/>
          <w:kern w:val="28"/>
          <w:szCs w:val="20"/>
        </w:rPr>
      </w:pPr>
      <w:r>
        <w:rPr>
          <w:rFonts w:hint="default" w:ascii="Calibri" w:hAnsi="Calibri" w:eastAsia="楷体_GB2312" w:cs="Calibri"/>
          <w:b/>
          <w:bCs/>
          <w:sz w:val="20"/>
          <w:szCs w:val="20"/>
          <w:lang w:val="en-US" w:eastAsia="zh-CN"/>
        </w:rPr>
        <w:t>美国机械制造工业品价格指数环比上升。</w:t>
      </w:r>
      <w:bookmarkStart w:id="17" w:name="OLE_LINK7"/>
      <w:r>
        <w:rPr>
          <w:rFonts w:hint="default" w:ascii="Calibri" w:hAnsi="Calibri" w:eastAsia="楷体_GB2312" w:cs="Calibri"/>
          <w:sz w:val="20"/>
          <w:szCs w:val="20"/>
          <w:lang w:val="en-US" w:eastAsia="zh-CN"/>
        </w:rPr>
        <w:t>美国机械制造工业品价格指数2025年12月为264.258，环比微增0.63%，同比增长4.40%。</w:t>
      </w:r>
      <w:bookmarkEnd w:id="17"/>
    </w:p>
    <w:p w14:paraId="527B2986">
      <w:pPr>
        <w:rPr>
          <w:rFonts w:hint="default" w:ascii="Calibri" w:hAnsi="Calibri" w:eastAsia="楷体_GB2312" w:cs="Calibri"/>
          <w:lang w:eastAsia="zh-CN"/>
        </w:rPr>
      </w:pPr>
    </w:p>
    <w:tbl>
      <w:tblPr>
        <w:tblStyle w:val="27"/>
        <w:tblW w:w="8556" w:type="dxa"/>
        <w:tblInd w:w="2153"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8556"/>
      </w:tblGrid>
      <w:tr w14:paraId="344ED81B">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8556" w:type="dxa"/>
            <w:tcBorders>
              <w:bottom w:val="single" w:color="auto" w:sz="4" w:space="0"/>
            </w:tcBorders>
          </w:tcPr>
          <w:p w14:paraId="6567DB5C">
            <w:pPr>
              <w:overflowPunct w:val="0"/>
              <w:rPr>
                <w:rFonts w:hint="default" w:ascii="Calibri" w:hAnsi="Calibri" w:eastAsia="楷体_GB2312" w:cs="Calibri"/>
                <w:b/>
                <w:sz w:val="18"/>
                <w:szCs w:val="20"/>
              </w:rPr>
            </w:pPr>
            <w:r>
              <w:rPr>
                <w:rFonts w:hint="default" w:ascii="Calibri" w:hAnsi="Calibri" w:eastAsia="楷体_GB2312" w:cs="Calibri"/>
                <w:b/>
                <w:sz w:val="18"/>
                <w:szCs w:val="20"/>
              </w:rPr>
              <w:t>图1</w:t>
            </w:r>
            <w:r>
              <w:rPr>
                <w:rFonts w:hint="eastAsia" w:eastAsia="楷体_GB2312" w:cs="Calibri"/>
                <w:b/>
                <w:sz w:val="18"/>
                <w:szCs w:val="20"/>
                <w:lang w:val="en-US" w:eastAsia="zh-CN"/>
              </w:rPr>
              <w:t>7</w:t>
            </w:r>
            <w:r>
              <w:rPr>
                <w:rFonts w:hint="default" w:ascii="Calibri" w:hAnsi="Calibri" w:eastAsia="楷体_GB2312" w:cs="Calibri"/>
                <w:b/>
                <w:sz w:val="18"/>
                <w:szCs w:val="20"/>
              </w:rPr>
              <w:t xml:space="preserve">: </w:t>
            </w:r>
            <w:r>
              <w:rPr>
                <w:rFonts w:hint="default" w:ascii="Calibri" w:hAnsi="Calibri" w:eastAsia="楷体_GB2312" w:cs="Calibri"/>
                <w:b/>
                <w:bCs/>
                <w:kern w:val="28"/>
                <w:sz w:val="18"/>
                <w:szCs w:val="20"/>
              </w:rPr>
              <w:t>美国工业品价格指数：机械制造业</w:t>
            </w:r>
          </w:p>
        </w:tc>
      </w:tr>
      <w:tr w14:paraId="1CC7E56C">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3222" w:hRule="atLeast"/>
        </w:trPr>
        <w:tc>
          <w:tcPr>
            <w:tcW w:w="8556" w:type="dxa"/>
            <w:tcBorders>
              <w:top w:val="single" w:color="auto" w:sz="4" w:space="0"/>
              <w:bottom w:val="single" w:color="auto" w:sz="4" w:space="0"/>
            </w:tcBorders>
            <w:vAlign w:val="center"/>
          </w:tcPr>
          <w:p w14:paraId="52A93A3F">
            <w:pPr>
              <w:overflowPunct w:val="0"/>
              <w:jc w:val="center"/>
              <w:rPr>
                <w:rFonts w:hint="default" w:ascii="Calibri" w:hAnsi="Calibri" w:eastAsia="楷体_GB2312" w:cs="Calibri"/>
                <w:sz w:val="10"/>
              </w:rPr>
            </w:pPr>
            <w:r>
              <w:rPr>
                <w:rFonts w:hint="default" w:ascii="Calibri" w:hAnsi="Calibri" w:eastAsia="楷体_GB2312" w:cs="Calibri"/>
                <w:sz w:val="10"/>
              </w:rPr>
              <w:drawing>
                <wp:inline distT="0" distB="0" distL="114300" distR="114300">
                  <wp:extent cx="5291455" cy="2517775"/>
                  <wp:effectExtent l="0" t="0" r="4445" b="6350"/>
                  <wp:docPr id="16" name="图片 16" descr="fredgrap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fredgraph (8)"/>
                          <pic:cNvPicPr>
                            <a:picLocks noChangeAspect="1"/>
                          </pic:cNvPicPr>
                        </pic:nvPicPr>
                        <pic:blipFill>
                          <a:blip r:embed="rId34"/>
                          <a:stretch>
                            <a:fillRect/>
                          </a:stretch>
                        </pic:blipFill>
                        <pic:spPr>
                          <a:xfrm>
                            <a:off x="0" y="0"/>
                            <a:ext cx="5291455" cy="2517775"/>
                          </a:xfrm>
                          <a:prstGeom prst="rect">
                            <a:avLst/>
                          </a:prstGeom>
                        </pic:spPr>
                      </pic:pic>
                    </a:graphicData>
                  </a:graphic>
                </wp:inline>
              </w:drawing>
            </w:r>
          </w:p>
        </w:tc>
      </w:tr>
      <w:tr w14:paraId="3646E8E0">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8556" w:type="dxa"/>
            <w:tcBorders>
              <w:top w:val="single" w:color="auto" w:sz="4" w:space="0"/>
            </w:tcBorders>
          </w:tcPr>
          <w:p w14:paraId="06B47E93">
            <w:pPr>
              <w:overflowPunct w:val="0"/>
              <w:rPr>
                <w:rFonts w:hint="default" w:ascii="Calibri" w:hAnsi="Calibri" w:eastAsia="楷体_GB2312" w:cs="Calibri"/>
                <w:i/>
                <w:iCs/>
                <w:sz w:val="15"/>
                <w:szCs w:val="15"/>
              </w:rPr>
            </w:pPr>
            <w:r>
              <w:rPr>
                <w:rFonts w:hint="default" w:ascii="Calibri" w:hAnsi="Calibri" w:eastAsia="楷体_GB2312" w:cs="Calibri"/>
                <w:i/>
                <w:iCs/>
                <w:sz w:val="15"/>
                <w:szCs w:val="15"/>
              </w:rPr>
              <w:t>资料来源：U.S. Bureau of Economic Analysis，</w:t>
            </w:r>
            <w:r>
              <w:rPr>
                <w:rFonts w:hint="default" w:ascii="Calibri" w:hAnsi="Calibri" w:eastAsia="楷体_GB2312" w:cs="Calibri"/>
                <w:i/>
                <w:iCs/>
                <w:sz w:val="15"/>
                <w:szCs w:val="15"/>
                <w:lang w:eastAsia="zh-CN"/>
              </w:rPr>
              <w:t>HFI</w:t>
            </w:r>
          </w:p>
        </w:tc>
      </w:tr>
    </w:tbl>
    <w:p w14:paraId="0A937153">
      <w:pPr>
        <w:rPr>
          <w:rFonts w:hint="default" w:ascii="Calibri" w:hAnsi="Calibri" w:eastAsia="楷体_GB2312" w:cs="Calibri"/>
          <w:lang w:eastAsia="zh-CN"/>
        </w:rPr>
      </w:pPr>
    </w:p>
    <w:p w14:paraId="1511C664">
      <w:pPr>
        <w:rPr>
          <w:rFonts w:hint="default" w:ascii="Calibri" w:hAnsi="Calibri" w:eastAsia="楷体_GB2312" w:cs="Calibri"/>
          <w:lang w:eastAsia="zh-CN"/>
        </w:rPr>
      </w:pPr>
    </w:p>
    <w:p w14:paraId="591B5D3B">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2025年全球经济逐步复苏，工业机器人安装量实现温和反弹，预计全球机器人安装量将达到约57.5万台，同比增长约6%。</w:t>
      </w:r>
      <w:r>
        <w:rPr>
          <w:rFonts w:hint="default" w:ascii="Calibri" w:hAnsi="Calibri" w:eastAsia="楷体_GB2312" w:cs="Calibri"/>
          <w:sz w:val="20"/>
          <w:szCs w:val="20"/>
          <w:lang w:val="en-US" w:eastAsia="zh-CN"/>
        </w:rPr>
        <w:t>预计2026年和2027年市场将继续保持增长势头，长期结构性增长趋势依然稳固，尚未出现明显拐点迹象。2025年，北美机器人安装量预计继续稳步增长，有望达到5.8万–6.1万台区间。在《通胀削减法案》、芯片法案以及制造业回流政策的持续推动下，近岸外包和关键行业自动化投资保持活跃，对工业机器人的需求形成稳定支撑。预计亚洲的机器人需求将实现较为明显的恢复性增长，安装量有望达到41.0万–42.0万台。其中，中国市场预计安装量回升至29.5万–30.5万台左右，日本预计维持在4.8万–5.1万台，韩国预计增长至3.4万–3.7万台。三大亚洲市场在2025年均呈现不同程度的正向增长，中国尤为明显。预计欧洲的机器人安装量在2025年将结束连续两年的明显下滑，出现温和回升。地缘政治紧张局势有所缓和、能源价格压力逐步缓解、欧洲汽车工业逐步适应电动化转型节奏，这些因素共同推动投资意愿缓慢恢复。2025年欧洲机器人安装量预计达到9.0万–9.5万台，同比增长约10%–15%。其中，西欧市场需求预计实现正增长，增速约为6%–9%。</w:t>
      </w:r>
      <w:bookmarkStart w:id="18" w:name="_Toc867801181"/>
    </w:p>
    <w:p w14:paraId="3673DE98">
      <w:pPr>
        <w:overflowPunct w:val="0"/>
        <w:ind w:left="3200" w:leftChars="2000"/>
        <w:jc w:val="both"/>
        <w:rPr>
          <w:rFonts w:hint="default" w:ascii="Calibri" w:hAnsi="Calibri" w:eastAsia="楷体_GB2312" w:cs="Calibri"/>
          <w:sz w:val="20"/>
          <w:szCs w:val="20"/>
          <w:lang w:val="en-US" w:eastAsia="zh-CN"/>
        </w:rPr>
      </w:pPr>
    </w:p>
    <w:p w14:paraId="10229755">
      <w:pPr>
        <w:overflowPunct w:val="0"/>
        <w:ind w:left="3200" w:leftChars="2000"/>
        <w:jc w:val="both"/>
        <w:rPr>
          <w:rFonts w:hint="default" w:ascii="Calibri" w:hAnsi="Calibri" w:eastAsia="楷体_GB2312" w:cs="Calibri"/>
          <w:sz w:val="20"/>
          <w:szCs w:val="20"/>
          <w:lang w:val="en-US" w:eastAsia="zh-CN"/>
        </w:rPr>
      </w:pPr>
    </w:p>
    <w:p w14:paraId="3C9D4F1A">
      <w:pPr>
        <w:overflowPunct w:val="0"/>
        <w:ind w:left="3200" w:leftChars="2000"/>
        <w:jc w:val="both"/>
        <w:outlineLvl w:val="1"/>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19" w:name="_Toc21216"/>
      <w:r>
        <w:rPr>
          <w:rFonts w:hint="default" w:ascii="Calibri" w:hAnsi="Calibri" w:eastAsia="楷体_GB2312" w:cs="Calibri"/>
          <w:b/>
          <w:bCs/>
          <w:color w:val="1F497D" w:themeColor="text2"/>
          <w:sz w:val="24"/>
          <w:szCs w:val="24"/>
          <w:lang w:val="en-US" w:eastAsia="zh-CN"/>
          <w14:textFill>
            <w14:solidFill>
              <w14:schemeClr w14:val="tx2"/>
            </w14:solidFill>
          </w14:textFill>
        </w:rPr>
        <w:fldChar w:fldCharType="begin"/>
      </w:r>
      <w:r>
        <w:rPr>
          <w:rFonts w:hint="default" w:ascii="Calibri" w:hAnsi="Calibri" w:eastAsia="楷体_GB2312" w:cs="Calibri"/>
          <w:b/>
          <w:bCs/>
          <w:color w:val="1F497D" w:themeColor="text2"/>
          <w:sz w:val="24"/>
          <w:szCs w:val="24"/>
          <w:lang w:val="en-US" w:eastAsia="zh-CN"/>
          <w14:textFill>
            <w14:solidFill>
              <w14:schemeClr w14:val="tx2"/>
            </w14:solidFill>
          </w14:textFill>
        </w:rPr>
        <w:instrText xml:space="preserve"> HYPERLINK \l "_Toc192787053" </w:instrText>
      </w:r>
      <w:r>
        <w:rPr>
          <w:rFonts w:hint="default" w:ascii="Calibri" w:hAnsi="Calibri" w:eastAsia="楷体_GB2312" w:cs="Calibri"/>
          <w:b/>
          <w:bCs/>
          <w:color w:val="1F497D" w:themeColor="text2"/>
          <w:sz w:val="24"/>
          <w:szCs w:val="24"/>
          <w:lang w:val="en-US" w:eastAsia="zh-CN"/>
          <w14:textFill>
            <w14:solidFill>
              <w14:schemeClr w14:val="tx2"/>
            </w14:solidFill>
          </w14:textFill>
        </w:rPr>
        <w:fldChar w:fldCharType="separate"/>
      </w:r>
      <w:r>
        <w:rPr>
          <w:rFonts w:hint="default" w:ascii="Calibri" w:hAnsi="Calibri" w:eastAsia="楷体_GB2312" w:cs="Calibri"/>
          <w:b/>
          <w:bCs/>
          <w:color w:val="1F497D" w:themeColor="text2"/>
          <w:sz w:val="24"/>
          <w:szCs w:val="24"/>
          <w:lang w:val="en-US" w:eastAsia="zh-CN"/>
          <w14:textFill>
            <w14:solidFill>
              <w14:schemeClr w14:val="tx2"/>
            </w14:solidFill>
          </w14:textFill>
        </w:rPr>
        <w:t>（二）工业设备出口指数</w:t>
      </w:r>
      <w:r>
        <w:rPr>
          <w:rFonts w:hint="default" w:ascii="Calibri" w:hAnsi="Calibri" w:eastAsia="楷体_GB2312" w:cs="Calibri"/>
          <w:b/>
          <w:bCs/>
          <w:color w:val="1F497D" w:themeColor="text2"/>
          <w:sz w:val="24"/>
          <w:szCs w:val="24"/>
          <w:lang w:val="en-US" w:eastAsia="zh-CN"/>
          <w14:textFill>
            <w14:solidFill>
              <w14:schemeClr w14:val="tx2"/>
            </w14:solidFill>
          </w14:textFill>
        </w:rPr>
        <w:fldChar w:fldCharType="end"/>
      </w:r>
      <w:bookmarkEnd w:id="18"/>
      <w:bookmarkEnd w:id="19"/>
    </w:p>
    <w:p w14:paraId="3E4F3AE4">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中国2025年变压器出口保持高增</w:t>
      </w:r>
      <w:r>
        <w:rPr>
          <w:rFonts w:hint="default" w:ascii="Calibri" w:hAnsi="Calibri" w:eastAsia="楷体_GB2312" w:cs="Calibri"/>
          <w:sz w:val="20"/>
          <w:szCs w:val="20"/>
          <w:lang w:val="en-US" w:eastAsia="zh-CN"/>
        </w:rPr>
        <w:t>。2025年出口额狂飙至646亿元，同比激增36%，稳居全球第一大变压器出口国。受全球电网升级、数据中心及AI需求爆发驱动，中国凭借全产业链优势及高产能，成为缓解欧美电网设备短缺的“压舱石”，中国凭借全产业链优势和高效交付能力占据全球约60%市场份额，出口均价大幅上涨，单台设备的出口均价跳涨了30.5%。分地区来看，2025年中国变压器出口至亚洲、非洲、欧洲、北美的金额分别为44.96亿美元、7.90亿美元、18.37亿美元和13.24亿美元，同比分别增长37.9%、39.6%、42.2%和23.4%。整体延续高景气扩张态势，其中欧洲与亚洲贡献主要增量，非洲保持较快增长，北美稳健提升，在全球电网升级、新能源并网及算力基础设施扩张带动下，出口结构呈现多区域共振格局。</w:t>
      </w:r>
    </w:p>
    <w:p w14:paraId="7F85EF07">
      <w:pPr>
        <w:overflowPunct w:val="0"/>
        <w:ind w:left="3200" w:leftChars="2000"/>
        <w:jc w:val="both"/>
        <w:rPr>
          <w:rFonts w:hint="default" w:ascii="Calibri" w:hAnsi="Calibri" w:eastAsia="楷体_GB2312" w:cs="Calibri"/>
          <w:sz w:val="20"/>
          <w:szCs w:val="20"/>
          <w:lang w:val="en-US" w:eastAsia="zh-CN"/>
        </w:rPr>
      </w:pPr>
    </w:p>
    <w:tbl>
      <w:tblPr>
        <w:tblStyle w:val="27"/>
        <w:tblW w:w="8361" w:type="dxa"/>
        <w:tblInd w:w="2347"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8361"/>
      </w:tblGrid>
      <w:tr w14:paraId="262DABF5">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PrEx>
        <w:tc>
          <w:tcPr>
            <w:tcW w:w="8361" w:type="dxa"/>
            <w:tcBorders>
              <w:bottom w:val="single" w:color="auto" w:sz="4" w:space="0"/>
            </w:tcBorders>
          </w:tcPr>
          <w:p w14:paraId="39E0C72A">
            <w:pPr>
              <w:overflowPunct w:val="0"/>
              <w:rPr>
                <w:rFonts w:hint="default" w:ascii="Calibri" w:hAnsi="Calibri" w:eastAsia="楷体_GB2312" w:cs="Calibri"/>
                <w:b/>
                <w:sz w:val="18"/>
                <w:szCs w:val="20"/>
              </w:rPr>
            </w:pPr>
            <w:r>
              <w:rPr>
                <w:rFonts w:hint="default" w:ascii="Calibri" w:hAnsi="Calibri" w:eastAsia="楷体_GB2312" w:cs="Calibri"/>
                <w:b/>
                <w:sz w:val="18"/>
                <w:szCs w:val="18"/>
              </w:rPr>
              <w:t>图1</w:t>
            </w:r>
            <w:r>
              <w:rPr>
                <w:rFonts w:hint="eastAsia" w:eastAsia="楷体_GB2312" w:cs="Calibri"/>
                <w:b/>
                <w:sz w:val="18"/>
                <w:szCs w:val="18"/>
                <w:lang w:val="en-US" w:eastAsia="zh-CN"/>
              </w:rPr>
              <w:t>8</w:t>
            </w:r>
            <w:r>
              <w:rPr>
                <w:rFonts w:hint="default" w:ascii="Calibri" w:hAnsi="Calibri" w:eastAsia="楷体_GB2312" w:cs="Calibri"/>
                <w:b/>
                <w:sz w:val="18"/>
                <w:szCs w:val="18"/>
              </w:rPr>
              <w:t>：中国变压器出口金额（亿元）</w:t>
            </w:r>
          </w:p>
        </w:tc>
      </w:tr>
      <w:tr w14:paraId="6D24C358">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3222" w:hRule="atLeast"/>
        </w:trPr>
        <w:tc>
          <w:tcPr>
            <w:tcW w:w="8361" w:type="dxa"/>
            <w:tcBorders>
              <w:top w:val="single" w:color="auto" w:sz="4" w:space="0"/>
              <w:bottom w:val="single" w:color="auto" w:sz="4" w:space="0"/>
            </w:tcBorders>
            <w:vAlign w:val="center"/>
          </w:tcPr>
          <w:p w14:paraId="6EFB88AD">
            <w:pPr>
              <w:overflowPunct w:val="0"/>
              <w:jc w:val="center"/>
              <w:rPr>
                <w:rFonts w:hint="default" w:ascii="Calibri" w:hAnsi="Calibri" w:eastAsia="楷体_GB2312" w:cs="Calibri"/>
                <w:sz w:val="10"/>
              </w:rPr>
            </w:pPr>
            <w:r>
              <w:rPr>
                <w:rFonts w:hint="default" w:ascii="Calibri" w:hAnsi="Calibri" w:eastAsia="楷体_GB2312" w:cs="Calibri"/>
                <w:sz w:val="10"/>
              </w:rPr>
              <w:drawing>
                <wp:inline distT="0" distB="0" distL="114300" distR="114300">
                  <wp:extent cx="5135245" cy="2583180"/>
                  <wp:effectExtent l="4445" t="4445" r="11430" b="18415"/>
                  <wp:docPr id="31"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tc>
      </w:tr>
      <w:tr w14:paraId="2EA11E56">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PrEx>
        <w:tc>
          <w:tcPr>
            <w:tcW w:w="8361" w:type="dxa"/>
            <w:tcBorders>
              <w:top w:val="single" w:color="auto" w:sz="4" w:space="0"/>
            </w:tcBorders>
          </w:tcPr>
          <w:p w14:paraId="51630EEB">
            <w:pPr>
              <w:rPr>
                <w:rFonts w:hint="default" w:ascii="Calibri" w:hAnsi="Calibri" w:eastAsia="楷体_GB2312" w:cs="Calibri"/>
                <w:i/>
                <w:iCs/>
                <w:sz w:val="15"/>
                <w:szCs w:val="15"/>
              </w:rPr>
            </w:pPr>
            <w:r>
              <w:rPr>
                <w:rFonts w:hint="default" w:ascii="Calibri" w:hAnsi="Calibri" w:eastAsia="楷体_GB2312" w:cs="Calibri"/>
                <w:i/>
                <w:iCs/>
                <w:sz w:val="15"/>
                <w:szCs w:val="15"/>
              </w:rPr>
              <w:t xml:space="preserve">资料来源: 中国海关数据， </w:t>
            </w:r>
            <w:r>
              <w:rPr>
                <w:rFonts w:hint="default" w:ascii="Calibri" w:hAnsi="Calibri" w:eastAsia="楷体_GB2312" w:cs="Calibri"/>
                <w:i/>
                <w:iCs/>
                <w:sz w:val="15"/>
                <w:szCs w:val="15"/>
                <w:lang w:eastAsia="zh-CN"/>
              </w:rPr>
              <w:t>HFI</w:t>
            </w:r>
          </w:p>
        </w:tc>
      </w:tr>
    </w:tbl>
    <w:p w14:paraId="642C8C64">
      <w:pPr>
        <w:overflowPunct w:val="0"/>
        <w:ind w:left="3200" w:leftChars="2000"/>
        <w:jc w:val="both"/>
        <w:rPr>
          <w:rFonts w:hint="default" w:ascii="Calibri" w:hAnsi="Calibri" w:eastAsia="楷体_GB2312" w:cs="Calibri"/>
          <w:b/>
          <w:bCs/>
          <w:sz w:val="20"/>
          <w:szCs w:val="20"/>
          <w:lang w:val="en-US" w:eastAsia="zh-CN"/>
        </w:rPr>
      </w:pPr>
    </w:p>
    <w:p w14:paraId="6FEC62DF">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2025年，韩国超高压变压器（10MVA及以上）出口创1977年以来历史新高</w:t>
      </w:r>
      <w:r>
        <w:rPr>
          <w:rFonts w:hint="default" w:ascii="Calibri" w:hAnsi="Calibri" w:eastAsia="楷体_GB2312" w:cs="Calibri"/>
          <w:sz w:val="20"/>
          <w:szCs w:val="20"/>
          <w:lang w:val="en-US" w:eastAsia="zh-CN"/>
        </w:rPr>
        <w:t>，总额达约13亿美元（约1.299亿美元），受全球AI数据中心扩张及电力基础设施巨额投资推动，自2010年以来首次突破10亿美元大关。美国仍是最大买家，出口金额约7.38亿美元，过去三年增长近7倍，主要驱动因素包括美国老旧电网更换（约70%变压器接近30年寿命周期）以及AI数据中心和半导体工厂带来的大容量电力需求。欧洲市场需求持续发力，英国、加拿大等国进口规模显著扩大。中等容量变压器（650kVA–10MVA）保持稳定增长，但占比相对较小。尽管个别月份出现环比波动（如5月环比下降7.72%），全年整体保持极高景气度。需求激增导致供应严重短缺，主要厂商（如HD Hyundai Electric、Hyosung Heavy Industries、LS Electric）订单积压达5–6年，交货周期延长至200周以上，正加速在美国及韩国本土扩产。韩国企业目前占据美国变压器市场约25%份额，出口强势预计2026年仍将维持高位，相关制造商股价过去一年均创历史新高。</w:t>
      </w:r>
    </w:p>
    <w:p w14:paraId="1A220908">
      <w:pPr>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br w:type="page"/>
      </w:r>
    </w:p>
    <w:p w14:paraId="69167694">
      <w:pPr>
        <w:rPr>
          <w:rFonts w:hint="default" w:ascii="Calibri" w:hAnsi="Calibri" w:eastAsia="楷体_GB2312" w:cs="Calibri"/>
          <w:color w:val="000000"/>
          <w:kern w:val="28"/>
          <w:szCs w:val="20"/>
        </w:rPr>
      </w:pPr>
    </w:p>
    <w:tbl>
      <w:tblPr>
        <w:tblStyle w:val="27"/>
        <w:tblW w:w="7459" w:type="dxa"/>
        <w:tblInd w:w="3249"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7459"/>
      </w:tblGrid>
      <w:tr w14:paraId="58337250">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7459" w:type="dxa"/>
            <w:tcBorders>
              <w:bottom w:val="single" w:color="auto" w:sz="4" w:space="0"/>
            </w:tcBorders>
          </w:tcPr>
          <w:p w14:paraId="1EAF5E3B">
            <w:pPr>
              <w:overflowPunct w:val="0"/>
              <w:rPr>
                <w:rFonts w:hint="default" w:ascii="Calibri" w:hAnsi="Calibri" w:eastAsia="楷体_GB2312" w:cs="Calibri"/>
                <w:b/>
                <w:sz w:val="18"/>
                <w:szCs w:val="20"/>
              </w:rPr>
            </w:pPr>
            <w:r>
              <w:rPr>
                <w:rFonts w:hint="default" w:ascii="Calibri" w:hAnsi="Calibri" w:eastAsia="楷体_GB2312" w:cs="Calibri"/>
                <w:b/>
                <w:sz w:val="18"/>
                <w:szCs w:val="18"/>
              </w:rPr>
              <w:t>图</w:t>
            </w:r>
            <w:r>
              <w:rPr>
                <w:rFonts w:hint="default" w:ascii="Calibri" w:hAnsi="Calibri" w:eastAsia="楷体_GB2312" w:cs="Calibri"/>
                <w:b/>
                <w:sz w:val="18"/>
                <w:szCs w:val="18"/>
                <w:lang w:val="en-US" w:eastAsia="zh-CN"/>
              </w:rPr>
              <w:t>1</w:t>
            </w:r>
            <w:r>
              <w:rPr>
                <w:rFonts w:hint="eastAsia" w:eastAsia="楷体_GB2312" w:cs="Calibri"/>
                <w:b/>
                <w:sz w:val="18"/>
                <w:szCs w:val="18"/>
                <w:lang w:val="en-US" w:eastAsia="zh-CN"/>
              </w:rPr>
              <w:t>9</w:t>
            </w:r>
            <w:r>
              <w:rPr>
                <w:rFonts w:hint="default" w:ascii="Calibri" w:hAnsi="Calibri" w:eastAsia="楷体_GB2312" w:cs="Calibri"/>
                <w:b/>
                <w:sz w:val="18"/>
                <w:szCs w:val="18"/>
              </w:rPr>
              <w:t>：韩国变压器出口出口金额（亿美元）及同比变化</w:t>
            </w:r>
          </w:p>
        </w:tc>
      </w:tr>
      <w:tr w14:paraId="58449497">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3222" w:hRule="atLeast"/>
        </w:trPr>
        <w:tc>
          <w:tcPr>
            <w:tcW w:w="7459" w:type="dxa"/>
            <w:tcBorders>
              <w:top w:val="single" w:color="auto" w:sz="4" w:space="0"/>
              <w:bottom w:val="single" w:color="auto" w:sz="4" w:space="0"/>
            </w:tcBorders>
            <w:vAlign w:val="center"/>
          </w:tcPr>
          <w:p w14:paraId="21011252">
            <w:pPr>
              <w:overflowPunct w:val="0"/>
              <w:jc w:val="center"/>
              <w:rPr>
                <w:rFonts w:hint="default" w:ascii="Calibri" w:hAnsi="Calibri" w:eastAsia="楷体_GB2312" w:cs="Calibri"/>
                <w:sz w:val="10"/>
              </w:rPr>
            </w:pPr>
            <w:r>
              <w:rPr>
                <w:rFonts w:hint="default" w:ascii="Calibri" w:hAnsi="Calibri" w:eastAsia="楷体_GB2312" w:cs="Calibri"/>
              </w:rPr>
              <w:drawing>
                <wp:inline distT="0" distB="0" distL="114300" distR="114300">
                  <wp:extent cx="4349750" cy="2242820"/>
                  <wp:effectExtent l="4445" t="5080" r="8255" b="9525"/>
                  <wp:docPr id="17"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tc>
      </w:tr>
      <w:tr w14:paraId="52BABD71">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7459" w:type="dxa"/>
            <w:tcBorders>
              <w:top w:val="single" w:color="auto" w:sz="4" w:space="0"/>
            </w:tcBorders>
          </w:tcPr>
          <w:p w14:paraId="31A7E7E5">
            <w:pPr>
              <w:rPr>
                <w:rFonts w:hint="default" w:ascii="Calibri" w:hAnsi="Calibri" w:eastAsia="楷体_GB2312" w:cs="Calibri"/>
                <w:i/>
                <w:iCs/>
                <w:sz w:val="15"/>
                <w:szCs w:val="15"/>
              </w:rPr>
            </w:pPr>
            <w:r>
              <w:rPr>
                <w:rFonts w:hint="default" w:ascii="Calibri" w:hAnsi="Calibri" w:eastAsia="楷体_GB2312" w:cs="Calibri"/>
                <w:i/>
                <w:iCs/>
                <w:sz w:val="15"/>
                <w:szCs w:val="15"/>
              </w:rPr>
              <w:t xml:space="preserve">资料来源: </w:t>
            </w:r>
            <w:r>
              <w:rPr>
                <w:rFonts w:hint="default" w:ascii="Calibri" w:hAnsi="Calibri" w:eastAsia="楷体_GB2312" w:cs="Calibri"/>
                <w:i/>
                <w:iCs/>
                <w:sz w:val="15"/>
                <w:szCs w:val="15"/>
                <w:lang w:val="en-US" w:eastAsia="zh-CN"/>
              </w:rPr>
              <w:t>韩国</w:t>
            </w:r>
            <w:r>
              <w:rPr>
                <w:rFonts w:hint="default" w:ascii="Calibri" w:hAnsi="Calibri" w:eastAsia="楷体_GB2312" w:cs="Calibri"/>
                <w:i/>
                <w:iCs/>
                <w:sz w:val="15"/>
                <w:szCs w:val="15"/>
              </w:rPr>
              <w:t xml:space="preserve">海关数据， </w:t>
            </w:r>
            <w:r>
              <w:rPr>
                <w:rFonts w:hint="default" w:ascii="Calibri" w:hAnsi="Calibri" w:eastAsia="楷体_GB2312" w:cs="Calibri"/>
                <w:i/>
                <w:iCs/>
                <w:sz w:val="15"/>
                <w:szCs w:val="15"/>
                <w:lang w:eastAsia="zh-CN"/>
              </w:rPr>
              <w:t>HFI</w:t>
            </w:r>
          </w:p>
        </w:tc>
      </w:tr>
    </w:tbl>
    <w:p w14:paraId="4300F6CE">
      <w:pPr>
        <w:overflowPunct w:val="0"/>
        <w:jc w:val="both"/>
        <w:rPr>
          <w:rFonts w:hint="default" w:ascii="Calibri" w:hAnsi="Calibri" w:eastAsia="楷体_GB2312" w:cs="Calibri"/>
          <w:kern w:val="28"/>
          <w:szCs w:val="20"/>
          <w:lang w:eastAsia="zh-CN"/>
        </w:rPr>
      </w:pPr>
    </w:p>
    <w:p w14:paraId="537997C7">
      <w:pPr>
        <w:tabs>
          <w:tab w:val="left" w:pos="3879"/>
        </w:tabs>
        <w:rPr>
          <w:rFonts w:hint="default" w:ascii="Calibri" w:hAnsi="Calibri" w:eastAsia="楷体_GB2312" w:cs="Calibri"/>
          <w:lang w:eastAsia="zh-CN"/>
        </w:rPr>
      </w:pPr>
    </w:p>
    <w:p w14:paraId="58EF7E7F">
      <w:pPr>
        <w:tabs>
          <w:tab w:val="left" w:pos="3879"/>
        </w:tabs>
        <w:rPr>
          <w:rFonts w:hint="default" w:ascii="Calibri" w:hAnsi="Calibri" w:eastAsia="楷体_GB2312" w:cs="Calibri"/>
          <w:lang w:eastAsia="zh-CN"/>
        </w:rPr>
      </w:pPr>
    </w:p>
    <w:tbl>
      <w:tblPr>
        <w:tblStyle w:val="27"/>
        <w:tblW w:w="9855" w:type="dxa"/>
        <w:jc w:val="right"/>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fixed"/>
        <w:tblCellMar>
          <w:top w:w="0" w:type="dxa"/>
          <w:left w:w="0" w:type="dxa"/>
          <w:bottom w:w="0" w:type="dxa"/>
          <w:right w:w="0" w:type="dxa"/>
        </w:tblCellMar>
      </w:tblPr>
      <w:tblGrid>
        <w:gridCol w:w="9855"/>
      </w:tblGrid>
      <w:tr w14:paraId="12D2E499">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PrEx>
        <w:trPr>
          <w:trHeight w:val="104" w:hRule="atLeast"/>
          <w:jc w:val="right"/>
        </w:trPr>
        <w:tc>
          <w:tcPr>
            <w:tcW w:w="9855" w:type="dxa"/>
            <w:tcBorders>
              <w:bottom w:val="single" w:color="auto" w:sz="4" w:space="0"/>
            </w:tcBorders>
          </w:tcPr>
          <w:p w14:paraId="37901F0C">
            <w:pPr>
              <w:overflowPunct w:val="0"/>
              <w:rPr>
                <w:rFonts w:hint="default" w:ascii="Calibri" w:hAnsi="Calibri" w:eastAsia="楷体_GB2312" w:cs="Calibri"/>
                <w:b/>
                <w:sz w:val="18"/>
                <w:szCs w:val="20"/>
              </w:rPr>
            </w:pPr>
            <w:r>
              <w:rPr>
                <w:rFonts w:hint="default" w:ascii="Calibri" w:hAnsi="Calibri" w:eastAsia="楷体_GB2312" w:cs="Calibri"/>
                <w:b/>
                <w:sz w:val="18"/>
                <w:szCs w:val="18"/>
              </w:rPr>
              <w:t>表</w:t>
            </w:r>
            <w:r>
              <w:rPr>
                <w:rFonts w:hint="eastAsia" w:eastAsia="楷体_GB2312" w:cs="Calibri"/>
                <w:b/>
                <w:sz w:val="18"/>
                <w:szCs w:val="18"/>
                <w:lang w:val="en-US" w:eastAsia="zh-CN"/>
              </w:rPr>
              <w:t>4</w:t>
            </w:r>
            <w:r>
              <w:rPr>
                <w:rFonts w:hint="default" w:ascii="Calibri" w:hAnsi="Calibri" w:eastAsia="楷体_GB2312" w:cs="Calibri"/>
                <w:b/>
                <w:sz w:val="18"/>
                <w:szCs w:val="18"/>
              </w:rPr>
              <w:t>：本周主要公司情况更新</w:t>
            </w:r>
          </w:p>
        </w:tc>
      </w:tr>
      <w:tr w14:paraId="4121E64B">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3744" w:hRule="atLeast"/>
          <w:jc w:val="right"/>
        </w:trPr>
        <w:tc>
          <w:tcPr>
            <w:tcW w:w="9855" w:type="dxa"/>
            <w:tcBorders>
              <w:top w:val="single" w:color="auto" w:sz="4" w:space="0"/>
              <w:bottom w:val="single" w:color="auto" w:sz="4" w:space="0"/>
            </w:tcBorders>
            <w:vAlign w:val="center"/>
          </w:tcPr>
          <w:tbl>
            <w:tblPr>
              <w:tblStyle w:val="26"/>
              <w:tblpPr w:leftFromText="180" w:rightFromText="180" w:vertAnchor="text" w:horzAnchor="page" w:tblpX="54" w:tblpY="-5636"/>
              <w:tblOverlap w:val="never"/>
              <w:tblW w:w="9793" w:type="dxa"/>
              <w:tblInd w:w="0" w:type="dxa"/>
              <w:tblLayout w:type="fixed"/>
              <w:tblCellMar>
                <w:top w:w="0" w:type="dxa"/>
                <w:left w:w="108" w:type="dxa"/>
                <w:bottom w:w="0" w:type="dxa"/>
                <w:right w:w="108" w:type="dxa"/>
              </w:tblCellMar>
            </w:tblPr>
            <w:tblGrid>
              <w:gridCol w:w="687"/>
              <w:gridCol w:w="913"/>
              <w:gridCol w:w="942"/>
              <w:gridCol w:w="7251"/>
            </w:tblGrid>
            <w:tr w14:paraId="1DB2A1DF">
              <w:tblPrEx>
                <w:tblCellMar>
                  <w:top w:w="0" w:type="dxa"/>
                  <w:left w:w="108" w:type="dxa"/>
                  <w:bottom w:w="0" w:type="dxa"/>
                  <w:right w:w="108" w:type="dxa"/>
                </w:tblCellMar>
              </w:tblPrEx>
              <w:trPr>
                <w:trHeight w:val="288" w:hRule="atLeast"/>
              </w:trPr>
              <w:tc>
                <w:tcPr>
                  <w:tcW w:w="350" w:type="pct"/>
                  <w:tcBorders>
                    <w:left w:val="single" w:color="auto" w:sz="4" w:space="0"/>
                    <w:bottom w:val="single" w:color="auto" w:sz="4" w:space="0"/>
                    <w:right w:val="nil"/>
                  </w:tcBorders>
                  <w:shd w:val="clear" w:color="000000" w:fill="0C2060"/>
                </w:tcPr>
                <w:p w14:paraId="5C2CECAC">
                  <w:pPr>
                    <w:overflowPunct w:val="0"/>
                    <w:jc w:val="center"/>
                    <w:rPr>
                      <w:rFonts w:hint="default" w:ascii="Calibri" w:hAnsi="Calibri" w:eastAsia="楷体_GB2312" w:cs="Calibri"/>
                      <w:b/>
                      <w:bCs/>
                      <w:color w:val="FFFFFF"/>
                    </w:rPr>
                  </w:pPr>
                </w:p>
              </w:tc>
              <w:tc>
                <w:tcPr>
                  <w:tcW w:w="466" w:type="pct"/>
                  <w:tcBorders>
                    <w:left w:val="single" w:color="auto" w:sz="4" w:space="0"/>
                    <w:bottom w:val="single" w:color="auto" w:sz="4" w:space="0"/>
                    <w:right w:val="nil"/>
                  </w:tcBorders>
                  <w:shd w:val="clear" w:color="000000" w:fill="0C2060"/>
                  <w:vAlign w:val="center"/>
                </w:tcPr>
                <w:p w14:paraId="27B06564">
                  <w:pPr>
                    <w:overflowPunct w:val="0"/>
                    <w:jc w:val="center"/>
                    <w:rPr>
                      <w:rFonts w:hint="default" w:ascii="Calibri" w:hAnsi="Calibri" w:eastAsia="楷体_GB2312" w:cs="Calibri"/>
                      <w:b/>
                      <w:bCs/>
                      <w:color w:val="FFFFFF"/>
                    </w:rPr>
                  </w:pPr>
                  <w:r>
                    <w:rPr>
                      <w:rFonts w:hint="default" w:ascii="Calibri" w:hAnsi="Calibri" w:eastAsia="楷体_GB2312" w:cs="Calibri"/>
                      <w:b/>
                      <w:bCs/>
                      <w:color w:val="FFFFFF"/>
                    </w:rPr>
                    <w:t>公司名称</w:t>
                  </w:r>
                </w:p>
              </w:tc>
              <w:tc>
                <w:tcPr>
                  <w:tcW w:w="481" w:type="pct"/>
                  <w:tcBorders>
                    <w:left w:val="single" w:color="auto" w:sz="4" w:space="0"/>
                    <w:bottom w:val="single" w:color="auto" w:sz="4" w:space="0"/>
                    <w:right w:val="nil"/>
                  </w:tcBorders>
                  <w:shd w:val="clear" w:color="000000" w:fill="0C2060"/>
                  <w:vAlign w:val="center"/>
                </w:tcPr>
                <w:p w14:paraId="5C685E0E">
                  <w:pPr>
                    <w:overflowPunct w:val="0"/>
                    <w:jc w:val="center"/>
                    <w:rPr>
                      <w:rFonts w:hint="default" w:ascii="Calibri" w:hAnsi="Calibri" w:eastAsia="楷体_GB2312" w:cs="Calibri"/>
                      <w:b/>
                      <w:bCs/>
                      <w:color w:val="FFFFFF"/>
                    </w:rPr>
                  </w:pPr>
                  <w:r>
                    <w:rPr>
                      <w:rFonts w:hint="default" w:ascii="Calibri" w:hAnsi="Calibri" w:eastAsia="楷体_GB2312" w:cs="Calibri"/>
                      <w:b/>
                      <w:bCs/>
                      <w:color w:val="FFFFFF"/>
                    </w:rPr>
                    <w:t>时间</w:t>
                  </w:r>
                </w:p>
              </w:tc>
              <w:tc>
                <w:tcPr>
                  <w:tcW w:w="3701" w:type="pct"/>
                  <w:tcBorders>
                    <w:left w:val="nil"/>
                    <w:bottom w:val="single" w:color="auto" w:sz="4" w:space="0"/>
                    <w:right w:val="single" w:color="auto" w:sz="4" w:space="0"/>
                  </w:tcBorders>
                  <w:shd w:val="clear" w:color="000000" w:fill="0C2060"/>
                  <w:vAlign w:val="center"/>
                </w:tcPr>
                <w:p w14:paraId="4AF24975">
                  <w:pPr>
                    <w:overflowPunct w:val="0"/>
                    <w:jc w:val="center"/>
                    <w:rPr>
                      <w:rFonts w:hint="default" w:ascii="Calibri" w:hAnsi="Calibri" w:eastAsia="楷体_GB2312" w:cs="Calibri"/>
                      <w:b/>
                      <w:bCs/>
                      <w:color w:val="FFFFFF"/>
                    </w:rPr>
                  </w:pPr>
                  <w:r>
                    <w:rPr>
                      <w:rFonts w:hint="default" w:ascii="Calibri" w:hAnsi="Calibri" w:eastAsia="楷体_GB2312" w:cs="Calibri"/>
                      <w:b/>
                      <w:bCs/>
                      <w:color w:val="FFFFFF"/>
                    </w:rPr>
                    <w:t>主要内容</w:t>
                  </w:r>
                </w:p>
              </w:tc>
            </w:tr>
            <w:tr w14:paraId="57C1045B">
              <w:tblPrEx>
                <w:tblCellMar>
                  <w:top w:w="0" w:type="dxa"/>
                  <w:left w:w="108" w:type="dxa"/>
                  <w:bottom w:w="0" w:type="dxa"/>
                  <w:right w:w="108" w:type="dxa"/>
                </w:tblCellMar>
              </w:tblPrEx>
              <w:trPr>
                <w:trHeight w:val="446" w:hRule="atLeast"/>
              </w:trPr>
              <w:tc>
                <w:tcPr>
                  <w:tcW w:w="350" w:type="pct"/>
                  <w:vMerge w:val="restart"/>
                  <w:tcBorders>
                    <w:top w:val="single" w:color="auto" w:sz="4" w:space="0"/>
                    <w:left w:val="single" w:color="auto" w:sz="4" w:space="0"/>
                    <w:right w:val="nil"/>
                  </w:tcBorders>
                  <w:vAlign w:val="center"/>
                </w:tcPr>
                <w:p w14:paraId="544E74E2">
                  <w:pPr>
                    <w:overflowPunct w:val="0"/>
                    <w:jc w:val="center"/>
                    <w:rPr>
                      <w:rFonts w:hint="default" w:ascii="Calibri" w:hAnsi="Calibri" w:eastAsia="楷体_GB2312" w:cs="Calibri"/>
                      <w:color w:val="000000"/>
                    </w:rPr>
                  </w:pPr>
                  <w:r>
                    <w:rPr>
                      <w:rFonts w:hint="default" w:ascii="Calibri" w:hAnsi="Calibri" w:eastAsia="楷体_GB2312" w:cs="Calibri"/>
                      <w:color w:val="000000"/>
                      <w:lang w:val="en-US" w:eastAsia="zh-CN"/>
                    </w:rPr>
                    <w:t>工业-电气机械</w:t>
                  </w:r>
                </w:p>
              </w:tc>
              <w:tc>
                <w:tcPr>
                  <w:tcW w:w="466" w:type="pct"/>
                  <w:tcBorders>
                    <w:top w:val="single" w:color="auto" w:sz="4" w:space="0"/>
                    <w:left w:val="single" w:color="auto" w:sz="4" w:space="0"/>
                    <w:right w:val="nil"/>
                  </w:tcBorders>
                  <w:vAlign w:val="center"/>
                </w:tcPr>
                <w:p w14:paraId="5EBF99BB">
                  <w:pPr>
                    <w:overflowPunct w:val="0"/>
                    <w:jc w:val="center"/>
                    <w:rPr>
                      <w:rFonts w:hint="default" w:ascii="Calibri" w:hAnsi="Calibri" w:eastAsia="楷体_GB2312" w:cs="Calibri"/>
                      <w:color w:val="000000"/>
                    </w:rPr>
                  </w:pPr>
                  <w:r>
                    <w:rPr>
                      <w:rFonts w:hint="default" w:ascii="Calibri" w:hAnsi="Calibri" w:eastAsia="楷体_GB2312" w:cs="Calibri"/>
                      <w:color w:val="000000"/>
                      <w:lang w:val="en-US" w:eastAsia="zh-CN"/>
                    </w:rPr>
                    <w:t>GE Vernova</w:t>
                  </w:r>
                </w:p>
              </w:tc>
              <w:tc>
                <w:tcPr>
                  <w:tcW w:w="481" w:type="pct"/>
                  <w:tcBorders>
                    <w:top w:val="single" w:color="auto" w:sz="4" w:space="0"/>
                    <w:left w:val="single" w:color="auto" w:sz="4" w:space="0"/>
                    <w:bottom w:val="single" w:color="auto" w:sz="4" w:space="0"/>
                    <w:right w:val="nil"/>
                  </w:tcBorders>
                  <w:vAlign w:val="center"/>
                </w:tcPr>
                <w:p w14:paraId="3E2A76F1">
                  <w:pPr>
                    <w:overflowPunct w:val="0"/>
                    <w:jc w:val="center"/>
                    <w:rPr>
                      <w:rFonts w:hint="default" w:ascii="Calibri" w:hAnsi="Calibri" w:eastAsia="楷体_GB2312" w:cs="Calibri"/>
                      <w:color w:val="000000"/>
                    </w:rPr>
                  </w:pPr>
                  <w:r>
                    <w:rPr>
                      <w:rFonts w:hint="default" w:ascii="Calibri" w:hAnsi="Calibri" w:eastAsia="楷体_GB2312" w:cs="Calibri"/>
                      <w:color w:val="000000"/>
                      <w:lang w:val="en-US" w:eastAsia="zh-CN"/>
                    </w:rPr>
                    <w:t>2月3日</w:t>
                  </w:r>
                </w:p>
              </w:tc>
              <w:tc>
                <w:tcPr>
                  <w:tcW w:w="3701" w:type="pct"/>
                  <w:tcBorders>
                    <w:top w:val="single" w:color="auto" w:sz="4" w:space="0"/>
                    <w:left w:val="single" w:color="auto" w:sz="4" w:space="0"/>
                    <w:bottom w:val="single" w:color="auto" w:sz="4" w:space="0"/>
                    <w:right w:val="single" w:color="auto" w:sz="4" w:space="0"/>
                  </w:tcBorders>
                  <w:noWrap/>
                  <w:vAlign w:val="center"/>
                </w:tcPr>
                <w:p w14:paraId="15F4F00D">
                  <w:pPr>
                    <w:overflowPunct w:val="0"/>
                    <w:rPr>
                      <w:rFonts w:hint="default" w:ascii="Calibri" w:hAnsi="Calibri" w:eastAsia="楷体_GB2312" w:cs="Calibri"/>
                      <w:color w:val="000000"/>
                    </w:rPr>
                  </w:pPr>
                  <w:r>
                    <w:rPr>
                      <w:rFonts w:hint="default" w:ascii="Calibri" w:hAnsi="Calibri" w:eastAsia="楷体_GB2312" w:cs="Calibri"/>
                      <w:color w:val="000000"/>
                      <w:lang w:val="en-US" w:eastAsia="zh-CN"/>
                    </w:rPr>
                    <w:t>GE Vernova与Xcel Energy宣布战略联盟协议，推进能源未来发展；公司近期完成多项升级项目，并报告2025年强劲业绩，订单和营收增长显著。</w:t>
                  </w:r>
                </w:p>
              </w:tc>
            </w:tr>
            <w:tr w14:paraId="6AA532A4">
              <w:tblPrEx>
                <w:tblCellMar>
                  <w:top w:w="0" w:type="dxa"/>
                  <w:left w:w="108" w:type="dxa"/>
                  <w:bottom w:w="0" w:type="dxa"/>
                  <w:right w:w="108" w:type="dxa"/>
                </w:tblCellMar>
              </w:tblPrEx>
              <w:trPr>
                <w:trHeight w:val="446" w:hRule="atLeast"/>
              </w:trPr>
              <w:tc>
                <w:tcPr>
                  <w:tcW w:w="350" w:type="pct"/>
                  <w:vMerge w:val="continue"/>
                  <w:tcBorders>
                    <w:left w:val="single" w:color="auto" w:sz="4" w:space="0"/>
                    <w:right w:val="nil"/>
                  </w:tcBorders>
                  <w:vAlign w:val="center"/>
                </w:tcPr>
                <w:p w14:paraId="056AB52B">
                  <w:pPr>
                    <w:overflowPunct w:val="0"/>
                    <w:jc w:val="center"/>
                    <w:rPr>
                      <w:rFonts w:hint="default" w:ascii="Calibri" w:hAnsi="Calibri" w:eastAsia="楷体_GB2312" w:cs="Calibri"/>
                      <w:color w:val="000000"/>
                    </w:rPr>
                  </w:pPr>
                </w:p>
              </w:tc>
              <w:tc>
                <w:tcPr>
                  <w:tcW w:w="466" w:type="pct"/>
                  <w:tcBorders>
                    <w:top w:val="single" w:color="auto" w:sz="4" w:space="0"/>
                    <w:left w:val="single" w:color="auto" w:sz="4" w:space="0"/>
                    <w:right w:val="nil"/>
                  </w:tcBorders>
                  <w:vAlign w:val="center"/>
                </w:tcPr>
                <w:p w14:paraId="0391F53F">
                  <w:pPr>
                    <w:overflowPunct w:val="0"/>
                    <w:jc w:val="center"/>
                    <w:rPr>
                      <w:rFonts w:hint="default" w:ascii="Calibri" w:hAnsi="Calibri" w:eastAsia="楷体_GB2312" w:cs="Calibri"/>
                      <w:color w:val="000000"/>
                    </w:rPr>
                  </w:pPr>
                  <w:r>
                    <w:rPr>
                      <w:rFonts w:hint="default" w:ascii="Calibri" w:hAnsi="Calibri" w:eastAsia="楷体_GB2312" w:cs="Calibri"/>
                      <w:color w:val="000000"/>
                      <w:lang w:val="en-US" w:eastAsia="zh-CN"/>
                    </w:rPr>
                    <w:t>Siemens Energy</w:t>
                  </w:r>
                </w:p>
              </w:tc>
              <w:tc>
                <w:tcPr>
                  <w:tcW w:w="481" w:type="pct"/>
                  <w:tcBorders>
                    <w:top w:val="single" w:color="auto" w:sz="4" w:space="0"/>
                    <w:left w:val="single" w:color="auto" w:sz="4" w:space="0"/>
                    <w:bottom w:val="single" w:color="auto" w:sz="4" w:space="0"/>
                    <w:right w:val="nil"/>
                  </w:tcBorders>
                  <w:vAlign w:val="center"/>
                </w:tcPr>
                <w:p w14:paraId="65392FFF">
                  <w:pPr>
                    <w:overflowPunct w:val="0"/>
                    <w:jc w:val="center"/>
                    <w:rPr>
                      <w:rFonts w:hint="default" w:ascii="Calibri" w:hAnsi="Calibri" w:eastAsia="楷体_GB2312" w:cs="Calibri"/>
                      <w:color w:val="000000"/>
                    </w:rPr>
                  </w:pPr>
                  <w:r>
                    <w:rPr>
                      <w:rFonts w:hint="default" w:ascii="Calibri" w:hAnsi="Calibri" w:eastAsia="楷体_GB2312" w:cs="Calibri"/>
                      <w:color w:val="000000"/>
                      <w:lang w:val="en-US" w:eastAsia="zh-CN"/>
                    </w:rPr>
                    <w:t>2月11日</w:t>
                  </w:r>
                </w:p>
              </w:tc>
              <w:tc>
                <w:tcPr>
                  <w:tcW w:w="3701" w:type="pct"/>
                  <w:tcBorders>
                    <w:top w:val="single" w:color="auto" w:sz="4" w:space="0"/>
                    <w:left w:val="single" w:color="auto" w:sz="4" w:space="0"/>
                    <w:bottom w:val="single" w:color="auto" w:sz="4" w:space="0"/>
                    <w:right w:val="single" w:color="auto" w:sz="4" w:space="0"/>
                  </w:tcBorders>
                  <w:noWrap/>
                  <w:vAlign w:val="center"/>
                </w:tcPr>
                <w:p w14:paraId="0538C2CA">
                  <w:pPr>
                    <w:overflowPunct w:val="0"/>
                    <w:rPr>
                      <w:rFonts w:hint="default" w:ascii="Calibri" w:hAnsi="Calibri" w:eastAsia="楷体_GB2312" w:cs="Calibri"/>
                      <w:color w:val="000000"/>
                    </w:rPr>
                  </w:pPr>
                  <w:r>
                    <w:rPr>
                      <w:rFonts w:hint="default" w:ascii="Calibri" w:hAnsi="Calibri" w:eastAsia="楷体_GB2312" w:cs="Calibri"/>
                      <w:color w:val="000000"/>
                      <w:lang w:val="en-US" w:eastAsia="zh-CN"/>
                    </w:rPr>
                    <w:t>Siemens Energy公布2026财年第一季度业绩，净利润几乎三倍增长至7.46亿欧元，主要受AI驱动的燃气轮机和电网设备需求激增推动，订单额创纪录，确认全年营收增长11%-13%指引。</w:t>
                  </w:r>
                </w:p>
              </w:tc>
            </w:tr>
            <w:tr w14:paraId="1725A1E4">
              <w:tblPrEx>
                <w:tblCellMar>
                  <w:top w:w="0" w:type="dxa"/>
                  <w:left w:w="108" w:type="dxa"/>
                  <w:bottom w:w="0" w:type="dxa"/>
                  <w:right w:w="108" w:type="dxa"/>
                </w:tblCellMar>
              </w:tblPrEx>
              <w:trPr>
                <w:trHeight w:val="446" w:hRule="atLeast"/>
              </w:trPr>
              <w:tc>
                <w:tcPr>
                  <w:tcW w:w="350" w:type="pct"/>
                  <w:vMerge w:val="continue"/>
                  <w:tcBorders>
                    <w:left w:val="single" w:color="auto" w:sz="4" w:space="0"/>
                    <w:right w:val="nil"/>
                  </w:tcBorders>
                  <w:vAlign w:val="center"/>
                </w:tcPr>
                <w:p w14:paraId="08EE45AF">
                  <w:pPr>
                    <w:overflowPunct w:val="0"/>
                    <w:jc w:val="center"/>
                    <w:rPr>
                      <w:rFonts w:hint="default" w:ascii="Calibri" w:hAnsi="Calibri" w:eastAsia="楷体_GB2312" w:cs="Calibri"/>
                      <w:color w:val="000000"/>
                    </w:rPr>
                  </w:pPr>
                </w:p>
              </w:tc>
              <w:tc>
                <w:tcPr>
                  <w:tcW w:w="466" w:type="pct"/>
                  <w:tcBorders>
                    <w:top w:val="single" w:color="auto" w:sz="4" w:space="0"/>
                    <w:left w:val="single" w:color="auto" w:sz="4" w:space="0"/>
                    <w:bottom w:val="single" w:color="auto" w:sz="4" w:space="0"/>
                    <w:right w:val="nil"/>
                  </w:tcBorders>
                  <w:vAlign w:val="center"/>
                </w:tcPr>
                <w:p w14:paraId="585724A3">
                  <w:pPr>
                    <w:overflowPunct w:val="0"/>
                    <w:jc w:val="center"/>
                    <w:rPr>
                      <w:rFonts w:hint="default" w:ascii="Calibri" w:hAnsi="Calibri" w:eastAsia="楷体_GB2312" w:cs="Calibri"/>
                      <w:color w:val="000000"/>
                    </w:rPr>
                  </w:pPr>
                  <w:r>
                    <w:rPr>
                      <w:rFonts w:hint="default" w:ascii="Calibri" w:hAnsi="Calibri" w:eastAsia="楷体_GB2312" w:cs="Calibri"/>
                      <w:color w:val="000000"/>
                      <w:lang w:val="en-US" w:eastAsia="zh-CN"/>
                    </w:rPr>
                    <w:t>Eaton</w:t>
                  </w:r>
                </w:p>
              </w:tc>
              <w:tc>
                <w:tcPr>
                  <w:tcW w:w="481" w:type="pct"/>
                  <w:tcBorders>
                    <w:top w:val="single" w:color="auto" w:sz="4" w:space="0"/>
                    <w:left w:val="single" w:color="auto" w:sz="4" w:space="0"/>
                    <w:bottom w:val="single" w:color="auto" w:sz="4" w:space="0"/>
                    <w:right w:val="nil"/>
                  </w:tcBorders>
                  <w:vAlign w:val="center"/>
                </w:tcPr>
                <w:p w14:paraId="2D05EC1E">
                  <w:pPr>
                    <w:overflowPunct w:val="0"/>
                    <w:jc w:val="center"/>
                    <w:rPr>
                      <w:rFonts w:hint="default" w:ascii="Calibri" w:hAnsi="Calibri" w:eastAsia="楷体_GB2312" w:cs="Calibri"/>
                      <w:color w:val="000000"/>
                    </w:rPr>
                  </w:pPr>
                  <w:r>
                    <w:rPr>
                      <w:rFonts w:hint="default" w:ascii="Calibri" w:hAnsi="Calibri" w:eastAsia="楷体_GB2312" w:cs="Calibri"/>
                      <w:color w:val="000000"/>
                      <w:lang w:val="en-US" w:eastAsia="zh-CN"/>
                    </w:rPr>
                    <w:t>2月3日</w:t>
                  </w:r>
                </w:p>
              </w:tc>
              <w:tc>
                <w:tcPr>
                  <w:tcW w:w="3701" w:type="pct"/>
                  <w:tcBorders>
                    <w:top w:val="single" w:color="auto" w:sz="4" w:space="0"/>
                    <w:left w:val="single" w:color="auto" w:sz="4" w:space="0"/>
                    <w:bottom w:val="single" w:color="auto" w:sz="4" w:space="0"/>
                    <w:right w:val="single" w:color="auto" w:sz="4" w:space="0"/>
                  </w:tcBorders>
                  <w:noWrap/>
                  <w:vAlign w:val="center"/>
                </w:tcPr>
                <w:p w14:paraId="36383994">
                  <w:pPr>
                    <w:overflowPunct w:val="0"/>
                    <w:rPr>
                      <w:rFonts w:hint="default" w:ascii="Calibri" w:hAnsi="Calibri" w:eastAsia="楷体_GB2312" w:cs="Calibri"/>
                      <w:color w:val="000000"/>
                    </w:rPr>
                  </w:pPr>
                  <w:r>
                    <w:rPr>
                      <w:rFonts w:hint="default" w:ascii="Calibri" w:hAnsi="Calibri" w:eastAsia="楷体_GB2312" w:cs="Calibri"/>
                      <w:color w:val="000000"/>
                      <w:lang w:val="en-US" w:eastAsia="zh-CN"/>
                    </w:rPr>
                    <w:t>Eaton公布2025年第四季度创纪录业绩，全年销售额增长，订单加速增长；宣布2026年有机增长预期5-9%，并计划分拆Mobility Group以聚焦电气核心业务。</w:t>
                  </w:r>
                </w:p>
              </w:tc>
            </w:tr>
            <w:tr w14:paraId="1FBD0023">
              <w:tblPrEx>
                <w:tblCellMar>
                  <w:top w:w="0" w:type="dxa"/>
                  <w:left w:w="108" w:type="dxa"/>
                  <w:bottom w:w="0" w:type="dxa"/>
                  <w:right w:w="108" w:type="dxa"/>
                </w:tblCellMar>
              </w:tblPrEx>
              <w:trPr>
                <w:trHeight w:val="446" w:hRule="atLeast"/>
              </w:trPr>
              <w:tc>
                <w:tcPr>
                  <w:tcW w:w="350" w:type="pct"/>
                  <w:vMerge w:val="continue"/>
                  <w:tcBorders>
                    <w:left w:val="single" w:color="auto" w:sz="4" w:space="0"/>
                    <w:right w:val="nil"/>
                  </w:tcBorders>
                  <w:vAlign w:val="center"/>
                </w:tcPr>
                <w:p w14:paraId="4EBC8CA9">
                  <w:pPr>
                    <w:overflowPunct w:val="0"/>
                    <w:jc w:val="center"/>
                    <w:rPr>
                      <w:rFonts w:hint="default" w:ascii="Calibri" w:hAnsi="Calibri" w:eastAsia="楷体_GB2312" w:cs="Calibri"/>
                      <w:color w:val="000000"/>
                    </w:rPr>
                  </w:pPr>
                </w:p>
              </w:tc>
              <w:tc>
                <w:tcPr>
                  <w:tcW w:w="466" w:type="pct"/>
                  <w:tcBorders>
                    <w:top w:val="single" w:color="auto" w:sz="4" w:space="0"/>
                    <w:left w:val="single" w:color="auto" w:sz="4" w:space="0"/>
                    <w:bottom w:val="single" w:color="auto" w:sz="4" w:space="0"/>
                    <w:right w:val="nil"/>
                  </w:tcBorders>
                  <w:vAlign w:val="center"/>
                </w:tcPr>
                <w:p w14:paraId="636FE806">
                  <w:pPr>
                    <w:overflowPunct w:val="0"/>
                    <w:jc w:val="center"/>
                    <w:rPr>
                      <w:rFonts w:hint="default" w:ascii="Calibri" w:hAnsi="Calibri" w:eastAsia="楷体_GB2312" w:cs="Calibri"/>
                      <w:color w:val="000000"/>
                    </w:rPr>
                  </w:pPr>
                  <w:r>
                    <w:rPr>
                      <w:rFonts w:hint="default" w:ascii="Calibri" w:hAnsi="Calibri" w:eastAsia="楷体_GB2312" w:cs="Calibri"/>
                      <w:color w:val="000000"/>
                      <w:lang w:val="en-US" w:eastAsia="zh-CN"/>
                    </w:rPr>
                    <w:t>ABB</w:t>
                  </w:r>
                </w:p>
              </w:tc>
              <w:tc>
                <w:tcPr>
                  <w:tcW w:w="481" w:type="pct"/>
                  <w:tcBorders>
                    <w:top w:val="single" w:color="auto" w:sz="4" w:space="0"/>
                    <w:left w:val="single" w:color="auto" w:sz="4" w:space="0"/>
                    <w:bottom w:val="single" w:color="auto" w:sz="4" w:space="0"/>
                    <w:right w:val="nil"/>
                  </w:tcBorders>
                  <w:vAlign w:val="center"/>
                </w:tcPr>
                <w:p w14:paraId="6BB83BF5">
                  <w:pPr>
                    <w:overflowPunct w:val="0"/>
                    <w:jc w:val="center"/>
                    <w:rPr>
                      <w:rFonts w:hint="default" w:ascii="Calibri" w:hAnsi="Calibri" w:eastAsia="楷体_GB2312" w:cs="Calibri"/>
                      <w:color w:val="000000"/>
                    </w:rPr>
                  </w:pPr>
                  <w:r>
                    <w:rPr>
                      <w:rFonts w:hint="default" w:ascii="Calibri" w:hAnsi="Calibri" w:eastAsia="楷体_GB2312" w:cs="Calibri"/>
                      <w:color w:val="000000"/>
                      <w:lang w:val="en-US" w:eastAsia="zh-CN"/>
                    </w:rPr>
                    <w:t>2月10日</w:t>
                  </w:r>
                </w:p>
              </w:tc>
              <w:tc>
                <w:tcPr>
                  <w:tcW w:w="3701" w:type="pct"/>
                  <w:tcBorders>
                    <w:top w:val="single" w:color="auto" w:sz="4" w:space="0"/>
                    <w:left w:val="single" w:color="auto" w:sz="4" w:space="0"/>
                    <w:bottom w:val="single" w:color="auto" w:sz="4" w:space="0"/>
                    <w:right w:val="single" w:color="auto" w:sz="4" w:space="0"/>
                  </w:tcBorders>
                  <w:noWrap/>
                  <w:vAlign w:val="center"/>
                </w:tcPr>
                <w:p w14:paraId="00A1F4E6">
                  <w:pPr>
                    <w:overflowPunct w:val="0"/>
                    <w:rPr>
                      <w:rFonts w:hint="default" w:ascii="Calibri" w:hAnsi="Calibri" w:eastAsia="楷体_GB2312" w:cs="Calibri"/>
                      <w:color w:val="000000"/>
                    </w:rPr>
                  </w:pPr>
                  <w:r>
                    <w:rPr>
                      <w:rFonts w:hint="default" w:ascii="Calibri" w:hAnsi="Calibri" w:eastAsia="楷体_GB2312" w:cs="Calibri"/>
                      <w:color w:val="000000"/>
                      <w:lang w:val="en-US" w:eastAsia="zh-CN"/>
                    </w:rPr>
                    <w:t>ABB宣布收购交易，新增35万连接，提升规模并确保长期增长伙伴关系；公司对2026年充满信心，此前启动20亿美元股票回购计划，受益于电气化和自动化需求。</w:t>
                  </w:r>
                </w:p>
              </w:tc>
            </w:tr>
            <w:tr w14:paraId="12E0F2A0">
              <w:tblPrEx>
                <w:tblCellMar>
                  <w:top w:w="0" w:type="dxa"/>
                  <w:left w:w="108" w:type="dxa"/>
                  <w:bottom w:w="0" w:type="dxa"/>
                  <w:right w:w="108" w:type="dxa"/>
                </w:tblCellMar>
              </w:tblPrEx>
              <w:trPr>
                <w:trHeight w:val="446" w:hRule="atLeast"/>
              </w:trPr>
              <w:tc>
                <w:tcPr>
                  <w:tcW w:w="350" w:type="pct"/>
                  <w:vMerge w:val="continue"/>
                  <w:tcBorders>
                    <w:left w:val="single" w:color="auto" w:sz="4" w:space="0"/>
                    <w:right w:val="nil"/>
                  </w:tcBorders>
                  <w:vAlign w:val="center"/>
                </w:tcPr>
                <w:p w14:paraId="0C30B3FF">
                  <w:pPr>
                    <w:overflowPunct w:val="0"/>
                    <w:jc w:val="center"/>
                    <w:rPr>
                      <w:rFonts w:hint="default" w:ascii="Calibri" w:hAnsi="Calibri" w:eastAsia="楷体_GB2312" w:cs="Calibri"/>
                      <w:color w:val="000000"/>
                    </w:rPr>
                  </w:pPr>
                </w:p>
              </w:tc>
              <w:tc>
                <w:tcPr>
                  <w:tcW w:w="466" w:type="pct"/>
                  <w:tcBorders>
                    <w:top w:val="single" w:color="auto" w:sz="4" w:space="0"/>
                    <w:left w:val="single" w:color="auto" w:sz="4" w:space="0"/>
                    <w:bottom w:val="single" w:color="auto" w:sz="4" w:space="0"/>
                    <w:right w:val="nil"/>
                  </w:tcBorders>
                  <w:vAlign w:val="center"/>
                </w:tcPr>
                <w:p w14:paraId="7C202EDD">
                  <w:pPr>
                    <w:overflowPunct w:val="0"/>
                    <w:jc w:val="center"/>
                    <w:rPr>
                      <w:rFonts w:hint="default" w:ascii="Calibri" w:hAnsi="Calibri" w:eastAsia="楷体_GB2312" w:cs="Calibri"/>
                      <w:color w:val="000000"/>
                    </w:rPr>
                  </w:pPr>
                  <w:r>
                    <w:rPr>
                      <w:rFonts w:hint="default" w:ascii="Calibri" w:hAnsi="Calibri" w:eastAsia="楷体_GB2312" w:cs="Calibri"/>
                      <w:color w:val="000000"/>
                      <w:lang w:val="en-US" w:eastAsia="zh-CN"/>
                    </w:rPr>
                    <w:t>三菱重工</w:t>
                  </w:r>
                </w:p>
              </w:tc>
              <w:tc>
                <w:tcPr>
                  <w:tcW w:w="481" w:type="pct"/>
                  <w:tcBorders>
                    <w:top w:val="single" w:color="auto" w:sz="4" w:space="0"/>
                    <w:left w:val="single" w:color="auto" w:sz="4" w:space="0"/>
                    <w:bottom w:val="single" w:color="auto" w:sz="4" w:space="0"/>
                    <w:right w:val="nil"/>
                  </w:tcBorders>
                  <w:vAlign w:val="center"/>
                </w:tcPr>
                <w:p w14:paraId="05C6A6F9">
                  <w:pPr>
                    <w:overflowPunct w:val="0"/>
                    <w:jc w:val="center"/>
                    <w:rPr>
                      <w:rFonts w:hint="default" w:ascii="Calibri" w:hAnsi="Calibri" w:eastAsia="楷体_GB2312" w:cs="Calibri"/>
                      <w:color w:val="000000"/>
                    </w:rPr>
                  </w:pPr>
                  <w:r>
                    <w:rPr>
                      <w:rFonts w:hint="default" w:ascii="Calibri" w:hAnsi="Calibri" w:eastAsia="楷体_GB2312" w:cs="Calibri"/>
                      <w:color w:val="000000"/>
                      <w:lang w:val="en-US" w:eastAsia="zh-CN"/>
                    </w:rPr>
                    <w:t>2月4日</w:t>
                  </w:r>
                </w:p>
              </w:tc>
              <w:tc>
                <w:tcPr>
                  <w:tcW w:w="3701" w:type="pct"/>
                  <w:tcBorders>
                    <w:top w:val="single" w:color="auto" w:sz="4" w:space="0"/>
                    <w:left w:val="single" w:color="auto" w:sz="4" w:space="0"/>
                    <w:bottom w:val="single" w:color="auto" w:sz="4" w:space="0"/>
                    <w:right w:val="single" w:color="auto" w:sz="4" w:space="0"/>
                  </w:tcBorders>
                  <w:noWrap/>
                  <w:vAlign w:val="center"/>
                </w:tcPr>
                <w:p w14:paraId="04BF3725">
                  <w:pPr>
                    <w:overflowPunct w:val="0"/>
                    <w:rPr>
                      <w:rFonts w:hint="default" w:ascii="Calibri" w:hAnsi="Calibri" w:eastAsia="楷体_GB2312" w:cs="Calibri"/>
                      <w:color w:val="000000"/>
                    </w:rPr>
                  </w:pPr>
                  <w:r>
                    <w:rPr>
                      <w:rFonts w:hint="default" w:ascii="Calibri" w:hAnsi="Calibri" w:eastAsia="楷体_GB2312" w:cs="Calibri"/>
                      <w:color w:val="000000"/>
                      <w:lang w:val="en-US" w:eastAsia="zh-CN"/>
                    </w:rPr>
                    <w:t>三菱重工公布2025财年前三季度业绩，订单额同比增长12.6%至5.03万亿日元，净利润增长，主要受益于能源、航空航天和防卫领域强劲需求；近期公告风电业务调整。</w:t>
                  </w:r>
                </w:p>
              </w:tc>
            </w:tr>
            <w:tr w14:paraId="32260018">
              <w:tblPrEx>
                <w:tblCellMar>
                  <w:top w:w="0" w:type="dxa"/>
                  <w:left w:w="108" w:type="dxa"/>
                  <w:bottom w:w="0" w:type="dxa"/>
                  <w:right w:w="108" w:type="dxa"/>
                </w:tblCellMar>
              </w:tblPrEx>
              <w:trPr>
                <w:trHeight w:val="446" w:hRule="atLeast"/>
              </w:trPr>
              <w:tc>
                <w:tcPr>
                  <w:tcW w:w="350" w:type="pct"/>
                  <w:vMerge w:val="continue"/>
                  <w:tcBorders>
                    <w:left w:val="single" w:color="auto" w:sz="4" w:space="0"/>
                    <w:right w:val="nil"/>
                  </w:tcBorders>
                  <w:vAlign w:val="center"/>
                </w:tcPr>
                <w:p w14:paraId="6C357CF0">
                  <w:pPr>
                    <w:overflowPunct w:val="0"/>
                    <w:jc w:val="center"/>
                    <w:rPr>
                      <w:rFonts w:hint="default" w:ascii="Calibri" w:hAnsi="Calibri" w:eastAsia="楷体_GB2312" w:cs="Calibri"/>
                      <w:color w:val="000000"/>
                    </w:rPr>
                  </w:pPr>
                </w:p>
              </w:tc>
              <w:tc>
                <w:tcPr>
                  <w:tcW w:w="466" w:type="pct"/>
                  <w:tcBorders>
                    <w:top w:val="single" w:color="auto" w:sz="4" w:space="0"/>
                    <w:left w:val="single" w:color="auto" w:sz="4" w:space="0"/>
                    <w:bottom w:val="single" w:color="auto" w:sz="4" w:space="0"/>
                    <w:right w:val="nil"/>
                  </w:tcBorders>
                  <w:vAlign w:val="center"/>
                </w:tcPr>
                <w:p w14:paraId="03903205">
                  <w:pPr>
                    <w:overflowPunct w:val="0"/>
                    <w:jc w:val="center"/>
                    <w:rPr>
                      <w:rFonts w:hint="default" w:ascii="Calibri" w:hAnsi="Calibri" w:eastAsia="楷体_GB2312" w:cs="Calibri"/>
                      <w:color w:val="000000"/>
                    </w:rPr>
                  </w:pPr>
                  <w:r>
                    <w:rPr>
                      <w:rFonts w:hint="default" w:ascii="Calibri" w:hAnsi="Calibri" w:eastAsia="楷体_GB2312" w:cs="Calibri"/>
                      <w:color w:val="000000"/>
                      <w:lang w:val="en-US" w:eastAsia="zh-CN"/>
                    </w:rPr>
                    <w:t>三菱电机</w:t>
                  </w:r>
                </w:p>
              </w:tc>
              <w:tc>
                <w:tcPr>
                  <w:tcW w:w="481" w:type="pct"/>
                  <w:tcBorders>
                    <w:top w:val="single" w:color="auto" w:sz="4" w:space="0"/>
                    <w:left w:val="single" w:color="auto" w:sz="4" w:space="0"/>
                    <w:bottom w:val="single" w:color="auto" w:sz="4" w:space="0"/>
                    <w:right w:val="nil"/>
                  </w:tcBorders>
                  <w:vAlign w:val="center"/>
                </w:tcPr>
                <w:p w14:paraId="0A7CA46C">
                  <w:pPr>
                    <w:overflowPunct w:val="0"/>
                    <w:jc w:val="center"/>
                    <w:rPr>
                      <w:rFonts w:hint="default" w:ascii="Calibri" w:hAnsi="Calibri" w:eastAsia="楷体_GB2312" w:cs="Calibri"/>
                      <w:color w:val="000000"/>
                    </w:rPr>
                  </w:pPr>
                  <w:r>
                    <w:rPr>
                      <w:rFonts w:hint="default" w:ascii="Calibri" w:hAnsi="Calibri" w:eastAsia="楷体_GB2312" w:cs="Calibri"/>
                      <w:color w:val="000000"/>
                      <w:lang w:val="en-US" w:eastAsia="zh-CN"/>
                    </w:rPr>
                    <w:t>2月10日</w:t>
                  </w:r>
                </w:p>
              </w:tc>
              <w:tc>
                <w:tcPr>
                  <w:tcW w:w="3701" w:type="pct"/>
                  <w:tcBorders>
                    <w:top w:val="single" w:color="auto" w:sz="4" w:space="0"/>
                    <w:left w:val="single" w:color="auto" w:sz="4" w:space="0"/>
                    <w:bottom w:val="single" w:color="auto" w:sz="4" w:space="0"/>
                    <w:right w:val="single" w:color="auto" w:sz="4" w:space="0"/>
                  </w:tcBorders>
                  <w:noWrap/>
                  <w:vAlign w:val="center"/>
                </w:tcPr>
                <w:p w14:paraId="5D0504CB">
                  <w:pPr>
                    <w:overflowPunct w:val="0"/>
                    <w:rPr>
                      <w:rFonts w:hint="default" w:ascii="Calibri" w:hAnsi="Calibri" w:eastAsia="楷体_GB2312" w:cs="Calibri"/>
                      <w:color w:val="000000"/>
                    </w:rPr>
                  </w:pPr>
                  <w:r>
                    <w:rPr>
                      <w:rFonts w:hint="default" w:ascii="Calibri" w:hAnsi="Calibri" w:eastAsia="楷体_GB2312" w:cs="Calibri"/>
                      <w:color w:val="000000"/>
                      <w:lang w:val="en-US" w:eastAsia="zh-CN"/>
                    </w:rPr>
                    <w:t>三菱电机旗下MEPPI扩展服务中心能力，以满足关键电力基础设施激增需求；公司近期获得国防相关合同，并公布2026财年利润指引调整。</w:t>
                  </w:r>
                </w:p>
              </w:tc>
            </w:tr>
            <w:tr w14:paraId="06320AEE">
              <w:tblPrEx>
                <w:tblCellMar>
                  <w:top w:w="0" w:type="dxa"/>
                  <w:left w:w="108" w:type="dxa"/>
                  <w:bottom w:w="0" w:type="dxa"/>
                  <w:right w:w="108" w:type="dxa"/>
                </w:tblCellMar>
              </w:tblPrEx>
              <w:trPr>
                <w:trHeight w:val="446" w:hRule="atLeast"/>
              </w:trPr>
              <w:tc>
                <w:tcPr>
                  <w:tcW w:w="350" w:type="pct"/>
                  <w:vMerge w:val="continue"/>
                  <w:tcBorders>
                    <w:left w:val="single" w:color="auto" w:sz="4" w:space="0"/>
                    <w:bottom w:val="single" w:color="auto" w:sz="4" w:space="0"/>
                    <w:right w:val="nil"/>
                  </w:tcBorders>
                  <w:vAlign w:val="center"/>
                </w:tcPr>
                <w:p w14:paraId="1618DBA7">
                  <w:pPr>
                    <w:overflowPunct w:val="0"/>
                    <w:jc w:val="center"/>
                    <w:rPr>
                      <w:rFonts w:hint="default" w:ascii="Calibri" w:hAnsi="Calibri" w:eastAsia="楷体_GB2312" w:cs="Calibri"/>
                      <w:color w:val="000000"/>
                    </w:rPr>
                  </w:pPr>
                </w:p>
              </w:tc>
              <w:tc>
                <w:tcPr>
                  <w:tcW w:w="466" w:type="pct"/>
                  <w:tcBorders>
                    <w:top w:val="single" w:color="auto" w:sz="4" w:space="0"/>
                    <w:left w:val="single" w:color="auto" w:sz="4" w:space="0"/>
                    <w:bottom w:val="single" w:color="auto" w:sz="4" w:space="0"/>
                    <w:right w:val="nil"/>
                  </w:tcBorders>
                  <w:vAlign w:val="center"/>
                </w:tcPr>
                <w:p w14:paraId="75112DCA">
                  <w:pPr>
                    <w:overflowPunct w:val="0"/>
                    <w:jc w:val="center"/>
                    <w:rPr>
                      <w:rFonts w:hint="default" w:ascii="Calibri" w:hAnsi="Calibri" w:eastAsia="楷体_GB2312" w:cs="Calibri"/>
                      <w:color w:val="000000"/>
                    </w:rPr>
                  </w:pPr>
                  <w:r>
                    <w:rPr>
                      <w:rFonts w:hint="default" w:ascii="Calibri" w:hAnsi="Calibri" w:eastAsia="楷体_GB2312" w:cs="Calibri"/>
                      <w:color w:val="000000"/>
                      <w:lang w:val="en-US" w:eastAsia="zh-CN"/>
                    </w:rPr>
                    <w:t>Vertiv</w:t>
                  </w:r>
                </w:p>
              </w:tc>
              <w:tc>
                <w:tcPr>
                  <w:tcW w:w="481" w:type="pct"/>
                  <w:tcBorders>
                    <w:top w:val="single" w:color="auto" w:sz="4" w:space="0"/>
                    <w:left w:val="single" w:color="auto" w:sz="4" w:space="0"/>
                    <w:bottom w:val="single" w:color="auto" w:sz="4" w:space="0"/>
                    <w:right w:val="nil"/>
                  </w:tcBorders>
                  <w:vAlign w:val="center"/>
                </w:tcPr>
                <w:p w14:paraId="45AC4AD1">
                  <w:pPr>
                    <w:overflowPunct w:val="0"/>
                    <w:jc w:val="center"/>
                    <w:rPr>
                      <w:rFonts w:hint="default" w:ascii="Calibri" w:hAnsi="Calibri" w:eastAsia="楷体_GB2312" w:cs="Calibri"/>
                      <w:color w:val="000000"/>
                    </w:rPr>
                  </w:pPr>
                  <w:r>
                    <w:rPr>
                      <w:rFonts w:hint="default" w:ascii="Calibri" w:hAnsi="Calibri" w:eastAsia="楷体_GB2312" w:cs="Calibri"/>
                      <w:color w:val="000000"/>
                      <w:lang w:val="en-US" w:eastAsia="zh-CN"/>
                    </w:rPr>
                    <w:t>2月11日</w:t>
                  </w:r>
                </w:p>
              </w:tc>
              <w:tc>
                <w:tcPr>
                  <w:tcW w:w="3701" w:type="pct"/>
                  <w:tcBorders>
                    <w:top w:val="single" w:color="auto" w:sz="4" w:space="0"/>
                    <w:left w:val="single" w:color="auto" w:sz="4" w:space="0"/>
                    <w:bottom w:val="single" w:color="auto" w:sz="4" w:space="0"/>
                    <w:right w:val="single" w:color="auto" w:sz="4" w:space="0"/>
                  </w:tcBorders>
                  <w:noWrap/>
                  <w:vAlign w:val="center"/>
                </w:tcPr>
                <w:p w14:paraId="5D1FA7EC">
                  <w:pPr>
                    <w:overflowPunct w:val="0"/>
                    <w:rPr>
                      <w:rFonts w:hint="default" w:ascii="Calibri" w:hAnsi="Calibri" w:eastAsia="楷体_GB2312" w:cs="Calibri"/>
                      <w:color w:val="000000"/>
                    </w:rPr>
                  </w:pPr>
                  <w:r>
                    <w:rPr>
                      <w:rFonts w:hint="default" w:ascii="Calibri" w:hAnsi="Calibri" w:eastAsia="楷体_GB2312" w:cs="Calibri"/>
                      <w:color w:val="000000"/>
                      <w:lang w:val="en-US" w:eastAsia="zh-CN"/>
                    </w:rPr>
                    <w:t>Vertiv将于今日公布2025年第四季度及全年财报，市场预期强劲增长；公司近期宣布10亿美元收购及与NVIDIA等合作，推动AI数据中心基础设施角色重塑。</w:t>
                  </w:r>
                </w:p>
              </w:tc>
            </w:tr>
          </w:tbl>
          <w:p w14:paraId="6A631B58">
            <w:pPr>
              <w:overflowPunct w:val="0"/>
              <w:jc w:val="center"/>
              <w:rPr>
                <w:rFonts w:hint="default" w:ascii="Calibri" w:hAnsi="Calibri" w:eastAsia="楷体_GB2312" w:cs="Calibri"/>
                <w:sz w:val="10"/>
                <w:lang w:eastAsia="zh-CN"/>
              </w:rPr>
            </w:pPr>
          </w:p>
        </w:tc>
      </w:tr>
      <w:tr w14:paraId="10330340">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rPr>
          <w:jc w:val="right"/>
        </w:trPr>
        <w:tc>
          <w:tcPr>
            <w:tcW w:w="9855" w:type="dxa"/>
            <w:tcBorders>
              <w:top w:val="single" w:color="auto" w:sz="4" w:space="0"/>
            </w:tcBorders>
          </w:tcPr>
          <w:p w14:paraId="44FD43CF">
            <w:pPr>
              <w:rPr>
                <w:rFonts w:hint="default" w:ascii="Calibri" w:hAnsi="Calibri" w:eastAsia="楷体_GB2312" w:cs="Calibri"/>
                <w:i/>
                <w:iCs/>
                <w:sz w:val="15"/>
                <w:szCs w:val="15"/>
              </w:rPr>
            </w:pPr>
            <w:r>
              <w:rPr>
                <w:rFonts w:hint="default" w:ascii="Calibri" w:hAnsi="Calibri" w:eastAsia="楷体_GB2312" w:cs="Calibri"/>
                <w:i/>
                <w:iCs/>
              </w:rPr>
              <w:t>资料来源：公司公告，</w:t>
            </w:r>
            <w:r>
              <w:rPr>
                <w:rFonts w:hint="default" w:ascii="Calibri" w:hAnsi="Calibri" w:eastAsia="楷体_GB2312" w:cs="Calibri"/>
                <w:i/>
                <w:iCs/>
                <w:lang w:eastAsia="zh-CN"/>
              </w:rPr>
              <w:t>HFI</w:t>
            </w:r>
          </w:p>
        </w:tc>
      </w:tr>
    </w:tbl>
    <w:p w14:paraId="563F5719">
      <w:pPr>
        <w:tabs>
          <w:tab w:val="left" w:pos="3879"/>
        </w:tabs>
        <w:rPr>
          <w:rFonts w:hint="default" w:ascii="Calibri" w:hAnsi="Calibri" w:eastAsia="楷体_GB2312" w:cs="Calibri"/>
          <w:lang w:eastAsia="zh-CN"/>
        </w:rPr>
      </w:pPr>
    </w:p>
    <w:p w14:paraId="142F2610">
      <w:pPr>
        <w:rPr>
          <w:rFonts w:hint="default" w:ascii="Calibri" w:hAnsi="Calibri" w:eastAsia="楷体_GB2312" w:cs="Calibri"/>
          <w:lang w:eastAsia="zh-CN"/>
        </w:rPr>
      </w:pPr>
      <w:r>
        <w:rPr>
          <w:rFonts w:hint="default" w:ascii="Calibri" w:hAnsi="Calibri" w:eastAsia="楷体_GB2312" w:cs="Calibri"/>
          <w:lang w:eastAsia="zh-CN"/>
        </w:rPr>
        <w:br w:type="page"/>
      </w:r>
    </w:p>
    <w:p w14:paraId="1410F050">
      <w:pPr>
        <w:overflowPunct w:val="0"/>
        <w:ind w:left="3200" w:leftChars="2000"/>
        <w:jc w:val="both"/>
        <w:outlineLvl w:val="0"/>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20" w:name="_Toc603"/>
      <w:r>
        <w:rPr>
          <w:rFonts w:hint="default" w:ascii="Calibri" w:hAnsi="Calibri" w:eastAsia="楷体_GB2312" w:cs="Calibri"/>
          <w:b/>
          <w:bCs/>
          <w:color w:val="1F497D" w:themeColor="text2"/>
          <w:sz w:val="24"/>
          <w:szCs w:val="24"/>
          <w:lang w:val="en-US" w:eastAsia="zh-CN"/>
          <w14:textFill>
            <w14:solidFill>
              <w14:schemeClr w14:val="tx2"/>
            </w14:solidFill>
          </w14:textFill>
        </w:rPr>
        <w:t>四、全球能源工业</w:t>
      </w:r>
      <w:bookmarkEnd w:id="20"/>
      <w:r>
        <w:rPr>
          <w:rFonts w:hint="default" w:ascii="Calibri" w:hAnsi="Calibri" w:eastAsia="楷体_GB2312" w:cs="Calibri"/>
          <w:b/>
          <w:bCs/>
          <w:color w:val="1F497D" w:themeColor="text2"/>
          <w:sz w:val="24"/>
          <w:szCs w:val="24"/>
          <w:lang w:val="en-US" w:eastAsia="zh-CN"/>
          <w14:textFill>
            <w14:solidFill>
              <w14:schemeClr w14:val="tx2"/>
            </w14:solidFill>
          </w14:textFill>
        </w:rPr>
        <w:t xml:space="preserve">   </w:t>
      </w:r>
    </w:p>
    <w:p w14:paraId="2B6B8F86">
      <w:pPr>
        <w:overflowPunct w:val="0"/>
        <w:ind w:left="3200" w:leftChars="2000"/>
        <w:jc w:val="both"/>
        <w:outlineLvl w:val="1"/>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21" w:name="_Toc15140"/>
      <w:r>
        <w:rPr>
          <w:rFonts w:hint="default" w:ascii="Calibri" w:hAnsi="Calibri" w:eastAsia="楷体_GB2312" w:cs="Calibri"/>
          <w:b/>
          <w:bCs/>
          <w:color w:val="1F497D" w:themeColor="text2"/>
          <w:sz w:val="24"/>
          <w:szCs w:val="24"/>
          <w:lang w:val="en-US" w:eastAsia="zh-CN"/>
          <w14:textFill>
            <w14:solidFill>
              <w14:schemeClr w14:val="tx2"/>
            </w14:solidFill>
          </w14:textFill>
        </w:rPr>
        <w:t>（一）能源发展</w:t>
      </w:r>
      <w:bookmarkEnd w:id="21"/>
    </w:p>
    <w:p w14:paraId="464B5301">
      <w:pPr>
        <w:overflowPunct w:val="0"/>
        <w:ind w:left="3200" w:leftChars="2000"/>
        <w:jc w:val="both"/>
        <w:outlineLvl w:val="2"/>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22" w:name="_Toc21706"/>
      <w:r>
        <w:rPr>
          <w:rFonts w:hint="default" w:ascii="Calibri" w:hAnsi="Calibri" w:eastAsia="楷体_GB2312" w:cs="Calibri"/>
          <w:b/>
          <w:bCs/>
          <w:color w:val="1F497D" w:themeColor="text2"/>
          <w:sz w:val="24"/>
          <w:szCs w:val="24"/>
          <w:lang w:val="en-US" w:eastAsia="zh-CN"/>
          <w14:textFill>
            <w14:solidFill>
              <w14:schemeClr w14:val="tx2"/>
            </w14:solidFill>
          </w14:textFill>
        </w:rPr>
        <w:t>（1）美国电力市场</w:t>
      </w:r>
      <w:bookmarkEnd w:id="22"/>
    </w:p>
    <w:p w14:paraId="19610E04">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电力需求方面，经过十多年的缓慢变化，美国电力消耗再次上升。</w:t>
      </w:r>
      <w:r>
        <w:rPr>
          <w:rFonts w:hint="default" w:ascii="Calibri" w:hAnsi="Calibri" w:eastAsia="楷体_GB2312" w:cs="Calibri"/>
          <w:sz w:val="20"/>
          <w:szCs w:val="20"/>
          <w:lang w:val="en-US" w:eastAsia="zh-CN"/>
        </w:rPr>
        <w:t>EIA预计美国年度电力消耗将在2025、2026及2027年持续攀升，远超2024年创下的历史最高水平，与2000年代中期至2020年代初的平稳趋势形成鲜明对比。近期及预测的增长主要由商业部门（含数据中心）和工业部门（含制造业）驱动，其中商业与交通用电是核心引擎，反映AI算力与基础设施需求爆发；工业用电保持稳健增长支撑制造业回流；而居民用电因能效提升与分布式光伏普及，预计2027年将出现负增长，部分抵消整体增速。</w:t>
      </w:r>
    </w:p>
    <w:tbl>
      <w:tblPr>
        <w:tblStyle w:val="26"/>
        <w:tblpPr w:leftFromText="180" w:rightFromText="180" w:vertAnchor="text" w:horzAnchor="margin" w:tblpXSpec="center" w:tblpY="246"/>
        <w:tblW w:w="10490" w:type="dxa"/>
        <w:tblInd w:w="0" w:type="dxa"/>
        <w:tblLayout w:type="fixed"/>
        <w:tblCellMar>
          <w:top w:w="0" w:type="dxa"/>
          <w:left w:w="108" w:type="dxa"/>
          <w:bottom w:w="0" w:type="dxa"/>
          <w:right w:w="108" w:type="dxa"/>
        </w:tblCellMar>
      </w:tblPr>
      <w:tblGrid>
        <w:gridCol w:w="5103"/>
        <w:gridCol w:w="238"/>
        <w:gridCol w:w="5149"/>
      </w:tblGrid>
      <w:tr w14:paraId="5C4A84A0">
        <w:tblPrEx>
          <w:tblCellMar>
            <w:top w:w="0" w:type="dxa"/>
            <w:left w:w="108" w:type="dxa"/>
            <w:bottom w:w="0" w:type="dxa"/>
            <w:right w:w="108" w:type="dxa"/>
          </w:tblCellMar>
        </w:tblPrEx>
        <w:trPr>
          <w:trHeight w:val="227" w:hRule="atLeast"/>
        </w:trPr>
        <w:tc>
          <w:tcPr>
            <w:tcW w:w="5103" w:type="dxa"/>
            <w:tcBorders>
              <w:top w:val="nil"/>
              <w:left w:val="nil"/>
              <w:bottom w:val="single" w:color="auto" w:sz="4" w:space="0"/>
              <w:right w:val="nil"/>
            </w:tcBorders>
            <w:tcMar>
              <w:top w:w="0" w:type="dxa"/>
              <w:left w:w="0" w:type="dxa"/>
              <w:bottom w:w="0" w:type="dxa"/>
              <w:right w:w="28" w:type="dxa"/>
            </w:tcMar>
          </w:tcPr>
          <w:p w14:paraId="3D2EA338">
            <w:pPr>
              <w:overflowPunct w:val="0"/>
              <w:rPr>
                <w:rFonts w:hint="default" w:ascii="Calibri" w:hAnsi="Calibri" w:eastAsia="楷体_GB2312" w:cs="Calibri"/>
                <w:b/>
                <w:sz w:val="18"/>
                <w:szCs w:val="18"/>
              </w:rPr>
            </w:pPr>
            <w:r>
              <w:rPr>
                <w:rFonts w:hint="default" w:ascii="Calibri" w:hAnsi="Calibri" w:eastAsia="楷体_GB2312" w:cs="Calibri"/>
                <w:b/>
                <w:sz w:val="18"/>
                <w:szCs w:val="18"/>
                <w:lang w:val="zh-CN"/>
              </w:rPr>
              <w:t>图</w:t>
            </w:r>
            <w:r>
              <w:rPr>
                <w:rFonts w:hint="eastAsia" w:eastAsia="楷体_GB2312" w:cs="Calibri"/>
                <w:b/>
                <w:sz w:val="18"/>
                <w:szCs w:val="18"/>
                <w:lang w:val="en-US" w:eastAsia="zh-CN"/>
              </w:rPr>
              <w:t>20</w:t>
            </w:r>
            <w:r>
              <w:rPr>
                <w:rFonts w:hint="default" w:ascii="Calibri" w:hAnsi="Calibri" w:eastAsia="楷体_GB2312" w:cs="Calibri"/>
                <w:b/>
                <w:sz w:val="18"/>
                <w:szCs w:val="18"/>
                <w:lang w:val="zh-CN"/>
              </w:rPr>
              <w:t>：美国电力</w:t>
            </w:r>
            <w:r>
              <w:rPr>
                <w:rFonts w:hint="default" w:ascii="Calibri" w:hAnsi="Calibri" w:eastAsia="楷体_GB2312" w:cs="Calibri"/>
                <w:b/>
                <w:sz w:val="18"/>
                <w:szCs w:val="18"/>
                <w:lang w:val="en-US" w:eastAsia="zh-CN"/>
              </w:rPr>
              <w:t>消费预测及变化构成预测</w:t>
            </w:r>
          </w:p>
        </w:tc>
        <w:tc>
          <w:tcPr>
            <w:tcW w:w="238" w:type="dxa"/>
            <w:tcBorders>
              <w:top w:val="nil"/>
              <w:left w:val="nil"/>
              <w:bottom w:val="nil"/>
              <w:right w:val="nil"/>
            </w:tcBorders>
            <w:tcMar>
              <w:top w:w="0" w:type="dxa"/>
              <w:left w:w="0" w:type="dxa"/>
              <w:bottom w:w="0" w:type="dxa"/>
              <w:right w:w="28" w:type="dxa"/>
            </w:tcMar>
          </w:tcPr>
          <w:p w14:paraId="6E4D1AEB">
            <w:pPr>
              <w:overflowPunct w:val="0"/>
              <w:rPr>
                <w:rFonts w:hint="default" w:ascii="Calibri" w:hAnsi="Calibri" w:eastAsia="楷体_GB2312" w:cs="Calibri"/>
                <w:b/>
                <w:sz w:val="18"/>
                <w:szCs w:val="18"/>
              </w:rPr>
            </w:pPr>
            <w:r>
              <w:rPr>
                <w:rFonts w:hint="default" w:ascii="Calibri" w:hAnsi="Calibri" w:eastAsia="楷体_GB2312" w:cs="Calibri"/>
                <w:b/>
                <w:sz w:val="18"/>
                <w:szCs w:val="18"/>
              </w:rPr>
              <w:t xml:space="preserve">         </w:t>
            </w:r>
          </w:p>
        </w:tc>
        <w:tc>
          <w:tcPr>
            <w:tcW w:w="5149" w:type="dxa"/>
            <w:tcBorders>
              <w:top w:val="nil"/>
              <w:left w:val="nil"/>
              <w:bottom w:val="single" w:color="auto" w:sz="4" w:space="0"/>
              <w:right w:val="nil"/>
            </w:tcBorders>
            <w:tcMar>
              <w:top w:w="0" w:type="dxa"/>
              <w:left w:w="0" w:type="dxa"/>
              <w:bottom w:w="0" w:type="dxa"/>
              <w:right w:w="28" w:type="dxa"/>
            </w:tcMar>
          </w:tcPr>
          <w:p w14:paraId="099A5261">
            <w:pPr>
              <w:overflowPunct w:val="0"/>
              <w:rPr>
                <w:rFonts w:hint="default" w:ascii="Calibri" w:hAnsi="Calibri" w:eastAsia="楷体_GB2312" w:cs="Calibri"/>
                <w:b/>
                <w:sz w:val="18"/>
                <w:szCs w:val="18"/>
              </w:rPr>
            </w:pPr>
            <w:r>
              <w:rPr>
                <w:rFonts w:hint="default" w:ascii="Calibri" w:hAnsi="Calibri" w:eastAsia="楷体_GB2312" w:cs="Calibri"/>
                <w:b/>
                <w:sz w:val="18"/>
                <w:szCs w:val="18"/>
                <w:lang w:val="zh-CN"/>
              </w:rPr>
              <w:t>图</w:t>
            </w:r>
            <w:r>
              <w:rPr>
                <w:rFonts w:hint="eastAsia" w:eastAsia="楷体_GB2312" w:cs="Calibri"/>
                <w:b/>
                <w:sz w:val="18"/>
                <w:szCs w:val="18"/>
                <w:lang w:val="en-US" w:eastAsia="zh-CN"/>
              </w:rPr>
              <w:t>21</w:t>
            </w:r>
            <w:r>
              <w:rPr>
                <w:rFonts w:hint="default" w:ascii="Calibri" w:hAnsi="Calibri" w:eastAsia="楷体_GB2312" w:cs="Calibri"/>
                <w:b/>
                <w:sz w:val="18"/>
                <w:szCs w:val="18"/>
                <w:lang w:val="zh-CN"/>
              </w:rPr>
              <w:t>：美国电力供应区域版图</w:t>
            </w:r>
          </w:p>
        </w:tc>
      </w:tr>
      <w:tr w14:paraId="09F762DD">
        <w:tblPrEx>
          <w:tblCellMar>
            <w:top w:w="0" w:type="dxa"/>
            <w:left w:w="108" w:type="dxa"/>
            <w:bottom w:w="0" w:type="dxa"/>
            <w:right w:w="108" w:type="dxa"/>
          </w:tblCellMar>
        </w:tblPrEx>
        <w:trPr>
          <w:trHeight w:val="2219" w:hRule="atLeast"/>
        </w:trPr>
        <w:tc>
          <w:tcPr>
            <w:tcW w:w="5103" w:type="dxa"/>
            <w:tcBorders>
              <w:top w:val="single" w:color="auto" w:sz="4" w:space="0"/>
              <w:left w:val="nil"/>
              <w:bottom w:val="single" w:color="auto" w:sz="4" w:space="0"/>
              <w:right w:val="nil"/>
            </w:tcBorders>
            <w:tcMar>
              <w:top w:w="0" w:type="dxa"/>
              <w:left w:w="0" w:type="dxa"/>
              <w:bottom w:w="0" w:type="dxa"/>
              <w:right w:w="28" w:type="dxa"/>
            </w:tcMar>
            <w:vAlign w:val="center"/>
          </w:tcPr>
          <w:p w14:paraId="7ED73511">
            <w:pPr>
              <w:overflowPunct w:val="0"/>
              <w:spacing w:before="48" w:beforeLines="20" w:after="48" w:afterLines="20"/>
              <w:jc w:val="center"/>
              <w:textAlignment w:val="center"/>
              <w:rPr>
                <w:rFonts w:hint="default" w:ascii="Calibri" w:hAnsi="Calibri" w:eastAsia="楷体_GB2312" w:cs="Calibri"/>
                <w:b/>
                <w:color w:val="000000"/>
                <w:sz w:val="15"/>
                <w:szCs w:val="15"/>
              </w:rPr>
            </w:pPr>
            <w:r>
              <w:rPr>
                <w:rFonts w:hint="default" w:ascii="Calibri" w:hAnsi="Calibri" w:eastAsia="楷体_GB2312" w:cs="Calibri"/>
                <w:snapToGrid/>
              </w:rPr>
              <w:drawing>
                <wp:inline distT="0" distB="0" distL="0" distR="0">
                  <wp:extent cx="3222625" cy="1861820"/>
                  <wp:effectExtent l="0" t="0" r="0" b="5080"/>
                  <wp:docPr id="250512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512767" name="图片 1"/>
                          <pic:cNvPicPr>
                            <a:picLocks noChangeAspect="1"/>
                          </pic:cNvPicPr>
                        </pic:nvPicPr>
                        <pic:blipFill>
                          <a:blip r:embed="rId37"/>
                          <a:stretch>
                            <a:fillRect/>
                          </a:stretch>
                        </pic:blipFill>
                        <pic:spPr>
                          <a:xfrm>
                            <a:off x="0" y="0"/>
                            <a:ext cx="3222625" cy="1861820"/>
                          </a:xfrm>
                          <a:prstGeom prst="rect">
                            <a:avLst/>
                          </a:prstGeom>
                        </pic:spPr>
                      </pic:pic>
                    </a:graphicData>
                  </a:graphic>
                </wp:inline>
              </w:drawing>
            </w:r>
          </w:p>
        </w:tc>
        <w:tc>
          <w:tcPr>
            <w:tcW w:w="238" w:type="dxa"/>
            <w:tcBorders>
              <w:top w:val="nil"/>
              <w:left w:val="nil"/>
              <w:bottom w:val="nil"/>
              <w:right w:val="nil"/>
            </w:tcBorders>
            <w:tcMar>
              <w:top w:w="0" w:type="dxa"/>
              <w:left w:w="0" w:type="dxa"/>
              <w:bottom w:w="0" w:type="dxa"/>
              <w:right w:w="28" w:type="dxa"/>
            </w:tcMar>
          </w:tcPr>
          <w:p w14:paraId="59C8E554">
            <w:pPr>
              <w:overflowPunct w:val="0"/>
              <w:spacing w:before="48" w:beforeLines="20" w:after="48" w:afterLines="20"/>
              <w:rPr>
                <w:rFonts w:hint="default" w:ascii="Calibri" w:hAnsi="Calibri" w:eastAsia="楷体_GB2312" w:cs="Calibri"/>
                <w:sz w:val="15"/>
                <w:szCs w:val="15"/>
              </w:rPr>
            </w:pPr>
          </w:p>
        </w:tc>
        <w:tc>
          <w:tcPr>
            <w:tcW w:w="5149" w:type="dxa"/>
            <w:tcBorders>
              <w:top w:val="single" w:color="auto" w:sz="4" w:space="0"/>
              <w:left w:val="nil"/>
              <w:bottom w:val="single" w:color="auto" w:sz="4" w:space="0"/>
              <w:right w:val="nil"/>
            </w:tcBorders>
            <w:tcMar>
              <w:top w:w="0" w:type="dxa"/>
              <w:left w:w="0" w:type="dxa"/>
              <w:bottom w:w="0" w:type="dxa"/>
              <w:right w:w="28" w:type="dxa"/>
            </w:tcMar>
          </w:tcPr>
          <w:p w14:paraId="03C55EC2">
            <w:pPr>
              <w:overflowPunct w:val="0"/>
              <w:spacing w:before="48" w:beforeLines="20" w:after="48" w:afterLines="20"/>
              <w:jc w:val="center"/>
              <w:rPr>
                <w:rFonts w:hint="default" w:ascii="Calibri" w:hAnsi="Calibri" w:eastAsia="楷体_GB2312" w:cs="Calibri"/>
                <w:b/>
                <w:sz w:val="15"/>
                <w:szCs w:val="15"/>
              </w:rPr>
            </w:pPr>
            <w:r>
              <w:rPr>
                <w:rFonts w:hint="default" w:ascii="Calibri" w:hAnsi="Calibri" w:eastAsia="楷体_GB2312" w:cs="Calibri"/>
                <w:snapToGrid/>
              </w:rPr>
              <w:drawing>
                <wp:inline distT="0" distB="0" distL="0" distR="0">
                  <wp:extent cx="3178810" cy="2078355"/>
                  <wp:effectExtent l="0" t="0" r="2540" b="0"/>
                  <wp:docPr id="13694575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57510" name="图片 1"/>
                          <pic:cNvPicPr>
                            <a:picLocks noChangeAspect="1"/>
                          </pic:cNvPicPr>
                        </pic:nvPicPr>
                        <pic:blipFill>
                          <a:blip r:embed="rId38"/>
                          <a:stretch>
                            <a:fillRect/>
                          </a:stretch>
                        </pic:blipFill>
                        <pic:spPr>
                          <a:xfrm>
                            <a:off x="0" y="0"/>
                            <a:ext cx="3182836" cy="2080870"/>
                          </a:xfrm>
                          <a:prstGeom prst="rect">
                            <a:avLst/>
                          </a:prstGeom>
                        </pic:spPr>
                      </pic:pic>
                    </a:graphicData>
                  </a:graphic>
                </wp:inline>
              </w:drawing>
            </w:r>
          </w:p>
        </w:tc>
      </w:tr>
      <w:tr w14:paraId="703B1237">
        <w:tblPrEx>
          <w:tblCellMar>
            <w:top w:w="0" w:type="dxa"/>
            <w:left w:w="108" w:type="dxa"/>
            <w:bottom w:w="0" w:type="dxa"/>
            <w:right w:w="108" w:type="dxa"/>
          </w:tblCellMar>
        </w:tblPrEx>
        <w:tc>
          <w:tcPr>
            <w:tcW w:w="5103" w:type="dxa"/>
            <w:tcBorders>
              <w:top w:val="single" w:color="auto" w:sz="4" w:space="0"/>
              <w:left w:val="nil"/>
              <w:bottom w:val="nil"/>
              <w:right w:val="nil"/>
            </w:tcBorders>
            <w:tcMar>
              <w:top w:w="0" w:type="dxa"/>
              <w:left w:w="0" w:type="dxa"/>
              <w:bottom w:w="0" w:type="dxa"/>
              <w:right w:w="28" w:type="dxa"/>
            </w:tcMar>
            <w:vAlign w:val="center"/>
          </w:tcPr>
          <w:p w14:paraId="23B507F3">
            <w:pPr>
              <w:overflowPunct w:val="0"/>
              <w:spacing w:before="48" w:beforeLines="20" w:after="48" w:afterLines="20"/>
              <w:textAlignment w:val="center"/>
              <w:rPr>
                <w:rFonts w:hint="default" w:ascii="Calibri" w:hAnsi="Calibri" w:eastAsia="楷体_GB2312" w:cs="Calibri"/>
                <w:sz w:val="10"/>
                <w:szCs w:val="10"/>
              </w:rPr>
            </w:pPr>
            <w:r>
              <w:rPr>
                <w:rFonts w:hint="default" w:ascii="Calibri" w:hAnsi="Calibri" w:eastAsia="楷体_GB2312" w:cs="Calibri"/>
                <w:i/>
                <w:iCs/>
                <w:lang w:val="zh-CN"/>
              </w:rPr>
              <w:t>资料来源：EIA，HFI</w:t>
            </w:r>
          </w:p>
        </w:tc>
        <w:tc>
          <w:tcPr>
            <w:tcW w:w="238" w:type="dxa"/>
            <w:tcBorders>
              <w:top w:val="nil"/>
              <w:left w:val="nil"/>
              <w:bottom w:val="nil"/>
              <w:right w:val="nil"/>
            </w:tcBorders>
            <w:tcMar>
              <w:top w:w="0" w:type="dxa"/>
              <w:left w:w="0" w:type="dxa"/>
              <w:bottom w:w="0" w:type="dxa"/>
              <w:right w:w="28" w:type="dxa"/>
            </w:tcMar>
          </w:tcPr>
          <w:p w14:paraId="1BA4C088">
            <w:pPr>
              <w:overflowPunct w:val="0"/>
              <w:spacing w:before="48" w:beforeLines="20" w:after="48" w:afterLines="20"/>
              <w:rPr>
                <w:rFonts w:hint="default" w:ascii="Calibri" w:hAnsi="Calibri" w:eastAsia="楷体_GB2312" w:cs="Calibri"/>
                <w:sz w:val="15"/>
                <w:szCs w:val="15"/>
              </w:rPr>
            </w:pPr>
          </w:p>
        </w:tc>
        <w:tc>
          <w:tcPr>
            <w:tcW w:w="5149" w:type="dxa"/>
            <w:tcBorders>
              <w:top w:val="single" w:color="auto" w:sz="4" w:space="0"/>
              <w:left w:val="nil"/>
              <w:bottom w:val="nil"/>
              <w:right w:val="nil"/>
            </w:tcBorders>
            <w:tcMar>
              <w:top w:w="0" w:type="dxa"/>
              <w:left w:w="0" w:type="dxa"/>
              <w:bottom w:w="0" w:type="dxa"/>
              <w:right w:w="28" w:type="dxa"/>
            </w:tcMar>
          </w:tcPr>
          <w:p w14:paraId="62C78466">
            <w:pPr>
              <w:overflowPunct w:val="0"/>
              <w:spacing w:before="48" w:beforeLines="20" w:after="48" w:afterLines="20"/>
              <w:rPr>
                <w:rFonts w:hint="default" w:ascii="Calibri" w:hAnsi="Calibri" w:eastAsia="楷体_GB2312" w:cs="Calibri"/>
                <w:sz w:val="10"/>
                <w:szCs w:val="10"/>
              </w:rPr>
            </w:pPr>
            <w:r>
              <w:rPr>
                <w:rFonts w:hint="default" w:ascii="Calibri" w:hAnsi="Calibri" w:eastAsia="楷体_GB2312" w:cs="Calibri"/>
                <w:i/>
                <w:iCs/>
                <w:lang w:val="zh-CN"/>
              </w:rPr>
              <w:t>资料来源：EIA，HFI</w:t>
            </w:r>
          </w:p>
        </w:tc>
      </w:tr>
    </w:tbl>
    <w:p w14:paraId="621E7087">
      <w:pPr>
        <w:overflowPunct w:val="0"/>
        <w:ind w:left="3200" w:leftChars="2000"/>
        <w:jc w:val="both"/>
        <w:rPr>
          <w:rFonts w:hint="default" w:ascii="Calibri" w:hAnsi="Calibri" w:eastAsia="楷体_GB2312" w:cs="Calibri"/>
          <w:b/>
          <w:bCs/>
          <w:sz w:val="20"/>
          <w:szCs w:val="20"/>
          <w:lang w:eastAsia="zh-CN"/>
        </w:rPr>
      </w:pPr>
    </w:p>
    <w:p w14:paraId="40E8FEED">
      <w:pPr>
        <w:overflowPunct w:val="0"/>
        <w:ind w:left="3200" w:leftChars="2000"/>
        <w:jc w:val="both"/>
        <w:rPr>
          <w:rFonts w:hint="default" w:ascii="Calibri" w:hAnsi="Calibri" w:eastAsia="楷体_GB2312" w:cs="Calibri"/>
          <w:b/>
          <w:bCs/>
          <w:sz w:val="20"/>
          <w:szCs w:val="20"/>
          <w:lang w:val="en-US" w:eastAsia="zh-CN"/>
        </w:rPr>
      </w:pPr>
    </w:p>
    <w:p w14:paraId="5BAAF8AE">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电价方面，据EIA最新预测，2025年美国批发电价将呈现显著区域分化，多数地区价格大幅上涨。</w:t>
      </w:r>
      <w:r>
        <w:rPr>
          <w:rFonts w:hint="default" w:ascii="Calibri" w:hAnsi="Calibri" w:eastAsia="楷体_GB2312" w:cs="Calibri"/>
          <w:sz w:val="20"/>
          <w:szCs w:val="20"/>
          <w:lang w:val="en-US" w:eastAsia="zh-CN"/>
        </w:rPr>
        <w:t>以STEO追踪的主要电价枢纽为例，2025年批发电价加权平均预计达51美元/MWh，较2024年上涨约34%。</w:t>
      </w:r>
    </w:p>
    <w:p w14:paraId="516A46D8">
      <w:pPr>
        <w:overflowPunct w:val="0"/>
        <w:ind w:left="3200" w:leftChars="2000"/>
        <w:jc w:val="both"/>
        <w:rPr>
          <w:rFonts w:hint="default" w:ascii="Calibri" w:hAnsi="Calibri" w:eastAsia="楷体_GB2312" w:cs="Calibri"/>
          <w:sz w:val="20"/>
          <w:szCs w:val="20"/>
          <w:lang w:val="en-US" w:eastAsia="zh-CN"/>
        </w:rPr>
      </w:pPr>
    </w:p>
    <w:p w14:paraId="18A38F91">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美国本土48州大多数主要交易中心的日前平均批发电力价格在2025年高于2024年，这主要是由于天然气价格上涨导致发电成本增加。</w:t>
      </w:r>
      <w:r>
        <w:rPr>
          <w:rFonts w:hint="default" w:ascii="Calibri" w:hAnsi="Calibri" w:eastAsia="楷体_GB2312" w:cs="Calibri"/>
          <w:sz w:val="20"/>
          <w:szCs w:val="20"/>
          <w:lang w:val="en-US" w:eastAsia="zh-CN"/>
        </w:rPr>
        <w:t>价格涨幅最大的是新英格兰独立系统运营商（ISO-NE），每兆瓦时（MWh）上涨了29美元；价格跌幅最大的是西北地区中哥伦比亚河谷地区的，每兆瓦时下降了14美元。</w:t>
      </w:r>
    </w:p>
    <w:p w14:paraId="36DCE329">
      <w:pPr>
        <w:overflowPunct w:val="0"/>
        <w:ind w:left="3200" w:leftChars="2000"/>
        <w:jc w:val="both"/>
        <w:rPr>
          <w:rFonts w:hint="default" w:ascii="Calibri" w:hAnsi="Calibri" w:eastAsia="楷体_GB2312" w:cs="Calibri"/>
          <w:sz w:val="20"/>
          <w:szCs w:val="20"/>
          <w:lang w:val="en-US" w:eastAsia="zh-CN"/>
        </w:rPr>
      </w:pPr>
    </w:p>
    <w:tbl>
      <w:tblPr>
        <w:tblStyle w:val="26"/>
        <w:tblW w:w="10490" w:type="dxa"/>
        <w:tblInd w:w="384" w:type="dxa"/>
        <w:tblLayout w:type="fixed"/>
        <w:tblCellMar>
          <w:top w:w="0" w:type="dxa"/>
          <w:left w:w="108" w:type="dxa"/>
          <w:bottom w:w="0" w:type="dxa"/>
          <w:right w:w="108" w:type="dxa"/>
        </w:tblCellMar>
      </w:tblPr>
      <w:tblGrid>
        <w:gridCol w:w="5103"/>
        <w:gridCol w:w="238"/>
        <w:gridCol w:w="5149"/>
      </w:tblGrid>
      <w:tr w14:paraId="703C16AB">
        <w:tblPrEx>
          <w:tblCellMar>
            <w:top w:w="0" w:type="dxa"/>
            <w:left w:w="108" w:type="dxa"/>
            <w:bottom w:w="0" w:type="dxa"/>
            <w:right w:w="108" w:type="dxa"/>
          </w:tblCellMar>
        </w:tblPrEx>
        <w:trPr>
          <w:trHeight w:val="227" w:hRule="atLeast"/>
        </w:trPr>
        <w:tc>
          <w:tcPr>
            <w:tcW w:w="5103" w:type="dxa"/>
            <w:tcBorders>
              <w:top w:val="nil"/>
              <w:left w:val="nil"/>
              <w:bottom w:val="single" w:color="auto" w:sz="4" w:space="0"/>
              <w:right w:val="nil"/>
            </w:tcBorders>
            <w:tcMar>
              <w:top w:w="0" w:type="dxa"/>
              <w:left w:w="0" w:type="dxa"/>
              <w:bottom w:w="0" w:type="dxa"/>
              <w:right w:w="28" w:type="dxa"/>
            </w:tcMar>
          </w:tcPr>
          <w:p w14:paraId="7FBFB6AD">
            <w:pPr>
              <w:overflowPunct w:val="0"/>
              <w:rPr>
                <w:rFonts w:hint="default" w:ascii="Calibri" w:hAnsi="Calibri" w:eastAsia="楷体_GB2312" w:cs="Calibri"/>
                <w:b/>
                <w:sz w:val="18"/>
                <w:szCs w:val="18"/>
                <w:lang w:val="zh-CN"/>
              </w:rPr>
            </w:pPr>
            <w:r>
              <w:rPr>
                <w:rFonts w:hint="default" w:ascii="Calibri" w:hAnsi="Calibri" w:eastAsia="楷体_GB2312" w:cs="Calibri"/>
                <w:b/>
                <w:sz w:val="18"/>
                <w:szCs w:val="18"/>
                <w:lang w:val="zh-CN"/>
              </w:rPr>
              <w:t>图</w:t>
            </w:r>
            <w:r>
              <w:rPr>
                <w:rFonts w:hint="eastAsia" w:eastAsia="楷体_GB2312" w:cs="Calibri"/>
                <w:b/>
                <w:sz w:val="18"/>
                <w:szCs w:val="18"/>
                <w:lang w:val="en-US" w:eastAsia="zh-CN"/>
              </w:rPr>
              <w:t>22</w:t>
            </w:r>
            <w:r>
              <w:rPr>
                <w:rFonts w:hint="default" w:ascii="Calibri" w:hAnsi="Calibri" w:eastAsia="楷体_GB2312" w:cs="Calibri"/>
                <w:b/>
                <w:sz w:val="18"/>
                <w:szCs w:val="18"/>
                <w:lang w:val="zh-CN"/>
              </w:rPr>
              <w:t>：202</w:t>
            </w:r>
            <w:r>
              <w:rPr>
                <w:rFonts w:hint="default" w:ascii="Calibri" w:hAnsi="Calibri" w:eastAsia="楷体_GB2312" w:cs="Calibri"/>
                <w:b/>
                <w:sz w:val="18"/>
                <w:szCs w:val="18"/>
                <w:lang w:val="en-US" w:eastAsia="zh-CN"/>
              </w:rPr>
              <w:t>4</w:t>
            </w:r>
            <w:r>
              <w:rPr>
                <w:rFonts w:hint="default" w:ascii="Calibri" w:hAnsi="Calibri" w:eastAsia="楷体_GB2312" w:cs="Calibri"/>
                <w:b/>
                <w:sz w:val="18"/>
                <w:szCs w:val="18"/>
                <w:lang w:val="zh-CN"/>
              </w:rPr>
              <w:t>-202</w:t>
            </w:r>
            <w:r>
              <w:rPr>
                <w:rFonts w:hint="default" w:ascii="Calibri" w:hAnsi="Calibri" w:eastAsia="楷体_GB2312" w:cs="Calibri"/>
                <w:b/>
                <w:sz w:val="18"/>
                <w:szCs w:val="18"/>
                <w:lang w:val="en-US" w:eastAsia="zh-CN"/>
              </w:rPr>
              <w:t>6E</w:t>
            </w:r>
            <w:r>
              <w:rPr>
                <w:rFonts w:hint="default" w:ascii="Calibri" w:hAnsi="Calibri" w:eastAsia="楷体_GB2312" w:cs="Calibri"/>
                <w:b/>
                <w:sz w:val="18"/>
                <w:szCs w:val="18"/>
                <w:lang w:val="zh-CN"/>
              </w:rPr>
              <w:t>主要交易中心的</w:t>
            </w:r>
            <w:r>
              <w:rPr>
                <w:rFonts w:hint="default" w:ascii="Calibri" w:hAnsi="Calibri" w:eastAsia="楷体_GB2312" w:cs="Calibri"/>
                <w:b/>
                <w:sz w:val="18"/>
                <w:szCs w:val="18"/>
                <w:lang w:val="en-US" w:eastAsia="zh-CN"/>
              </w:rPr>
              <w:t>年度</w:t>
            </w:r>
            <w:r>
              <w:rPr>
                <w:rFonts w:hint="default" w:ascii="Calibri" w:hAnsi="Calibri" w:eastAsia="楷体_GB2312" w:cs="Calibri"/>
                <w:b/>
                <w:sz w:val="18"/>
                <w:szCs w:val="18"/>
                <w:lang w:val="zh-CN"/>
              </w:rPr>
              <w:t>批发电价</w:t>
            </w:r>
          </w:p>
        </w:tc>
        <w:tc>
          <w:tcPr>
            <w:tcW w:w="238" w:type="dxa"/>
            <w:tcBorders>
              <w:top w:val="nil"/>
              <w:left w:val="nil"/>
              <w:bottom w:val="nil"/>
              <w:right w:val="nil"/>
            </w:tcBorders>
            <w:tcMar>
              <w:top w:w="0" w:type="dxa"/>
              <w:left w:w="0" w:type="dxa"/>
              <w:bottom w:w="0" w:type="dxa"/>
              <w:right w:w="28" w:type="dxa"/>
            </w:tcMar>
          </w:tcPr>
          <w:p w14:paraId="13342AD9">
            <w:pPr>
              <w:overflowPunct w:val="0"/>
              <w:rPr>
                <w:rFonts w:hint="default" w:ascii="Calibri" w:hAnsi="Calibri" w:eastAsia="楷体_GB2312" w:cs="Calibri"/>
                <w:b/>
                <w:sz w:val="18"/>
                <w:szCs w:val="18"/>
                <w:lang w:val="zh-CN"/>
              </w:rPr>
            </w:pPr>
            <w:r>
              <w:rPr>
                <w:rFonts w:hint="default" w:ascii="Calibri" w:hAnsi="Calibri" w:eastAsia="楷体_GB2312" w:cs="Calibri"/>
                <w:b/>
                <w:sz w:val="18"/>
                <w:szCs w:val="18"/>
                <w:lang w:val="zh-CN"/>
              </w:rPr>
              <w:t xml:space="preserve">         </w:t>
            </w:r>
          </w:p>
        </w:tc>
        <w:tc>
          <w:tcPr>
            <w:tcW w:w="5149" w:type="dxa"/>
            <w:tcBorders>
              <w:top w:val="nil"/>
              <w:left w:val="nil"/>
              <w:bottom w:val="single" w:color="auto" w:sz="4" w:space="0"/>
              <w:right w:val="nil"/>
            </w:tcBorders>
            <w:tcMar>
              <w:top w:w="0" w:type="dxa"/>
              <w:left w:w="0" w:type="dxa"/>
              <w:bottom w:w="0" w:type="dxa"/>
              <w:right w:w="28" w:type="dxa"/>
            </w:tcMar>
          </w:tcPr>
          <w:p w14:paraId="2E53C8EA">
            <w:pPr>
              <w:overflowPunct w:val="0"/>
              <w:rPr>
                <w:rFonts w:hint="default" w:ascii="Calibri" w:hAnsi="Calibri" w:eastAsia="楷体_GB2312" w:cs="Calibri"/>
                <w:b/>
                <w:sz w:val="18"/>
                <w:szCs w:val="18"/>
                <w:lang w:val="zh-CN"/>
              </w:rPr>
            </w:pPr>
            <w:r>
              <w:rPr>
                <w:rFonts w:hint="default" w:ascii="Calibri" w:hAnsi="Calibri" w:eastAsia="楷体_GB2312" w:cs="Calibri"/>
                <w:b/>
                <w:sz w:val="18"/>
                <w:szCs w:val="18"/>
                <w:lang w:val="zh-CN"/>
              </w:rPr>
              <w:t>图</w:t>
            </w:r>
            <w:r>
              <w:rPr>
                <w:rFonts w:hint="eastAsia" w:eastAsia="楷体_GB2312" w:cs="Calibri"/>
                <w:b/>
                <w:sz w:val="18"/>
                <w:szCs w:val="18"/>
                <w:lang w:val="en-US" w:eastAsia="zh-CN"/>
              </w:rPr>
              <w:t>23</w:t>
            </w:r>
            <w:r>
              <w:rPr>
                <w:rFonts w:hint="default" w:ascii="Calibri" w:hAnsi="Calibri" w:eastAsia="楷体_GB2312" w:cs="Calibri"/>
                <w:b/>
                <w:sz w:val="18"/>
                <w:szCs w:val="18"/>
                <w:lang w:val="zh-CN"/>
              </w:rPr>
              <w:t>：202</w:t>
            </w:r>
            <w:r>
              <w:rPr>
                <w:rFonts w:hint="default" w:ascii="Calibri" w:hAnsi="Calibri" w:eastAsia="楷体_GB2312" w:cs="Calibri"/>
                <w:b/>
                <w:sz w:val="18"/>
                <w:szCs w:val="18"/>
                <w:lang w:val="en-US" w:eastAsia="zh-CN"/>
              </w:rPr>
              <w:t>4</w:t>
            </w:r>
            <w:r>
              <w:rPr>
                <w:rFonts w:hint="default" w:ascii="Calibri" w:hAnsi="Calibri" w:eastAsia="楷体_GB2312" w:cs="Calibri"/>
                <w:b/>
                <w:sz w:val="18"/>
                <w:szCs w:val="18"/>
                <w:lang w:val="zh-CN"/>
              </w:rPr>
              <w:t>-202</w:t>
            </w:r>
            <w:r>
              <w:rPr>
                <w:rFonts w:hint="default" w:ascii="Calibri" w:hAnsi="Calibri" w:eastAsia="楷体_GB2312" w:cs="Calibri"/>
                <w:b/>
                <w:sz w:val="18"/>
                <w:szCs w:val="18"/>
                <w:lang w:val="en-US" w:eastAsia="zh-CN"/>
              </w:rPr>
              <w:t>5</w:t>
            </w:r>
            <w:r>
              <w:rPr>
                <w:rFonts w:hint="default" w:ascii="Calibri" w:hAnsi="Calibri" w:eastAsia="楷体_GB2312" w:cs="Calibri"/>
                <w:b/>
                <w:sz w:val="18"/>
                <w:szCs w:val="18"/>
                <w:lang w:val="zh-CN"/>
              </w:rPr>
              <w:t>年主要交易中心的月均批发电价</w:t>
            </w:r>
          </w:p>
        </w:tc>
      </w:tr>
      <w:tr w14:paraId="37EE6967">
        <w:tblPrEx>
          <w:tblCellMar>
            <w:top w:w="0" w:type="dxa"/>
            <w:left w:w="108" w:type="dxa"/>
            <w:bottom w:w="0" w:type="dxa"/>
            <w:right w:w="108" w:type="dxa"/>
          </w:tblCellMar>
        </w:tblPrEx>
        <w:trPr>
          <w:trHeight w:val="2219" w:hRule="atLeast"/>
        </w:trPr>
        <w:tc>
          <w:tcPr>
            <w:tcW w:w="5103" w:type="dxa"/>
            <w:tcBorders>
              <w:top w:val="single" w:color="auto" w:sz="4" w:space="0"/>
              <w:left w:val="nil"/>
              <w:bottom w:val="single" w:color="auto" w:sz="4" w:space="0"/>
              <w:right w:val="nil"/>
            </w:tcBorders>
            <w:tcMar>
              <w:top w:w="0" w:type="dxa"/>
              <w:left w:w="0" w:type="dxa"/>
              <w:bottom w:w="0" w:type="dxa"/>
              <w:right w:w="28" w:type="dxa"/>
            </w:tcMar>
            <w:vAlign w:val="center"/>
          </w:tcPr>
          <w:p w14:paraId="7D2E6613">
            <w:pPr>
              <w:overflowPunct w:val="0"/>
              <w:spacing w:before="48" w:beforeLines="20" w:after="48" w:afterLines="20"/>
              <w:jc w:val="center"/>
              <w:textAlignment w:val="center"/>
              <w:rPr>
                <w:rFonts w:hint="default" w:ascii="Calibri" w:hAnsi="Calibri" w:eastAsia="楷体_GB2312" w:cs="Calibri"/>
                <w:b/>
                <w:color w:val="000000"/>
                <w:sz w:val="15"/>
                <w:szCs w:val="15"/>
              </w:rPr>
            </w:pPr>
            <w:r>
              <w:rPr>
                <w:rFonts w:hint="default" w:ascii="Calibri" w:hAnsi="Calibri" w:eastAsia="楷体_GB2312" w:cs="Calibri"/>
              </w:rPr>
              <w:drawing>
                <wp:inline distT="0" distB="0" distL="114300" distR="114300">
                  <wp:extent cx="3136900" cy="1163320"/>
                  <wp:effectExtent l="0" t="0" r="6350" b="0"/>
                  <wp:docPr id="35" name="图片 10"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0" descr="图表, 条形图&#10;&#10;AI 生成的内容可能不正确。"/>
                          <pic:cNvPicPr>
                            <a:picLocks noChangeAspect="1"/>
                          </pic:cNvPicPr>
                        </pic:nvPicPr>
                        <pic:blipFill>
                          <a:blip r:embed="rId39"/>
                          <a:stretch>
                            <a:fillRect/>
                          </a:stretch>
                        </pic:blipFill>
                        <pic:spPr>
                          <a:xfrm>
                            <a:off x="0" y="0"/>
                            <a:ext cx="3146205" cy="1166961"/>
                          </a:xfrm>
                          <a:prstGeom prst="rect">
                            <a:avLst/>
                          </a:prstGeom>
                          <a:noFill/>
                          <a:ln>
                            <a:noFill/>
                          </a:ln>
                        </pic:spPr>
                      </pic:pic>
                    </a:graphicData>
                  </a:graphic>
                </wp:inline>
              </w:drawing>
            </w:r>
          </w:p>
        </w:tc>
        <w:tc>
          <w:tcPr>
            <w:tcW w:w="238" w:type="dxa"/>
            <w:tcBorders>
              <w:top w:val="nil"/>
              <w:left w:val="nil"/>
              <w:bottom w:val="nil"/>
              <w:right w:val="nil"/>
            </w:tcBorders>
            <w:tcMar>
              <w:top w:w="0" w:type="dxa"/>
              <w:left w:w="0" w:type="dxa"/>
              <w:bottom w:w="0" w:type="dxa"/>
              <w:right w:w="28" w:type="dxa"/>
            </w:tcMar>
          </w:tcPr>
          <w:p w14:paraId="2B1010B8">
            <w:pPr>
              <w:overflowPunct w:val="0"/>
              <w:spacing w:before="48" w:beforeLines="20" w:after="48" w:afterLines="20"/>
              <w:rPr>
                <w:rFonts w:hint="default" w:ascii="Calibri" w:hAnsi="Calibri" w:eastAsia="楷体_GB2312" w:cs="Calibri"/>
                <w:sz w:val="15"/>
                <w:szCs w:val="15"/>
              </w:rPr>
            </w:pPr>
          </w:p>
        </w:tc>
        <w:tc>
          <w:tcPr>
            <w:tcW w:w="5149" w:type="dxa"/>
            <w:tcBorders>
              <w:top w:val="single" w:color="auto" w:sz="4" w:space="0"/>
              <w:left w:val="nil"/>
              <w:bottom w:val="single" w:color="auto" w:sz="4" w:space="0"/>
              <w:right w:val="nil"/>
            </w:tcBorders>
            <w:tcMar>
              <w:top w:w="0" w:type="dxa"/>
              <w:left w:w="0" w:type="dxa"/>
              <w:bottom w:w="0" w:type="dxa"/>
              <w:right w:w="28" w:type="dxa"/>
            </w:tcMar>
          </w:tcPr>
          <w:p w14:paraId="70166E39">
            <w:pPr>
              <w:overflowPunct w:val="0"/>
              <w:spacing w:before="48" w:beforeLines="20" w:after="48" w:afterLines="20"/>
              <w:jc w:val="center"/>
              <w:rPr>
                <w:rFonts w:hint="default" w:ascii="Calibri" w:hAnsi="Calibri" w:eastAsia="楷体_GB2312" w:cs="Calibri"/>
                <w:b/>
                <w:sz w:val="15"/>
                <w:szCs w:val="15"/>
              </w:rPr>
            </w:pPr>
            <w:r>
              <w:rPr>
                <w:rFonts w:hint="default" w:ascii="Calibri" w:hAnsi="Calibri" w:eastAsia="楷体_GB2312" w:cs="Calibri"/>
                <w:b/>
                <w:sz w:val="15"/>
                <w:szCs w:val="15"/>
              </w:rPr>
              <w:drawing>
                <wp:inline distT="0" distB="0" distL="114300" distR="114300">
                  <wp:extent cx="3241040" cy="1583055"/>
                  <wp:effectExtent l="0" t="0" r="10160" b="4445"/>
                  <wp:docPr id="34" name="图片 34" descr="afcb21ee0175b7a75dee64826175e9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afcb21ee0175b7a75dee64826175e9e5"/>
                          <pic:cNvPicPr>
                            <a:picLocks noChangeAspect="1"/>
                          </pic:cNvPicPr>
                        </pic:nvPicPr>
                        <pic:blipFill>
                          <a:blip r:embed="rId40"/>
                          <a:stretch>
                            <a:fillRect/>
                          </a:stretch>
                        </pic:blipFill>
                        <pic:spPr>
                          <a:xfrm>
                            <a:off x="0" y="0"/>
                            <a:ext cx="3241040" cy="1583055"/>
                          </a:xfrm>
                          <a:prstGeom prst="rect">
                            <a:avLst/>
                          </a:prstGeom>
                        </pic:spPr>
                      </pic:pic>
                    </a:graphicData>
                  </a:graphic>
                </wp:inline>
              </w:drawing>
            </w:r>
          </w:p>
        </w:tc>
      </w:tr>
      <w:tr w14:paraId="39882E93">
        <w:tblPrEx>
          <w:tblCellMar>
            <w:top w:w="0" w:type="dxa"/>
            <w:left w:w="108" w:type="dxa"/>
            <w:bottom w:w="0" w:type="dxa"/>
            <w:right w:w="108" w:type="dxa"/>
          </w:tblCellMar>
        </w:tblPrEx>
        <w:tc>
          <w:tcPr>
            <w:tcW w:w="5103" w:type="dxa"/>
            <w:tcBorders>
              <w:top w:val="single" w:color="auto" w:sz="4" w:space="0"/>
              <w:left w:val="nil"/>
              <w:bottom w:val="nil"/>
              <w:right w:val="nil"/>
            </w:tcBorders>
            <w:tcMar>
              <w:top w:w="0" w:type="dxa"/>
              <w:left w:w="0" w:type="dxa"/>
              <w:bottom w:w="0" w:type="dxa"/>
              <w:right w:w="28" w:type="dxa"/>
            </w:tcMar>
            <w:vAlign w:val="center"/>
          </w:tcPr>
          <w:p w14:paraId="78F45D58">
            <w:pPr>
              <w:overflowPunct w:val="0"/>
              <w:spacing w:before="48" w:beforeLines="20" w:after="48" w:afterLines="20"/>
              <w:textAlignment w:val="center"/>
              <w:rPr>
                <w:rFonts w:hint="default" w:ascii="Calibri" w:hAnsi="Calibri" w:eastAsia="楷体_GB2312" w:cs="Calibri"/>
                <w:sz w:val="10"/>
                <w:szCs w:val="10"/>
              </w:rPr>
            </w:pPr>
            <w:r>
              <w:rPr>
                <w:rFonts w:hint="default" w:ascii="Calibri" w:hAnsi="Calibri" w:eastAsia="楷体_GB2312" w:cs="Calibri"/>
                <w:i/>
                <w:iCs/>
                <w:lang w:val="zh-CN"/>
              </w:rPr>
              <w:t>资料来源：EIA，HFI</w:t>
            </w:r>
          </w:p>
        </w:tc>
        <w:tc>
          <w:tcPr>
            <w:tcW w:w="238" w:type="dxa"/>
            <w:tcBorders>
              <w:top w:val="nil"/>
              <w:left w:val="nil"/>
              <w:bottom w:val="nil"/>
              <w:right w:val="nil"/>
            </w:tcBorders>
            <w:tcMar>
              <w:top w:w="0" w:type="dxa"/>
              <w:left w:w="0" w:type="dxa"/>
              <w:bottom w:w="0" w:type="dxa"/>
              <w:right w:w="28" w:type="dxa"/>
            </w:tcMar>
          </w:tcPr>
          <w:p w14:paraId="71FDDA05">
            <w:pPr>
              <w:overflowPunct w:val="0"/>
              <w:spacing w:before="48" w:beforeLines="20" w:after="48" w:afterLines="20"/>
              <w:rPr>
                <w:rFonts w:hint="default" w:ascii="Calibri" w:hAnsi="Calibri" w:eastAsia="楷体_GB2312" w:cs="Calibri"/>
                <w:sz w:val="15"/>
                <w:szCs w:val="15"/>
              </w:rPr>
            </w:pPr>
          </w:p>
        </w:tc>
        <w:tc>
          <w:tcPr>
            <w:tcW w:w="5149" w:type="dxa"/>
            <w:tcBorders>
              <w:top w:val="single" w:color="auto" w:sz="4" w:space="0"/>
              <w:left w:val="nil"/>
              <w:bottom w:val="nil"/>
              <w:right w:val="nil"/>
            </w:tcBorders>
            <w:tcMar>
              <w:top w:w="0" w:type="dxa"/>
              <w:left w:w="0" w:type="dxa"/>
              <w:bottom w:w="0" w:type="dxa"/>
              <w:right w:w="28" w:type="dxa"/>
            </w:tcMar>
          </w:tcPr>
          <w:p w14:paraId="671F78D1">
            <w:pPr>
              <w:overflowPunct w:val="0"/>
              <w:spacing w:before="48" w:beforeLines="20" w:after="48" w:afterLines="20"/>
              <w:rPr>
                <w:rFonts w:hint="default" w:ascii="Calibri" w:hAnsi="Calibri" w:eastAsia="楷体_GB2312" w:cs="Calibri"/>
                <w:sz w:val="10"/>
                <w:szCs w:val="10"/>
              </w:rPr>
            </w:pPr>
            <w:r>
              <w:rPr>
                <w:rFonts w:hint="default" w:ascii="Calibri" w:hAnsi="Calibri" w:eastAsia="楷体_GB2312" w:cs="Calibri"/>
                <w:i/>
                <w:iCs/>
                <w:lang w:val="zh-CN"/>
              </w:rPr>
              <w:t>资料来源：EIA，HFI</w:t>
            </w:r>
          </w:p>
        </w:tc>
      </w:tr>
    </w:tbl>
    <w:p w14:paraId="6E22390A">
      <w:pPr>
        <w:overflowPunct w:val="0"/>
        <w:ind w:left="3200" w:leftChars="2000"/>
        <w:jc w:val="both"/>
        <w:rPr>
          <w:rFonts w:hint="default" w:ascii="Calibri" w:hAnsi="Calibri" w:eastAsia="楷体_GB2312" w:cs="Calibri"/>
          <w:sz w:val="20"/>
          <w:szCs w:val="20"/>
          <w:lang w:val="en-US" w:eastAsia="zh-CN"/>
        </w:rPr>
      </w:pPr>
    </w:p>
    <w:p w14:paraId="3B2B4AD8">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据EIA统计，美国月度电力的平均零售价格中枢持续抬高，截至2025年10月，平均零售价格为$0.134/kWh（13.43美分/千瓦时），较9月环比下降约1.5%。</w:t>
      </w:r>
    </w:p>
    <w:p w14:paraId="2DBDC47A">
      <w:pPr>
        <w:overflowPunct w:val="0"/>
        <w:ind w:left="3200" w:leftChars="2000"/>
        <w:jc w:val="both"/>
        <w:rPr>
          <w:rFonts w:hint="default" w:ascii="Calibri" w:hAnsi="Calibri" w:eastAsia="楷体_GB2312" w:cs="Calibri"/>
          <w:sz w:val="20"/>
          <w:szCs w:val="20"/>
          <w:lang w:val="en-US" w:eastAsia="zh-CN"/>
        </w:rPr>
      </w:pPr>
    </w:p>
    <w:tbl>
      <w:tblPr>
        <w:tblStyle w:val="27"/>
        <w:tblW w:w="7459" w:type="dxa"/>
        <w:tblInd w:w="3249"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7459"/>
      </w:tblGrid>
      <w:tr w14:paraId="7F404990">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PrEx>
        <w:tc>
          <w:tcPr>
            <w:tcW w:w="7459" w:type="dxa"/>
            <w:tcBorders>
              <w:bottom w:val="single" w:color="auto" w:sz="4" w:space="0"/>
            </w:tcBorders>
          </w:tcPr>
          <w:p w14:paraId="2CFF5827">
            <w:pPr>
              <w:overflowPunct w:val="0"/>
              <w:rPr>
                <w:rFonts w:hint="default" w:ascii="Calibri" w:hAnsi="Calibri" w:eastAsia="楷体_GB2312" w:cs="Calibri"/>
                <w:b/>
                <w:sz w:val="18"/>
                <w:szCs w:val="20"/>
                <w:lang w:eastAsia="zh-CN"/>
              </w:rPr>
            </w:pPr>
            <w:r>
              <w:rPr>
                <w:rFonts w:hint="default" w:ascii="Calibri" w:hAnsi="Calibri" w:eastAsia="楷体_GB2312" w:cs="Calibri"/>
                <w:b/>
                <w:sz w:val="18"/>
                <w:szCs w:val="18"/>
              </w:rPr>
              <w:t>图</w:t>
            </w:r>
            <w:r>
              <w:rPr>
                <w:rFonts w:hint="default" w:ascii="Calibri" w:hAnsi="Calibri" w:eastAsia="楷体_GB2312" w:cs="Calibri"/>
                <w:b/>
                <w:sz w:val="18"/>
                <w:szCs w:val="18"/>
                <w:lang w:eastAsia="zh-CN"/>
              </w:rPr>
              <w:t>2</w:t>
            </w:r>
            <w:r>
              <w:rPr>
                <w:rFonts w:hint="eastAsia" w:eastAsia="楷体_GB2312" w:cs="Calibri"/>
                <w:b/>
                <w:sz w:val="18"/>
                <w:szCs w:val="18"/>
                <w:lang w:val="en-US" w:eastAsia="zh-CN"/>
              </w:rPr>
              <w:t>4</w:t>
            </w:r>
            <w:r>
              <w:rPr>
                <w:rFonts w:hint="default" w:ascii="Calibri" w:hAnsi="Calibri" w:eastAsia="楷体_GB2312" w:cs="Calibri"/>
                <w:b/>
                <w:sz w:val="18"/>
                <w:szCs w:val="18"/>
              </w:rPr>
              <w:t>：美国月度电力平均零售价格 (¢/KWh)</w:t>
            </w:r>
          </w:p>
        </w:tc>
      </w:tr>
      <w:tr w14:paraId="4E7E0D41">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3061" w:hRule="atLeast"/>
        </w:trPr>
        <w:tc>
          <w:tcPr>
            <w:tcW w:w="7459" w:type="dxa"/>
            <w:tcBorders>
              <w:top w:val="single" w:color="auto" w:sz="4" w:space="0"/>
              <w:bottom w:val="single" w:color="auto" w:sz="4" w:space="0"/>
            </w:tcBorders>
            <w:vAlign w:val="center"/>
          </w:tcPr>
          <w:p w14:paraId="51EC3256">
            <w:pPr>
              <w:overflowPunct w:val="0"/>
              <w:jc w:val="center"/>
              <w:rPr>
                <w:rFonts w:hint="default" w:ascii="Calibri" w:hAnsi="Calibri" w:eastAsia="楷体_GB2312" w:cs="Calibri"/>
                <w:sz w:val="10"/>
              </w:rPr>
            </w:pPr>
            <w:r>
              <w:rPr>
                <w:rFonts w:hint="default" w:ascii="Calibri" w:hAnsi="Calibri" w:eastAsia="楷体_GB2312" w:cs="Calibri"/>
              </w:rPr>
              <w:drawing>
                <wp:inline distT="0" distB="0" distL="114300" distR="114300">
                  <wp:extent cx="4590415" cy="1675765"/>
                  <wp:effectExtent l="0" t="0" r="6985" b="635"/>
                  <wp:docPr id="3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1"/>
                          <pic:cNvPicPr>
                            <a:picLocks noChangeAspect="1"/>
                          </pic:cNvPicPr>
                        </pic:nvPicPr>
                        <pic:blipFill>
                          <a:blip r:embed="rId41"/>
                          <a:stretch>
                            <a:fillRect/>
                          </a:stretch>
                        </pic:blipFill>
                        <pic:spPr>
                          <a:xfrm>
                            <a:off x="0" y="0"/>
                            <a:ext cx="4590415" cy="1675765"/>
                          </a:xfrm>
                          <a:prstGeom prst="rect">
                            <a:avLst/>
                          </a:prstGeom>
                          <a:noFill/>
                          <a:ln>
                            <a:noFill/>
                          </a:ln>
                        </pic:spPr>
                      </pic:pic>
                    </a:graphicData>
                  </a:graphic>
                </wp:inline>
              </w:drawing>
            </w:r>
          </w:p>
        </w:tc>
      </w:tr>
      <w:tr w14:paraId="514003BA">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7459" w:type="dxa"/>
            <w:tcBorders>
              <w:top w:val="single" w:color="auto" w:sz="4" w:space="0"/>
            </w:tcBorders>
          </w:tcPr>
          <w:p w14:paraId="79B36EA8">
            <w:pPr>
              <w:rPr>
                <w:rFonts w:hint="default" w:ascii="Calibri" w:hAnsi="Calibri" w:eastAsia="楷体_GB2312" w:cs="Calibri"/>
                <w:i/>
                <w:iCs/>
                <w:sz w:val="15"/>
                <w:szCs w:val="15"/>
              </w:rPr>
            </w:pPr>
            <w:r>
              <w:rPr>
                <w:rFonts w:hint="default" w:ascii="Calibri" w:hAnsi="Calibri" w:eastAsia="楷体_GB2312" w:cs="Calibri"/>
                <w:i/>
                <w:iCs/>
                <w:sz w:val="15"/>
                <w:szCs w:val="15"/>
              </w:rPr>
              <w:t>资料来源:</w:t>
            </w:r>
            <w:r>
              <w:rPr>
                <w:rFonts w:hint="default" w:ascii="Calibri" w:hAnsi="Calibri" w:eastAsia="楷体_GB2312" w:cs="Calibri"/>
                <w:i/>
                <w:iCs/>
                <w:sz w:val="15"/>
                <w:szCs w:val="15"/>
                <w:lang w:eastAsia="zh-CN"/>
              </w:rPr>
              <w:t xml:space="preserve">  </w:t>
            </w:r>
            <w:r>
              <w:rPr>
                <w:rFonts w:hint="default" w:ascii="Calibri" w:hAnsi="Calibri" w:eastAsia="楷体_GB2312" w:cs="Calibri"/>
                <w:i/>
                <w:iCs/>
                <w:sz w:val="15"/>
                <w:szCs w:val="15"/>
                <w:lang w:val="en-US" w:eastAsia="zh-CN"/>
              </w:rPr>
              <w:t>EIA</w:t>
            </w:r>
            <w:r>
              <w:rPr>
                <w:rFonts w:hint="default" w:ascii="Calibri" w:hAnsi="Calibri" w:eastAsia="楷体_GB2312" w:cs="Calibri"/>
                <w:i/>
                <w:iCs/>
                <w:sz w:val="15"/>
                <w:szCs w:val="15"/>
              </w:rPr>
              <w:t xml:space="preserve">， </w:t>
            </w:r>
            <w:r>
              <w:rPr>
                <w:rFonts w:hint="default" w:ascii="Calibri" w:hAnsi="Calibri" w:eastAsia="楷体_GB2312" w:cs="Calibri"/>
                <w:i/>
                <w:iCs/>
                <w:sz w:val="15"/>
                <w:szCs w:val="15"/>
                <w:lang w:eastAsia="zh-CN"/>
              </w:rPr>
              <w:t>HFI</w:t>
            </w:r>
          </w:p>
        </w:tc>
      </w:tr>
    </w:tbl>
    <w:p w14:paraId="44F433C3">
      <w:pPr>
        <w:overflowPunct w:val="0"/>
        <w:ind w:left="3200" w:leftChars="2000"/>
        <w:jc w:val="both"/>
        <w:rPr>
          <w:rFonts w:hint="default" w:ascii="Calibri" w:hAnsi="Calibri" w:eastAsia="楷体_GB2312" w:cs="Calibri"/>
          <w:sz w:val="20"/>
          <w:szCs w:val="20"/>
          <w:lang w:eastAsia="zh-CN"/>
        </w:rPr>
      </w:pPr>
    </w:p>
    <w:p w14:paraId="12C06C50">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据EIA统计，2月11日，美国主要地区电力平均现货价格为$47.37/MWh。</w:t>
      </w:r>
    </w:p>
    <w:p w14:paraId="0A849DD3">
      <w:pPr>
        <w:overflowPunct w:val="0"/>
        <w:ind w:left="3200" w:leftChars="2000"/>
        <w:jc w:val="both"/>
        <w:rPr>
          <w:rFonts w:hint="default" w:ascii="Calibri" w:hAnsi="Calibri" w:eastAsia="楷体_GB2312" w:cs="Calibri"/>
          <w:sz w:val="20"/>
          <w:szCs w:val="20"/>
          <w:lang w:val="en-US" w:eastAsia="zh-CN"/>
        </w:rPr>
      </w:pPr>
    </w:p>
    <w:tbl>
      <w:tblPr>
        <w:tblStyle w:val="27"/>
        <w:tblW w:w="7459" w:type="dxa"/>
        <w:tblInd w:w="3249"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7459"/>
      </w:tblGrid>
      <w:tr w14:paraId="3B081983">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7459" w:type="dxa"/>
            <w:tcBorders>
              <w:bottom w:val="single" w:color="auto" w:sz="4" w:space="0"/>
            </w:tcBorders>
          </w:tcPr>
          <w:p w14:paraId="1956DBDE">
            <w:pPr>
              <w:overflowPunct w:val="0"/>
              <w:rPr>
                <w:rFonts w:hint="default" w:ascii="Calibri" w:hAnsi="Calibri" w:eastAsia="楷体_GB2312" w:cs="Calibri"/>
                <w:b/>
                <w:sz w:val="18"/>
                <w:szCs w:val="20"/>
                <w:lang w:eastAsia="zh-CN"/>
              </w:rPr>
            </w:pPr>
            <w:r>
              <w:rPr>
                <w:rFonts w:hint="default" w:ascii="Calibri" w:hAnsi="Calibri" w:eastAsia="楷体_GB2312" w:cs="Calibri"/>
                <w:b/>
                <w:sz w:val="18"/>
                <w:szCs w:val="18"/>
                <w:lang w:eastAsia="zh-CN"/>
              </w:rPr>
              <w:t>表</w:t>
            </w:r>
            <w:r>
              <w:rPr>
                <w:rFonts w:hint="eastAsia" w:eastAsia="楷体_GB2312" w:cs="Calibri"/>
                <w:b/>
                <w:sz w:val="18"/>
                <w:szCs w:val="18"/>
                <w:lang w:val="en-US" w:eastAsia="zh-CN"/>
              </w:rPr>
              <w:t>5</w:t>
            </w:r>
            <w:r>
              <w:rPr>
                <w:rFonts w:hint="default" w:ascii="Calibri" w:hAnsi="Calibri" w:eastAsia="楷体_GB2312" w:cs="Calibri"/>
                <w:b/>
                <w:sz w:val="18"/>
                <w:szCs w:val="18"/>
              </w:rPr>
              <w:t>：美国主要地区电力现货价格 ($/MWh)</w:t>
            </w:r>
          </w:p>
        </w:tc>
      </w:tr>
      <w:tr w14:paraId="77A52097">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3061" w:hRule="atLeast"/>
        </w:trPr>
        <w:tc>
          <w:tcPr>
            <w:tcW w:w="7459" w:type="dxa"/>
            <w:tcBorders>
              <w:top w:val="single" w:color="auto" w:sz="4" w:space="0"/>
              <w:bottom w:val="single" w:color="auto" w:sz="4" w:space="0"/>
            </w:tcBorders>
            <w:vAlign w:val="center"/>
          </w:tcPr>
          <w:tbl>
            <w:tblPr>
              <w:tblStyle w:val="26"/>
              <w:tblW w:w="7225" w:type="dxa"/>
              <w:jc w:val="center"/>
              <w:tblLayout w:type="autofit"/>
              <w:tblCellMar>
                <w:top w:w="0" w:type="dxa"/>
                <w:left w:w="108" w:type="dxa"/>
                <w:bottom w:w="0" w:type="dxa"/>
                <w:right w:w="108" w:type="dxa"/>
              </w:tblCellMar>
            </w:tblPr>
            <w:tblGrid>
              <w:gridCol w:w="2392"/>
              <w:gridCol w:w="4833"/>
            </w:tblGrid>
            <w:tr w14:paraId="7EAA72C9">
              <w:tblPrEx>
                <w:tblCellMar>
                  <w:top w:w="0" w:type="dxa"/>
                  <w:left w:w="108" w:type="dxa"/>
                  <w:bottom w:w="0" w:type="dxa"/>
                  <w:right w:w="108" w:type="dxa"/>
                </w:tblCellMar>
              </w:tblPrEx>
              <w:trPr>
                <w:trHeight w:val="252" w:hRule="atLeast"/>
                <w:jc w:val="center"/>
              </w:trPr>
              <w:tc>
                <w:tcPr>
                  <w:tcW w:w="2392" w:type="dxa"/>
                  <w:tcBorders>
                    <w:top w:val="single" w:color="auto" w:sz="4" w:space="0"/>
                    <w:left w:val="single" w:color="auto" w:sz="4" w:space="0"/>
                    <w:bottom w:val="single" w:color="auto" w:sz="4" w:space="0"/>
                    <w:right w:val="single" w:color="auto" w:sz="4" w:space="0"/>
                  </w:tcBorders>
                  <w:shd w:val="clear" w:color="auto" w:fill="002060"/>
                  <w:noWrap/>
                  <w:vAlign w:val="center"/>
                </w:tcPr>
                <w:p w14:paraId="5C9B7C41">
                  <w:pPr>
                    <w:jc w:val="center"/>
                    <w:rPr>
                      <w:rFonts w:hint="default" w:ascii="Calibri" w:hAnsi="Calibri" w:eastAsia="楷体_GB2312" w:cs="Calibri"/>
                      <w:b/>
                      <w:bCs/>
                      <w:color w:val="FFFFFF"/>
                      <w:sz w:val="18"/>
                      <w:szCs w:val="18"/>
                    </w:rPr>
                  </w:pPr>
                  <w:r>
                    <w:rPr>
                      <w:rFonts w:hint="default" w:ascii="Calibri" w:hAnsi="Calibri" w:eastAsia="楷体_GB2312" w:cs="Calibri"/>
                      <w:b/>
                      <w:bCs/>
                      <w:color w:val="FFFFFF"/>
                      <w:sz w:val="18"/>
                      <w:szCs w:val="18"/>
                    </w:rPr>
                    <w:t>地区</w:t>
                  </w:r>
                </w:p>
              </w:tc>
              <w:tc>
                <w:tcPr>
                  <w:tcW w:w="4833" w:type="dxa"/>
                  <w:tcBorders>
                    <w:top w:val="single" w:color="auto" w:sz="4" w:space="0"/>
                    <w:left w:val="nil"/>
                    <w:bottom w:val="single" w:color="auto" w:sz="4" w:space="0"/>
                    <w:right w:val="single" w:color="auto" w:sz="4" w:space="0"/>
                  </w:tcBorders>
                  <w:shd w:val="clear" w:color="auto" w:fill="002060"/>
                  <w:noWrap/>
                  <w:vAlign w:val="center"/>
                </w:tcPr>
                <w:p w14:paraId="35632E99">
                  <w:pPr>
                    <w:jc w:val="center"/>
                    <w:rPr>
                      <w:rFonts w:hint="default" w:ascii="Calibri" w:hAnsi="Calibri" w:eastAsia="楷体_GB2312" w:cs="Calibri"/>
                      <w:b/>
                      <w:bCs/>
                      <w:color w:val="FFFFFF"/>
                      <w:sz w:val="18"/>
                      <w:szCs w:val="18"/>
                    </w:rPr>
                  </w:pPr>
                  <w:r>
                    <w:rPr>
                      <w:rFonts w:hint="default" w:ascii="Calibri" w:hAnsi="Calibri" w:eastAsia="楷体_GB2312" w:cs="Calibri"/>
                      <w:b/>
                      <w:bCs/>
                      <w:color w:val="FFFFFF"/>
                      <w:sz w:val="18"/>
                      <w:szCs w:val="18"/>
                    </w:rPr>
                    <w:t>价格</w:t>
                  </w:r>
                </w:p>
              </w:tc>
            </w:tr>
            <w:tr w14:paraId="7F64B151">
              <w:tblPrEx>
                <w:tblCellMar>
                  <w:top w:w="0" w:type="dxa"/>
                  <w:left w:w="108" w:type="dxa"/>
                  <w:bottom w:w="0" w:type="dxa"/>
                  <w:right w:w="108" w:type="dxa"/>
                </w:tblCellMar>
              </w:tblPrEx>
              <w:trPr>
                <w:trHeight w:val="252" w:hRule="atLeast"/>
                <w:jc w:val="center"/>
              </w:trPr>
              <w:tc>
                <w:tcPr>
                  <w:tcW w:w="2392" w:type="dxa"/>
                  <w:tcBorders>
                    <w:top w:val="nil"/>
                    <w:left w:val="single" w:color="auto" w:sz="4" w:space="0"/>
                    <w:bottom w:val="single" w:color="auto" w:sz="4" w:space="0"/>
                    <w:right w:val="single" w:color="auto" w:sz="4" w:space="0"/>
                  </w:tcBorders>
                  <w:noWrap/>
                  <w:vAlign w:val="center"/>
                </w:tcPr>
                <w:p w14:paraId="73318FF7">
                  <w:pPr>
                    <w:jc w:val="center"/>
                    <w:rPr>
                      <w:rFonts w:hint="default" w:ascii="Calibri" w:hAnsi="Calibri" w:eastAsia="楷体_GB2312" w:cs="Calibri"/>
                      <w:color w:val="000000"/>
                      <w:sz w:val="18"/>
                      <w:szCs w:val="18"/>
                    </w:rPr>
                  </w:pPr>
                  <w:r>
                    <w:rPr>
                      <w:rFonts w:hint="default" w:ascii="Calibri" w:hAnsi="Calibri" w:eastAsia="楷体_GB2312" w:cs="Calibri"/>
                      <w:color w:val="000000"/>
                      <w:sz w:val="18"/>
                      <w:szCs w:val="18"/>
                      <w:lang w:val="zh-CN"/>
                    </w:rPr>
                    <w:t>新英格兰州</w:t>
                  </w:r>
                </w:p>
              </w:tc>
              <w:tc>
                <w:tcPr>
                  <w:tcW w:w="4833" w:type="dxa"/>
                  <w:tcBorders>
                    <w:top w:val="single" w:color="auto" w:sz="4" w:space="0"/>
                    <w:left w:val="single" w:color="auto" w:sz="4" w:space="0"/>
                    <w:bottom w:val="single" w:color="auto" w:sz="4" w:space="0"/>
                    <w:right w:val="single" w:color="auto" w:sz="4" w:space="0"/>
                  </w:tcBorders>
                  <w:noWrap/>
                </w:tcPr>
                <w:p w14:paraId="1D0189C5">
                  <w:pPr>
                    <w:jc w:val="center"/>
                    <w:rPr>
                      <w:rFonts w:hint="default" w:ascii="Calibri" w:hAnsi="Calibri" w:eastAsia="楷体_GB2312" w:cs="Calibri"/>
                    </w:rPr>
                  </w:pPr>
                  <w:r>
                    <w:rPr>
                      <w:rFonts w:hint="default" w:ascii="Calibri" w:hAnsi="Calibri" w:eastAsia="楷体_GB2312" w:cs="Calibri"/>
                      <w:lang w:val="en-US" w:eastAsia="zh-CN"/>
                    </w:rPr>
                    <w:t>91.68</w:t>
                  </w:r>
                </w:p>
              </w:tc>
            </w:tr>
            <w:tr w14:paraId="2F9BE6AE">
              <w:tblPrEx>
                <w:tblCellMar>
                  <w:top w:w="0" w:type="dxa"/>
                  <w:left w:w="108" w:type="dxa"/>
                  <w:bottom w:w="0" w:type="dxa"/>
                  <w:right w:w="108" w:type="dxa"/>
                </w:tblCellMar>
              </w:tblPrEx>
              <w:trPr>
                <w:trHeight w:val="252" w:hRule="atLeast"/>
                <w:jc w:val="center"/>
              </w:trPr>
              <w:tc>
                <w:tcPr>
                  <w:tcW w:w="2392" w:type="dxa"/>
                  <w:tcBorders>
                    <w:top w:val="nil"/>
                    <w:left w:val="single" w:color="auto" w:sz="4" w:space="0"/>
                    <w:bottom w:val="single" w:color="auto" w:sz="4" w:space="0"/>
                    <w:right w:val="single" w:color="auto" w:sz="4" w:space="0"/>
                  </w:tcBorders>
                  <w:noWrap/>
                  <w:vAlign w:val="center"/>
                </w:tcPr>
                <w:p w14:paraId="301CD958">
                  <w:pPr>
                    <w:jc w:val="center"/>
                    <w:rPr>
                      <w:rFonts w:hint="default" w:ascii="Calibri" w:hAnsi="Calibri" w:eastAsia="楷体_GB2312" w:cs="Calibri"/>
                      <w:color w:val="000000"/>
                      <w:sz w:val="18"/>
                      <w:szCs w:val="18"/>
                    </w:rPr>
                  </w:pPr>
                  <w:r>
                    <w:rPr>
                      <w:rFonts w:hint="default" w:ascii="Calibri" w:hAnsi="Calibri" w:eastAsia="楷体_GB2312" w:cs="Calibri"/>
                      <w:color w:val="000000"/>
                      <w:sz w:val="18"/>
                      <w:szCs w:val="18"/>
                      <w:lang w:val="zh-CN"/>
                    </w:rPr>
                    <w:t>纽约市</w:t>
                  </w:r>
                </w:p>
              </w:tc>
              <w:tc>
                <w:tcPr>
                  <w:tcW w:w="4833" w:type="dxa"/>
                  <w:tcBorders>
                    <w:top w:val="single" w:color="auto" w:sz="4" w:space="0"/>
                    <w:left w:val="single" w:color="auto" w:sz="4" w:space="0"/>
                    <w:bottom w:val="single" w:color="auto" w:sz="4" w:space="0"/>
                    <w:right w:val="single" w:color="auto" w:sz="4" w:space="0"/>
                  </w:tcBorders>
                  <w:noWrap/>
                </w:tcPr>
                <w:p w14:paraId="641A0CF1">
                  <w:pPr>
                    <w:jc w:val="center"/>
                    <w:rPr>
                      <w:rFonts w:hint="default" w:ascii="Calibri" w:hAnsi="Calibri" w:eastAsia="楷体_GB2312" w:cs="Calibri"/>
                    </w:rPr>
                  </w:pPr>
                  <w:r>
                    <w:rPr>
                      <w:rFonts w:hint="default" w:ascii="Calibri" w:hAnsi="Calibri" w:eastAsia="楷体_GB2312" w:cs="Calibri"/>
                      <w:lang w:val="en-US" w:eastAsia="zh-CN"/>
                    </w:rPr>
                    <w:t>101.10</w:t>
                  </w:r>
                </w:p>
              </w:tc>
            </w:tr>
            <w:tr w14:paraId="55B9D842">
              <w:tblPrEx>
                <w:tblCellMar>
                  <w:top w:w="0" w:type="dxa"/>
                  <w:left w:w="108" w:type="dxa"/>
                  <w:bottom w:w="0" w:type="dxa"/>
                  <w:right w:w="108" w:type="dxa"/>
                </w:tblCellMar>
              </w:tblPrEx>
              <w:trPr>
                <w:trHeight w:val="252" w:hRule="atLeast"/>
                <w:jc w:val="center"/>
              </w:trPr>
              <w:tc>
                <w:tcPr>
                  <w:tcW w:w="2392" w:type="dxa"/>
                  <w:tcBorders>
                    <w:top w:val="nil"/>
                    <w:left w:val="single" w:color="auto" w:sz="4" w:space="0"/>
                    <w:bottom w:val="single" w:color="auto" w:sz="4" w:space="0"/>
                    <w:right w:val="single" w:color="auto" w:sz="4" w:space="0"/>
                  </w:tcBorders>
                  <w:noWrap/>
                  <w:vAlign w:val="center"/>
                </w:tcPr>
                <w:p w14:paraId="5C26ACC5">
                  <w:pPr>
                    <w:jc w:val="center"/>
                    <w:rPr>
                      <w:rFonts w:hint="default" w:ascii="Calibri" w:hAnsi="Calibri" w:eastAsia="楷体_GB2312" w:cs="Calibri"/>
                      <w:color w:val="000000"/>
                      <w:sz w:val="18"/>
                      <w:szCs w:val="18"/>
                    </w:rPr>
                  </w:pPr>
                  <w:r>
                    <w:rPr>
                      <w:rFonts w:hint="default" w:ascii="Calibri" w:hAnsi="Calibri" w:eastAsia="楷体_GB2312" w:cs="Calibri"/>
                      <w:color w:val="000000"/>
                      <w:sz w:val="18"/>
                      <w:szCs w:val="18"/>
                      <w:lang w:val="zh-CN"/>
                    </w:rPr>
                    <w:t>中大西洋州份</w:t>
                  </w:r>
                </w:p>
              </w:tc>
              <w:tc>
                <w:tcPr>
                  <w:tcW w:w="4833" w:type="dxa"/>
                  <w:tcBorders>
                    <w:top w:val="single" w:color="auto" w:sz="4" w:space="0"/>
                    <w:left w:val="single" w:color="auto" w:sz="4" w:space="0"/>
                    <w:bottom w:val="single" w:color="auto" w:sz="4" w:space="0"/>
                    <w:right w:val="single" w:color="auto" w:sz="4" w:space="0"/>
                  </w:tcBorders>
                  <w:noWrap/>
                </w:tcPr>
                <w:p w14:paraId="361411A8">
                  <w:pPr>
                    <w:jc w:val="center"/>
                    <w:rPr>
                      <w:rFonts w:hint="default" w:ascii="Calibri" w:hAnsi="Calibri" w:eastAsia="楷体_GB2312" w:cs="Calibri"/>
                    </w:rPr>
                  </w:pPr>
                  <w:r>
                    <w:rPr>
                      <w:rFonts w:hint="default" w:ascii="Calibri" w:hAnsi="Calibri" w:eastAsia="楷体_GB2312" w:cs="Calibri"/>
                      <w:lang w:val="en-US" w:eastAsia="zh-CN"/>
                    </w:rPr>
                    <w:t>48.25</w:t>
                  </w:r>
                </w:p>
              </w:tc>
            </w:tr>
            <w:tr w14:paraId="03C10A9C">
              <w:tblPrEx>
                <w:tblCellMar>
                  <w:top w:w="0" w:type="dxa"/>
                  <w:left w:w="108" w:type="dxa"/>
                  <w:bottom w:w="0" w:type="dxa"/>
                  <w:right w:w="108" w:type="dxa"/>
                </w:tblCellMar>
              </w:tblPrEx>
              <w:trPr>
                <w:trHeight w:val="231" w:hRule="atLeast"/>
                <w:jc w:val="center"/>
              </w:trPr>
              <w:tc>
                <w:tcPr>
                  <w:tcW w:w="2392" w:type="dxa"/>
                  <w:tcBorders>
                    <w:top w:val="nil"/>
                    <w:left w:val="single" w:color="auto" w:sz="4" w:space="0"/>
                    <w:bottom w:val="single" w:color="auto" w:sz="4" w:space="0"/>
                    <w:right w:val="single" w:color="auto" w:sz="4" w:space="0"/>
                  </w:tcBorders>
                  <w:noWrap/>
                  <w:vAlign w:val="center"/>
                </w:tcPr>
                <w:p w14:paraId="1BFAE9C1">
                  <w:pPr>
                    <w:jc w:val="center"/>
                    <w:rPr>
                      <w:rFonts w:hint="default" w:ascii="Calibri" w:hAnsi="Calibri" w:eastAsia="楷体_GB2312" w:cs="Calibri"/>
                      <w:color w:val="000000"/>
                      <w:sz w:val="18"/>
                      <w:szCs w:val="18"/>
                    </w:rPr>
                  </w:pPr>
                  <w:r>
                    <w:rPr>
                      <w:rFonts w:hint="default" w:ascii="Calibri" w:hAnsi="Calibri" w:eastAsia="楷体_GB2312" w:cs="Calibri"/>
                      <w:color w:val="000000"/>
                      <w:sz w:val="18"/>
                      <w:szCs w:val="18"/>
                      <w:lang w:val="zh-CN"/>
                    </w:rPr>
                    <w:t>中西部</w:t>
                  </w:r>
                </w:p>
              </w:tc>
              <w:tc>
                <w:tcPr>
                  <w:tcW w:w="4833" w:type="dxa"/>
                  <w:tcBorders>
                    <w:top w:val="single" w:color="auto" w:sz="4" w:space="0"/>
                    <w:left w:val="single" w:color="auto" w:sz="4" w:space="0"/>
                    <w:bottom w:val="single" w:color="auto" w:sz="4" w:space="0"/>
                    <w:right w:val="single" w:color="auto" w:sz="4" w:space="0"/>
                  </w:tcBorders>
                  <w:noWrap/>
                </w:tcPr>
                <w:p w14:paraId="1624AB4C">
                  <w:pPr>
                    <w:jc w:val="center"/>
                    <w:rPr>
                      <w:rFonts w:hint="default" w:ascii="Calibri" w:hAnsi="Calibri" w:eastAsia="楷体_GB2312" w:cs="Calibri"/>
                    </w:rPr>
                  </w:pPr>
                  <w:r>
                    <w:rPr>
                      <w:rFonts w:hint="default" w:ascii="Calibri" w:hAnsi="Calibri" w:eastAsia="楷体_GB2312" w:cs="Calibri"/>
                      <w:lang w:val="en-US" w:eastAsia="zh-CN"/>
                    </w:rPr>
                    <w:t>40.22</w:t>
                  </w:r>
                </w:p>
              </w:tc>
            </w:tr>
            <w:tr w14:paraId="71A2F2FE">
              <w:tblPrEx>
                <w:tblCellMar>
                  <w:top w:w="0" w:type="dxa"/>
                  <w:left w:w="108" w:type="dxa"/>
                  <w:bottom w:w="0" w:type="dxa"/>
                  <w:right w:w="108" w:type="dxa"/>
                </w:tblCellMar>
              </w:tblPrEx>
              <w:trPr>
                <w:trHeight w:val="90" w:hRule="atLeast"/>
                <w:jc w:val="center"/>
              </w:trPr>
              <w:tc>
                <w:tcPr>
                  <w:tcW w:w="2392" w:type="dxa"/>
                  <w:tcBorders>
                    <w:top w:val="nil"/>
                    <w:left w:val="single" w:color="auto" w:sz="4" w:space="0"/>
                    <w:bottom w:val="single" w:color="auto" w:sz="4" w:space="0"/>
                    <w:right w:val="single" w:color="auto" w:sz="4" w:space="0"/>
                  </w:tcBorders>
                  <w:noWrap/>
                  <w:vAlign w:val="center"/>
                </w:tcPr>
                <w:p w14:paraId="4065E2CD">
                  <w:pPr>
                    <w:jc w:val="center"/>
                    <w:rPr>
                      <w:rFonts w:hint="default" w:ascii="Calibri" w:hAnsi="Calibri" w:eastAsia="楷体_GB2312" w:cs="Calibri"/>
                      <w:color w:val="000000"/>
                      <w:sz w:val="18"/>
                      <w:szCs w:val="18"/>
                    </w:rPr>
                  </w:pPr>
                  <w:r>
                    <w:rPr>
                      <w:rFonts w:hint="default" w:ascii="Calibri" w:hAnsi="Calibri" w:eastAsia="楷体_GB2312" w:cs="Calibri"/>
                      <w:color w:val="000000"/>
                      <w:sz w:val="18"/>
                      <w:szCs w:val="18"/>
                      <w:lang w:val="zh-CN"/>
                    </w:rPr>
                    <w:t>路易斯安那州</w:t>
                  </w:r>
                </w:p>
              </w:tc>
              <w:tc>
                <w:tcPr>
                  <w:tcW w:w="4833" w:type="dxa"/>
                  <w:tcBorders>
                    <w:top w:val="single" w:color="auto" w:sz="4" w:space="0"/>
                    <w:left w:val="single" w:color="auto" w:sz="4" w:space="0"/>
                    <w:bottom w:val="single" w:color="auto" w:sz="4" w:space="0"/>
                    <w:right w:val="single" w:color="auto" w:sz="4" w:space="0"/>
                  </w:tcBorders>
                  <w:noWrap/>
                </w:tcPr>
                <w:p w14:paraId="205D2153">
                  <w:pPr>
                    <w:jc w:val="center"/>
                    <w:rPr>
                      <w:rFonts w:hint="default" w:ascii="Calibri" w:hAnsi="Calibri" w:eastAsia="楷体_GB2312" w:cs="Calibri"/>
                    </w:rPr>
                  </w:pPr>
                  <w:r>
                    <w:rPr>
                      <w:rFonts w:hint="default" w:ascii="Calibri" w:hAnsi="Calibri" w:eastAsia="楷体_GB2312" w:cs="Calibri"/>
                      <w:lang w:val="en-US" w:eastAsia="zh-CN"/>
                    </w:rPr>
                    <w:t>28.25</w:t>
                  </w:r>
                </w:p>
              </w:tc>
            </w:tr>
            <w:tr w14:paraId="06FF56EF">
              <w:tblPrEx>
                <w:tblCellMar>
                  <w:top w:w="0" w:type="dxa"/>
                  <w:left w:w="108" w:type="dxa"/>
                  <w:bottom w:w="0" w:type="dxa"/>
                  <w:right w:w="108" w:type="dxa"/>
                </w:tblCellMar>
              </w:tblPrEx>
              <w:trPr>
                <w:trHeight w:val="252" w:hRule="atLeast"/>
                <w:jc w:val="center"/>
              </w:trPr>
              <w:tc>
                <w:tcPr>
                  <w:tcW w:w="2392" w:type="dxa"/>
                  <w:tcBorders>
                    <w:top w:val="nil"/>
                    <w:left w:val="single" w:color="auto" w:sz="4" w:space="0"/>
                    <w:bottom w:val="single" w:color="auto" w:sz="4" w:space="0"/>
                    <w:right w:val="single" w:color="auto" w:sz="4" w:space="0"/>
                  </w:tcBorders>
                  <w:noWrap/>
                  <w:vAlign w:val="center"/>
                </w:tcPr>
                <w:p w14:paraId="4AEC7997">
                  <w:pPr>
                    <w:jc w:val="center"/>
                    <w:rPr>
                      <w:rFonts w:hint="default" w:ascii="Calibri" w:hAnsi="Calibri" w:eastAsia="楷体_GB2312" w:cs="Calibri"/>
                      <w:color w:val="000000"/>
                      <w:sz w:val="18"/>
                      <w:szCs w:val="18"/>
                    </w:rPr>
                  </w:pPr>
                  <w:r>
                    <w:rPr>
                      <w:rFonts w:hint="default" w:ascii="Calibri" w:hAnsi="Calibri" w:eastAsia="楷体_GB2312" w:cs="Calibri"/>
                      <w:color w:val="000000"/>
                      <w:sz w:val="18"/>
                      <w:szCs w:val="18"/>
                      <w:lang w:val="zh-CN"/>
                    </w:rPr>
                    <w:t>休斯顿</w:t>
                  </w:r>
                </w:p>
              </w:tc>
              <w:tc>
                <w:tcPr>
                  <w:tcW w:w="4833" w:type="dxa"/>
                  <w:tcBorders>
                    <w:top w:val="single" w:color="auto" w:sz="4" w:space="0"/>
                    <w:left w:val="single" w:color="auto" w:sz="4" w:space="0"/>
                    <w:bottom w:val="single" w:color="auto" w:sz="4" w:space="0"/>
                    <w:right w:val="single" w:color="auto" w:sz="4" w:space="0"/>
                  </w:tcBorders>
                  <w:noWrap/>
                </w:tcPr>
                <w:p w14:paraId="50AB2BF6">
                  <w:pPr>
                    <w:jc w:val="center"/>
                    <w:rPr>
                      <w:rFonts w:hint="default" w:ascii="Calibri" w:hAnsi="Calibri" w:eastAsia="楷体_GB2312" w:cs="Calibri"/>
                    </w:rPr>
                  </w:pPr>
                  <w:r>
                    <w:rPr>
                      <w:rFonts w:hint="default" w:ascii="Calibri" w:hAnsi="Calibri" w:eastAsia="楷体_GB2312" w:cs="Calibri"/>
                      <w:lang w:val="en-US" w:eastAsia="zh-CN"/>
                    </w:rPr>
                    <w:t>26.25</w:t>
                  </w:r>
                </w:p>
              </w:tc>
            </w:tr>
            <w:tr w14:paraId="1ABDD701">
              <w:tblPrEx>
                <w:tblCellMar>
                  <w:top w:w="0" w:type="dxa"/>
                  <w:left w:w="108" w:type="dxa"/>
                  <w:bottom w:w="0" w:type="dxa"/>
                  <w:right w:w="108" w:type="dxa"/>
                </w:tblCellMar>
              </w:tblPrEx>
              <w:trPr>
                <w:trHeight w:val="252" w:hRule="atLeast"/>
                <w:jc w:val="center"/>
              </w:trPr>
              <w:tc>
                <w:tcPr>
                  <w:tcW w:w="2392" w:type="dxa"/>
                  <w:tcBorders>
                    <w:top w:val="nil"/>
                    <w:left w:val="single" w:color="auto" w:sz="4" w:space="0"/>
                    <w:bottom w:val="single" w:color="auto" w:sz="4" w:space="0"/>
                    <w:right w:val="single" w:color="auto" w:sz="4" w:space="0"/>
                  </w:tcBorders>
                  <w:noWrap/>
                  <w:vAlign w:val="center"/>
                </w:tcPr>
                <w:p w14:paraId="6319EC6E">
                  <w:pPr>
                    <w:jc w:val="center"/>
                    <w:rPr>
                      <w:rFonts w:hint="default" w:ascii="Calibri" w:hAnsi="Calibri" w:eastAsia="楷体_GB2312" w:cs="Calibri"/>
                      <w:color w:val="000000"/>
                      <w:sz w:val="18"/>
                      <w:szCs w:val="18"/>
                    </w:rPr>
                  </w:pPr>
                  <w:r>
                    <w:rPr>
                      <w:rFonts w:hint="default" w:ascii="Calibri" w:hAnsi="Calibri" w:eastAsia="楷体_GB2312" w:cs="Calibri"/>
                      <w:color w:val="000000"/>
                      <w:sz w:val="18"/>
                      <w:szCs w:val="18"/>
                      <w:lang w:val="zh-CN"/>
                    </w:rPr>
                    <w:t>西南部</w:t>
                  </w:r>
                </w:p>
              </w:tc>
              <w:tc>
                <w:tcPr>
                  <w:tcW w:w="4833" w:type="dxa"/>
                  <w:tcBorders>
                    <w:top w:val="single" w:color="auto" w:sz="4" w:space="0"/>
                    <w:left w:val="single" w:color="auto" w:sz="4" w:space="0"/>
                    <w:bottom w:val="single" w:color="auto" w:sz="4" w:space="0"/>
                    <w:right w:val="single" w:color="auto" w:sz="4" w:space="0"/>
                  </w:tcBorders>
                  <w:noWrap/>
                </w:tcPr>
                <w:p w14:paraId="66EC2473">
                  <w:pPr>
                    <w:jc w:val="center"/>
                    <w:rPr>
                      <w:rFonts w:hint="default" w:ascii="Calibri" w:hAnsi="Calibri" w:eastAsia="楷体_GB2312" w:cs="Calibri"/>
                    </w:rPr>
                  </w:pPr>
                  <w:r>
                    <w:rPr>
                      <w:rFonts w:hint="default" w:ascii="Calibri" w:hAnsi="Calibri" w:eastAsia="楷体_GB2312" w:cs="Calibri"/>
                      <w:lang w:val="en-US" w:eastAsia="zh-CN"/>
                    </w:rPr>
                    <w:t>33.00</w:t>
                  </w:r>
                </w:p>
              </w:tc>
            </w:tr>
            <w:tr w14:paraId="32F090C3">
              <w:tblPrEx>
                <w:tblCellMar>
                  <w:top w:w="0" w:type="dxa"/>
                  <w:left w:w="108" w:type="dxa"/>
                  <w:bottom w:w="0" w:type="dxa"/>
                  <w:right w:w="108" w:type="dxa"/>
                </w:tblCellMar>
              </w:tblPrEx>
              <w:trPr>
                <w:trHeight w:val="252" w:hRule="atLeast"/>
                <w:jc w:val="center"/>
              </w:trPr>
              <w:tc>
                <w:tcPr>
                  <w:tcW w:w="2392" w:type="dxa"/>
                  <w:tcBorders>
                    <w:top w:val="nil"/>
                    <w:left w:val="single" w:color="auto" w:sz="4" w:space="0"/>
                    <w:bottom w:val="single" w:color="auto" w:sz="4" w:space="0"/>
                    <w:right w:val="single" w:color="auto" w:sz="4" w:space="0"/>
                  </w:tcBorders>
                  <w:noWrap/>
                  <w:vAlign w:val="center"/>
                </w:tcPr>
                <w:p w14:paraId="0BF46B66">
                  <w:pPr>
                    <w:jc w:val="center"/>
                    <w:rPr>
                      <w:rFonts w:hint="default" w:ascii="Calibri" w:hAnsi="Calibri" w:eastAsia="楷体_GB2312" w:cs="Calibri"/>
                      <w:color w:val="000000"/>
                      <w:sz w:val="18"/>
                      <w:szCs w:val="18"/>
                    </w:rPr>
                  </w:pPr>
                  <w:r>
                    <w:rPr>
                      <w:rFonts w:hint="default" w:ascii="Calibri" w:hAnsi="Calibri" w:eastAsia="楷体_GB2312" w:cs="Calibri"/>
                      <w:color w:val="000000"/>
                      <w:sz w:val="18"/>
                      <w:szCs w:val="18"/>
                      <w:lang w:val="zh-CN"/>
                    </w:rPr>
                    <w:t>加利福尼亚州南部</w:t>
                  </w:r>
                </w:p>
              </w:tc>
              <w:tc>
                <w:tcPr>
                  <w:tcW w:w="4833" w:type="dxa"/>
                  <w:tcBorders>
                    <w:top w:val="single" w:color="auto" w:sz="4" w:space="0"/>
                    <w:left w:val="single" w:color="auto" w:sz="4" w:space="0"/>
                    <w:bottom w:val="single" w:color="auto" w:sz="4" w:space="0"/>
                    <w:right w:val="single" w:color="auto" w:sz="4" w:space="0"/>
                  </w:tcBorders>
                  <w:noWrap/>
                </w:tcPr>
                <w:p w14:paraId="68F444C3">
                  <w:pPr>
                    <w:jc w:val="center"/>
                    <w:rPr>
                      <w:rFonts w:hint="default" w:ascii="Calibri" w:hAnsi="Calibri" w:eastAsia="楷体_GB2312" w:cs="Calibri"/>
                    </w:rPr>
                  </w:pPr>
                  <w:r>
                    <w:rPr>
                      <w:rFonts w:hint="default" w:ascii="Calibri" w:hAnsi="Calibri" w:eastAsia="楷体_GB2312" w:cs="Calibri"/>
                      <w:lang w:val="en-US" w:eastAsia="zh-CN"/>
                    </w:rPr>
                    <w:t>33.86</w:t>
                  </w:r>
                </w:p>
              </w:tc>
            </w:tr>
            <w:tr w14:paraId="4A0B5F19">
              <w:tblPrEx>
                <w:tblCellMar>
                  <w:top w:w="0" w:type="dxa"/>
                  <w:left w:w="108" w:type="dxa"/>
                  <w:bottom w:w="0" w:type="dxa"/>
                  <w:right w:w="108" w:type="dxa"/>
                </w:tblCellMar>
              </w:tblPrEx>
              <w:trPr>
                <w:trHeight w:val="252" w:hRule="atLeast"/>
                <w:jc w:val="center"/>
              </w:trPr>
              <w:tc>
                <w:tcPr>
                  <w:tcW w:w="2392" w:type="dxa"/>
                  <w:tcBorders>
                    <w:top w:val="nil"/>
                    <w:left w:val="single" w:color="auto" w:sz="4" w:space="0"/>
                    <w:bottom w:val="single" w:color="auto" w:sz="4" w:space="0"/>
                    <w:right w:val="single" w:color="auto" w:sz="4" w:space="0"/>
                  </w:tcBorders>
                  <w:noWrap/>
                  <w:vAlign w:val="center"/>
                </w:tcPr>
                <w:p w14:paraId="26EF2E3A">
                  <w:pPr>
                    <w:jc w:val="center"/>
                    <w:rPr>
                      <w:rFonts w:hint="default" w:ascii="Calibri" w:hAnsi="Calibri" w:eastAsia="楷体_GB2312" w:cs="Calibri"/>
                      <w:color w:val="000000"/>
                      <w:sz w:val="18"/>
                      <w:szCs w:val="18"/>
                    </w:rPr>
                  </w:pPr>
                  <w:r>
                    <w:rPr>
                      <w:rFonts w:hint="default" w:ascii="Calibri" w:hAnsi="Calibri" w:eastAsia="楷体_GB2312" w:cs="Calibri"/>
                      <w:color w:val="000000"/>
                      <w:sz w:val="18"/>
                      <w:szCs w:val="18"/>
                      <w:lang w:val="zh-CN"/>
                    </w:rPr>
                    <w:t>加利福尼亚州北部</w:t>
                  </w:r>
                </w:p>
              </w:tc>
              <w:tc>
                <w:tcPr>
                  <w:tcW w:w="4833" w:type="dxa"/>
                  <w:tcBorders>
                    <w:top w:val="single" w:color="auto" w:sz="4" w:space="0"/>
                    <w:left w:val="single" w:color="auto" w:sz="4" w:space="0"/>
                    <w:bottom w:val="single" w:color="auto" w:sz="4" w:space="0"/>
                    <w:right w:val="single" w:color="auto" w:sz="4" w:space="0"/>
                  </w:tcBorders>
                  <w:noWrap/>
                </w:tcPr>
                <w:p w14:paraId="085D00B9">
                  <w:pPr>
                    <w:jc w:val="center"/>
                    <w:rPr>
                      <w:rFonts w:hint="default" w:ascii="Calibri" w:hAnsi="Calibri" w:eastAsia="楷体_GB2312" w:cs="Calibri"/>
                    </w:rPr>
                  </w:pPr>
                  <w:r>
                    <w:rPr>
                      <w:rFonts w:hint="default" w:ascii="Calibri" w:hAnsi="Calibri" w:eastAsia="楷体_GB2312" w:cs="Calibri"/>
                      <w:lang w:val="en-US" w:eastAsia="zh-CN"/>
                    </w:rPr>
                    <w:t>35.57</w:t>
                  </w:r>
                </w:p>
              </w:tc>
            </w:tr>
            <w:tr w14:paraId="7974D6E1">
              <w:tblPrEx>
                <w:tblCellMar>
                  <w:top w:w="0" w:type="dxa"/>
                  <w:left w:w="108" w:type="dxa"/>
                  <w:bottom w:w="0" w:type="dxa"/>
                  <w:right w:w="108" w:type="dxa"/>
                </w:tblCellMar>
              </w:tblPrEx>
              <w:trPr>
                <w:trHeight w:val="252" w:hRule="atLeast"/>
                <w:jc w:val="center"/>
              </w:trPr>
              <w:tc>
                <w:tcPr>
                  <w:tcW w:w="2392" w:type="dxa"/>
                  <w:tcBorders>
                    <w:top w:val="nil"/>
                    <w:left w:val="single" w:color="auto" w:sz="4" w:space="0"/>
                    <w:bottom w:val="single" w:color="auto" w:sz="4" w:space="0"/>
                    <w:right w:val="single" w:color="auto" w:sz="4" w:space="0"/>
                  </w:tcBorders>
                  <w:noWrap/>
                  <w:vAlign w:val="center"/>
                </w:tcPr>
                <w:p w14:paraId="56EAB7CD">
                  <w:pPr>
                    <w:jc w:val="center"/>
                    <w:rPr>
                      <w:rFonts w:hint="default" w:ascii="Calibri" w:hAnsi="Calibri" w:eastAsia="楷体_GB2312" w:cs="Calibri"/>
                      <w:color w:val="000000"/>
                      <w:sz w:val="18"/>
                      <w:szCs w:val="18"/>
                    </w:rPr>
                  </w:pPr>
                  <w:r>
                    <w:rPr>
                      <w:rFonts w:hint="default" w:ascii="Calibri" w:hAnsi="Calibri" w:eastAsia="楷体_GB2312" w:cs="Calibri"/>
                      <w:color w:val="000000"/>
                      <w:sz w:val="18"/>
                      <w:szCs w:val="18"/>
                      <w:lang w:val="zh-CN"/>
                    </w:rPr>
                    <w:t>西北部</w:t>
                  </w:r>
                </w:p>
              </w:tc>
              <w:tc>
                <w:tcPr>
                  <w:tcW w:w="4833" w:type="dxa"/>
                  <w:tcBorders>
                    <w:top w:val="single" w:color="auto" w:sz="4" w:space="0"/>
                    <w:left w:val="single" w:color="auto" w:sz="4" w:space="0"/>
                    <w:bottom w:val="single" w:color="auto" w:sz="4" w:space="0"/>
                    <w:right w:val="single" w:color="auto" w:sz="4" w:space="0"/>
                  </w:tcBorders>
                  <w:noWrap/>
                </w:tcPr>
                <w:p w14:paraId="7494C821">
                  <w:pPr>
                    <w:jc w:val="center"/>
                    <w:rPr>
                      <w:rFonts w:hint="default" w:ascii="Calibri" w:hAnsi="Calibri" w:eastAsia="楷体_GB2312" w:cs="Calibri"/>
                    </w:rPr>
                  </w:pPr>
                  <w:r>
                    <w:rPr>
                      <w:rFonts w:hint="default" w:ascii="Calibri" w:hAnsi="Calibri" w:eastAsia="楷体_GB2312" w:cs="Calibri"/>
                      <w:lang w:val="en-US" w:eastAsia="zh-CN"/>
                    </w:rPr>
                    <w:t>35.50</w:t>
                  </w:r>
                </w:p>
              </w:tc>
            </w:tr>
          </w:tbl>
          <w:p w14:paraId="3C6D7A98">
            <w:pPr>
              <w:overflowPunct w:val="0"/>
              <w:jc w:val="center"/>
              <w:rPr>
                <w:rFonts w:hint="default" w:ascii="Calibri" w:hAnsi="Calibri" w:eastAsia="楷体_GB2312" w:cs="Calibri"/>
                <w:sz w:val="10"/>
              </w:rPr>
            </w:pPr>
          </w:p>
        </w:tc>
      </w:tr>
      <w:tr w14:paraId="05134CCB">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7459" w:type="dxa"/>
            <w:tcBorders>
              <w:top w:val="single" w:color="auto" w:sz="4" w:space="0"/>
            </w:tcBorders>
          </w:tcPr>
          <w:p w14:paraId="3650A244">
            <w:pPr>
              <w:rPr>
                <w:rFonts w:hint="default" w:ascii="Calibri" w:hAnsi="Calibri" w:eastAsia="楷体_GB2312" w:cs="Calibri"/>
                <w:i/>
                <w:iCs/>
                <w:sz w:val="15"/>
                <w:szCs w:val="15"/>
              </w:rPr>
            </w:pPr>
            <w:r>
              <w:rPr>
                <w:rFonts w:hint="default" w:ascii="Calibri" w:hAnsi="Calibri" w:eastAsia="楷体_GB2312" w:cs="Calibri"/>
                <w:i/>
                <w:iCs/>
                <w:sz w:val="15"/>
                <w:szCs w:val="15"/>
              </w:rPr>
              <w:t>资料来源:</w:t>
            </w:r>
            <w:r>
              <w:rPr>
                <w:rFonts w:hint="default" w:ascii="Calibri" w:hAnsi="Calibri" w:eastAsia="楷体_GB2312" w:cs="Calibri"/>
                <w:i/>
                <w:iCs/>
                <w:sz w:val="15"/>
                <w:szCs w:val="15"/>
                <w:lang w:eastAsia="zh-CN"/>
              </w:rPr>
              <w:t xml:space="preserve">  </w:t>
            </w:r>
            <w:r>
              <w:rPr>
                <w:rFonts w:hint="default" w:ascii="Calibri" w:hAnsi="Calibri" w:eastAsia="楷体_GB2312" w:cs="Calibri"/>
                <w:i/>
                <w:iCs/>
                <w:sz w:val="15"/>
                <w:szCs w:val="15"/>
                <w:lang w:val="en-US" w:eastAsia="zh-CN"/>
              </w:rPr>
              <w:t>EIA</w:t>
            </w:r>
            <w:r>
              <w:rPr>
                <w:rFonts w:hint="default" w:ascii="Calibri" w:hAnsi="Calibri" w:eastAsia="楷体_GB2312" w:cs="Calibri"/>
                <w:i/>
                <w:iCs/>
                <w:sz w:val="15"/>
                <w:szCs w:val="15"/>
              </w:rPr>
              <w:t xml:space="preserve">， </w:t>
            </w:r>
            <w:r>
              <w:rPr>
                <w:rFonts w:hint="default" w:ascii="Calibri" w:hAnsi="Calibri" w:eastAsia="楷体_GB2312" w:cs="Calibri"/>
                <w:i/>
                <w:iCs/>
                <w:sz w:val="15"/>
                <w:szCs w:val="15"/>
                <w:lang w:eastAsia="zh-CN"/>
              </w:rPr>
              <w:t>HFI</w:t>
            </w:r>
          </w:p>
        </w:tc>
      </w:tr>
    </w:tbl>
    <w:p w14:paraId="79109D4C">
      <w:pPr>
        <w:overflowPunct w:val="0"/>
        <w:ind w:left="3200" w:leftChars="2000"/>
        <w:jc w:val="both"/>
        <w:rPr>
          <w:rFonts w:hint="default" w:ascii="Calibri" w:hAnsi="Calibri" w:eastAsia="楷体_GB2312" w:cs="Calibri"/>
          <w:sz w:val="20"/>
          <w:szCs w:val="20"/>
          <w:lang w:val="en-US" w:eastAsia="zh-CN"/>
        </w:rPr>
      </w:pPr>
    </w:p>
    <w:p w14:paraId="38A5C184">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极端天气、老化基础设施及激增的电力需求持续施压美国电网。</w:t>
      </w:r>
      <w:r>
        <w:rPr>
          <w:rFonts w:hint="default" w:ascii="Calibri" w:hAnsi="Calibri" w:eastAsia="楷体_GB2312" w:cs="Calibri"/>
          <w:sz w:val="20"/>
          <w:szCs w:val="20"/>
          <w:lang w:val="en-US" w:eastAsia="zh-CN"/>
        </w:rPr>
        <w:t>据Climate Central统计，过去十年美国与天气相关的停电次数较2000年代增加60%，每年约四分之一家庭遭遇停电。2026年1月下旬，一场席卷多州的冬季风暴导致高峰期超100万用户断电，造成至少34人死亡，新英格兰及中西部电网一度告急；ERCOT虽凭借电池储能（高峰期供能超7000兆瓦）经受住考验，但警告2026年夏季电力供应缺口或达6.2%。</w:t>
      </w:r>
    </w:p>
    <w:p w14:paraId="7F3A8059">
      <w:pPr>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br w:type="page"/>
      </w:r>
    </w:p>
    <w:tbl>
      <w:tblPr>
        <w:tblStyle w:val="26"/>
        <w:tblW w:w="10490" w:type="dxa"/>
        <w:tblInd w:w="384" w:type="dxa"/>
        <w:tblLayout w:type="fixed"/>
        <w:tblCellMar>
          <w:top w:w="0" w:type="dxa"/>
          <w:left w:w="108" w:type="dxa"/>
          <w:bottom w:w="0" w:type="dxa"/>
          <w:right w:w="108" w:type="dxa"/>
        </w:tblCellMar>
      </w:tblPr>
      <w:tblGrid>
        <w:gridCol w:w="5103"/>
        <w:gridCol w:w="238"/>
        <w:gridCol w:w="5149"/>
      </w:tblGrid>
      <w:tr w14:paraId="3DFB5981">
        <w:tblPrEx>
          <w:tblCellMar>
            <w:top w:w="0" w:type="dxa"/>
            <w:left w:w="108" w:type="dxa"/>
            <w:bottom w:w="0" w:type="dxa"/>
            <w:right w:w="108" w:type="dxa"/>
          </w:tblCellMar>
        </w:tblPrEx>
        <w:trPr>
          <w:trHeight w:val="227" w:hRule="atLeast"/>
        </w:trPr>
        <w:tc>
          <w:tcPr>
            <w:tcW w:w="5103" w:type="dxa"/>
            <w:tcBorders>
              <w:top w:val="nil"/>
              <w:left w:val="nil"/>
              <w:bottom w:val="single" w:color="auto" w:sz="4" w:space="0"/>
              <w:right w:val="nil"/>
            </w:tcBorders>
            <w:tcMar>
              <w:top w:w="0" w:type="dxa"/>
              <w:left w:w="0" w:type="dxa"/>
              <w:bottom w:w="0" w:type="dxa"/>
              <w:right w:w="28" w:type="dxa"/>
            </w:tcMar>
          </w:tcPr>
          <w:p w14:paraId="773DA2EC">
            <w:pPr>
              <w:overflowPunct w:val="0"/>
              <w:rPr>
                <w:rFonts w:hint="default" w:ascii="Calibri" w:hAnsi="Calibri" w:eastAsia="楷体_GB2312" w:cs="Calibri"/>
                <w:b/>
                <w:sz w:val="18"/>
                <w:szCs w:val="18"/>
                <w:lang w:val="zh-CN" w:eastAsia="zh-CN"/>
              </w:rPr>
            </w:pPr>
            <w:r>
              <w:rPr>
                <w:rFonts w:hint="default" w:ascii="Calibri" w:hAnsi="Calibri" w:eastAsia="楷体_GB2312" w:cs="Calibri"/>
                <w:b/>
                <w:sz w:val="18"/>
                <w:szCs w:val="18"/>
                <w:lang w:val="zh-CN"/>
              </w:rPr>
              <w:t>图</w:t>
            </w:r>
            <w:r>
              <w:rPr>
                <w:rFonts w:hint="default" w:ascii="Calibri" w:hAnsi="Calibri" w:eastAsia="楷体_GB2312" w:cs="Calibri"/>
                <w:b/>
                <w:sz w:val="18"/>
                <w:szCs w:val="18"/>
                <w:lang w:eastAsia="zh-CN"/>
              </w:rPr>
              <w:t>2</w:t>
            </w:r>
            <w:r>
              <w:rPr>
                <w:rFonts w:hint="eastAsia" w:eastAsia="楷体_GB2312" w:cs="Calibri"/>
                <w:b/>
                <w:sz w:val="18"/>
                <w:szCs w:val="18"/>
                <w:lang w:val="en-US" w:eastAsia="zh-CN"/>
              </w:rPr>
              <w:t>5</w:t>
            </w:r>
            <w:r>
              <w:rPr>
                <w:rFonts w:hint="default" w:ascii="Calibri" w:hAnsi="Calibri" w:eastAsia="楷体_GB2312" w:cs="Calibri"/>
                <w:b/>
                <w:sz w:val="18"/>
                <w:szCs w:val="18"/>
                <w:lang w:val="zh-CN"/>
              </w:rPr>
              <w:t>：</w:t>
            </w:r>
            <w:r>
              <w:rPr>
                <w:rFonts w:hint="default" w:ascii="Calibri" w:hAnsi="Calibri" w:eastAsia="楷体_GB2312" w:cs="Calibri"/>
                <w:b/>
                <w:sz w:val="18"/>
                <w:szCs w:val="18"/>
                <w:lang w:val="zh-CN" w:eastAsia="zh-CN"/>
              </w:rPr>
              <w:t>美国停电情况</w:t>
            </w:r>
          </w:p>
        </w:tc>
        <w:tc>
          <w:tcPr>
            <w:tcW w:w="238" w:type="dxa"/>
            <w:tcBorders>
              <w:top w:val="nil"/>
              <w:left w:val="nil"/>
              <w:bottom w:val="nil"/>
              <w:right w:val="nil"/>
            </w:tcBorders>
            <w:tcMar>
              <w:top w:w="0" w:type="dxa"/>
              <w:left w:w="0" w:type="dxa"/>
              <w:bottom w:w="0" w:type="dxa"/>
              <w:right w:w="28" w:type="dxa"/>
            </w:tcMar>
          </w:tcPr>
          <w:p w14:paraId="4D6F7A70">
            <w:pPr>
              <w:overflowPunct w:val="0"/>
              <w:rPr>
                <w:rFonts w:hint="default" w:ascii="Calibri" w:hAnsi="Calibri" w:eastAsia="楷体_GB2312" w:cs="Calibri"/>
                <w:b/>
                <w:sz w:val="18"/>
                <w:szCs w:val="18"/>
                <w:lang w:val="zh-CN"/>
              </w:rPr>
            </w:pPr>
            <w:r>
              <w:rPr>
                <w:rFonts w:hint="default" w:ascii="Calibri" w:hAnsi="Calibri" w:eastAsia="楷体_GB2312" w:cs="Calibri"/>
                <w:b/>
                <w:sz w:val="18"/>
                <w:szCs w:val="18"/>
                <w:lang w:val="zh-CN"/>
              </w:rPr>
              <w:t xml:space="preserve">         </w:t>
            </w:r>
          </w:p>
        </w:tc>
        <w:tc>
          <w:tcPr>
            <w:tcW w:w="5149" w:type="dxa"/>
            <w:tcBorders>
              <w:top w:val="nil"/>
              <w:left w:val="nil"/>
              <w:bottom w:val="single" w:color="auto" w:sz="4" w:space="0"/>
              <w:right w:val="nil"/>
            </w:tcBorders>
            <w:tcMar>
              <w:top w:w="0" w:type="dxa"/>
              <w:left w:w="0" w:type="dxa"/>
              <w:bottom w:w="0" w:type="dxa"/>
              <w:right w:w="28" w:type="dxa"/>
            </w:tcMar>
          </w:tcPr>
          <w:p w14:paraId="47C006AB">
            <w:pPr>
              <w:overflowPunct w:val="0"/>
              <w:rPr>
                <w:rFonts w:hint="default" w:ascii="Calibri" w:hAnsi="Calibri" w:eastAsia="楷体_GB2312" w:cs="Calibri"/>
                <w:b/>
                <w:sz w:val="18"/>
                <w:szCs w:val="18"/>
                <w:lang w:val="zh-CN" w:eastAsia="zh-CN"/>
              </w:rPr>
            </w:pPr>
            <w:r>
              <w:rPr>
                <w:rFonts w:hint="default" w:ascii="Calibri" w:hAnsi="Calibri" w:eastAsia="楷体_GB2312" w:cs="Calibri"/>
                <w:b/>
                <w:sz w:val="18"/>
                <w:szCs w:val="18"/>
                <w:lang w:val="zh-CN"/>
              </w:rPr>
              <w:t>图</w:t>
            </w:r>
            <w:r>
              <w:rPr>
                <w:rFonts w:hint="default" w:ascii="Calibri" w:hAnsi="Calibri" w:eastAsia="楷体_GB2312" w:cs="Calibri"/>
                <w:b/>
                <w:sz w:val="18"/>
                <w:szCs w:val="18"/>
              </w:rPr>
              <w:t>2</w:t>
            </w:r>
            <w:r>
              <w:rPr>
                <w:rFonts w:hint="eastAsia" w:eastAsia="楷体_GB2312" w:cs="Calibri"/>
                <w:b/>
                <w:sz w:val="18"/>
                <w:szCs w:val="18"/>
                <w:lang w:val="en-US" w:eastAsia="zh-CN"/>
              </w:rPr>
              <w:t>6</w:t>
            </w:r>
            <w:r>
              <w:rPr>
                <w:rFonts w:hint="default" w:ascii="Calibri" w:hAnsi="Calibri" w:eastAsia="楷体_GB2312" w:cs="Calibri"/>
                <w:b/>
                <w:sz w:val="18"/>
                <w:szCs w:val="18"/>
                <w:lang w:val="zh-CN"/>
              </w:rPr>
              <w:t>：</w:t>
            </w:r>
            <w:r>
              <w:rPr>
                <w:rFonts w:hint="default" w:ascii="Calibri" w:hAnsi="Calibri" w:eastAsia="楷体_GB2312" w:cs="Calibri"/>
                <w:b/>
                <w:sz w:val="18"/>
                <w:szCs w:val="18"/>
                <w:lang w:val="zh-CN" w:eastAsia="zh-CN"/>
              </w:rPr>
              <w:t>天气情况</w:t>
            </w:r>
          </w:p>
        </w:tc>
      </w:tr>
      <w:tr w14:paraId="216E4AF3">
        <w:tblPrEx>
          <w:tblCellMar>
            <w:top w:w="0" w:type="dxa"/>
            <w:left w:w="108" w:type="dxa"/>
            <w:bottom w:w="0" w:type="dxa"/>
            <w:right w:w="108" w:type="dxa"/>
          </w:tblCellMar>
        </w:tblPrEx>
        <w:trPr>
          <w:trHeight w:val="2219" w:hRule="atLeast"/>
        </w:trPr>
        <w:tc>
          <w:tcPr>
            <w:tcW w:w="5103" w:type="dxa"/>
            <w:tcBorders>
              <w:top w:val="single" w:color="auto" w:sz="4" w:space="0"/>
              <w:left w:val="nil"/>
              <w:bottom w:val="single" w:color="auto" w:sz="4" w:space="0"/>
              <w:right w:val="nil"/>
            </w:tcBorders>
            <w:tcMar>
              <w:top w:w="0" w:type="dxa"/>
              <w:left w:w="0" w:type="dxa"/>
              <w:bottom w:w="0" w:type="dxa"/>
              <w:right w:w="28" w:type="dxa"/>
            </w:tcMar>
            <w:vAlign w:val="center"/>
          </w:tcPr>
          <w:p w14:paraId="324FB582">
            <w:pPr>
              <w:overflowPunct w:val="0"/>
              <w:spacing w:before="48" w:beforeLines="20" w:after="48" w:afterLines="20"/>
              <w:jc w:val="center"/>
              <w:textAlignment w:val="center"/>
              <w:rPr>
                <w:rFonts w:hint="default" w:ascii="Calibri" w:hAnsi="Calibri" w:eastAsia="楷体_GB2312" w:cs="Calibri"/>
                <w:b/>
                <w:color w:val="000000"/>
                <w:sz w:val="15"/>
                <w:szCs w:val="15"/>
              </w:rPr>
            </w:pPr>
            <w:r>
              <w:rPr>
                <w:rFonts w:hint="default" w:ascii="Calibri" w:hAnsi="Calibri" w:eastAsia="楷体_GB2312" w:cs="Calibri"/>
                <w:b/>
                <w:color w:val="000000"/>
                <w:sz w:val="15"/>
                <w:szCs w:val="15"/>
              </w:rPr>
              <w:drawing>
                <wp:inline distT="0" distB="0" distL="114300" distR="114300">
                  <wp:extent cx="2838450" cy="2129155"/>
                  <wp:effectExtent l="0" t="0" r="6350" b="4445"/>
                  <wp:docPr id="38" name="图片 38" descr="10439d4c92f04c9de8763e235d2a71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10439d4c92f04c9de8763e235d2a719c"/>
                          <pic:cNvPicPr>
                            <a:picLocks noChangeAspect="1"/>
                          </pic:cNvPicPr>
                        </pic:nvPicPr>
                        <pic:blipFill>
                          <a:blip r:embed="rId42"/>
                          <a:stretch>
                            <a:fillRect/>
                          </a:stretch>
                        </pic:blipFill>
                        <pic:spPr>
                          <a:xfrm>
                            <a:off x="0" y="0"/>
                            <a:ext cx="2838450" cy="2129155"/>
                          </a:xfrm>
                          <a:prstGeom prst="rect">
                            <a:avLst/>
                          </a:prstGeom>
                        </pic:spPr>
                      </pic:pic>
                    </a:graphicData>
                  </a:graphic>
                </wp:inline>
              </w:drawing>
            </w:r>
          </w:p>
        </w:tc>
        <w:tc>
          <w:tcPr>
            <w:tcW w:w="238" w:type="dxa"/>
            <w:tcBorders>
              <w:top w:val="nil"/>
              <w:left w:val="nil"/>
              <w:bottom w:val="nil"/>
              <w:right w:val="nil"/>
            </w:tcBorders>
            <w:tcMar>
              <w:top w:w="0" w:type="dxa"/>
              <w:left w:w="0" w:type="dxa"/>
              <w:bottom w:w="0" w:type="dxa"/>
              <w:right w:w="28" w:type="dxa"/>
            </w:tcMar>
          </w:tcPr>
          <w:p w14:paraId="18DCCC42">
            <w:pPr>
              <w:overflowPunct w:val="0"/>
              <w:spacing w:before="48" w:beforeLines="20" w:after="48" w:afterLines="20"/>
              <w:rPr>
                <w:rFonts w:hint="default" w:ascii="Calibri" w:hAnsi="Calibri" w:eastAsia="楷体_GB2312" w:cs="Calibri"/>
                <w:sz w:val="15"/>
                <w:szCs w:val="15"/>
              </w:rPr>
            </w:pPr>
          </w:p>
        </w:tc>
        <w:tc>
          <w:tcPr>
            <w:tcW w:w="5149" w:type="dxa"/>
            <w:tcBorders>
              <w:top w:val="single" w:color="auto" w:sz="4" w:space="0"/>
              <w:left w:val="nil"/>
              <w:bottom w:val="single" w:color="auto" w:sz="4" w:space="0"/>
              <w:right w:val="nil"/>
            </w:tcBorders>
            <w:tcMar>
              <w:top w:w="0" w:type="dxa"/>
              <w:left w:w="0" w:type="dxa"/>
              <w:bottom w:w="0" w:type="dxa"/>
              <w:right w:w="28" w:type="dxa"/>
            </w:tcMar>
          </w:tcPr>
          <w:p w14:paraId="5EEB442C">
            <w:pPr>
              <w:overflowPunct w:val="0"/>
              <w:spacing w:before="48" w:beforeLines="20" w:after="48" w:afterLines="20"/>
              <w:jc w:val="center"/>
              <w:rPr>
                <w:rFonts w:hint="default" w:ascii="Calibri" w:hAnsi="Calibri" w:eastAsia="楷体_GB2312" w:cs="Calibri"/>
                <w:b/>
                <w:sz w:val="15"/>
                <w:szCs w:val="15"/>
              </w:rPr>
            </w:pPr>
            <w:r>
              <w:rPr>
                <w:rFonts w:hint="default" w:ascii="Calibri" w:hAnsi="Calibri" w:eastAsia="楷体_GB2312" w:cs="Calibri"/>
                <w:sz w:val="24"/>
              </w:rPr>
              <w:drawing>
                <wp:inline distT="0" distB="0" distL="114300" distR="114300">
                  <wp:extent cx="2679700" cy="2009775"/>
                  <wp:effectExtent l="0" t="0" r="0" b="9525"/>
                  <wp:docPr id="40"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3" descr="IMG_256"/>
                          <pic:cNvPicPr>
                            <a:picLocks noChangeAspect="1"/>
                          </pic:cNvPicPr>
                        </pic:nvPicPr>
                        <pic:blipFill>
                          <a:blip r:embed="rId43"/>
                          <a:stretch>
                            <a:fillRect/>
                          </a:stretch>
                        </pic:blipFill>
                        <pic:spPr>
                          <a:xfrm>
                            <a:off x="0" y="0"/>
                            <a:ext cx="2679700" cy="2009775"/>
                          </a:xfrm>
                          <a:prstGeom prst="rect">
                            <a:avLst/>
                          </a:prstGeom>
                          <a:noFill/>
                          <a:ln w="9525">
                            <a:noFill/>
                          </a:ln>
                        </pic:spPr>
                      </pic:pic>
                    </a:graphicData>
                  </a:graphic>
                </wp:inline>
              </w:drawing>
            </w:r>
          </w:p>
        </w:tc>
      </w:tr>
      <w:tr w14:paraId="6A6C2174">
        <w:tblPrEx>
          <w:tblCellMar>
            <w:top w:w="0" w:type="dxa"/>
            <w:left w:w="108" w:type="dxa"/>
            <w:bottom w:w="0" w:type="dxa"/>
            <w:right w:w="108" w:type="dxa"/>
          </w:tblCellMar>
        </w:tblPrEx>
        <w:tc>
          <w:tcPr>
            <w:tcW w:w="5103" w:type="dxa"/>
            <w:tcBorders>
              <w:top w:val="single" w:color="auto" w:sz="4" w:space="0"/>
              <w:left w:val="nil"/>
              <w:bottom w:val="nil"/>
              <w:right w:val="nil"/>
            </w:tcBorders>
            <w:tcMar>
              <w:top w:w="0" w:type="dxa"/>
              <w:left w:w="0" w:type="dxa"/>
              <w:bottom w:w="0" w:type="dxa"/>
              <w:right w:w="28" w:type="dxa"/>
            </w:tcMar>
            <w:vAlign w:val="center"/>
          </w:tcPr>
          <w:p w14:paraId="7AC4DAEB">
            <w:pPr>
              <w:overflowPunct w:val="0"/>
              <w:spacing w:before="48" w:beforeLines="20" w:after="48" w:afterLines="20"/>
              <w:textAlignment w:val="center"/>
              <w:rPr>
                <w:rFonts w:hint="default" w:ascii="Calibri" w:hAnsi="Calibri" w:eastAsia="楷体_GB2312" w:cs="Calibri"/>
                <w:sz w:val="10"/>
                <w:szCs w:val="10"/>
              </w:rPr>
            </w:pPr>
            <w:r>
              <w:rPr>
                <w:rFonts w:hint="default" w:ascii="Calibri" w:hAnsi="Calibri" w:eastAsia="楷体_GB2312" w:cs="Calibri"/>
                <w:i/>
                <w:iCs/>
                <w:lang w:val="zh-CN"/>
              </w:rPr>
              <w:t>资料来源：</w:t>
            </w:r>
            <w:r>
              <w:rPr>
                <w:rFonts w:hint="default" w:ascii="Calibri" w:hAnsi="Calibri" w:eastAsia="楷体_GB2312" w:cs="Calibri"/>
                <w:i/>
                <w:iCs/>
                <w:lang w:val="zh-CN" w:eastAsia="zh-CN"/>
              </w:rPr>
              <w:t>Poweroutage</w:t>
            </w:r>
            <w:r>
              <w:rPr>
                <w:rFonts w:hint="default" w:ascii="Calibri" w:hAnsi="Calibri" w:eastAsia="楷体_GB2312" w:cs="Calibri"/>
                <w:i/>
                <w:iCs/>
                <w:lang w:val="zh-CN"/>
              </w:rPr>
              <w:t>，HFI</w:t>
            </w:r>
          </w:p>
        </w:tc>
        <w:tc>
          <w:tcPr>
            <w:tcW w:w="238" w:type="dxa"/>
            <w:tcBorders>
              <w:top w:val="nil"/>
              <w:left w:val="nil"/>
              <w:bottom w:val="nil"/>
              <w:right w:val="nil"/>
            </w:tcBorders>
            <w:tcMar>
              <w:top w:w="0" w:type="dxa"/>
              <w:left w:w="0" w:type="dxa"/>
              <w:bottom w:w="0" w:type="dxa"/>
              <w:right w:w="28" w:type="dxa"/>
            </w:tcMar>
          </w:tcPr>
          <w:p w14:paraId="3C47F40B">
            <w:pPr>
              <w:overflowPunct w:val="0"/>
              <w:spacing w:before="48" w:beforeLines="20" w:after="48" w:afterLines="20"/>
              <w:rPr>
                <w:rFonts w:hint="default" w:ascii="Calibri" w:hAnsi="Calibri" w:eastAsia="楷体_GB2312" w:cs="Calibri"/>
                <w:sz w:val="15"/>
                <w:szCs w:val="15"/>
              </w:rPr>
            </w:pPr>
          </w:p>
        </w:tc>
        <w:tc>
          <w:tcPr>
            <w:tcW w:w="5149" w:type="dxa"/>
            <w:tcBorders>
              <w:top w:val="single" w:color="auto" w:sz="4" w:space="0"/>
              <w:left w:val="nil"/>
              <w:bottom w:val="nil"/>
              <w:right w:val="nil"/>
            </w:tcBorders>
            <w:tcMar>
              <w:top w:w="0" w:type="dxa"/>
              <w:left w:w="0" w:type="dxa"/>
              <w:bottom w:w="0" w:type="dxa"/>
              <w:right w:w="28" w:type="dxa"/>
            </w:tcMar>
          </w:tcPr>
          <w:p w14:paraId="2FBE2309">
            <w:pPr>
              <w:overflowPunct w:val="0"/>
              <w:spacing w:before="48" w:beforeLines="20" w:after="48" w:afterLines="20"/>
              <w:rPr>
                <w:rFonts w:hint="default" w:ascii="Calibri" w:hAnsi="Calibri" w:eastAsia="楷体_GB2312" w:cs="Calibri"/>
                <w:sz w:val="10"/>
                <w:szCs w:val="10"/>
              </w:rPr>
            </w:pPr>
            <w:r>
              <w:rPr>
                <w:rFonts w:hint="default" w:ascii="Calibri" w:hAnsi="Calibri" w:eastAsia="楷体_GB2312" w:cs="Calibri"/>
                <w:i/>
                <w:iCs/>
                <w:lang w:val="zh-CN"/>
              </w:rPr>
              <w:t>资料来源：</w:t>
            </w:r>
            <w:r>
              <w:rPr>
                <w:rFonts w:hint="default" w:ascii="Calibri" w:hAnsi="Calibri" w:eastAsia="楷体_GB2312" w:cs="Calibri"/>
                <w:i/>
                <w:iCs/>
                <w:lang w:val="zh-CN" w:eastAsia="zh-CN"/>
              </w:rPr>
              <w:t>USA Today</w:t>
            </w:r>
            <w:r>
              <w:rPr>
                <w:rFonts w:hint="default" w:ascii="Calibri" w:hAnsi="Calibri" w:eastAsia="楷体_GB2312" w:cs="Calibri"/>
                <w:i/>
                <w:iCs/>
                <w:lang w:val="zh-CN"/>
              </w:rPr>
              <w:t>，HFI</w:t>
            </w:r>
          </w:p>
        </w:tc>
      </w:tr>
    </w:tbl>
    <w:p w14:paraId="1A65921F">
      <w:pPr>
        <w:overflowPunct w:val="0"/>
        <w:jc w:val="both"/>
        <w:rPr>
          <w:rFonts w:hint="default" w:ascii="Calibri" w:hAnsi="Calibri" w:eastAsia="楷体_GB2312" w:cs="Calibri"/>
          <w:b/>
          <w:bCs/>
          <w:color w:val="1F497D" w:themeColor="text2"/>
          <w:sz w:val="24"/>
          <w:szCs w:val="24"/>
          <w:lang w:val="en-US" w:eastAsia="zh-CN"/>
          <w14:textFill>
            <w14:solidFill>
              <w14:schemeClr w14:val="tx2"/>
            </w14:solidFill>
          </w14:textFill>
        </w:rPr>
      </w:pPr>
      <w:r>
        <w:rPr>
          <w:rFonts w:hint="default" w:ascii="Calibri" w:hAnsi="Calibri" w:eastAsia="楷体_GB2312" w:cs="Calibri"/>
          <w:b/>
          <w:bCs/>
          <w:color w:val="1F497D" w:themeColor="text2"/>
          <w:sz w:val="24"/>
          <w:szCs w:val="24"/>
          <w:lang w:val="en-US" w:eastAsia="zh-CN"/>
          <w14:textFill>
            <w14:solidFill>
              <w14:schemeClr w14:val="tx2"/>
            </w14:solidFill>
          </w14:textFill>
        </w:rPr>
        <w:t xml:space="preserve">   </w:t>
      </w:r>
    </w:p>
    <w:p w14:paraId="3F49C83C">
      <w:pPr>
        <w:overflowPunct w:val="0"/>
        <w:jc w:val="both"/>
        <w:rPr>
          <w:rFonts w:hint="default" w:ascii="Calibri" w:hAnsi="Calibri" w:eastAsia="楷体_GB2312" w:cs="Calibri"/>
          <w:b/>
          <w:bCs/>
          <w:color w:val="1F497D" w:themeColor="text2"/>
          <w:sz w:val="24"/>
          <w:szCs w:val="24"/>
          <w:lang w:val="en-US" w:eastAsia="zh-CN"/>
          <w14:textFill>
            <w14:solidFill>
              <w14:schemeClr w14:val="tx2"/>
            </w14:solidFill>
          </w14:textFill>
        </w:rPr>
      </w:pPr>
    </w:p>
    <w:p w14:paraId="21FA0F62">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装机情况方面，</w:t>
      </w:r>
      <w:r>
        <w:rPr>
          <w:rFonts w:hint="default" w:ascii="Calibri" w:hAnsi="Calibri" w:eastAsia="楷体_GB2312" w:cs="Calibri"/>
          <w:sz w:val="20"/>
          <w:szCs w:val="20"/>
          <w:lang w:val="en-US" w:eastAsia="zh-CN"/>
        </w:rPr>
        <w:t>2025年11月，美国新增装机容量约3.4GW，以太阳能、风电等清洁能源为主；退役装机容量约0.2GW，主要为陆上风电。</w:t>
      </w:r>
    </w:p>
    <w:p w14:paraId="7074A219">
      <w:pPr>
        <w:overflowPunct w:val="0"/>
        <w:ind w:left="3200" w:leftChars="2000"/>
        <w:jc w:val="both"/>
        <w:rPr>
          <w:rFonts w:hint="default" w:ascii="Calibri" w:hAnsi="Calibri" w:eastAsia="楷体_GB2312" w:cs="Calibri"/>
          <w:sz w:val="20"/>
          <w:szCs w:val="20"/>
          <w:lang w:val="en-US" w:eastAsia="zh-CN"/>
        </w:rPr>
      </w:pPr>
    </w:p>
    <w:p w14:paraId="4DACEE52">
      <w:pPr>
        <w:overflowPunct w:val="0"/>
        <w:ind w:left="3200" w:leftChars="2000"/>
        <w:jc w:val="both"/>
        <w:rPr>
          <w:rFonts w:hint="default" w:ascii="Calibri" w:hAnsi="Calibri" w:eastAsia="楷体_GB2312" w:cs="Calibri"/>
          <w:sz w:val="20"/>
          <w:szCs w:val="20"/>
          <w:lang w:val="en-US" w:eastAsia="zh-CN"/>
        </w:rPr>
      </w:pPr>
    </w:p>
    <w:tbl>
      <w:tblPr>
        <w:tblStyle w:val="26"/>
        <w:tblW w:w="10490" w:type="dxa"/>
        <w:tblInd w:w="384" w:type="dxa"/>
        <w:tblLayout w:type="fixed"/>
        <w:tblCellMar>
          <w:top w:w="0" w:type="dxa"/>
          <w:left w:w="108" w:type="dxa"/>
          <w:bottom w:w="0" w:type="dxa"/>
          <w:right w:w="108" w:type="dxa"/>
        </w:tblCellMar>
      </w:tblPr>
      <w:tblGrid>
        <w:gridCol w:w="5103"/>
        <w:gridCol w:w="238"/>
        <w:gridCol w:w="5149"/>
      </w:tblGrid>
      <w:tr w14:paraId="386F8F4F">
        <w:tblPrEx>
          <w:tblCellMar>
            <w:top w:w="0" w:type="dxa"/>
            <w:left w:w="108" w:type="dxa"/>
            <w:bottom w:w="0" w:type="dxa"/>
            <w:right w:w="108" w:type="dxa"/>
          </w:tblCellMar>
        </w:tblPrEx>
        <w:trPr>
          <w:trHeight w:val="227" w:hRule="atLeast"/>
        </w:trPr>
        <w:tc>
          <w:tcPr>
            <w:tcW w:w="5103" w:type="dxa"/>
            <w:tcBorders>
              <w:top w:val="nil"/>
              <w:left w:val="nil"/>
              <w:bottom w:val="single" w:color="auto" w:sz="4" w:space="0"/>
              <w:right w:val="nil"/>
            </w:tcBorders>
            <w:tcMar>
              <w:top w:w="0" w:type="dxa"/>
              <w:left w:w="0" w:type="dxa"/>
              <w:bottom w:w="0" w:type="dxa"/>
              <w:right w:w="28" w:type="dxa"/>
            </w:tcMar>
          </w:tcPr>
          <w:p w14:paraId="20912B96">
            <w:pPr>
              <w:overflowPunct w:val="0"/>
              <w:rPr>
                <w:rFonts w:hint="default" w:ascii="Calibri" w:hAnsi="Calibri" w:eastAsia="楷体_GB2312" w:cs="Calibri"/>
                <w:b/>
                <w:sz w:val="18"/>
                <w:szCs w:val="18"/>
                <w:lang w:val="zh-CN"/>
              </w:rPr>
            </w:pPr>
            <w:r>
              <w:rPr>
                <w:rFonts w:hint="default" w:ascii="Calibri" w:hAnsi="Calibri" w:eastAsia="楷体_GB2312" w:cs="Calibri"/>
                <w:b/>
                <w:sz w:val="18"/>
                <w:szCs w:val="18"/>
                <w:lang w:val="zh-CN"/>
              </w:rPr>
              <w:t>图</w:t>
            </w:r>
            <w:r>
              <w:rPr>
                <w:rFonts w:hint="default" w:ascii="Calibri" w:hAnsi="Calibri" w:eastAsia="楷体_GB2312" w:cs="Calibri"/>
                <w:b/>
                <w:sz w:val="18"/>
                <w:szCs w:val="18"/>
              </w:rPr>
              <w:t>2</w:t>
            </w:r>
            <w:r>
              <w:rPr>
                <w:rFonts w:hint="eastAsia" w:eastAsia="楷体_GB2312" w:cs="Calibri"/>
                <w:b/>
                <w:sz w:val="18"/>
                <w:szCs w:val="18"/>
                <w:lang w:val="en-US" w:eastAsia="zh-CN"/>
              </w:rPr>
              <w:t>7</w:t>
            </w:r>
            <w:r>
              <w:rPr>
                <w:rFonts w:hint="default" w:ascii="Calibri" w:hAnsi="Calibri" w:eastAsia="楷体_GB2312" w:cs="Calibri"/>
                <w:b/>
                <w:sz w:val="18"/>
                <w:szCs w:val="18"/>
                <w:lang w:val="zh-CN"/>
              </w:rPr>
              <w:t>：2025年</w:t>
            </w:r>
            <w:r>
              <w:rPr>
                <w:rFonts w:hint="default" w:ascii="Calibri" w:hAnsi="Calibri" w:eastAsia="楷体_GB2312" w:cs="Calibri"/>
                <w:b/>
                <w:sz w:val="18"/>
                <w:szCs w:val="18"/>
                <w:lang w:val="en-US" w:eastAsia="zh-CN"/>
              </w:rPr>
              <w:t>12</w:t>
            </w:r>
            <w:r>
              <w:rPr>
                <w:rFonts w:hint="default" w:ascii="Calibri" w:hAnsi="Calibri" w:eastAsia="楷体_GB2312" w:cs="Calibri"/>
                <w:b/>
                <w:sz w:val="18"/>
                <w:szCs w:val="18"/>
                <w:lang w:val="zh-CN"/>
              </w:rPr>
              <w:t>月-2026年</w:t>
            </w:r>
            <w:r>
              <w:rPr>
                <w:rFonts w:hint="default" w:ascii="Calibri" w:hAnsi="Calibri" w:eastAsia="楷体_GB2312" w:cs="Calibri"/>
                <w:b/>
                <w:sz w:val="18"/>
                <w:szCs w:val="18"/>
                <w:lang w:val="en-US" w:eastAsia="zh-CN"/>
              </w:rPr>
              <w:t>11</w:t>
            </w:r>
            <w:r>
              <w:rPr>
                <w:rFonts w:hint="default" w:ascii="Calibri" w:hAnsi="Calibri" w:eastAsia="楷体_GB2312" w:cs="Calibri"/>
                <w:b/>
                <w:sz w:val="18"/>
                <w:szCs w:val="18"/>
                <w:lang w:val="zh-CN"/>
              </w:rPr>
              <w:t>月新增装机计划</w:t>
            </w:r>
          </w:p>
        </w:tc>
        <w:tc>
          <w:tcPr>
            <w:tcW w:w="238" w:type="dxa"/>
            <w:tcBorders>
              <w:top w:val="nil"/>
              <w:left w:val="nil"/>
              <w:bottom w:val="nil"/>
              <w:right w:val="nil"/>
            </w:tcBorders>
            <w:tcMar>
              <w:top w:w="0" w:type="dxa"/>
              <w:left w:w="0" w:type="dxa"/>
              <w:bottom w:w="0" w:type="dxa"/>
              <w:right w:w="28" w:type="dxa"/>
            </w:tcMar>
          </w:tcPr>
          <w:p w14:paraId="598F1A4E">
            <w:pPr>
              <w:overflowPunct w:val="0"/>
              <w:rPr>
                <w:rFonts w:hint="default" w:ascii="Calibri" w:hAnsi="Calibri" w:eastAsia="楷体_GB2312" w:cs="Calibri"/>
                <w:b/>
                <w:sz w:val="18"/>
                <w:szCs w:val="18"/>
                <w:lang w:val="zh-CN"/>
              </w:rPr>
            </w:pPr>
          </w:p>
        </w:tc>
        <w:tc>
          <w:tcPr>
            <w:tcW w:w="5149" w:type="dxa"/>
            <w:tcBorders>
              <w:top w:val="nil"/>
              <w:left w:val="nil"/>
              <w:bottom w:val="single" w:color="auto" w:sz="4" w:space="0"/>
              <w:right w:val="nil"/>
            </w:tcBorders>
            <w:tcMar>
              <w:top w:w="0" w:type="dxa"/>
              <w:left w:w="0" w:type="dxa"/>
              <w:bottom w:w="0" w:type="dxa"/>
              <w:right w:w="28" w:type="dxa"/>
            </w:tcMar>
          </w:tcPr>
          <w:p w14:paraId="45B7FA40">
            <w:pPr>
              <w:overflowPunct w:val="0"/>
              <w:rPr>
                <w:rFonts w:hint="default" w:ascii="Calibri" w:hAnsi="Calibri" w:eastAsia="楷体_GB2312" w:cs="Calibri"/>
                <w:b/>
                <w:sz w:val="18"/>
                <w:szCs w:val="18"/>
                <w:lang w:val="zh-CN"/>
              </w:rPr>
            </w:pPr>
            <w:r>
              <w:rPr>
                <w:rFonts w:hint="default" w:ascii="Calibri" w:hAnsi="Calibri" w:eastAsia="楷体_GB2312" w:cs="Calibri"/>
                <w:b/>
                <w:sz w:val="18"/>
                <w:szCs w:val="18"/>
                <w:lang w:val="zh-CN"/>
              </w:rPr>
              <w:t>图</w:t>
            </w:r>
            <w:r>
              <w:rPr>
                <w:rFonts w:hint="default" w:ascii="Calibri" w:hAnsi="Calibri" w:eastAsia="楷体_GB2312" w:cs="Calibri"/>
                <w:b/>
                <w:sz w:val="18"/>
                <w:szCs w:val="18"/>
              </w:rPr>
              <w:t>2</w:t>
            </w:r>
            <w:r>
              <w:rPr>
                <w:rFonts w:hint="eastAsia" w:eastAsia="楷体_GB2312" w:cs="Calibri"/>
                <w:b/>
                <w:sz w:val="18"/>
                <w:szCs w:val="18"/>
                <w:lang w:val="en-US" w:eastAsia="zh-CN"/>
              </w:rPr>
              <w:t>8</w:t>
            </w:r>
            <w:r>
              <w:rPr>
                <w:rFonts w:hint="default" w:ascii="Calibri" w:hAnsi="Calibri" w:eastAsia="楷体_GB2312" w:cs="Calibri"/>
                <w:b/>
                <w:sz w:val="18"/>
                <w:szCs w:val="18"/>
                <w:lang w:val="zh-CN"/>
              </w:rPr>
              <w:t>：2025年</w:t>
            </w:r>
            <w:r>
              <w:rPr>
                <w:rFonts w:hint="default" w:ascii="Calibri" w:hAnsi="Calibri" w:eastAsia="楷体_GB2312" w:cs="Calibri"/>
                <w:b/>
                <w:sz w:val="18"/>
                <w:szCs w:val="18"/>
                <w:lang w:val="en-US" w:eastAsia="zh-CN"/>
              </w:rPr>
              <w:t>11</w:t>
            </w:r>
            <w:r>
              <w:rPr>
                <w:rFonts w:hint="default" w:ascii="Calibri" w:hAnsi="Calibri" w:eastAsia="楷体_GB2312" w:cs="Calibri"/>
                <w:b/>
                <w:sz w:val="18"/>
                <w:szCs w:val="18"/>
                <w:lang w:val="zh-CN"/>
              </w:rPr>
              <w:t>月新增装机</w:t>
            </w:r>
          </w:p>
        </w:tc>
      </w:tr>
      <w:tr w14:paraId="0BA9EA13">
        <w:tblPrEx>
          <w:tblCellMar>
            <w:top w:w="0" w:type="dxa"/>
            <w:left w:w="108" w:type="dxa"/>
            <w:bottom w:w="0" w:type="dxa"/>
            <w:right w:w="108" w:type="dxa"/>
          </w:tblCellMar>
        </w:tblPrEx>
        <w:trPr>
          <w:trHeight w:val="3109" w:hRule="atLeast"/>
        </w:trPr>
        <w:tc>
          <w:tcPr>
            <w:tcW w:w="5103" w:type="dxa"/>
            <w:tcBorders>
              <w:top w:val="single" w:color="auto" w:sz="4" w:space="0"/>
              <w:left w:val="nil"/>
              <w:bottom w:val="single" w:color="auto" w:sz="4" w:space="0"/>
              <w:right w:val="nil"/>
            </w:tcBorders>
            <w:tcMar>
              <w:top w:w="0" w:type="dxa"/>
              <w:left w:w="0" w:type="dxa"/>
              <w:bottom w:w="0" w:type="dxa"/>
              <w:right w:w="28" w:type="dxa"/>
            </w:tcMar>
            <w:vAlign w:val="center"/>
          </w:tcPr>
          <w:p w14:paraId="604332AB">
            <w:pPr>
              <w:overflowPunct w:val="0"/>
              <w:spacing w:before="48" w:beforeLines="20" w:after="48" w:afterLines="20"/>
              <w:jc w:val="center"/>
              <w:textAlignment w:val="center"/>
              <w:rPr>
                <w:rFonts w:hint="default" w:ascii="Calibri" w:hAnsi="Calibri" w:eastAsia="楷体_GB2312" w:cs="Calibri"/>
                <w:b/>
                <w:color w:val="000000"/>
                <w:sz w:val="15"/>
                <w:szCs w:val="15"/>
              </w:rPr>
            </w:pPr>
            <w:r>
              <w:rPr>
                <w:rFonts w:hint="default" w:ascii="Calibri" w:hAnsi="Calibri" w:eastAsia="楷体_GB2312" w:cs="Calibri"/>
                <w:b/>
                <w:color w:val="000000"/>
                <w:sz w:val="15"/>
                <w:szCs w:val="15"/>
              </w:rPr>
              <w:drawing>
                <wp:inline distT="0" distB="0" distL="114300" distR="114300">
                  <wp:extent cx="2850515" cy="2375535"/>
                  <wp:effectExtent l="0" t="0" r="6985" b="12065"/>
                  <wp:docPr id="41" name="图片 41" descr="d7a01d47220725ce0bf166247bf26c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d7a01d47220725ce0bf166247bf26cd2"/>
                          <pic:cNvPicPr>
                            <a:picLocks noChangeAspect="1"/>
                          </pic:cNvPicPr>
                        </pic:nvPicPr>
                        <pic:blipFill>
                          <a:blip r:embed="rId44"/>
                          <a:stretch>
                            <a:fillRect/>
                          </a:stretch>
                        </pic:blipFill>
                        <pic:spPr>
                          <a:xfrm>
                            <a:off x="0" y="0"/>
                            <a:ext cx="2850515" cy="2375535"/>
                          </a:xfrm>
                          <a:prstGeom prst="rect">
                            <a:avLst/>
                          </a:prstGeom>
                        </pic:spPr>
                      </pic:pic>
                    </a:graphicData>
                  </a:graphic>
                </wp:inline>
              </w:drawing>
            </w:r>
          </w:p>
        </w:tc>
        <w:tc>
          <w:tcPr>
            <w:tcW w:w="238" w:type="dxa"/>
            <w:tcBorders>
              <w:top w:val="nil"/>
              <w:left w:val="nil"/>
              <w:bottom w:val="nil"/>
              <w:right w:val="nil"/>
            </w:tcBorders>
            <w:tcMar>
              <w:top w:w="0" w:type="dxa"/>
              <w:left w:w="0" w:type="dxa"/>
              <w:bottom w:w="0" w:type="dxa"/>
              <w:right w:w="28" w:type="dxa"/>
            </w:tcMar>
          </w:tcPr>
          <w:p w14:paraId="15A6C6B2">
            <w:pPr>
              <w:overflowPunct w:val="0"/>
              <w:spacing w:before="48" w:beforeLines="20" w:after="48" w:afterLines="20"/>
              <w:rPr>
                <w:rFonts w:hint="default" w:ascii="Calibri" w:hAnsi="Calibri" w:eastAsia="楷体_GB2312" w:cs="Calibri"/>
                <w:sz w:val="15"/>
                <w:szCs w:val="15"/>
              </w:rPr>
            </w:pPr>
          </w:p>
        </w:tc>
        <w:tc>
          <w:tcPr>
            <w:tcW w:w="5149" w:type="dxa"/>
            <w:tcBorders>
              <w:top w:val="single" w:color="auto" w:sz="4" w:space="0"/>
              <w:left w:val="nil"/>
              <w:bottom w:val="single" w:color="auto" w:sz="4" w:space="0"/>
              <w:right w:val="nil"/>
            </w:tcBorders>
            <w:tcMar>
              <w:top w:w="0" w:type="dxa"/>
              <w:left w:w="0" w:type="dxa"/>
              <w:bottom w:w="0" w:type="dxa"/>
              <w:right w:w="28" w:type="dxa"/>
            </w:tcMar>
          </w:tcPr>
          <w:p w14:paraId="0112C4C6">
            <w:pPr>
              <w:overflowPunct w:val="0"/>
              <w:spacing w:before="48" w:beforeLines="20" w:after="48" w:afterLines="20"/>
              <w:jc w:val="center"/>
              <w:rPr>
                <w:rFonts w:hint="default" w:ascii="Calibri" w:hAnsi="Calibri" w:eastAsia="楷体_GB2312" w:cs="Calibri"/>
                <w:b/>
                <w:sz w:val="15"/>
                <w:szCs w:val="15"/>
              </w:rPr>
            </w:pPr>
            <w:r>
              <w:rPr>
                <w:rFonts w:hint="default" w:ascii="Calibri" w:hAnsi="Calibri" w:eastAsia="楷体_GB2312" w:cs="Calibri"/>
                <w:b/>
                <w:sz w:val="15"/>
                <w:szCs w:val="15"/>
              </w:rPr>
              <w:drawing>
                <wp:inline distT="0" distB="0" distL="114300" distR="114300">
                  <wp:extent cx="2802255" cy="2335530"/>
                  <wp:effectExtent l="0" t="0" r="4445" b="1270"/>
                  <wp:docPr id="42" name="图片 42" descr="c598b1931ca94c00d1b86b4255613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c598b1931ca94c00d1b86b4255613325"/>
                          <pic:cNvPicPr>
                            <a:picLocks noChangeAspect="1"/>
                          </pic:cNvPicPr>
                        </pic:nvPicPr>
                        <pic:blipFill>
                          <a:blip r:embed="rId45"/>
                          <a:stretch>
                            <a:fillRect/>
                          </a:stretch>
                        </pic:blipFill>
                        <pic:spPr>
                          <a:xfrm>
                            <a:off x="0" y="0"/>
                            <a:ext cx="2802255" cy="2335530"/>
                          </a:xfrm>
                          <a:prstGeom prst="rect">
                            <a:avLst/>
                          </a:prstGeom>
                        </pic:spPr>
                      </pic:pic>
                    </a:graphicData>
                  </a:graphic>
                </wp:inline>
              </w:drawing>
            </w:r>
          </w:p>
        </w:tc>
      </w:tr>
      <w:tr w14:paraId="0805F60C">
        <w:tblPrEx>
          <w:tblCellMar>
            <w:top w:w="0" w:type="dxa"/>
            <w:left w:w="108" w:type="dxa"/>
            <w:bottom w:w="0" w:type="dxa"/>
            <w:right w:w="108" w:type="dxa"/>
          </w:tblCellMar>
        </w:tblPrEx>
        <w:tc>
          <w:tcPr>
            <w:tcW w:w="5103" w:type="dxa"/>
            <w:tcBorders>
              <w:top w:val="single" w:color="auto" w:sz="4" w:space="0"/>
              <w:left w:val="nil"/>
              <w:bottom w:val="nil"/>
              <w:right w:val="nil"/>
            </w:tcBorders>
            <w:tcMar>
              <w:top w:w="0" w:type="dxa"/>
              <w:left w:w="0" w:type="dxa"/>
              <w:bottom w:w="0" w:type="dxa"/>
              <w:right w:w="28" w:type="dxa"/>
            </w:tcMar>
            <w:vAlign w:val="center"/>
          </w:tcPr>
          <w:p w14:paraId="1CF18863">
            <w:pPr>
              <w:overflowPunct w:val="0"/>
              <w:spacing w:before="48" w:beforeLines="20" w:after="48" w:afterLines="20"/>
              <w:textAlignment w:val="center"/>
              <w:rPr>
                <w:rFonts w:hint="default" w:ascii="Calibri" w:hAnsi="Calibri" w:eastAsia="楷体_GB2312" w:cs="Calibri"/>
                <w:sz w:val="10"/>
                <w:szCs w:val="10"/>
              </w:rPr>
            </w:pPr>
            <w:r>
              <w:rPr>
                <w:rFonts w:hint="default" w:ascii="Calibri" w:hAnsi="Calibri" w:eastAsia="楷体_GB2312" w:cs="Calibri"/>
                <w:i/>
                <w:iCs/>
                <w:lang w:val="zh-CN"/>
              </w:rPr>
              <w:t>资料来源：EIA，HFI</w:t>
            </w:r>
          </w:p>
        </w:tc>
        <w:tc>
          <w:tcPr>
            <w:tcW w:w="238" w:type="dxa"/>
            <w:tcBorders>
              <w:top w:val="nil"/>
              <w:left w:val="nil"/>
              <w:bottom w:val="nil"/>
              <w:right w:val="nil"/>
            </w:tcBorders>
            <w:tcMar>
              <w:top w:w="0" w:type="dxa"/>
              <w:left w:w="0" w:type="dxa"/>
              <w:bottom w:w="0" w:type="dxa"/>
              <w:right w:w="28" w:type="dxa"/>
            </w:tcMar>
          </w:tcPr>
          <w:p w14:paraId="6A629E72">
            <w:pPr>
              <w:overflowPunct w:val="0"/>
              <w:spacing w:before="48" w:beforeLines="20" w:after="48" w:afterLines="20"/>
              <w:rPr>
                <w:rFonts w:hint="default" w:ascii="Calibri" w:hAnsi="Calibri" w:eastAsia="楷体_GB2312" w:cs="Calibri"/>
                <w:sz w:val="15"/>
                <w:szCs w:val="15"/>
              </w:rPr>
            </w:pPr>
          </w:p>
        </w:tc>
        <w:tc>
          <w:tcPr>
            <w:tcW w:w="5149" w:type="dxa"/>
            <w:tcBorders>
              <w:top w:val="single" w:color="auto" w:sz="4" w:space="0"/>
              <w:left w:val="nil"/>
              <w:bottom w:val="nil"/>
              <w:right w:val="nil"/>
            </w:tcBorders>
            <w:tcMar>
              <w:top w:w="0" w:type="dxa"/>
              <w:left w:w="0" w:type="dxa"/>
              <w:bottom w:w="0" w:type="dxa"/>
              <w:right w:w="28" w:type="dxa"/>
            </w:tcMar>
          </w:tcPr>
          <w:p w14:paraId="1F708B80">
            <w:pPr>
              <w:overflowPunct w:val="0"/>
              <w:spacing w:before="48" w:beforeLines="20" w:after="48" w:afterLines="20"/>
              <w:rPr>
                <w:rFonts w:hint="default" w:ascii="Calibri" w:hAnsi="Calibri" w:eastAsia="楷体_GB2312" w:cs="Calibri"/>
                <w:sz w:val="10"/>
                <w:szCs w:val="10"/>
              </w:rPr>
            </w:pPr>
            <w:r>
              <w:rPr>
                <w:rFonts w:hint="default" w:ascii="Calibri" w:hAnsi="Calibri" w:eastAsia="楷体_GB2312" w:cs="Calibri"/>
                <w:i/>
                <w:iCs/>
                <w:lang w:val="zh-CN"/>
              </w:rPr>
              <w:t>资料来源：EIA，HFI</w:t>
            </w:r>
          </w:p>
        </w:tc>
      </w:tr>
    </w:tbl>
    <w:p w14:paraId="0239DCC1">
      <w:pPr>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br w:type="page"/>
      </w:r>
    </w:p>
    <w:tbl>
      <w:tblPr>
        <w:tblStyle w:val="26"/>
        <w:tblpPr w:leftFromText="180" w:rightFromText="180" w:vertAnchor="text" w:horzAnchor="margin" w:tblpXSpec="right" w:tblpY="249"/>
        <w:tblW w:w="10490" w:type="dxa"/>
        <w:jc w:val="right"/>
        <w:tblLayout w:type="fixed"/>
        <w:tblCellMar>
          <w:top w:w="0" w:type="dxa"/>
          <w:left w:w="108" w:type="dxa"/>
          <w:bottom w:w="0" w:type="dxa"/>
          <w:right w:w="108" w:type="dxa"/>
        </w:tblCellMar>
      </w:tblPr>
      <w:tblGrid>
        <w:gridCol w:w="5103"/>
        <w:gridCol w:w="238"/>
        <w:gridCol w:w="5149"/>
      </w:tblGrid>
      <w:tr w14:paraId="57BC2E85">
        <w:tblPrEx>
          <w:tblCellMar>
            <w:top w:w="0" w:type="dxa"/>
            <w:left w:w="108" w:type="dxa"/>
            <w:bottom w:w="0" w:type="dxa"/>
            <w:right w:w="108" w:type="dxa"/>
          </w:tblCellMar>
        </w:tblPrEx>
        <w:trPr>
          <w:trHeight w:val="227" w:hRule="atLeast"/>
          <w:jc w:val="right"/>
        </w:trPr>
        <w:tc>
          <w:tcPr>
            <w:tcW w:w="5103" w:type="dxa"/>
            <w:tcBorders>
              <w:top w:val="nil"/>
              <w:left w:val="nil"/>
              <w:bottom w:val="single" w:color="auto" w:sz="4" w:space="0"/>
              <w:right w:val="nil"/>
            </w:tcBorders>
            <w:tcMar>
              <w:top w:w="0" w:type="dxa"/>
              <w:left w:w="0" w:type="dxa"/>
              <w:bottom w:w="0" w:type="dxa"/>
              <w:right w:w="28" w:type="dxa"/>
            </w:tcMar>
          </w:tcPr>
          <w:p w14:paraId="46508E64">
            <w:pPr>
              <w:overflowPunct w:val="0"/>
              <w:rPr>
                <w:rFonts w:hint="default" w:ascii="Calibri" w:hAnsi="Calibri" w:eastAsia="楷体_GB2312" w:cs="Calibri"/>
                <w:b/>
                <w:sz w:val="18"/>
                <w:szCs w:val="18"/>
                <w:lang w:val="zh-CN"/>
              </w:rPr>
            </w:pPr>
            <w:r>
              <w:rPr>
                <w:rFonts w:hint="default" w:ascii="Calibri" w:hAnsi="Calibri" w:eastAsia="楷体_GB2312" w:cs="Calibri"/>
                <w:b/>
                <w:sz w:val="18"/>
                <w:szCs w:val="18"/>
                <w:lang w:val="zh-CN"/>
              </w:rPr>
              <w:t>图</w:t>
            </w:r>
            <w:r>
              <w:rPr>
                <w:rFonts w:hint="default" w:ascii="Calibri" w:hAnsi="Calibri" w:eastAsia="楷体_GB2312" w:cs="Calibri"/>
                <w:b/>
                <w:sz w:val="18"/>
                <w:szCs w:val="18"/>
              </w:rPr>
              <w:t>2</w:t>
            </w:r>
            <w:r>
              <w:rPr>
                <w:rFonts w:hint="eastAsia" w:eastAsia="楷体_GB2312" w:cs="Calibri"/>
                <w:b/>
                <w:sz w:val="18"/>
                <w:szCs w:val="18"/>
                <w:lang w:val="en-US" w:eastAsia="zh-CN"/>
              </w:rPr>
              <w:t>9</w:t>
            </w:r>
            <w:r>
              <w:rPr>
                <w:rFonts w:hint="default" w:ascii="Calibri" w:hAnsi="Calibri" w:eastAsia="楷体_GB2312" w:cs="Calibri"/>
                <w:b/>
                <w:sz w:val="18"/>
                <w:szCs w:val="18"/>
                <w:lang w:val="zh-CN"/>
              </w:rPr>
              <w:t>：2025年</w:t>
            </w:r>
            <w:r>
              <w:rPr>
                <w:rFonts w:hint="default" w:ascii="Calibri" w:hAnsi="Calibri" w:eastAsia="楷体_GB2312" w:cs="Calibri"/>
                <w:b/>
                <w:sz w:val="18"/>
                <w:szCs w:val="18"/>
                <w:lang w:val="en-US" w:eastAsia="zh-CN"/>
              </w:rPr>
              <w:t>12</w:t>
            </w:r>
            <w:r>
              <w:rPr>
                <w:rFonts w:hint="default" w:ascii="Calibri" w:hAnsi="Calibri" w:eastAsia="楷体_GB2312" w:cs="Calibri"/>
                <w:b/>
                <w:sz w:val="18"/>
                <w:szCs w:val="18"/>
                <w:lang w:val="zh-CN"/>
              </w:rPr>
              <w:t>月-2026年</w:t>
            </w:r>
            <w:r>
              <w:rPr>
                <w:rFonts w:hint="default" w:ascii="Calibri" w:hAnsi="Calibri" w:eastAsia="楷体_GB2312" w:cs="Calibri"/>
                <w:b/>
                <w:sz w:val="18"/>
                <w:szCs w:val="18"/>
                <w:lang w:val="en-US" w:eastAsia="zh-CN"/>
              </w:rPr>
              <w:t>11</w:t>
            </w:r>
            <w:r>
              <w:rPr>
                <w:rFonts w:hint="default" w:ascii="Calibri" w:hAnsi="Calibri" w:eastAsia="楷体_GB2312" w:cs="Calibri"/>
                <w:b/>
                <w:sz w:val="18"/>
                <w:szCs w:val="18"/>
                <w:lang w:val="zh-CN"/>
              </w:rPr>
              <w:t>月退役装机计划</w:t>
            </w:r>
          </w:p>
        </w:tc>
        <w:tc>
          <w:tcPr>
            <w:tcW w:w="238" w:type="dxa"/>
            <w:tcBorders>
              <w:top w:val="nil"/>
              <w:left w:val="nil"/>
              <w:bottom w:val="nil"/>
              <w:right w:val="nil"/>
            </w:tcBorders>
            <w:tcMar>
              <w:top w:w="0" w:type="dxa"/>
              <w:left w:w="0" w:type="dxa"/>
              <w:bottom w:w="0" w:type="dxa"/>
              <w:right w:w="28" w:type="dxa"/>
            </w:tcMar>
          </w:tcPr>
          <w:p w14:paraId="293E8F1B">
            <w:pPr>
              <w:overflowPunct w:val="0"/>
              <w:rPr>
                <w:rFonts w:hint="default" w:ascii="Calibri" w:hAnsi="Calibri" w:eastAsia="楷体_GB2312" w:cs="Calibri"/>
                <w:b/>
                <w:sz w:val="18"/>
                <w:szCs w:val="18"/>
                <w:lang w:val="zh-CN"/>
              </w:rPr>
            </w:pPr>
          </w:p>
        </w:tc>
        <w:tc>
          <w:tcPr>
            <w:tcW w:w="5149" w:type="dxa"/>
            <w:tcBorders>
              <w:top w:val="nil"/>
              <w:left w:val="nil"/>
              <w:bottom w:val="single" w:color="auto" w:sz="4" w:space="0"/>
              <w:right w:val="nil"/>
            </w:tcBorders>
            <w:tcMar>
              <w:top w:w="0" w:type="dxa"/>
              <w:left w:w="0" w:type="dxa"/>
              <w:bottom w:w="0" w:type="dxa"/>
              <w:right w:w="28" w:type="dxa"/>
            </w:tcMar>
          </w:tcPr>
          <w:p w14:paraId="4DC0C575">
            <w:pPr>
              <w:overflowPunct w:val="0"/>
              <w:rPr>
                <w:rFonts w:hint="default" w:ascii="Calibri" w:hAnsi="Calibri" w:eastAsia="楷体_GB2312" w:cs="Calibri"/>
                <w:b/>
                <w:sz w:val="18"/>
                <w:szCs w:val="18"/>
                <w:lang w:val="zh-CN"/>
              </w:rPr>
            </w:pPr>
            <w:r>
              <w:rPr>
                <w:rFonts w:hint="default" w:ascii="Calibri" w:hAnsi="Calibri" w:eastAsia="楷体_GB2312" w:cs="Calibri"/>
                <w:b/>
                <w:sz w:val="18"/>
                <w:szCs w:val="18"/>
                <w:lang w:val="zh-CN"/>
              </w:rPr>
              <w:t>图</w:t>
            </w:r>
            <w:r>
              <w:rPr>
                <w:rFonts w:hint="eastAsia" w:eastAsia="楷体_GB2312" w:cs="Calibri"/>
                <w:b/>
                <w:sz w:val="18"/>
                <w:szCs w:val="18"/>
                <w:lang w:val="en-US" w:eastAsia="zh-CN"/>
              </w:rPr>
              <w:t>30</w:t>
            </w:r>
            <w:r>
              <w:rPr>
                <w:rFonts w:hint="default" w:ascii="Calibri" w:hAnsi="Calibri" w:eastAsia="楷体_GB2312" w:cs="Calibri"/>
                <w:b/>
                <w:sz w:val="18"/>
                <w:szCs w:val="18"/>
                <w:lang w:val="zh-CN"/>
              </w:rPr>
              <w:t>：2025年</w:t>
            </w:r>
            <w:r>
              <w:rPr>
                <w:rFonts w:hint="default" w:ascii="Calibri" w:hAnsi="Calibri" w:eastAsia="楷体_GB2312" w:cs="Calibri"/>
                <w:b/>
                <w:sz w:val="18"/>
                <w:szCs w:val="18"/>
                <w:lang w:val="en-US" w:eastAsia="zh-CN"/>
              </w:rPr>
              <w:t>11</w:t>
            </w:r>
            <w:r>
              <w:rPr>
                <w:rFonts w:hint="default" w:ascii="Calibri" w:hAnsi="Calibri" w:eastAsia="楷体_GB2312" w:cs="Calibri"/>
                <w:b/>
                <w:sz w:val="18"/>
                <w:szCs w:val="18"/>
                <w:lang w:val="zh-CN"/>
              </w:rPr>
              <w:t>月退役装机</w:t>
            </w:r>
          </w:p>
        </w:tc>
      </w:tr>
      <w:tr w14:paraId="3125B73D">
        <w:tblPrEx>
          <w:tblCellMar>
            <w:top w:w="0" w:type="dxa"/>
            <w:left w:w="108" w:type="dxa"/>
            <w:bottom w:w="0" w:type="dxa"/>
            <w:right w:w="108" w:type="dxa"/>
          </w:tblCellMar>
        </w:tblPrEx>
        <w:trPr>
          <w:trHeight w:val="3109" w:hRule="atLeast"/>
          <w:jc w:val="right"/>
        </w:trPr>
        <w:tc>
          <w:tcPr>
            <w:tcW w:w="5103" w:type="dxa"/>
            <w:tcBorders>
              <w:top w:val="single" w:color="auto" w:sz="4" w:space="0"/>
              <w:left w:val="nil"/>
              <w:bottom w:val="single" w:color="auto" w:sz="4" w:space="0"/>
              <w:right w:val="nil"/>
            </w:tcBorders>
            <w:tcMar>
              <w:top w:w="0" w:type="dxa"/>
              <w:left w:w="0" w:type="dxa"/>
              <w:bottom w:w="0" w:type="dxa"/>
              <w:right w:w="28" w:type="dxa"/>
            </w:tcMar>
            <w:vAlign w:val="center"/>
          </w:tcPr>
          <w:p w14:paraId="00DECDED">
            <w:pPr>
              <w:overflowPunct w:val="0"/>
              <w:spacing w:before="48" w:beforeLines="20" w:after="48" w:afterLines="20"/>
              <w:jc w:val="center"/>
              <w:textAlignment w:val="center"/>
              <w:rPr>
                <w:rFonts w:hint="default" w:ascii="Calibri" w:hAnsi="Calibri" w:eastAsia="楷体_GB2312" w:cs="Calibri"/>
                <w:b/>
                <w:color w:val="000000"/>
                <w:sz w:val="15"/>
                <w:szCs w:val="15"/>
              </w:rPr>
            </w:pPr>
            <w:r>
              <w:rPr>
                <w:rFonts w:hint="default" w:ascii="Calibri" w:hAnsi="Calibri" w:eastAsia="楷体_GB2312" w:cs="Calibri"/>
                <w:b/>
                <w:color w:val="000000"/>
                <w:sz w:val="15"/>
                <w:szCs w:val="15"/>
              </w:rPr>
              <w:drawing>
                <wp:inline distT="0" distB="0" distL="114300" distR="114300">
                  <wp:extent cx="2921000" cy="2434590"/>
                  <wp:effectExtent l="0" t="0" r="5080" b="3810"/>
                  <wp:docPr id="43" name="图片 43" descr="502882e8320e3d8856c371980377f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502882e8320e3d8856c371980377f602"/>
                          <pic:cNvPicPr>
                            <a:picLocks noChangeAspect="1"/>
                          </pic:cNvPicPr>
                        </pic:nvPicPr>
                        <pic:blipFill>
                          <a:blip r:embed="rId46"/>
                          <a:stretch>
                            <a:fillRect/>
                          </a:stretch>
                        </pic:blipFill>
                        <pic:spPr>
                          <a:xfrm>
                            <a:off x="0" y="0"/>
                            <a:ext cx="2921000" cy="2434590"/>
                          </a:xfrm>
                          <a:prstGeom prst="rect">
                            <a:avLst/>
                          </a:prstGeom>
                        </pic:spPr>
                      </pic:pic>
                    </a:graphicData>
                  </a:graphic>
                </wp:inline>
              </w:drawing>
            </w:r>
          </w:p>
        </w:tc>
        <w:tc>
          <w:tcPr>
            <w:tcW w:w="238" w:type="dxa"/>
            <w:tcBorders>
              <w:top w:val="nil"/>
              <w:left w:val="nil"/>
              <w:bottom w:val="nil"/>
              <w:right w:val="nil"/>
            </w:tcBorders>
            <w:tcMar>
              <w:top w:w="0" w:type="dxa"/>
              <w:left w:w="0" w:type="dxa"/>
              <w:bottom w:w="0" w:type="dxa"/>
              <w:right w:w="28" w:type="dxa"/>
            </w:tcMar>
          </w:tcPr>
          <w:p w14:paraId="3E161E4C">
            <w:pPr>
              <w:overflowPunct w:val="0"/>
              <w:spacing w:before="48" w:beforeLines="20" w:after="48" w:afterLines="20"/>
              <w:rPr>
                <w:rFonts w:hint="default" w:ascii="Calibri" w:hAnsi="Calibri" w:eastAsia="楷体_GB2312" w:cs="Calibri"/>
                <w:sz w:val="15"/>
                <w:szCs w:val="15"/>
              </w:rPr>
            </w:pPr>
          </w:p>
        </w:tc>
        <w:tc>
          <w:tcPr>
            <w:tcW w:w="5149" w:type="dxa"/>
            <w:tcBorders>
              <w:top w:val="single" w:color="auto" w:sz="4" w:space="0"/>
              <w:left w:val="nil"/>
              <w:bottom w:val="single" w:color="auto" w:sz="4" w:space="0"/>
              <w:right w:val="nil"/>
            </w:tcBorders>
            <w:tcMar>
              <w:top w:w="0" w:type="dxa"/>
              <w:left w:w="0" w:type="dxa"/>
              <w:bottom w:w="0" w:type="dxa"/>
              <w:right w:w="28" w:type="dxa"/>
            </w:tcMar>
          </w:tcPr>
          <w:p w14:paraId="3CB86406">
            <w:pPr>
              <w:overflowPunct w:val="0"/>
              <w:spacing w:before="48" w:beforeLines="20" w:after="48" w:afterLines="20"/>
              <w:jc w:val="center"/>
              <w:rPr>
                <w:rFonts w:hint="default" w:ascii="Calibri" w:hAnsi="Calibri" w:eastAsia="楷体_GB2312" w:cs="Calibri"/>
                <w:b/>
                <w:sz w:val="15"/>
                <w:szCs w:val="15"/>
              </w:rPr>
            </w:pPr>
            <w:r>
              <w:rPr>
                <w:rFonts w:hint="default" w:ascii="Calibri" w:hAnsi="Calibri" w:eastAsia="楷体_GB2312" w:cs="Calibri"/>
                <w:b/>
                <w:sz w:val="15"/>
                <w:szCs w:val="15"/>
              </w:rPr>
              <w:drawing>
                <wp:inline distT="0" distB="0" distL="114300" distR="114300">
                  <wp:extent cx="2865755" cy="2388235"/>
                  <wp:effectExtent l="0" t="0" r="14605" b="4445"/>
                  <wp:docPr id="44" name="图片 44" descr="e178506fbc6268571181f61e53469a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e178506fbc6268571181f61e53469a9b"/>
                          <pic:cNvPicPr>
                            <a:picLocks noChangeAspect="1"/>
                          </pic:cNvPicPr>
                        </pic:nvPicPr>
                        <pic:blipFill>
                          <a:blip r:embed="rId47"/>
                          <a:stretch>
                            <a:fillRect/>
                          </a:stretch>
                        </pic:blipFill>
                        <pic:spPr>
                          <a:xfrm>
                            <a:off x="0" y="0"/>
                            <a:ext cx="2865755" cy="2388235"/>
                          </a:xfrm>
                          <a:prstGeom prst="rect">
                            <a:avLst/>
                          </a:prstGeom>
                        </pic:spPr>
                      </pic:pic>
                    </a:graphicData>
                  </a:graphic>
                </wp:inline>
              </w:drawing>
            </w:r>
          </w:p>
        </w:tc>
      </w:tr>
      <w:tr w14:paraId="65E70059">
        <w:tblPrEx>
          <w:tblCellMar>
            <w:top w:w="0" w:type="dxa"/>
            <w:left w:w="108" w:type="dxa"/>
            <w:bottom w:w="0" w:type="dxa"/>
            <w:right w:w="108" w:type="dxa"/>
          </w:tblCellMar>
        </w:tblPrEx>
        <w:trPr>
          <w:jc w:val="right"/>
        </w:trPr>
        <w:tc>
          <w:tcPr>
            <w:tcW w:w="5103" w:type="dxa"/>
            <w:tcBorders>
              <w:top w:val="single" w:color="auto" w:sz="4" w:space="0"/>
              <w:left w:val="nil"/>
              <w:bottom w:val="nil"/>
              <w:right w:val="nil"/>
            </w:tcBorders>
            <w:tcMar>
              <w:top w:w="0" w:type="dxa"/>
              <w:left w:w="0" w:type="dxa"/>
              <w:bottom w:w="0" w:type="dxa"/>
              <w:right w:w="28" w:type="dxa"/>
            </w:tcMar>
            <w:vAlign w:val="center"/>
          </w:tcPr>
          <w:p w14:paraId="3A422A9F">
            <w:pPr>
              <w:overflowPunct w:val="0"/>
              <w:spacing w:before="48" w:beforeLines="20" w:after="48" w:afterLines="20"/>
              <w:textAlignment w:val="center"/>
              <w:rPr>
                <w:rFonts w:hint="default" w:ascii="Calibri" w:hAnsi="Calibri" w:eastAsia="楷体_GB2312" w:cs="Calibri"/>
                <w:sz w:val="10"/>
                <w:szCs w:val="10"/>
              </w:rPr>
            </w:pPr>
            <w:r>
              <w:rPr>
                <w:rFonts w:hint="default" w:ascii="Calibri" w:hAnsi="Calibri" w:eastAsia="楷体_GB2312" w:cs="Calibri"/>
                <w:i/>
                <w:iCs/>
                <w:lang w:val="zh-CN"/>
              </w:rPr>
              <w:t>资料来源：EIA，HFI</w:t>
            </w:r>
          </w:p>
        </w:tc>
        <w:tc>
          <w:tcPr>
            <w:tcW w:w="238" w:type="dxa"/>
            <w:tcBorders>
              <w:top w:val="nil"/>
              <w:left w:val="nil"/>
              <w:bottom w:val="nil"/>
              <w:right w:val="nil"/>
            </w:tcBorders>
            <w:tcMar>
              <w:top w:w="0" w:type="dxa"/>
              <w:left w:w="0" w:type="dxa"/>
              <w:bottom w:w="0" w:type="dxa"/>
              <w:right w:w="28" w:type="dxa"/>
            </w:tcMar>
          </w:tcPr>
          <w:p w14:paraId="6F336852">
            <w:pPr>
              <w:overflowPunct w:val="0"/>
              <w:spacing w:before="48" w:beforeLines="20" w:after="48" w:afterLines="20"/>
              <w:rPr>
                <w:rFonts w:hint="default" w:ascii="Calibri" w:hAnsi="Calibri" w:eastAsia="楷体_GB2312" w:cs="Calibri"/>
                <w:sz w:val="15"/>
                <w:szCs w:val="15"/>
              </w:rPr>
            </w:pPr>
          </w:p>
        </w:tc>
        <w:tc>
          <w:tcPr>
            <w:tcW w:w="5149" w:type="dxa"/>
            <w:tcBorders>
              <w:top w:val="single" w:color="auto" w:sz="4" w:space="0"/>
              <w:left w:val="nil"/>
              <w:bottom w:val="nil"/>
              <w:right w:val="nil"/>
            </w:tcBorders>
            <w:tcMar>
              <w:top w:w="0" w:type="dxa"/>
              <w:left w:w="0" w:type="dxa"/>
              <w:bottom w:w="0" w:type="dxa"/>
              <w:right w:w="28" w:type="dxa"/>
            </w:tcMar>
          </w:tcPr>
          <w:p w14:paraId="617ED936">
            <w:pPr>
              <w:overflowPunct w:val="0"/>
              <w:spacing w:before="48" w:beforeLines="20" w:after="48" w:afterLines="20"/>
              <w:rPr>
                <w:rFonts w:hint="default" w:ascii="Calibri" w:hAnsi="Calibri" w:eastAsia="楷体_GB2312" w:cs="Calibri"/>
                <w:sz w:val="10"/>
                <w:szCs w:val="10"/>
              </w:rPr>
            </w:pPr>
            <w:r>
              <w:rPr>
                <w:rFonts w:hint="default" w:ascii="Calibri" w:hAnsi="Calibri" w:eastAsia="楷体_GB2312" w:cs="Calibri"/>
                <w:i/>
                <w:iCs/>
                <w:lang w:val="zh-CN"/>
              </w:rPr>
              <w:t>资料来源：EIA，HFI</w:t>
            </w:r>
          </w:p>
        </w:tc>
      </w:tr>
    </w:tbl>
    <w:p w14:paraId="65DF538C">
      <w:pPr>
        <w:overflowPunct w:val="0"/>
        <w:ind w:left="3200" w:leftChars="2000"/>
        <w:jc w:val="both"/>
        <w:rPr>
          <w:rFonts w:hint="default" w:ascii="Calibri" w:hAnsi="Calibri" w:eastAsia="楷体_GB2312" w:cs="Calibri"/>
          <w:sz w:val="20"/>
          <w:szCs w:val="20"/>
          <w:lang w:val="en-US" w:eastAsia="zh-CN"/>
        </w:rPr>
      </w:pPr>
    </w:p>
    <w:p w14:paraId="6511EC48">
      <w:pPr>
        <w:overflowPunct w:val="0"/>
        <w:ind w:left="3200" w:leftChars="2000"/>
        <w:jc w:val="both"/>
        <w:rPr>
          <w:rFonts w:hint="default" w:ascii="Calibri" w:hAnsi="Calibri" w:eastAsia="楷体_GB2312" w:cs="Calibri"/>
          <w:sz w:val="20"/>
          <w:szCs w:val="20"/>
          <w:lang w:eastAsia="zh-CN"/>
        </w:rPr>
      </w:pPr>
    </w:p>
    <w:p w14:paraId="7F47B6AE">
      <w:pPr>
        <w:overflowPunct w:val="0"/>
        <w:ind w:left="3200" w:leftChars="2000"/>
        <w:jc w:val="both"/>
        <w:rPr>
          <w:rFonts w:hint="default" w:ascii="Calibri" w:hAnsi="Calibri" w:eastAsia="楷体_GB2312" w:cs="Calibri"/>
          <w:b/>
          <w:bCs/>
          <w:sz w:val="20"/>
          <w:szCs w:val="20"/>
          <w:lang w:val="en-US" w:eastAsia="zh-CN"/>
        </w:rPr>
      </w:pPr>
      <w:r>
        <w:rPr>
          <w:rFonts w:hint="default" w:ascii="Calibri" w:hAnsi="Calibri" w:eastAsia="楷体_GB2312" w:cs="Calibri"/>
          <w:b/>
          <w:bCs/>
          <w:sz w:val="20"/>
          <w:szCs w:val="20"/>
          <w:lang w:val="en-US" w:eastAsia="zh-CN"/>
        </w:rPr>
        <w:t>各电力市场动态方面:</w:t>
      </w:r>
    </w:p>
    <w:p w14:paraId="24A4D7B6">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CAISO：</w:t>
      </w:r>
      <w:r>
        <w:rPr>
          <w:rFonts w:hint="default" w:ascii="Calibri" w:hAnsi="Calibri" w:eastAsia="楷体_GB2312" w:cs="Calibri"/>
          <w:sz w:val="20"/>
          <w:szCs w:val="20"/>
          <w:lang w:val="en-US" w:eastAsia="zh-CN"/>
        </w:rPr>
        <w:t>2025年12月加州电网峰值负荷达31,455兆瓦（同比+2.9%），当月风光联合出力峰值11,078兆瓦；全年光伏最高21,774兆瓦，风光联合出力峰值25,744兆瓦，但风电峰值仍未突破2022年记录，凸显季节性风况制约。</w:t>
      </w:r>
    </w:p>
    <w:p w14:paraId="3397270E">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截至2026年1月，CAISO电池储能装机达15,809兆瓦（较2025年5月+22.6%），可再生能源总装机34,181兆瓦（太阳能占65.7%、风能24.4%），资源充足性净合格容量54,477兆瓦。</w:t>
      </w:r>
    </w:p>
    <w:p w14:paraId="38E04297">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12月净进口电量峰值19,592兆瓦（同比+26.3%），冬季电力输入依赖度上升；10月录得3小时净负荷爬坡率24,378兆瓦历史新高，西部能源不平衡市场（WEIM）成为应对灵活性缺口的关键工具——目前覆盖11州22个参与方，自2014年累计创造经济效益78.2亿美元。</w:t>
      </w:r>
    </w:p>
    <w:p w14:paraId="64DBAF07">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2025年三季度WEIM避免弃风弃光33,227兆瓦时，减排14,221吨CO₂；累计避免弃电266万兆瓦时，累计减排113.8万吨CO₂，支撑加州2045年碳中和目标。</w:t>
      </w:r>
    </w:p>
    <w:p w14:paraId="5D0E9D5B">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系统服务3,200万消费者（覆盖加州80%电力需求），2024年负荷服务总量241.8亿千瓦时，运营2.6万英里输电线路，协调333家市场参与者。</w:t>
      </w:r>
    </w:p>
    <w:tbl>
      <w:tblPr>
        <w:tblStyle w:val="26"/>
        <w:tblpPr w:leftFromText="180" w:rightFromText="180" w:vertAnchor="text" w:horzAnchor="margin" w:tblpXSpec="right" w:tblpY="252"/>
        <w:tblW w:w="10490" w:type="dxa"/>
        <w:tblInd w:w="0" w:type="dxa"/>
        <w:tblLayout w:type="fixed"/>
        <w:tblCellMar>
          <w:top w:w="0" w:type="dxa"/>
          <w:left w:w="108" w:type="dxa"/>
          <w:bottom w:w="0" w:type="dxa"/>
          <w:right w:w="108" w:type="dxa"/>
        </w:tblCellMar>
      </w:tblPr>
      <w:tblGrid>
        <w:gridCol w:w="5103"/>
        <w:gridCol w:w="238"/>
        <w:gridCol w:w="5149"/>
      </w:tblGrid>
      <w:tr w14:paraId="652D7740">
        <w:tblPrEx>
          <w:tblCellMar>
            <w:top w:w="0" w:type="dxa"/>
            <w:left w:w="108" w:type="dxa"/>
            <w:bottom w:w="0" w:type="dxa"/>
            <w:right w:w="108" w:type="dxa"/>
          </w:tblCellMar>
        </w:tblPrEx>
        <w:trPr>
          <w:trHeight w:val="227" w:hRule="atLeast"/>
        </w:trPr>
        <w:tc>
          <w:tcPr>
            <w:tcW w:w="5103" w:type="dxa"/>
            <w:tcBorders>
              <w:top w:val="nil"/>
              <w:left w:val="nil"/>
              <w:bottom w:val="single" w:color="auto" w:sz="4" w:space="0"/>
              <w:right w:val="nil"/>
            </w:tcBorders>
            <w:tcMar>
              <w:top w:w="0" w:type="dxa"/>
              <w:left w:w="0" w:type="dxa"/>
              <w:bottom w:w="0" w:type="dxa"/>
              <w:right w:w="28" w:type="dxa"/>
            </w:tcMar>
          </w:tcPr>
          <w:p w14:paraId="2F6125E5">
            <w:pPr>
              <w:overflowPunct w:val="0"/>
              <w:rPr>
                <w:rFonts w:hint="default" w:ascii="Calibri" w:hAnsi="Calibri" w:eastAsia="楷体_GB2312" w:cs="Calibri"/>
                <w:b/>
                <w:sz w:val="18"/>
                <w:szCs w:val="18"/>
                <w:lang w:val="zh-CN"/>
              </w:rPr>
            </w:pPr>
            <w:r>
              <w:rPr>
                <w:rFonts w:hint="default" w:ascii="Calibri" w:hAnsi="Calibri" w:eastAsia="楷体_GB2312" w:cs="Calibri"/>
                <w:b/>
                <w:sz w:val="18"/>
                <w:szCs w:val="18"/>
                <w:lang w:val="zh-CN"/>
              </w:rPr>
              <w:t>图</w:t>
            </w:r>
            <w:r>
              <w:rPr>
                <w:rFonts w:hint="default" w:ascii="Calibri" w:hAnsi="Calibri" w:eastAsia="楷体_GB2312" w:cs="Calibri"/>
                <w:b/>
                <w:sz w:val="18"/>
                <w:szCs w:val="18"/>
                <w:lang w:val="en-US" w:eastAsia="zh-CN"/>
              </w:rPr>
              <w:t>3</w:t>
            </w:r>
            <w:r>
              <w:rPr>
                <w:rFonts w:hint="eastAsia" w:eastAsia="楷体_GB2312" w:cs="Calibri"/>
                <w:b/>
                <w:sz w:val="18"/>
                <w:szCs w:val="18"/>
                <w:lang w:val="en-US" w:eastAsia="zh-CN"/>
              </w:rPr>
              <w:t>1</w:t>
            </w:r>
            <w:r>
              <w:rPr>
                <w:rFonts w:hint="default" w:ascii="Calibri" w:hAnsi="Calibri" w:eastAsia="楷体_GB2312" w:cs="Calibri"/>
                <w:b/>
                <w:sz w:val="18"/>
                <w:szCs w:val="18"/>
                <w:lang w:val="zh-CN"/>
              </w:rPr>
              <w:t>：2025年</w:t>
            </w:r>
            <w:r>
              <w:rPr>
                <w:rFonts w:hint="default" w:ascii="Calibri" w:hAnsi="Calibri" w:eastAsia="楷体_GB2312" w:cs="Calibri"/>
                <w:b/>
                <w:sz w:val="18"/>
                <w:szCs w:val="18"/>
                <w:lang w:val="en-US" w:eastAsia="zh-CN"/>
              </w:rPr>
              <w:t>12</w:t>
            </w:r>
            <w:r>
              <w:rPr>
                <w:rFonts w:hint="default" w:ascii="Calibri" w:hAnsi="Calibri" w:eastAsia="楷体_GB2312" w:cs="Calibri"/>
                <w:b/>
                <w:sz w:val="18"/>
                <w:szCs w:val="18"/>
                <w:lang w:val="zh-CN"/>
              </w:rPr>
              <w:t>月各项峰值数据</w:t>
            </w:r>
          </w:p>
        </w:tc>
        <w:tc>
          <w:tcPr>
            <w:tcW w:w="238" w:type="dxa"/>
            <w:tcBorders>
              <w:top w:val="nil"/>
              <w:left w:val="nil"/>
              <w:bottom w:val="nil"/>
              <w:right w:val="nil"/>
            </w:tcBorders>
            <w:tcMar>
              <w:top w:w="0" w:type="dxa"/>
              <w:left w:w="0" w:type="dxa"/>
              <w:bottom w:w="0" w:type="dxa"/>
              <w:right w:w="28" w:type="dxa"/>
            </w:tcMar>
          </w:tcPr>
          <w:p w14:paraId="3693CACA">
            <w:pPr>
              <w:overflowPunct w:val="0"/>
              <w:rPr>
                <w:rFonts w:hint="default" w:ascii="Calibri" w:hAnsi="Calibri" w:eastAsia="楷体_GB2312" w:cs="Calibri"/>
                <w:b/>
                <w:sz w:val="18"/>
                <w:szCs w:val="18"/>
                <w:lang w:val="zh-CN"/>
              </w:rPr>
            </w:pPr>
          </w:p>
        </w:tc>
        <w:tc>
          <w:tcPr>
            <w:tcW w:w="5149" w:type="dxa"/>
            <w:tcBorders>
              <w:top w:val="nil"/>
              <w:left w:val="nil"/>
              <w:bottom w:val="single" w:color="auto" w:sz="4" w:space="0"/>
              <w:right w:val="nil"/>
            </w:tcBorders>
            <w:tcMar>
              <w:top w:w="0" w:type="dxa"/>
              <w:left w:w="0" w:type="dxa"/>
              <w:bottom w:w="0" w:type="dxa"/>
              <w:right w:w="28" w:type="dxa"/>
            </w:tcMar>
          </w:tcPr>
          <w:p w14:paraId="26EE5633">
            <w:pPr>
              <w:overflowPunct w:val="0"/>
              <w:rPr>
                <w:rFonts w:hint="default" w:ascii="Calibri" w:hAnsi="Calibri" w:eastAsia="楷体_GB2312" w:cs="Calibri"/>
                <w:b/>
                <w:sz w:val="18"/>
                <w:szCs w:val="18"/>
                <w:lang w:val="zh-CN"/>
              </w:rPr>
            </w:pPr>
            <w:r>
              <w:rPr>
                <w:rFonts w:hint="default" w:ascii="Calibri" w:hAnsi="Calibri" w:eastAsia="楷体_GB2312" w:cs="Calibri"/>
                <w:b/>
                <w:sz w:val="18"/>
                <w:szCs w:val="18"/>
                <w:lang w:val="zh-CN"/>
              </w:rPr>
              <w:t>图</w:t>
            </w:r>
            <w:r>
              <w:rPr>
                <w:rFonts w:hint="default" w:ascii="Calibri" w:hAnsi="Calibri" w:eastAsia="楷体_GB2312" w:cs="Calibri"/>
                <w:b/>
                <w:sz w:val="18"/>
                <w:szCs w:val="18"/>
                <w:lang w:val="en-US" w:eastAsia="zh-CN"/>
              </w:rPr>
              <w:t>3</w:t>
            </w:r>
            <w:r>
              <w:rPr>
                <w:rFonts w:hint="eastAsia" w:eastAsia="楷体_GB2312" w:cs="Calibri"/>
                <w:b/>
                <w:sz w:val="18"/>
                <w:szCs w:val="18"/>
                <w:lang w:val="en-US" w:eastAsia="zh-CN"/>
              </w:rPr>
              <w:t>2</w:t>
            </w:r>
            <w:r>
              <w:rPr>
                <w:rFonts w:hint="default" w:ascii="Calibri" w:hAnsi="Calibri" w:eastAsia="楷体_GB2312" w:cs="Calibri"/>
                <w:b/>
                <w:sz w:val="18"/>
                <w:szCs w:val="18"/>
                <w:lang w:val="zh-CN"/>
              </w:rPr>
              <w:t>：历史统计与纪录（截至202</w:t>
            </w:r>
            <w:r>
              <w:rPr>
                <w:rFonts w:hint="default" w:ascii="Calibri" w:hAnsi="Calibri" w:eastAsia="楷体_GB2312" w:cs="Calibri"/>
                <w:b/>
                <w:sz w:val="18"/>
                <w:szCs w:val="18"/>
                <w:lang w:val="en-US" w:eastAsia="zh-CN"/>
              </w:rPr>
              <w:t>6</w:t>
            </w:r>
            <w:r>
              <w:rPr>
                <w:rFonts w:hint="default" w:ascii="Calibri" w:hAnsi="Calibri" w:eastAsia="楷体_GB2312" w:cs="Calibri"/>
                <w:b/>
                <w:sz w:val="18"/>
                <w:szCs w:val="18"/>
                <w:lang w:val="zh-CN"/>
              </w:rPr>
              <w:t>年</w:t>
            </w:r>
            <w:r>
              <w:rPr>
                <w:rFonts w:hint="default" w:ascii="Calibri" w:hAnsi="Calibri" w:eastAsia="楷体_GB2312" w:cs="Calibri"/>
                <w:b/>
                <w:sz w:val="18"/>
                <w:szCs w:val="18"/>
                <w:lang w:val="en-US" w:eastAsia="zh-CN"/>
              </w:rPr>
              <w:t>1</w:t>
            </w:r>
            <w:r>
              <w:rPr>
                <w:rFonts w:hint="default" w:ascii="Calibri" w:hAnsi="Calibri" w:eastAsia="楷体_GB2312" w:cs="Calibri"/>
                <w:b/>
                <w:sz w:val="18"/>
                <w:szCs w:val="18"/>
                <w:lang w:val="zh-CN"/>
              </w:rPr>
              <w:t>月</w:t>
            </w:r>
            <w:r>
              <w:rPr>
                <w:rFonts w:hint="default" w:ascii="Calibri" w:hAnsi="Calibri" w:eastAsia="楷体_GB2312" w:cs="Calibri"/>
                <w:b/>
                <w:sz w:val="18"/>
                <w:szCs w:val="18"/>
                <w:lang w:val="en-US" w:eastAsia="zh-CN"/>
              </w:rPr>
              <w:t>15</w:t>
            </w:r>
            <w:r>
              <w:rPr>
                <w:rFonts w:hint="default" w:ascii="Calibri" w:hAnsi="Calibri" w:eastAsia="楷体_GB2312" w:cs="Calibri"/>
                <w:b/>
                <w:sz w:val="18"/>
                <w:szCs w:val="18"/>
                <w:lang w:val="zh-CN"/>
              </w:rPr>
              <w:t>日）</w:t>
            </w:r>
          </w:p>
        </w:tc>
      </w:tr>
      <w:tr w14:paraId="5ADB5A9A">
        <w:tblPrEx>
          <w:tblCellMar>
            <w:top w:w="0" w:type="dxa"/>
            <w:left w:w="108" w:type="dxa"/>
            <w:bottom w:w="0" w:type="dxa"/>
            <w:right w:w="108" w:type="dxa"/>
          </w:tblCellMar>
        </w:tblPrEx>
        <w:trPr>
          <w:trHeight w:val="2081" w:hRule="atLeast"/>
        </w:trPr>
        <w:tc>
          <w:tcPr>
            <w:tcW w:w="5103" w:type="dxa"/>
            <w:tcBorders>
              <w:top w:val="single" w:color="auto" w:sz="4" w:space="0"/>
              <w:left w:val="nil"/>
              <w:bottom w:val="single" w:color="auto" w:sz="4" w:space="0"/>
              <w:right w:val="nil"/>
            </w:tcBorders>
            <w:tcMar>
              <w:top w:w="0" w:type="dxa"/>
              <w:left w:w="0" w:type="dxa"/>
              <w:bottom w:w="0" w:type="dxa"/>
              <w:right w:w="28" w:type="dxa"/>
            </w:tcMar>
            <w:vAlign w:val="center"/>
          </w:tcPr>
          <w:p w14:paraId="5FA9C68C">
            <w:pPr>
              <w:overflowPunct w:val="0"/>
              <w:spacing w:before="48" w:beforeLines="20" w:after="48" w:afterLines="20"/>
              <w:jc w:val="center"/>
              <w:textAlignment w:val="center"/>
              <w:rPr>
                <w:rFonts w:hint="default" w:ascii="Calibri" w:hAnsi="Calibri" w:eastAsia="楷体_GB2312" w:cs="Calibri"/>
                <w:b/>
                <w:color w:val="000000"/>
                <w:sz w:val="15"/>
                <w:szCs w:val="15"/>
              </w:rPr>
            </w:pPr>
            <w:r>
              <w:rPr>
                <w:rFonts w:hint="default" w:ascii="Calibri" w:hAnsi="Calibri" w:eastAsia="楷体_GB2312" w:cs="Calibri"/>
                <w:b/>
                <w:color w:val="000000"/>
                <w:sz w:val="15"/>
                <w:szCs w:val="15"/>
              </w:rPr>
              <w:drawing>
                <wp:inline distT="0" distB="0" distL="114300" distR="114300">
                  <wp:extent cx="2520315" cy="1492250"/>
                  <wp:effectExtent l="0" t="0" r="6985" b="6350"/>
                  <wp:docPr id="27" name="图片 27" descr="a28b4ac30890f0f7c67fc3202525fa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a28b4ac30890f0f7c67fc3202525faad"/>
                          <pic:cNvPicPr>
                            <a:picLocks noChangeAspect="1"/>
                          </pic:cNvPicPr>
                        </pic:nvPicPr>
                        <pic:blipFill>
                          <a:blip r:embed="rId48"/>
                          <a:stretch>
                            <a:fillRect/>
                          </a:stretch>
                        </pic:blipFill>
                        <pic:spPr>
                          <a:xfrm>
                            <a:off x="0" y="0"/>
                            <a:ext cx="2520315" cy="1492250"/>
                          </a:xfrm>
                          <a:prstGeom prst="rect">
                            <a:avLst/>
                          </a:prstGeom>
                        </pic:spPr>
                      </pic:pic>
                    </a:graphicData>
                  </a:graphic>
                </wp:inline>
              </w:drawing>
            </w:r>
          </w:p>
        </w:tc>
        <w:tc>
          <w:tcPr>
            <w:tcW w:w="238" w:type="dxa"/>
            <w:tcBorders>
              <w:top w:val="nil"/>
              <w:left w:val="nil"/>
              <w:bottom w:val="nil"/>
              <w:right w:val="nil"/>
            </w:tcBorders>
            <w:tcMar>
              <w:top w:w="0" w:type="dxa"/>
              <w:left w:w="0" w:type="dxa"/>
              <w:bottom w:w="0" w:type="dxa"/>
              <w:right w:w="28" w:type="dxa"/>
            </w:tcMar>
          </w:tcPr>
          <w:p w14:paraId="2BB542D3">
            <w:pPr>
              <w:overflowPunct w:val="0"/>
              <w:spacing w:before="48" w:beforeLines="20" w:after="48" w:afterLines="20"/>
              <w:rPr>
                <w:rFonts w:hint="default" w:ascii="Calibri" w:hAnsi="Calibri" w:eastAsia="楷体_GB2312" w:cs="Calibri"/>
                <w:sz w:val="15"/>
                <w:szCs w:val="15"/>
              </w:rPr>
            </w:pPr>
          </w:p>
        </w:tc>
        <w:tc>
          <w:tcPr>
            <w:tcW w:w="5149" w:type="dxa"/>
            <w:tcBorders>
              <w:top w:val="single" w:color="auto" w:sz="4" w:space="0"/>
              <w:left w:val="nil"/>
              <w:bottom w:val="single" w:color="auto" w:sz="4" w:space="0"/>
              <w:right w:val="nil"/>
            </w:tcBorders>
            <w:tcMar>
              <w:top w:w="0" w:type="dxa"/>
              <w:left w:w="0" w:type="dxa"/>
              <w:bottom w:w="0" w:type="dxa"/>
              <w:right w:w="28" w:type="dxa"/>
            </w:tcMar>
          </w:tcPr>
          <w:p w14:paraId="035CEB5F">
            <w:pPr>
              <w:overflowPunct w:val="0"/>
              <w:spacing w:before="48" w:beforeLines="20" w:after="48" w:afterLines="20"/>
              <w:jc w:val="center"/>
              <w:rPr>
                <w:rFonts w:hint="default" w:ascii="Calibri" w:hAnsi="Calibri" w:eastAsia="楷体_GB2312" w:cs="Calibri"/>
                <w:b/>
                <w:sz w:val="15"/>
                <w:szCs w:val="15"/>
              </w:rPr>
            </w:pPr>
            <w:r>
              <w:rPr>
                <w:rFonts w:hint="default" w:ascii="Calibri" w:hAnsi="Calibri" w:eastAsia="楷体_GB2312" w:cs="Calibri"/>
                <w:b/>
                <w:sz w:val="15"/>
                <w:szCs w:val="15"/>
              </w:rPr>
              <w:drawing>
                <wp:inline distT="0" distB="0" distL="114300" distR="114300">
                  <wp:extent cx="3192780" cy="1359535"/>
                  <wp:effectExtent l="0" t="0" r="7620" b="12065"/>
                  <wp:docPr id="28" name="图片 28" descr="ee2719b50fa3ab4142dedba4ca5b21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ee2719b50fa3ab4142dedba4ca5b21a2"/>
                          <pic:cNvPicPr>
                            <a:picLocks noChangeAspect="1"/>
                          </pic:cNvPicPr>
                        </pic:nvPicPr>
                        <pic:blipFill>
                          <a:blip r:embed="rId49"/>
                          <a:stretch>
                            <a:fillRect/>
                          </a:stretch>
                        </pic:blipFill>
                        <pic:spPr>
                          <a:xfrm>
                            <a:off x="0" y="0"/>
                            <a:ext cx="3192780" cy="1359535"/>
                          </a:xfrm>
                          <a:prstGeom prst="rect">
                            <a:avLst/>
                          </a:prstGeom>
                        </pic:spPr>
                      </pic:pic>
                    </a:graphicData>
                  </a:graphic>
                </wp:inline>
              </w:drawing>
            </w:r>
          </w:p>
        </w:tc>
      </w:tr>
      <w:tr w14:paraId="61FBCC59">
        <w:tblPrEx>
          <w:tblCellMar>
            <w:top w:w="0" w:type="dxa"/>
            <w:left w:w="108" w:type="dxa"/>
            <w:bottom w:w="0" w:type="dxa"/>
            <w:right w:w="108" w:type="dxa"/>
          </w:tblCellMar>
        </w:tblPrEx>
        <w:trPr>
          <w:trHeight w:val="37" w:hRule="atLeast"/>
        </w:trPr>
        <w:tc>
          <w:tcPr>
            <w:tcW w:w="5103" w:type="dxa"/>
            <w:tcBorders>
              <w:top w:val="single" w:color="auto" w:sz="4" w:space="0"/>
              <w:left w:val="nil"/>
              <w:bottom w:val="nil"/>
              <w:right w:val="nil"/>
            </w:tcBorders>
            <w:tcMar>
              <w:top w:w="0" w:type="dxa"/>
              <w:left w:w="0" w:type="dxa"/>
              <w:bottom w:w="0" w:type="dxa"/>
              <w:right w:w="28" w:type="dxa"/>
            </w:tcMar>
            <w:vAlign w:val="center"/>
          </w:tcPr>
          <w:p w14:paraId="11D7CA56">
            <w:pPr>
              <w:overflowPunct w:val="0"/>
              <w:spacing w:before="48" w:beforeLines="20" w:after="48" w:afterLines="20"/>
              <w:textAlignment w:val="center"/>
              <w:rPr>
                <w:rFonts w:hint="default" w:ascii="Calibri" w:hAnsi="Calibri" w:eastAsia="楷体_GB2312" w:cs="Calibri"/>
                <w:sz w:val="10"/>
                <w:szCs w:val="10"/>
              </w:rPr>
            </w:pPr>
            <w:r>
              <w:rPr>
                <w:rFonts w:hint="default" w:ascii="Calibri" w:hAnsi="Calibri" w:eastAsia="楷体_GB2312" w:cs="Calibri"/>
                <w:i/>
                <w:iCs/>
                <w:lang w:val="zh-CN"/>
              </w:rPr>
              <w:t>资料来源：PJM，HFI</w:t>
            </w:r>
          </w:p>
        </w:tc>
        <w:tc>
          <w:tcPr>
            <w:tcW w:w="238" w:type="dxa"/>
            <w:tcBorders>
              <w:top w:val="nil"/>
              <w:left w:val="nil"/>
              <w:bottom w:val="nil"/>
              <w:right w:val="nil"/>
            </w:tcBorders>
            <w:tcMar>
              <w:top w:w="0" w:type="dxa"/>
              <w:left w:w="0" w:type="dxa"/>
              <w:bottom w:w="0" w:type="dxa"/>
              <w:right w:w="28" w:type="dxa"/>
            </w:tcMar>
          </w:tcPr>
          <w:p w14:paraId="3E763D37">
            <w:pPr>
              <w:overflowPunct w:val="0"/>
              <w:spacing w:before="48" w:beforeLines="20" w:after="48" w:afterLines="20"/>
              <w:rPr>
                <w:rFonts w:hint="default" w:ascii="Calibri" w:hAnsi="Calibri" w:eastAsia="楷体_GB2312" w:cs="Calibri"/>
                <w:sz w:val="15"/>
                <w:szCs w:val="15"/>
              </w:rPr>
            </w:pPr>
          </w:p>
        </w:tc>
        <w:tc>
          <w:tcPr>
            <w:tcW w:w="5149" w:type="dxa"/>
            <w:tcBorders>
              <w:top w:val="single" w:color="auto" w:sz="4" w:space="0"/>
              <w:left w:val="nil"/>
              <w:bottom w:val="nil"/>
              <w:right w:val="nil"/>
            </w:tcBorders>
            <w:tcMar>
              <w:top w:w="0" w:type="dxa"/>
              <w:left w:w="0" w:type="dxa"/>
              <w:bottom w:w="0" w:type="dxa"/>
              <w:right w:w="28" w:type="dxa"/>
            </w:tcMar>
          </w:tcPr>
          <w:p w14:paraId="2237E107">
            <w:pPr>
              <w:overflowPunct w:val="0"/>
              <w:spacing w:before="48" w:beforeLines="20" w:after="48" w:afterLines="20"/>
              <w:rPr>
                <w:rFonts w:hint="default" w:ascii="Calibri" w:hAnsi="Calibri" w:eastAsia="楷体_GB2312" w:cs="Calibri"/>
                <w:sz w:val="10"/>
                <w:szCs w:val="10"/>
              </w:rPr>
            </w:pPr>
            <w:r>
              <w:rPr>
                <w:rFonts w:hint="default" w:ascii="Calibri" w:hAnsi="Calibri" w:eastAsia="楷体_GB2312" w:cs="Calibri"/>
                <w:i/>
                <w:iCs/>
                <w:lang w:val="zh-CN"/>
              </w:rPr>
              <w:t>资料来源：PJM，HFI</w:t>
            </w:r>
          </w:p>
        </w:tc>
      </w:tr>
    </w:tbl>
    <w:p w14:paraId="459D4C6E">
      <w:pPr>
        <w:overflowPunct w:val="0"/>
        <w:ind w:left="3200" w:leftChars="2000"/>
        <w:jc w:val="both"/>
        <w:rPr>
          <w:rFonts w:hint="default" w:ascii="Calibri" w:hAnsi="Calibri" w:eastAsia="楷体_GB2312" w:cs="Calibri"/>
          <w:sz w:val="20"/>
          <w:szCs w:val="20"/>
          <w:lang w:val="en-US" w:eastAsia="zh-CN"/>
        </w:rPr>
      </w:pPr>
    </w:p>
    <w:p w14:paraId="11BEA2AF">
      <w:pPr>
        <w:overflowPunct w:val="0"/>
        <w:ind w:left="3200" w:leftChars="2000"/>
        <w:jc w:val="both"/>
        <w:rPr>
          <w:rFonts w:hint="default" w:ascii="Calibri" w:hAnsi="Calibri" w:eastAsia="楷体_GB2312" w:cs="Calibri"/>
          <w:sz w:val="20"/>
          <w:szCs w:val="20"/>
          <w:lang w:eastAsia="zh-CN"/>
        </w:rPr>
      </w:pPr>
    </w:p>
    <w:p w14:paraId="4CA7B04B">
      <w:pPr>
        <w:overflowPunct w:val="0"/>
        <w:ind w:left="3200" w:leftChars="2000"/>
        <w:jc w:val="both"/>
        <w:rPr>
          <w:rFonts w:hint="default" w:ascii="Calibri" w:hAnsi="Calibri" w:eastAsia="楷体_GB2312" w:cs="Calibri"/>
          <w:b/>
          <w:bCs/>
          <w:color w:val="1F497D" w:themeColor="text2"/>
          <w:sz w:val="24"/>
          <w:szCs w:val="24"/>
          <w:lang w:eastAsia="zh-CN"/>
          <w14:textFill>
            <w14:solidFill>
              <w14:schemeClr w14:val="tx2"/>
            </w14:solidFill>
          </w14:textFill>
        </w:rPr>
      </w:pPr>
    </w:p>
    <w:p w14:paraId="691685B0">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PJM：</w:t>
      </w:r>
      <w:r>
        <w:rPr>
          <w:rFonts w:hint="default" w:ascii="Calibri" w:hAnsi="Calibri" w:eastAsia="楷体_GB2312" w:cs="Calibri"/>
          <w:sz w:val="20"/>
          <w:szCs w:val="20"/>
          <w:lang w:val="en-US" w:eastAsia="zh-CN"/>
        </w:rPr>
        <w:t>1月26日，PJM发布最大发电警报、负荷管理警报及NERC EEA-1能源紧急状态一级，并于2月5日发布2月7-9日寒冷天气预警。</w:t>
      </w:r>
    </w:p>
    <w:p w14:paraId="39786EC9">
      <w:pPr>
        <w:overflowPunct w:val="0"/>
        <w:ind w:left="3200" w:leftChars="2000"/>
        <w:jc w:val="both"/>
        <w:rPr>
          <w:rFonts w:hint="default" w:ascii="Calibri" w:hAnsi="Calibri" w:eastAsia="楷体_GB2312" w:cs="Calibri"/>
          <w:sz w:val="20"/>
          <w:szCs w:val="20"/>
          <w:lang w:val="en-US" w:eastAsia="zh-CN"/>
        </w:rPr>
      </w:pPr>
    </w:p>
    <w:p w14:paraId="59EBA3AD">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1月26日10:15启动EEA-1，动用全部可用发电资源。1月27日预测晚间峰值147,200兆瓦（预计刷新冬季纪录），实际于1月29日、30日分别达到139,046兆瓦和138,479兆瓦，均位列历史冬季峰值前十，接近1月22日历史最高143,700兆瓦。PJM要求推迟设备维护，协调邻区资源，并于1月27日起启动预紧急负荷管理，激活需求响应，28日扩展至全区域（覆盖13州及华盛顿特区）。</w:t>
      </w:r>
    </w:p>
    <w:p w14:paraId="72008307">
      <w:pPr>
        <w:overflowPunct w:val="0"/>
        <w:ind w:left="3200" w:leftChars="2000"/>
        <w:jc w:val="both"/>
        <w:rPr>
          <w:rFonts w:hint="default" w:ascii="Calibri" w:hAnsi="Calibri" w:eastAsia="楷体_GB2312" w:cs="Calibri"/>
          <w:sz w:val="20"/>
          <w:szCs w:val="20"/>
          <w:lang w:val="en-US" w:eastAsia="zh-CN"/>
        </w:rPr>
      </w:pPr>
    </w:p>
    <w:p w14:paraId="64FF1EF4">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1月25日，美国能源部授权PJM不受环境许可限制满发运行，有效期至1月31日。2月7-9日寒冷天气预警旨在提前调度资源、强化防冻，应对供暖与用电需求激增。</w:t>
      </w:r>
    </w:p>
    <w:p w14:paraId="0A3C23D4">
      <w:pPr>
        <w:overflowPunct w:val="0"/>
        <w:ind w:left="3200" w:leftChars="2000"/>
        <w:jc w:val="both"/>
        <w:rPr>
          <w:rFonts w:hint="default" w:ascii="Calibri" w:hAnsi="Calibri" w:eastAsia="楷体_GB2312" w:cs="Calibri"/>
          <w:sz w:val="20"/>
          <w:szCs w:val="20"/>
          <w:lang w:val="en-US" w:eastAsia="zh-CN"/>
        </w:rPr>
      </w:pPr>
    </w:p>
    <w:p w14:paraId="72E3A97B">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ERCOT</w:t>
      </w:r>
      <w:r>
        <w:rPr>
          <w:rFonts w:hint="default" w:ascii="Calibri" w:hAnsi="Calibri" w:eastAsia="楷体_GB2312" w:cs="Calibri"/>
          <w:sz w:val="20"/>
          <w:szCs w:val="20"/>
          <w:lang w:val="en-US" w:eastAsia="zh-CN"/>
        </w:rPr>
        <w:t>：为应对CPS Energy Braunig燃气电站（1、2、3号机组，约60年历史）2025年3月退役对南德州电网可靠性的威胁，ERCOT制定临时与长期结合方案。Braunig 3执行RMR协议运行至2027年3月；Braunig 1和2改用15台天然气移动发电机组（总450MW，单台30MW，10分钟满发）替代，由CenterPoint Energy租赁至2027年3月。长期方案加速San Antonio South Reliability II输电项目，原定2028-2029年，提前至2026-2027年完成核心双回路改造，预计2027年6月投运，已获PUCT"关键状态指定"，CPS Energy投资1.75亿美元。</w:t>
      </w:r>
    </w:p>
    <w:p w14:paraId="2AAA1DA9">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移动发电方案费用约5400万美元（ERCOT区域用户分摊），较Braunig 1和2执行RMR（5900万美元）节省500万美元。</w:t>
      </w:r>
    </w:p>
    <w:p w14:paraId="4AD51413">
      <w:pPr>
        <w:overflowPunct w:val="0"/>
        <w:ind w:left="3200" w:leftChars="2000"/>
        <w:jc w:val="both"/>
        <w:rPr>
          <w:rFonts w:hint="default" w:ascii="Calibri" w:hAnsi="Calibri" w:eastAsia="楷体_GB2312" w:cs="Calibri"/>
          <w:sz w:val="20"/>
          <w:szCs w:val="20"/>
          <w:lang w:val="en-US" w:eastAsia="zh-CN"/>
        </w:rPr>
      </w:pPr>
    </w:p>
    <w:p w14:paraId="7303A8EC">
      <w:pPr>
        <w:overflowPunct w:val="0"/>
        <w:ind w:left="3200" w:leftChars="2000"/>
        <w:jc w:val="both"/>
        <w:outlineLvl w:val="2"/>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23" w:name="_Toc11976"/>
      <w:r>
        <w:rPr>
          <w:rFonts w:hint="default" w:ascii="Calibri" w:hAnsi="Calibri" w:eastAsia="楷体_GB2312" w:cs="Calibri"/>
          <w:b/>
          <w:bCs/>
          <w:color w:val="1F497D" w:themeColor="text2"/>
          <w:sz w:val="24"/>
          <w:szCs w:val="24"/>
          <w:lang w:val="en-US" w:eastAsia="zh-CN"/>
          <w14:textFill>
            <w14:solidFill>
              <w14:schemeClr w14:val="tx2"/>
            </w14:solidFill>
          </w14:textFill>
        </w:rPr>
        <w:t>（2）欧洲电力市场</w:t>
      </w:r>
      <w:bookmarkEnd w:id="23"/>
    </w:p>
    <w:p w14:paraId="0217F996">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欧洲地区电力市场日前交易价格整体走势上升。根据Nordpool数据，英国上周均价为109EUR/MWh（+2.38%）、德国均价为108.24EUR/MWh（+2.33%）、芬兰均价为211.36EUR/MWh（+101.64%）、荷兰均价为105.57EUR/MWh（+3.16%）、法国均价为85.4EUR/MWh（-7.32%）。</w:t>
      </w:r>
    </w:p>
    <w:p w14:paraId="2664C46D">
      <w:pPr>
        <w:overflowPunct w:val="0"/>
        <w:ind w:left="3200" w:leftChars="2000"/>
        <w:jc w:val="both"/>
        <w:rPr>
          <w:rFonts w:hint="default" w:ascii="Calibri" w:hAnsi="Calibri" w:eastAsia="楷体_GB2312" w:cs="Calibri"/>
          <w:sz w:val="20"/>
          <w:szCs w:val="20"/>
          <w:lang w:val="en-US" w:eastAsia="zh-CN"/>
        </w:rPr>
      </w:pPr>
    </w:p>
    <w:p w14:paraId="6900EC56">
      <w:pPr>
        <w:overflowPunct w:val="0"/>
        <w:ind w:left="3200" w:leftChars="2000"/>
        <w:jc w:val="both"/>
        <w:rPr>
          <w:rFonts w:hint="default" w:ascii="Calibri" w:hAnsi="Calibri" w:eastAsia="楷体_GB2312" w:cs="Calibri"/>
          <w:sz w:val="20"/>
          <w:szCs w:val="20"/>
          <w:lang w:val="en-US" w:eastAsia="zh-CN"/>
        </w:rPr>
      </w:pPr>
    </w:p>
    <w:tbl>
      <w:tblPr>
        <w:tblStyle w:val="27"/>
        <w:tblW w:w="9855" w:type="dxa"/>
        <w:jc w:val="right"/>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fixed"/>
        <w:tblCellMar>
          <w:top w:w="0" w:type="dxa"/>
          <w:left w:w="0" w:type="dxa"/>
          <w:bottom w:w="0" w:type="dxa"/>
          <w:right w:w="0" w:type="dxa"/>
        </w:tblCellMar>
      </w:tblPr>
      <w:tblGrid>
        <w:gridCol w:w="9855"/>
      </w:tblGrid>
      <w:tr w14:paraId="1A044605">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rPr>
          <w:wBefore w:w="0" w:type="auto"/>
          <w:wAfter w:w="0" w:type="auto"/>
          <w:trHeight w:val="104" w:hRule="atLeast"/>
          <w:jc w:val="right"/>
        </w:trPr>
        <w:tc>
          <w:tcPr>
            <w:tcW w:w="9855" w:type="dxa"/>
            <w:tcBorders>
              <w:bottom w:val="single" w:color="auto" w:sz="4" w:space="0"/>
            </w:tcBorders>
          </w:tcPr>
          <w:p w14:paraId="0D291FA0">
            <w:pPr>
              <w:overflowPunct w:val="0"/>
              <w:rPr>
                <w:rFonts w:hint="default" w:ascii="Calibri" w:hAnsi="Calibri" w:eastAsia="楷体_GB2312" w:cs="Calibri"/>
                <w:b/>
                <w:sz w:val="18"/>
                <w:szCs w:val="20"/>
                <w:lang w:eastAsia="zh-CN"/>
              </w:rPr>
            </w:pPr>
            <w:r>
              <w:rPr>
                <w:rFonts w:hint="default" w:ascii="Calibri" w:hAnsi="Calibri" w:eastAsia="楷体_GB2312" w:cs="Calibri"/>
                <w:b/>
                <w:sz w:val="18"/>
                <w:szCs w:val="18"/>
              </w:rPr>
              <w:t>表</w:t>
            </w:r>
            <w:r>
              <w:rPr>
                <w:rFonts w:hint="eastAsia" w:eastAsia="楷体_GB2312" w:cs="Calibri"/>
                <w:b/>
                <w:sz w:val="18"/>
                <w:szCs w:val="18"/>
                <w:lang w:val="en-US" w:eastAsia="zh-CN"/>
              </w:rPr>
              <w:t>6</w:t>
            </w:r>
            <w:r>
              <w:rPr>
                <w:rFonts w:hint="default" w:ascii="Calibri" w:hAnsi="Calibri" w:eastAsia="楷体_GB2312" w:cs="Calibri"/>
                <w:b/>
                <w:sz w:val="18"/>
                <w:szCs w:val="18"/>
              </w:rPr>
              <w:t>：欧洲主要国家（2月1日- 2月7日）电力日前市场成交均价及环比变化</w:t>
            </w:r>
          </w:p>
        </w:tc>
      </w:tr>
      <w:tr w14:paraId="30B5636A">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wBefore w:w="0" w:type="auto"/>
          <w:wAfter w:w="0" w:type="auto"/>
          <w:trHeight w:val="2031" w:hRule="atLeast"/>
          <w:jc w:val="right"/>
        </w:trPr>
        <w:tc>
          <w:tcPr>
            <w:tcW w:w="9855" w:type="dxa"/>
            <w:tcBorders>
              <w:top w:val="single" w:color="auto" w:sz="4" w:space="0"/>
              <w:bottom w:val="single" w:color="auto" w:sz="4" w:space="0"/>
            </w:tcBorders>
            <w:vAlign w:val="center"/>
          </w:tcPr>
          <w:tbl>
            <w:tblPr>
              <w:tblStyle w:val="26"/>
              <w:tblW w:w="9882" w:type="dxa"/>
              <w:jc w:val="center"/>
              <w:tblLayout w:type="fixed"/>
              <w:tblCellMar>
                <w:top w:w="0" w:type="dxa"/>
                <w:left w:w="108" w:type="dxa"/>
                <w:bottom w:w="0" w:type="dxa"/>
                <w:right w:w="108" w:type="dxa"/>
              </w:tblCellMar>
            </w:tblPr>
            <w:tblGrid>
              <w:gridCol w:w="1267"/>
              <w:gridCol w:w="4296"/>
              <w:gridCol w:w="4319"/>
            </w:tblGrid>
            <w:tr w14:paraId="5EA55593">
              <w:tblPrEx>
                <w:tblCellMar>
                  <w:top w:w="0" w:type="dxa"/>
                  <w:left w:w="108" w:type="dxa"/>
                  <w:bottom w:w="0" w:type="dxa"/>
                  <w:right w:w="108" w:type="dxa"/>
                </w:tblCellMar>
              </w:tblPrEx>
              <w:trPr>
                <w:trHeight w:val="283" w:hRule="atLeast"/>
                <w:jc w:val="center"/>
              </w:trPr>
              <w:tc>
                <w:tcPr>
                  <w:tcW w:w="1267" w:type="dxa"/>
                  <w:tcBorders>
                    <w:top w:val="single" w:color="auto" w:sz="4" w:space="0"/>
                    <w:left w:val="single" w:color="auto" w:sz="4" w:space="0"/>
                    <w:bottom w:val="nil"/>
                    <w:right w:val="nil"/>
                  </w:tcBorders>
                  <w:shd w:val="clear" w:color="auto" w:fill="0C2060"/>
                  <w:vAlign w:val="center"/>
                </w:tcPr>
                <w:p w14:paraId="6931AAD3">
                  <w:pPr>
                    <w:overflowPunct w:val="0"/>
                    <w:rPr>
                      <w:rFonts w:hint="default" w:ascii="Calibri" w:hAnsi="Calibri" w:eastAsia="楷体_GB2312" w:cs="Calibri"/>
                      <w:b/>
                      <w:bCs/>
                      <w:color w:val="FFFFFF"/>
                    </w:rPr>
                  </w:pPr>
                </w:p>
              </w:tc>
              <w:tc>
                <w:tcPr>
                  <w:tcW w:w="4296" w:type="dxa"/>
                  <w:tcBorders>
                    <w:top w:val="single" w:color="auto" w:sz="4" w:space="0"/>
                    <w:left w:val="single" w:color="auto" w:sz="4" w:space="0"/>
                    <w:bottom w:val="nil"/>
                    <w:right w:val="nil"/>
                  </w:tcBorders>
                  <w:shd w:val="clear" w:color="auto" w:fill="0C2060"/>
                  <w:vAlign w:val="center"/>
                </w:tcPr>
                <w:p w14:paraId="0F7E1A70">
                  <w:pPr>
                    <w:overflowPunct w:val="0"/>
                    <w:jc w:val="center"/>
                    <w:rPr>
                      <w:rFonts w:hint="default" w:ascii="Calibri" w:hAnsi="Calibri" w:eastAsia="楷体_GB2312" w:cs="Calibri"/>
                      <w:b/>
                      <w:bCs/>
                      <w:color w:val="FFFFFF"/>
                    </w:rPr>
                  </w:pPr>
                  <w:r>
                    <w:rPr>
                      <w:rFonts w:hint="default" w:ascii="Calibri" w:hAnsi="Calibri" w:eastAsia="楷体_GB2312" w:cs="Calibri"/>
                      <w:b/>
                      <w:bCs/>
                      <w:color w:val="FFFFFF"/>
                    </w:rPr>
                    <w:t>上周均价（EUR/MWh）</w:t>
                  </w:r>
                </w:p>
              </w:tc>
              <w:tc>
                <w:tcPr>
                  <w:tcW w:w="4319" w:type="dxa"/>
                  <w:tcBorders>
                    <w:top w:val="single" w:color="auto" w:sz="4" w:space="0"/>
                    <w:left w:val="nil"/>
                    <w:bottom w:val="nil"/>
                    <w:right w:val="nil"/>
                  </w:tcBorders>
                  <w:shd w:val="clear" w:color="auto" w:fill="0C2060"/>
                  <w:vAlign w:val="center"/>
                </w:tcPr>
                <w:p w14:paraId="0C0F7115">
                  <w:pPr>
                    <w:overflowPunct w:val="0"/>
                    <w:jc w:val="center"/>
                    <w:rPr>
                      <w:rFonts w:hint="default" w:ascii="Calibri" w:hAnsi="Calibri" w:eastAsia="楷体_GB2312" w:cs="Calibri"/>
                      <w:b/>
                      <w:bCs/>
                      <w:color w:val="FFFFFF"/>
                    </w:rPr>
                  </w:pPr>
                  <w:r>
                    <w:rPr>
                      <w:rFonts w:hint="default" w:ascii="Calibri" w:hAnsi="Calibri" w:eastAsia="楷体_GB2312" w:cs="Calibri"/>
                      <w:b/>
                      <w:bCs/>
                      <w:color w:val="FFFFFF"/>
                    </w:rPr>
                    <w:t>周环比变化</w:t>
                  </w:r>
                </w:p>
              </w:tc>
            </w:tr>
            <w:tr w14:paraId="0919F6B6">
              <w:tblPrEx>
                <w:tblCellMar>
                  <w:top w:w="0" w:type="dxa"/>
                  <w:left w:w="108" w:type="dxa"/>
                  <w:bottom w:w="0" w:type="dxa"/>
                  <w:right w:w="108" w:type="dxa"/>
                </w:tblCellMar>
              </w:tblPrEx>
              <w:trPr>
                <w:trHeight w:val="283" w:hRule="atLeast"/>
                <w:jc w:val="center"/>
              </w:trPr>
              <w:tc>
                <w:tcPr>
                  <w:tcW w:w="1267" w:type="dxa"/>
                  <w:tcBorders>
                    <w:top w:val="nil"/>
                    <w:left w:val="single" w:color="auto" w:sz="4" w:space="0"/>
                    <w:bottom w:val="single" w:color="000000" w:sz="4" w:space="0"/>
                    <w:right w:val="nil"/>
                  </w:tcBorders>
                  <w:vAlign w:val="center"/>
                </w:tcPr>
                <w:p w14:paraId="6BB84F83">
                  <w:pPr>
                    <w:overflowPunct w:val="0"/>
                    <w:jc w:val="center"/>
                    <w:rPr>
                      <w:rFonts w:hint="default" w:ascii="Calibri" w:hAnsi="Calibri" w:eastAsia="楷体_GB2312" w:cs="Calibri"/>
                      <w:color w:val="000000"/>
                      <w:sz w:val="18"/>
                      <w:szCs w:val="18"/>
                    </w:rPr>
                  </w:pPr>
                  <w:r>
                    <w:rPr>
                      <w:rFonts w:hint="default" w:ascii="Calibri" w:hAnsi="Calibri" w:eastAsia="楷体_GB2312" w:cs="Calibri"/>
                      <w:color w:val="000000"/>
                      <w:sz w:val="18"/>
                      <w:szCs w:val="18"/>
                    </w:rPr>
                    <w:t>英国</w:t>
                  </w:r>
                </w:p>
              </w:tc>
              <w:tc>
                <w:tcPr>
                  <w:tcW w:w="4296" w:type="dxa"/>
                  <w:tcBorders>
                    <w:top w:val="nil"/>
                    <w:left w:val="single" w:color="auto" w:sz="4" w:space="0"/>
                    <w:bottom w:val="single" w:color="000000" w:sz="4" w:space="0"/>
                    <w:right w:val="nil"/>
                  </w:tcBorders>
                  <w:noWrap/>
                </w:tcPr>
                <w:p w14:paraId="446D6117">
                  <w:pPr>
                    <w:overflowPunct w:val="0"/>
                    <w:jc w:val="center"/>
                    <w:rPr>
                      <w:rFonts w:hint="default" w:ascii="Calibri" w:hAnsi="Calibri" w:eastAsia="楷体_GB2312" w:cs="Calibri"/>
                      <w:color w:val="000000"/>
                      <w:highlight w:val="yellow"/>
                    </w:rPr>
                  </w:pPr>
                  <w:r>
                    <w:rPr>
                      <w:rFonts w:hint="default" w:ascii="Calibri" w:hAnsi="Calibri" w:eastAsia="楷体_GB2312" w:cs="Calibri"/>
                      <w:lang w:val="en-US" w:eastAsia="zh-CN"/>
                    </w:rPr>
                    <w:t>109</w:t>
                  </w:r>
                </w:p>
              </w:tc>
              <w:tc>
                <w:tcPr>
                  <w:tcW w:w="4319" w:type="dxa"/>
                  <w:tcBorders>
                    <w:top w:val="nil"/>
                    <w:left w:val="single" w:color="auto" w:sz="4" w:space="0"/>
                    <w:bottom w:val="single" w:color="000000" w:sz="4" w:space="0"/>
                    <w:right w:val="nil"/>
                  </w:tcBorders>
                  <w:noWrap/>
                </w:tcPr>
                <w:p w14:paraId="0BE2BE3F">
                  <w:pPr>
                    <w:overflowPunct w:val="0"/>
                    <w:jc w:val="center"/>
                    <w:rPr>
                      <w:rFonts w:hint="default" w:ascii="Calibri" w:hAnsi="Calibri" w:eastAsia="楷体_GB2312" w:cs="Calibri"/>
                      <w:color w:val="000000"/>
                      <w:highlight w:val="yellow"/>
                    </w:rPr>
                  </w:pPr>
                  <w:r>
                    <w:rPr>
                      <w:rFonts w:hint="default" w:ascii="Calibri" w:hAnsi="Calibri" w:eastAsia="楷体_GB2312" w:cs="Calibri"/>
                      <w:lang w:val="en-US" w:eastAsia="zh-CN"/>
                    </w:rPr>
                    <w:t>2.38</w:t>
                  </w:r>
                  <w:r>
                    <w:rPr>
                      <w:rFonts w:hint="default" w:ascii="Calibri" w:hAnsi="Calibri" w:eastAsia="楷体_GB2312" w:cs="Calibri"/>
                    </w:rPr>
                    <w:t>%</w:t>
                  </w:r>
                </w:p>
              </w:tc>
            </w:tr>
            <w:tr w14:paraId="0F218B27">
              <w:tblPrEx>
                <w:tblCellMar>
                  <w:top w:w="0" w:type="dxa"/>
                  <w:left w:w="108" w:type="dxa"/>
                  <w:bottom w:w="0" w:type="dxa"/>
                  <w:right w:w="108" w:type="dxa"/>
                </w:tblCellMar>
              </w:tblPrEx>
              <w:trPr>
                <w:trHeight w:val="283" w:hRule="atLeast"/>
                <w:jc w:val="center"/>
              </w:trPr>
              <w:tc>
                <w:tcPr>
                  <w:tcW w:w="1267" w:type="dxa"/>
                  <w:tcBorders>
                    <w:top w:val="single" w:color="000000" w:sz="4" w:space="0"/>
                    <w:left w:val="single" w:color="auto" w:sz="4" w:space="0"/>
                    <w:bottom w:val="single" w:color="000000" w:sz="4" w:space="0"/>
                    <w:right w:val="nil"/>
                  </w:tcBorders>
                  <w:vAlign w:val="center"/>
                </w:tcPr>
                <w:p w14:paraId="37782824">
                  <w:pPr>
                    <w:overflowPunct w:val="0"/>
                    <w:jc w:val="center"/>
                    <w:rPr>
                      <w:rFonts w:hint="default" w:ascii="Calibri" w:hAnsi="Calibri" w:eastAsia="楷体_GB2312" w:cs="Calibri"/>
                      <w:color w:val="000000"/>
                      <w:sz w:val="18"/>
                      <w:szCs w:val="18"/>
                    </w:rPr>
                  </w:pPr>
                  <w:r>
                    <w:rPr>
                      <w:rFonts w:hint="default" w:ascii="Calibri" w:hAnsi="Calibri" w:eastAsia="楷体_GB2312" w:cs="Calibri"/>
                      <w:color w:val="000000"/>
                      <w:sz w:val="18"/>
                      <w:szCs w:val="18"/>
                    </w:rPr>
                    <w:t>德国</w:t>
                  </w:r>
                </w:p>
              </w:tc>
              <w:tc>
                <w:tcPr>
                  <w:tcW w:w="4296" w:type="dxa"/>
                  <w:tcBorders>
                    <w:top w:val="single" w:color="000000" w:sz="4" w:space="0"/>
                    <w:left w:val="single" w:color="auto" w:sz="4" w:space="0"/>
                    <w:bottom w:val="single" w:color="000000" w:sz="4" w:space="0"/>
                    <w:right w:val="nil"/>
                  </w:tcBorders>
                  <w:noWrap/>
                </w:tcPr>
                <w:p w14:paraId="5FEA7FA8">
                  <w:pPr>
                    <w:overflowPunct w:val="0"/>
                    <w:jc w:val="center"/>
                    <w:rPr>
                      <w:rFonts w:hint="default" w:ascii="Calibri" w:hAnsi="Calibri" w:eastAsia="楷体_GB2312" w:cs="Calibri"/>
                      <w:color w:val="000000"/>
                    </w:rPr>
                  </w:pPr>
                  <w:r>
                    <w:rPr>
                      <w:rFonts w:hint="default" w:ascii="Calibri" w:hAnsi="Calibri" w:eastAsia="楷体_GB2312" w:cs="Calibri"/>
                      <w:color w:val="000000"/>
                      <w:lang w:val="en-US" w:eastAsia="zh-CN"/>
                    </w:rPr>
                    <w:t>108.24</w:t>
                  </w:r>
                </w:p>
              </w:tc>
              <w:tc>
                <w:tcPr>
                  <w:tcW w:w="4319" w:type="dxa"/>
                  <w:tcBorders>
                    <w:top w:val="single" w:color="000000" w:sz="4" w:space="0"/>
                    <w:left w:val="single" w:color="auto" w:sz="4" w:space="0"/>
                    <w:bottom w:val="single" w:color="000000" w:sz="4" w:space="0"/>
                    <w:right w:val="nil"/>
                  </w:tcBorders>
                  <w:noWrap/>
                </w:tcPr>
                <w:p w14:paraId="695965AC">
                  <w:pPr>
                    <w:overflowPunct w:val="0"/>
                    <w:jc w:val="center"/>
                    <w:rPr>
                      <w:rFonts w:hint="default" w:ascii="Calibri" w:hAnsi="Calibri" w:eastAsia="楷体_GB2312" w:cs="Calibri"/>
                      <w:color w:val="000000"/>
                    </w:rPr>
                  </w:pPr>
                  <w:r>
                    <w:rPr>
                      <w:rFonts w:hint="default" w:ascii="Calibri" w:hAnsi="Calibri" w:eastAsia="楷体_GB2312" w:cs="Calibri"/>
                      <w:lang w:val="en-US" w:eastAsia="zh-CN"/>
                    </w:rPr>
                    <w:t>2.33</w:t>
                  </w:r>
                  <w:r>
                    <w:rPr>
                      <w:rFonts w:hint="default" w:ascii="Calibri" w:hAnsi="Calibri" w:eastAsia="楷体_GB2312" w:cs="Calibri"/>
                    </w:rPr>
                    <w:t>%</w:t>
                  </w:r>
                </w:p>
              </w:tc>
            </w:tr>
            <w:tr w14:paraId="0EE5E36E">
              <w:tblPrEx>
                <w:tblCellMar>
                  <w:top w:w="0" w:type="dxa"/>
                  <w:left w:w="108" w:type="dxa"/>
                  <w:bottom w:w="0" w:type="dxa"/>
                  <w:right w:w="108" w:type="dxa"/>
                </w:tblCellMar>
              </w:tblPrEx>
              <w:trPr>
                <w:trHeight w:val="283" w:hRule="atLeast"/>
                <w:jc w:val="center"/>
              </w:trPr>
              <w:tc>
                <w:tcPr>
                  <w:tcW w:w="1267" w:type="dxa"/>
                  <w:tcBorders>
                    <w:top w:val="single" w:color="000000" w:sz="4" w:space="0"/>
                    <w:left w:val="single" w:color="auto" w:sz="4" w:space="0"/>
                    <w:bottom w:val="single" w:color="000000" w:sz="4" w:space="0"/>
                    <w:right w:val="nil"/>
                  </w:tcBorders>
                  <w:vAlign w:val="center"/>
                </w:tcPr>
                <w:p w14:paraId="42EA32E0">
                  <w:pPr>
                    <w:overflowPunct w:val="0"/>
                    <w:jc w:val="center"/>
                    <w:rPr>
                      <w:rFonts w:hint="default" w:ascii="Calibri" w:hAnsi="Calibri" w:eastAsia="楷体_GB2312" w:cs="Calibri"/>
                      <w:color w:val="000000"/>
                      <w:sz w:val="18"/>
                      <w:szCs w:val="18"/>
                    </w:rPr>
                  </w:pPr>
                  <w:r>
                    <w:rPr>
                      <w:rFonts w:hint="default" w:ascii="Calibri" w:hAnsi="Calibri" w:eastAsia="楷体_GB2312" w:cs="Calibri"/>
                      <w:color w:val="000000"/>
                      <w:sz w:val="18"/>
                      <w:szCs w:val="18"/>
                    </w:rPr>
                    <w:t>芬兰</w:t>
                  </w:r>
                </w:p>
              </w:tc>
              <w:tc>
                <w:tcPr>
                  <w:tcW w:w="4296" w:type="dxa"/>
                  <w:tcBorders>
                    <w:top w:val="single" w:color="000000" w:sz="4" w:space="0"/>
                    <w:left w:val="single" w:color="auto" w:sz="4" w:space="0"/>
                    <w:bottom w:val="single" w:color="000000" w:sz="4" w:space="0"/>
                    <w:right w:val="nil"/>
                  </w:tcBorders>
                  <w:noWrap/>
                </w:tcPr>
                <w:p w14:paraId="0634BDD4">
                  <w:pPr>
                    <w:overflowPunct w:val="0"/>
                    <w:jc w:val="center"/>
                    <w:rPr>
                      <w:rFonts w:hint="default" w:ascii="Calibri" w:hAnsi="Calibri" w:eastAsia="楷体_GB2312" w:cs="Calibri"/>
                      <w:color w:val="000000"/>
                    </w:rPr>
                  </w:pPr>
                  <w:r>
                    <w:rPr>
                      <w:rFonts w:hint="default" w:ascii="Calibri" w:hAnsi="Calibri" w:eastAsia="楷体_GB2312" w:cs="Calibri"/>
                      <w:color w:val="000000"/>
                      <w:lang w:val="en-US" w:eastAsia="zh-CN"/>
                    </w:rPr>
                    <w:t>211.36</w:t>
                  </w:r>
                </w:p>
              </w:tc>
              <w:tc>
                <w:tcPr>
                  <w:tcW w:w="4319" w:type="dxa"/>
                  <w:tcBorders>
                    <w:top w:val="single" w:color="000000" w:sz="4" w:space="0"/>
                    <w:left w:val="single" w:color="auto" w:sz="4" w:space="0"/>
                    <w:bottom w:val="single" w:color="000000" w:sz="4" w:space="0"/>
                    <w:right w:val="nil"/>
                  </w:tcBorders>
                  <w:noWrap/>
                </w:tcPr>
                <w:p w14:paraId="0B04650F">
                  <w:pPr>
                    <w:overflowPunct w:val="0"/>
                    <w:jc w:val="center"/>
                    <w:rPr>
                      <w:rFonts w:hint="default" w:ascii="Calibri" w:hAnsi="Calibri" w:eastAsia="楷体_GB2312" w:cs="Calibri"/>
                      <w:color w:val="000000"/>
                    </w:rPr>
                  </w:pPr>
                  <w:r>
                    <w:rPr>
                      <w:rFonts w:hint="default" w:ascii="Calibri" w:hAnsi="Calibri" w:eastAsia="楷体_GB2312" w:cs="Calibri"/>
                      <w:lang w:val="en-US" w:eastAsia="zh-CN"/>
                    </w:rPr>
                    <w:t>101.64</w:t>
                  </w:r>
                  <w:r>
                    <w:rPr>
                      <w:rFonts w:hint="default" w:ascii="Calibri" w:hAnsi="Calibri" w:eastAsia="楷体_GB2312" w:cs="Calibri"/>
                    </w:rPr>
                    <w:t>%</w:t>
                  </w:r>
                </w:p>
              </w:tc>
            </w:tr>
            <w:tr w14:paraId="2B0F38AA">
              <w:tblPrEx>
                <w:tblCellMar>
                  <w:top w:w="0" w:type="dxa"/>
                  <w:left w:w="108" w:type="dxa"/>
                  <w:bottom w:w="0" w:type="dxa"/>
                  <w:right w:w="108" w:type="dxa"/>
                </w:tblCellMar>
              </w:tblPrEx>
              <w:trPr>
                <w:trHeight w:val="283" w:hRule="atLeast"/>
                <w:jc w:val="center"/>
              </w:trPr>
              <w:tc>
                <w:tcPr>
                  <w:tcW w:w="1267" w:type="dxa"/>
                  <w:tcBorders>
                    <w:top w:val="single" w:color="000000" w:sz="4" w:space="0"/>
                    <w:left w:val="single" w:color="auto" w:sz="4" w:space="0"/>
                    <w:bottom w:val="single" w:color="000000" w:sz="4" w:space="0"/>
                    <w:right w:val="nil"/>
                  </w:tcBorders>
                  <w:vAlign w:val="center"/>
                </w:tcPr>
                <w:p w14:paraId="18A95E6B">
                  <w:pPr>
                    <w:overflowPunct w:val="0"/>
                    <w:jc w:val="center"/>
                    <w:rPr>
                      <w:rFonts w:hint="default" w:ascii="Calibri" w:hAnsi="Calibri" w:eastAsia="楷体_GB2312" w:cs="Calibri"/>
                      <w:color w:val="000000"/>
                      <w:sz w:val="18"/>
                      <w:szCs w:val="18"/>
                    </w:rPr>
                  </w:pPr>
                  <w:r>
                    <w:rPr>
                      <w:rFonts w:hint="default" w:ascii="Calibri" w:hAnsi="Calibri" w:eastAsia="楷体_GB2312" w:cs="Calibri"/>
                      <w:color w:val="000000"/>
                      <w:sz w:val="18"/>
                      <w:szCs w:val="18"/>
                    </w:rPr>
                    <w:t>荷兰</w:t>
                  </w:r>
                </w:p>
              </w:tc>
              <w:tc>
                <w:tcPr>
                  <w:tcW w:w="4296" w:type="dxa"/>
                  <w:tcBorders>
                    <w:top w:val="single" w:color="000000" w:sz="4" w:space="0"/>
                    <w:left w:val="single" w:color="auto" w:sz="4" w:space="0"/>
                    <w:bottom w:val="single" w:color="000000" w:sz="4" w:space="0"/>
                    <w:right w:val="nil"/>
                  </w:tcBorders>
                  <w:noWrap/>
                </w:tcPr>
                <w:p w14:paraId="3369675B">
                  <w:pPr>
                    <w:overflowPunct w:val="0"/>
                    <w:jc w:val="center"/>
                    <w:rPr>
                      <w:rFonts w:hint="default" w:ascii="Calibri" w:hAnsi="Calibri" w:eastAsia="楷体_GB2312" w:cs="Calibri"/>
                      <w:color w:val="000000"/>
                      <w:highlight w:val="yellow"/>
                    </w:rPr>
                  </w:pPr>
                  <w:r>
                    <w:rPr>
                      <w:rFonts w:hint="default" w:ascii="Calibri" w:hAnsi="Calibri" w:eastAsia="楷体_GB2312" w:cs="Calibri"/>
                      <w:lang w:val="en-US" w:eastAsia="zh-CN"/>
                    </w:rPr>
                    <w:t>105.57</w:t>
                  </w:r>
                </w:p>
              </w:tc>
              <w:tc>
                <w:tcPr>
                  <w:tcW w:w="4319" w:type="dxa"/>
                  <w:tcBorders>
                    <w:top w:val="single" w:color="000000" w:sz="4" w:space="0"/>
                    <w:left w:val="single" w:color="auto" w:sz="4" w:space="0"/>
                    <w:bottom w:val="single" w:color="000000" w:sz="4" w:space="0"/>
                    <w:right w:val="nil"/>
                  </w:tcBorders>
                  <w:noWrap/>
                </w:tcPr>
                <w:p w14:paraId="220A90BA">
                  <w:pPr>
                    <w:overflowPunct w:val="0"/>
                    <w:jc w:val="center"/>
                    <w:rPr>
                      <w:rFonts w:hint="default" w:ascii="Calibri" w:hAnsi="Calibri" w:eastAsia="楷体_GB2312" w:cs="Calibri"/>
                      <w:color w:val="000000"/>
                      <w:highlight w:val="yellow"/>
                    </w:rPr>
                  </w:pPr>
                  <w:r>
                    <w:rPr>
                      <w:rFonts w:hint="default" w:ascii="Calibri" w:hAnsi="Calibri" w:eastAsia="楷体_GB2312" w:cs="Calibri"/>
                      <w:lang w:val="en-US" w:eastAsia="zh-CN"/>
                    </w:rPr>
                    <w:t>3.16</w:t>
                  </w:r>
                  <w:r>
                    <w:rPr>
                      <w:rFonts w:hint="default" w:ascii="Calibri" w:hAnsi="Calibri" w:eastAsia="楷体_GB2312" w:cs="Calibri"/>
                    </w:rPr>
                    <w:t>%</w:t>
                  </w:r>
                </w:p>
              </w:tc>
            </w:tr>
            <w:tr w14:paraId="7DF3AD58">
              <w:tblPrEx>
                <w:tblCellMar>
                  <w:top w:w="0" w:type="dxa"/>
                  <w:left w:w="108" w:type="dxa"/>
                  <w:bottom w:w="0" w:type="dxa"/>
                  <w:right w:w="108" w:type="dxa"/>
                </w:tblCellMar>
              </w:tblPrEx>
              <w:trPr>
                <w:trHeight w:val="283" w:hRule="atLeast"/>
                <w:jc w:val="center"/>
              </w:trPr>
              <w:tc>
                <w:tcPr>
                  <w:tcW w:w="1267" w:type="dxa"/>
                  <w:tcBorders>
                    <w:top w:val="single" w:color="000000" w:sz="4" w:space="0"/>
                    <w:left w:val="single" w:color="auto" w:sz="4" w:space="0"/>
                    <w:bottom w:val="nil"/>
                    <w:right w:val="nil"/>
                  </w:tcBorders>
                  <w:vAlign w:val="center"/>
                </w:tcPr>
                <w:p w14:paraId="69D96361">
                  <w:pPr>
                    <w:overflowPunct w:val="0"/>
                    <w:jc w:val="center"/>
                    <w:rPr>
                      <w:rFonts w:hint="default" w:ascii="Calibri" w:hAnsi="Calibri" w:eastAsia="楷体_GB2312" w:cs="Calibri"/>
                      <w:color w:val="000000"/>
                      <w:sz w:val="18"/>
                      <w:szCs w:val="18"/>
                    </w:rPr>
                  </w:pPr>
                  <w:r>
                    <w:rPr>
                      <w:rFonts w:hint="default" w:ascii="Calibri" w:hAnsi="Calibri" w:eastAsia="楷体_GB2312" w:cs="Calibri"/>
                      <w:color w:val="000000"/>
                      <w:sz w:val="18"/>
                      <w:szCs w:val="18"/>
                    </w:rPr>
                    <w:t>法国</w:t>
                  </w:r>
                </w:p>
              </w:tc>
              <w:tc>
                <w:tcPr>
                  <w:tcW w:w="4296" w:type="dxa"/>
                  <w:tcBorders>
                    <w:top w:val="single" w:color="000000" w:sz="4" w:space="0"/>
                    <w:left w:val="single" w:color="auto" w:sz="4" w:space="0"/>
                    <w:bottom w:val="nil"/>
                    <w:right w:val="nil"/>
                  </w:tcBorders>
                  <w:noWrap/>
                </w:tcPr>
                <w:p w14:paraId="556700BB">
                  <w:pPr>
                    <w:overflowPunct w:val="0"/>
                    <w:jc w:val="center"/>
                    <w:rPr>
                      <w:rFonts w:hint="default" w:ascii="Calibri" w:hAnsi="Calibri" w:eastAsia="楷体_GB2312" w:cs="Calibri"/>
                      <w:color w:val="000000"/>
                      <w:highlight w:val="yellow"/>
                    </w:rPr>
                  </w:pPr>
                  <w:r>
                    <w:rPr>
                      <w:rFonts w:hint="default" w:ascii="Calibri" w:hAnsi="Calibri" w:eastAsia="楷体_GB2312" w:cs="Calibri"/>
                      <w:lang w:val="en-US" w:eastAsia="zh-CN"/>
                    </w:rPr>
                    <w:t>85.4</w:t>
                  </w:r>
                </w:p>
              </w:tc>
              <w:tc>
                <w:tcPr>
                  <w:tcW w:w="4319" w:type="dxa"/>
                  <w:tcBorders>
                    <w:top w:val="single" w:color="000000" w:sz="4" w:space="0"/>
                    <w:left w:val="single" w:color="auto" w:sz="4" w:space="0"/>
                    <w:bottom w:val="nil"/>
                    <w:right w:val="nil"/>
                  </w:tcBorders>
                  <w:noWrap/>
                </w:tcPr>
                <w:p w14:paraId="7C46A2FF">
                  <w:pPr>
                    <w:overflowPunct w:val="0"/>
                    <w:jc w:val="center"/>
                    <w:rPr>
                      <w:rFonts w:hint="default" w:ascii="Calibri" w:hAnsi="Calibri" w:eastAsia="楷体_GB2312" w:cs="Calibri"/>
                      <w:color w:val="000000"/>
                      <w:highlight w:val="yellow"/>
                    </w:rPr>
                  </w:pPr>
                  <w:r>
                    <w:rPr>
                      <w:rFonts w:hint="default" w:ascii="Calibri" w:hAnsi="Calibri" w:eastAsia="楷体_GB2312" w:cs="Calibri"/>
                      <w:lang w:val="en-US" w:eastAsia="zh-CN"/>
                    </w:rPr>
                    <w:t>-7.32</w:t>
                  </w:r>
                  <w:r>
                    <w:rPr>
                      <w:rFonts w:hint="default" w:ascii="Calibri" w:hAnsi="Calibri" w:eastAsia="楷体_GB2312" w:cs="Calibri"/>
                    </w:rPr>
                    <w:t>%</w:t>
                  </w:r>
                </w:p>
              </w:tc>
            </w:tr>
          </w:tbl>
          <w:p w14:paraId="15814CB7">
            <w:pPr>
              <w:overflowPunct w:val="0"/>
              <w:rPr>
                <w:rFonts w:hint="default" w:ascii="Calibri" w:hAnsi="Calibri" w:eastAsia="楷体_GB2312" w:cs="Calibri"/>
                <w:sz w:val="10"/>
                <w:lang w:eastAsia="zh-CN"/>
              </w:rPr>
            </w:pPr>
          </w:p>
        </w:tc>
      </w:tr>
      <w:tr w14:paraId="44B67423">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rPr>
          <w:wBefore w:w="0" w:type="auto"/>
          <w:wAfter w:w="0" w:type="auto"/>
          <w:jc w:val="right"/>
        </w:trPr>
        <w:tc>
          <w:tcPr>
            <w:tcW w:w="9855" w:type="dxa"/>
            <w:tcBorders>
              <w:top w:val="single" w:color="auto" w:sz="4" w:space="0"/>
            </w:tcBorders>
          </w:tcPr>
          <w:p w14:paraId="1598E786">
            <w:pPr>
              <w:rPr>
                <w:rFonts w:hint="default" w:ascii="Calibri" w:hAnsi="Calibri" w:eastAsia="楷体_GB2312" w:cs="Calibri"/>
                <w:i/>
                <w:iCs/>
                <w:sz w:val="15"/>
                <w:szCs w:val="15"/>
              </w:rPr>
            </w:pPr>
            <w:r>
              <w:rPr>
                <w:rFonts w:hint="default" w:ascii="Calibri" w:hAnsi="Calibri" w:eastAsia="楷体_GB2312" w:cs="Calibri"/>
                <w:i/>
                <w:iCs/>
              </w:rPr>
              <w:t>资料来源：</w:t>
            </w:r>
            <w:r>
              <w:rPr>
                <w:rFonts w:hint="default" w:ascii="Calibri" w:hAnsi="Calibri" w:eastAsia="楷体_GB2312" w:cs="Calibri"/>
                <w:i/>
                <w:iCs/>
                <w:lang w:eastAsia="zh-CN"/>
              </w:rPr>
              <w:t>NORDPOOL</w:t>
            </w:r>
            <w:r>
              <w:rPr>
                <w:rFonts w:hint="default" w:ascii="Calibri" w:hAnsi="Calibri" w:eastAsia="楷体_GB2312" w:cs="Calibri"/>
                <w:i/>
                <w:iCs/>
              </w:rPr>
              <w:t>，</w:t>
            </w:r>
            <w:r>
              <w:rPr>
                <w:rFonts w:hint="default" w:ascii="Calibri" w:hAnsi="Calibri" w:eastAsia="楷体_GB2312" w:cs="Calibri"/>
                <w:i/>
                <w:iCs/>
                <w:lang w:eastAsia="zh-CN"/>
              </w:rPr>
              <w:t>HFI</w:t>
            </w:r>
          </w:p>
        </w:tc>
      </w:tr>
    </w:tbl>
    <w:p w14:paraId="18D25CBD">
      <w:pPr>
        <w:overflowPunct w:val="0"/>
        <w:ind w:left="3200" w:leftChars="2000"/>
        <w:jc w:val="both"/>
        <w:rPr>
          <w:rFonts w:hint="default" w:ascii="Calibri" w:hAnsi="Calibri" w:eastAsia="楷体_GB2312" w:cs="Calibri"/>
          <w:sz w:val="20"/>
          <w:szCs w:val="20"/>
          <w:lang w:val="en-US" w:eastAsia="zh-CN"/>
        </w:rPr>
      </w:pPr>
    </w:p>
    <w:p w14:paraId="43F823AB">
      <w:pPr>
        <w:overflowPunct w:val="0"/>
        <w:jc w:val="both"/>
        <w:rPr>
          <w:rFonts w:hint="default" w:ascii="Calibri" w:hAnsi="Calibri" w:eastAsia="楷体_GB2312" w:cs="Calibri"/>
          <w:sz w:val="20"/>
          <w:szCs w:val="20"/>
          <w:lang w:val="en-US" w:eastAsia="zh-CN"/>
        </w:rPr>
      </w:pPr>
    </w:p>
    <w:p w14:paraId="2C8B02F7">
      <w:pPr>
        <w:overflowPunct w:val="0"/>
        <w:ind w:left="3200" w:leftChars="2000"/>
        <w:jc w:val="both"/>
        <w:outlineLvl w:val="2"/>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24" w:name="_Toc4910"/>
      <w:r>
        <w:rPr>
          <w:rFonts w:hint="default" w:ascii="Calibri" w:hAnsi="Calibri" w:eastAsia="楷体_GB2312" w:cs="Calibri"/>
          <w:b/>
          <w:bCs/>
          <w:color w:val="1F497D" w:themeColor="text2"/>
          <w:sz w:val="24"/>
          <w:szCs w:val="24"/>
          <w:lang w:val="en-US" w:eastAsia="zh-CN"/>
          <w14:textFill>
            <w14:solidFill>
              <w14:schemeClr w14:val="tx2"/>
            </w14:solidFill>
          </w14:textFill>
        </w:rPr>
        <w:t>（3）石油天然气</w:t>
      </w:r>
      <w:bookmarkEnd w:id="24"/>
      <w:r>
        <w:rPr>
          <w:rFonts w:hint="default" w:ascii="Calibri" w:hAnsi="Calibri" w:eastAsia="楷体_GB2312" w:cs="Calibri"/>
          <w:b/>
          <w:bCs/>
          <w:color w:val="1F497D" w:themeColor="text2"/>
          <w:sz w:val="24"/>
          <w:szCs w:val="24"/>
          <w:lang w:val="en-US" w:eastAsia="zh-CN"/>
          <w14:textFill>
            <w14:solidFill>
              <w14:schemeClr w14:val="tx2"/>
            </w14:solidFill>
          </w14:textFill>
        </w:rPr>
        <w:tab/>
      </w:r>
    </w:p>
    <w:p w14:paraId="4E38AF32">
      <w:pPr>
        <w:overflowPunct w:val="0"/>
        <w:ind w:left="3200" w:leftChars="2000"/>
        <w:jc w:val="both"/>
        <w:rPr>
          <w:rFonts w:hint="default" w:ascii="Calibri" w:hAnsi="Calibri" w:eastAsia="楷体_GB2312" w:cs="Calibri"/>
          <w:sz w:val="20"/>
          <w:szCs w:val="20"/>
          <w:lang w:val="en-US" w:eastAsia="zh-CN"/>
        </w:rPr>
      </w:pPr>
    </w:p>
    <w:p w14:paraId="5CAD6A8C">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美国天然气期现价格周环比上行，持仓数下降。截至2026年2月2日，亨利枢纽现货价格报4.4美元/百万英热，周环比下降82%；截至2026年2月11日，NYMEX HH期货价格报3.13美元/百万英热，周环比下降10%。截至2月7日，纽约商品交易所（NYMEX）Henry Hub天然气期货合约总持仓量为166万张，周环比上升3万张。根据最新数据来源，非商业多头持仓量为22万张，周环比下降1,013张；非商业空头持仓量为39万张，周环比增长7,691张。</w:t>
      </w:r>
    </w:p>
    <w:p w14:paraId="1105152C">
      <w:pPr>
        <w:overflowPunct w:val="0"/>
        <w:ind w:left="3200" w:leftChars="2000"/>
        <w:jc w:val="both"/>
        <w:rPr>
          <w:rFonts w:hint="default" w:ascii="Calibri" w:hAnsi="Calibri" w:eastAsia="楷体_GB2312" w:cs="Calibri"/>
          <w:sz w:val="20"/>
          <w:szCs w:val="20"/>
          <w:lang w:val="en-US" w:eastAsia="zh-CN"/>
        </w:rPr>
      </w:pPr>
    </w:p>
    <w:p w14:paraId="572104F6">
      <w:pPr>
        <w:overflowPunct w:val="0"/>
        <w:ind w:left="3200" w:leftChars="2000"/>
        <w:jc w:val="both"/>
        <w:rPr>
          <w:rFonts w:hint="default" w:ascii="Calibri" w:hAnsi="Calibri" w:eastAsia="楷体_GB2312" w:cs="Calibri"/>
          <w:sz w:val="20"/>
          <w:szCs w:val="20"/>
          <w:lang w:val="en-US" w:eastAsia="zh-CN"/>
        </w:rPr>
      </w:pPr>
    </w:p>
    <w:p w14:paraId="42DE4BC8">
      <w:pPr>
        <w:overflowPunct w:val="0"/>
        <w:ind w:left="3200" w:leftChars="2000"/>
        <w:jc w:val="both"/>
        <w:rPr>
          <w:rFonts w:hint="default" w:ascii="Calibri" w:hAnsi="Calibri" w:eastAsia="楷体_GB2312" w:cs="Calibri"/>
          <w:sz w:val="20"/>
          <w:szCs w:val="20"/>
          <w:lang w:val="en-US" w:eastAsia="zh-CN"/>
        </w:rPr>
      </w:pPr>
    </w:p>
    <w:p w14:paraId="1BCE29B6">
      <w:pPr>
        <w:overflowPunct w:val="0"/>
        <w:ind w:left="3200" w:leftChars="2000"/>
        <w:jc w:val="both"/>
        <w:rPr>
          <w:rFonts w:hint="default" w:ascii="Calibri" w:hAnsi="Calibri" w:eastAsia="楷体_GB2312" w:cs="Calibri"/>
          <w:sz w:val="20"/>
          <w:szCs w:val="20"/>
          <w:lang w:val="en-US" w:eastAsia="zh-CN"/>
        </w:rPr>
      </w:pPr>
    </w:p>
    <w:p w14:paraId="01A60C87">
      <w:pPr>
        <w:overflowPunct w:val="0"/>
        <w:jc w:val="both"/>
        <w:rPr>
          <w:rFonts w:hint="default" w:ascii="Calibri" w:hAnsi="Calibri" w:eastAsia="楷体_GB2312" w:cs="Calibri"/>
          <w:sz w:val="20"/>
          <w:szCs w:val="20"/>
          <w:lang w:val="en-US" w:eastAsia="zh-CN"/>
        </w:rPr>
      </w:pPr>
    </w:p>
    <w:tbl>
      <w:tblPr>
        <w:tblStyle w:val="26"/>
        <w:tblW w:w="10490" w:type="dxa"/>
        <w:tblInd w:w="384" w:type="dxa"/>
        <w:tblLayout w:type="fixed"/>
        <w:tblCellMar>
          <w:top w:w="0" w:type="dxa"/>
          <w:left w:w="108" w:type="dxa"/>
          <w:bottom w:w="0" w:type="dxa"/>
          <w:right w:w="108" w:type="dxa"/>
        </w:tblCellMar>
      </w:tblPr>
      <w:tblGrid>
        <w:gridCol w:w="5103"/>
        <w:gridCol w:w="238"/>
        <w:gridCol w:w="5149"/>
      </w:tblGrid>
      <w:tr w14:paraId="343A0D3C">
        <w:tblPrEx>
          <w:tblCellMar>
            <w:top w:w="0" w:type="dxa"/>
            <w:left w:w="108" w:type="dxa"/>
            <w:bottom w:w="0" w:type="dxa"/>
            <w:right w:w="108" w:type="dxa"/>
          </w:tblCellMar>
        </w:tblPrEx>
        <w:trPr>
          <w:trHeight w:val="227" w:hRule="atLeast"/>
        </w:trPr>
        <w:tc>
          <w:tcPr>
            <w:tcW w:w="5103" w:type="dxa"/>
            <w:tcBorders>
              <w:top w:val="nil"/>
              <w:left w:val="nil"/>
              <w:bottom w:val="single" w:color="auto" w:sz="4" w:space="0"/>
              <w:right w:val="nil"/>
            </w:tcBorders>
            <w:tcMar>
              <w:top w:w="0" w:type="dxa"/>
              <w:left w:w="0" w:type="dxa"/>
              <w:bottom w:w="0" w:type="dxa"/>
              <w:right w:w="28" w:type="dxa"/>
            </w:tcMar>
          </w:tcPr>
          <w:p w14:paraId="00EA2076">
            <w:pPr>
              <w:overflowPunct w:val="0"/>
              <w:rPr>
                <w:rFonts w:hint="default" w:ascii="Calibri" w:hAnsi="Calibri" w:eastAsia="楷体_GB2312" w:cs="Calibri"/>
                <w:b/>
                <w:sz w:val="18"/>
                <w:szCs w:val="18"/>
                <w:lang w:val="zh-CN"/>
              </w:rPr>
            </w:pPr>
            <w:r>
              <w:rPr>
                <w:rFonts w:hint="default" w:ascii="Calibri" w:hAnsi="Calibri" w:eastAsia="楷体_GB2312" w:cs="Calibri"/>
                <w:b/>
                <w:sz w:val="18"/>
                <w:szCs w:val="18"/>
                <w:lang w:val="zh-CN"/>
              </w:rPr>
              <w:t>图</w:t>
            </w:r>
            <w:r>
              <w:rPr>
                <w:rFonts w:hint="eastAsia" w:eastAsia="楷体_GB2312" w:cs="Calibri"/>
                <w:b/>
                <w:sz w:val="18"/>
                <w:szCs w:val="18"/>
                <w:lang w:val="en-US" w:eastAsia="zh-CN"/>
              </w:rPr>
              <w:t>33</w:t>
            </w:r>
            <w:r>
              <w:rPr>
                <w:rFonts w:hint="default" w:ascii="Calibri" w:hAnsi="Calibri" w:eastAsia="楷体_GB2312" w:cs="Calibri"/>
                <w:b/>
                <w:sz w:val="18"/>
                <w:szCs w:val="18"/>
                <w:lang w:val="zh-CN"/>
              </w:rPr>
              <w:t>：亨利港天然气现货价格（美元/百万英热）</w:t>
            </w:r>
          </w:p>
        </w:tc>
        <w:tc>
          <w:tcPr>
            <w:tcW w:w="238" w:type="dxa"/>
            <w:tcBorders>
              <w:top w:val="nil"/>
              <w:left w:val="nil"/>
              <w:bottom w:val="nil"/>
              <w:right w:val="nil"/>
            </w:tcBorders>
            <w:tcMar>
              <w:top w:w="0" w:type="dxa"/>
              <w:left w:w="0" w:type="dxa"/>
              <w:bottom w:w="0" w:type="dxa"/>
              <w:right w:w="28" w:type="dxa"/>
            </w:tcMar>
          </w:tcPr>
          <w:p w14:paraId="7361CF78">
            <w:pPr>
              <w:overflowPunct w:val="0"/>
              <w:rPr>
                <w:rFonts w:hint="default" w:ascii="Calibri" w:hAnsi="Calibri" w:eastAsia="楷体_GB2312" w:cs="Calibri"/>
                <w:b/>
                <w:sz w:val="18"/>
                <w:szCs w:val="18"/>
                <w:lang w:val="zh-CN"/>
              </w:rPr>
            </w:pPr>
            <w:r>
              <w:rPr>
                <w:rFonts w:hint="default" w:ascii="Calibri" w:hAnsi="Calibri" w:eastAsia="楷体_GB2312" w:cs="Calibri"/>
                <w:b/>
                <w:sz w:val="18"/>
                <w:szCs w:val="18"/>
                <w:lang w:val="zh-CN"/>
              </w:rPr>
              <w:t xml:space="preserve">         </w:t>
            </w:r>
          </w:p>
        </w:tc>
        <w:tc>
          <w:tcPr>
            <w:tcW w:w="5149" w:type="dxa"/>
            <w:tcBorders>
              <w:top w:val="nil"/>
              <w:left w:val="nil"/>
              <w:bottom w:val="single" w:color="auto" w:sz="4" w:space="0"/>
              <w:right w:val="nil"/>
            </w:tcBorders>
            <w:tcMar>
              <w:top w:w="0" w:type="dxa"/>
              <w:left w:w="0" w:type="dxa"/>
              <w:bottom w:w="0" w:type="dxa"/>
              <w:right w:w="28" w:type="dxa"/>
            </w:tcMar>
          </w:tcPr>
          <w:p w14:paraId="143EE550">
            <w:pPr>
              <w:overflowPunct w:val="0"/>
              <w:rPr>
                <w:rFonts w:hint="default" w:ascii="Calibri" w:hAnsi="Calibri" w:eastAsia="楷体_GB2312" w:cs="Calibri"/>
                <w:b/>
                <w:sz w:val="18"/>
                <w:szCs w:val="18"/>
                <w:lang w:val="zh-CN"/>
              </w:rPr>
            </w:pPr>
            <w:r>
              <w:rPr>
                <w:rFonts w:hint="default" w:ascii="Calibri" w:hAnsi="Calibri" w:eastAsia="楷体_GB2312" w:cs="Calibri"/>
                <w:b/>
                <w:sz w:val="18"/>
                <w:szCs w:val="18"/>
                <w:lang w:val="zh-CN"/>
              </w:rPr>
              <w:t>图</w:t>
            </w:r>
            <w:r>
              <w:rPr>
                <w:rFonts w:hint="eastAsia" w:eastAsia="楷体_GB2312" w:cs="Calibri"/>
                <w:b/>
                <w:sz w:val="18"/>
                <w:szCs w:val="18"/>
                <w:lang w:val="en-US" w:eastAsia="zh-CN"/>
              </w:rPr>
              <w:t>34</w:t>
            </w:r>
            <w:r>
              <w:rPr>
                <w:rFonts w:hint="default" w:ascii="Calibri" w:hAnsi="Calibri" w:eastAsia="楷体_GB2312" w:cs="Calibri"/>
                <w:b/>
                <w:sz w:val="18"/>
                <w:szCs w:val="18"/>
                <w:lang w:val="zh-CN"/>
              </w:rPr>
              <w:t>：美国气温预期</w:t>
            </w:r>
          </w:p>
        </w:tc>
      </w:tr>
      <w:tr w14:paraId="25049828">
        <w:tblPrEx>
          <w:tblCellMar>
            <w:top w:w="0" w:type="dxa"/>
            <w:left w:w="108" w:type="dxa"/>
            <w:bottom w:w="0" w:type="dxa"/>
            <w:right w:w="108" w:type="dxa"/>
          </w:tblCellMar>
        </w:tblPrEx>
        <w:trPr>
          <w:trHeight w:val="2902" w:hRule="atLeast"/>
        </w:trPr>
        <w:tc>
          <w:tcPr>
            <w:tcW w:w="5103" w:type="dxa"/>
            <w:tcBorders>
              <w:top w:val="single" w:color="auto" w:sz="4" w:space="0"/>
              <w:left w:val="nil"/>
              <w:bottom w:val="single" w:color="auto" w:sz="4" w:space="0"/>
              <w:right w:val="nil"/>
            </w:tcBorders>
            <w:vAlign w:val="center"/>
          </w:tcPr>
          <w:p w14:paraId="7704CB0C">
            <w:pPr>
              <w:overflowPunct w:val="0"/>
              <w:spacing w:before="48" w:beforeLines="20" w:after="48" w:afterLines="20"/>
              <w:jc w:val="center"/>
              <w:textAlignment w:val="center"/>
              <w:rPr>
                <w:rFonts w:hint="default" w:ascii="Calibri" w:hAnsi="Calibri" w:eastAsia="楷体_GB2312" w:cs="Calibri"/>
                <w:b/>
                <w:color w:val="000000"/>
                <w:sz w:val="15"/>
                <w:szCs w:val="15"/>
              </w:rPr>
            </w:pPr>
            <w:r>
              <w:rPr>
                <w:rFonts w:hint="default" w:ascii="Calibri" w:hAnsi="Calibri" w:eastAsia="楷体_GB2312" w:cs="Calibri"/>
                <w:b/>
                <w:color w:val="000000"/>
                <w:sz w:val="15"/>
                <w:szCs w:val="15"/>
              </w:rPr>
              <w:drawing>
                <wp:inline distT="0" distB="0" distL="0" distR="0">
                  <wp:extent cx="3103245" cy="2103120"/>
                  <wp:effectExtent l="0" t="0" r="1905" b="0"/>
                  <wp:docPr id="7007027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02798" name="图片 1"/>
                          <pic:cNvPicPr>
                            <a:picLocks noChangeAspect="1"/>
                          </pic:cNvPicPr>
                        </pic:nvPicPr>
                        <pic:blipFill>
                          <a:blip r:embed="rId50"/>
                          <a:stretch>
                            <a:fillRect/>
                          </a:stretch>
                        </pic:blipFill>
                        <pic:spPr>
                          <a:xfrm>
                            <a:off x="0" y="0"/>
                            <a:ext cx="3103245" cy="2103120"/>
                          </a:xfrm>
                          <a:prstGeom prst="rect">
                            <a:avLst/>
                          </a:prstGeom>
                        </pic:spPr>
                      </pic:pic>
                    </a:graphicData>
                  </a:graphic>
                </wp:inline>
              </w:drawing>
            </w:r>
          </w:p>
        </w:tc>
        <w:tc>
          <w:tcPr>
            <w:tcW w:w="238" w:type="dxa"/>
            <w:tcBorders>
              <w:top w:val="nil"/>
              <w:left w:val="nil"/>
              <w:bottom w:val="nil"/>
              <w:right w:val="nil"/>
            </w:tcBorders>
          </w:tcPr>
          <w:p w14:paraId="4045C47A">
            <w:pPr>
              <w:overflowPunct w:val="0"/>
              <w:spacing w:before="48" w:beforeLines="20" w:after="48" w:afterLines="20"/>
              <w:rPr>
                <w:rFonts w:hint="default" w:ascii="Calibri" w:hAnsi="Calibri" w:eastAsia="楷体_GB2312" w:cs="Calibri"/>
                <w:sz w:val="15"/>
                <w:szCs w:val="15"/>
              </w:rPr>
            </w:pPr>
          </w:p>
        </w:tc>
        <w:tc>
          <w:tcPr>
            <w:tcW w:w="5149" w:type="dxa"/>
            <w:tcBorders>
              <w:top w:val="single" w:color="auto" w:sz="4" w:space="0"/>
              <w:left w:val="nil"/>
              <w:bottom w:val="single" w:color="auto" w:sz="4" w:space="0"/>
              <w:right w:val="nil"/>
            </w:tcBorders>
          </w:tcPr>
          <w:p w14:paraId="7B83B60E">
            <w:pPr>
              <w:overflowPunct w:val="0"/>
              <w:spacing w:before="48" w:beforeLines="20" w:after="48" w:afterLines="20"/>
              <w:rPr>
                <w:rFonts w:hint="default" w:ascii="Calibri" w:hAnsi="Calibri" w:eastAsia="楷体_GB2312" w:cs="Calibri"/>
                <w:b/>
                <w:sz w:val="15"/>
                <w:szCs w:val="15"/>
              </w:rPr>
            </w:pPr>
          </w:p>
          <w:p w14:paraId="1D09ECA4">
            <w:pPr>
              <w:overflowPunct w:val="0"/>
              <w:spacing w:before="48" w:beforeLines="20" w:after="48" w:afterLines="20"/>
              <w:jc w:val="center"/>
              <w:rPr>
                <w:rFonts w:hint="default" w:ascii="Calibri" w:hAnsi="Calibri" w:eastAsia="楷体_GB2312" w:cs="Calibri"/>
                <w:b/>
                <w:sz w:val="15"/>
                <w:szCs w:val="15"/>
              </w:rPr>
            </w:pPr>
            <w:r>
              <w:rPr>
                <w:rFonts w:hint="default" w:ascii="Calibri" w:hAnsi="Calibri" w:eastAsia="楷体_GB2312" w:cs="Calibri"/>
              </w:rPr>
              <w:drawing>
                <wp:inline distT="0" distB="0" distL="0" distR="0">
                  <wp:extent cx="3132455" cy="1762760"/>
                  <wp:effectExtent l="0" t="0" r="0" b="8890"/>
                  <wp:docPr id="1342576947" name="图片 6" descr="Most recent reported temperatures around the contiguous 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76947" name="图片 6" descr="Most recent reported temperatures around the contiguous US."/>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3132455" cy="1762760"/>
                          </a:xfrm>
                          <a:prstGeom prst="rect">
                            <a:avLst/>
                          </a:prstGeom>
                          <a:noFill/>
                          <a:ln>
                            <a:noFill/>
                          </a:ln>
                        </pic:spPr>
                      </pic:pic>
                    </a:graphicData>
                  </a:graphic>
                </wp:inline>
              </w:drawing>
            </w:r>
          </w:p>
        </w:tc>
      </w:tr>
      <w:tr w14:paraId="0F34E7B5">
        <w:tblPrEx>
          <w:tblCellMar>
            <w:top w:w="0" w:type="dxa"/>
            <w:left w:w="108" w:type="dxa"/>
            <w:bottom w:w="0" w:type="dxa"/>
            <w:right w:w="108" w:type="dxa"/>
          </w:tblCellMar>
        </w:tblPrEx>
        <w:tc>
          <w:tcPr>
            <w:tcW w:w="5103" w:type="dxa"/>
            <w:tcBorders>
              <w:top w:val="single" w:color="auto" w:sz="4" w:space="0"/>
              <w:left w:val="nil"/>
              <w:bottom w:val="nil"/>
              <w:right w:val="nil"/>
            </w:tcBorders>
            <w:tcMar>
              <w:top w:w="0" w:type="dxa"/>
              <w:left w:w="0" w:type="dxa"/>
              <w:bottom w:w="0" w:type="dxa"/>
              <w:right w:w="28" w:type="dxa"/>
            </w:tcMar>
            <w:vAlign w:val="center"/>
          </w:tcPr>
          <w:p w14:paraId="1AB6B1E3">
            <w:pPr>
              <w:overflowPunct w:val="0"/>
              <w:spacing w:before="48" w:beforeLines="20" w:after="48" w:afterLines="20"/>
              <w:textAlignment w:val="center"/>
              <w:rPr>
                <w:rFonts w:hint="default" w:ascii="Calibri" w:hAnsi="Calibri" w:eastAsia="楷体_GB2312" w:cs="Calibri"/>
                <w:sz w:val="10"/>
                <w:szCs w:val="10"/>
              </w:rPr>
            </w:pPr>
            <w:r>
              <w:rPr>
                <w:rFonts w:hint="default" w:ascii="Calibri" w:hAnsi="Calibri" w:eastAsia="楷体_GB2312" w:cs="Calibri"/>
                <w:i/>
                <w:iCs/>
                <w:lang w:val="zh-CN"/>
              </w:rPr>
              <w:t>资料来源：</w:t>
            </w:r>
            <w:r>
              <w:rPr>
                <w:rFonts w:hint="default" w:ascii="Calibri" w:hAnsi="Calibri" w:eastAsia="楷体_GB2312" w:cs="Calibri"/>
                <w:i/>
                <w:iCs/>
              </w:rPr>
              <w:t>Wind</w:t>
            </w:r>
            <w:r>
              <w:rPr>
                <w:rFonts w:hint="default" w:ascii="Calibri" w:hAnsi="Calibri" w:eastAsia="楷体_GB2312" w:cs="Calibri"/>
                <w:i/>
                <w:iCs/>
                <w:lang w:val="zh-CN"/>
              </w:rPr>
              <w:t>，HFI</w:t>
            </w:r>
          </w:p>
        </w:tc>
        <w:tc>
          <w:tcPr>
            <w:tcW w:w="238" w:type="dxa"/>
            <w:tcBorders>
              <w:top w:val="nil"/>
              <w:left w:val="nil"/>
              <w:bottom w:val="nil"/>
              <w:right w:val="nil"/>
            </w:tcBorders>
            <w:tcMar>
              <w:top w:w="0" w:type="dxa"/>
              <w:left w:w="0" w:type="dxa"/>
              <w:bottom w:w="0" w:type="dxa"/>
              <w:right w:w="28" w:type="dxa"/>
            </w:tcMar>
          </w:tcPr>
          <w:p w14:paraId="0D972748">
            <w:pPr>
              <w:overflowPunct w:val="0"/>
              <w:spacing w:before="48" w:beforeLines="20" w:after="48" w:afterLines="20"/>
              <w:rPr>
                <w:rFonts w:hint="default" w:ascii="Calibri" w:hAnsi="Calibri" w:eastAsia="楷体_GB2312" w:cs="Calibri"/>
                <w:sz w:val="15"/>
                <w:szCs w:val="15"/>
              </w:rPr>
            </w:pPr>
          </w:p>
        </w:tc>
        <w:tc>
          <w:tcPr>
            <w:tcW w:w="5149" w:type="dxa"/>
            <w:tcBorders>
              <w:top w:val="single" w:color="auto" w:sz="4" w:space="0"/>
              <w:left w:val="nil"/>
              <w:bottom w:val="nil"/>
              <w:right w:val="nil"/>
            </w:tcBorders>
            <w:tcMar>
              <w:top w:w="0" w:type="dxa"/>
              <w:left w:w="0" w:type="dxa"/>
              <w:bottom w:w="0" w:type="dxa"/>
              <w:right w:w="28" w:type="dxa"/>
            </w:tcMar>
          </w:tcPr>
          <w:p w14:paraId="59FEDCB6">
            <w:pPr>
              <w:overflowPunct w:val="0"/>
              <w:spacing w:before="48" w:beforeLines="20" w:after="48" w:afterLines="20"/>
              <w:rPr>
                <w:rFonts w:hint="default" w:ascii="Calibri" w:hAnsi="Calibri" w:eastAsia="楷体_GB2312" w:cs="Calibri"/>
                <w:sz w:val="10"/>
                <w:szCs w:val="10"/>
              </w:rPr>
            </w:pPr>
            <w:r>
              <w:rPr>
                <w:rFonts w:hint="default" w:ascii="Calibri" w:hAnsi="Calibri" w:eastAsia="楷体_GB2312" w:cs="Calibri"/>
                <w:i/>
                <w:iCs/>
                <w:lang w:val="zh-CN"/>
              </w:rPr>
              <w:t>资料来源：</w:t>
            </w:r>
            <w:r>
              <w:rPr>
                <w:rFonts w:hint="default" w:ascii="Calibri" w:hAnsi="Calibri" w:eastAsia="楷体_GB2312" w:cs="Calibri"/>
                <w:i/>
                <w:iCs/>
              </w:rPr>
              <w:t>NDFD</w:t>
            </w:r>
            <w:r>
              <w:rPr>
                <w:rFonts w:hint="default" w:ascii="Calibri" w:hAnsi="Calibri" w:eastAsia="楷体_GB2312" w:cs="Calibri"/>
                <w:i/>
                <w:iCs/>
                <w:lang w:val="zh-CN"/>
              </w:rPr>
              <w:t>，HFI</w:t>
            </w:r>
          </w:p>
        </w:tc>
      </w:tr>
    </w:tbl>
    <w:p w14:paraId="148E8957">
      <w:pPr>
        <w:overflowPunct w:val="0"/>
        <w:rPr>
          <w:rFonts w:hint="default" w:ascii="Calibri" w:hAnsi="Calibri" w:eastAsia="楷体_GB2312" w:cs="Calibri"/>
          <w:b/>
          <w:sz w:val="18"/>
          <w:szCs w:val="18"/>
          <w:lang w:val="zh-CN"/>
        </w:rPr>
      </w:pPr>
    </w:p>
    <w:p w14:paraId="722CF46E">
      <w:pPr>
        <w:overflowPunct w:val="0"/>
        <w:rPr>
          <w:rFonts w:hint="default" w:ascii="Calibri" w:hAnsi="Calibri" w:eastAsia="楷体_GB2312" w:cs="Calibri"/>
          <w:b/>
          <w:sz w:val="18"/>
          <w:szCs w:val="18"/>
          <w:lang w:val="zh-CN"/>
        </w:rPr>
      </w:pPr>
    </w:p>
    <w:p w14:paraId="6C216808">
      <w:pPr>
        <w:overflowPunct w:val="0"/>
        <w:rPr>
          <w:rFonts w:hint="default" w:ascii="Calibri" w:hAnsi="Calibri" w:eastAsia="楷体_GB2312" w:cs="Calibri"/>
          <w:b/>
          <w:sz w:val="18"/>
          <w:szCs w:val="18"/>
          <w:lang w:val="zh-CN"/>
        </w:rPr>
      </w:pPr>
    </w:p>
    <w:tbl>
      <w:tblPr>
        <w:tblStyle w:val="26"/>
        <w:tblW w:w="10490" w:type="dxa"/>
        <w:tblInd w:w="384" w:type="dxa"/>
        <w:tblLayout w:type="fixed"/>
        <w:tblCellMar>
          <w:top w:w="0" w:type="dxa"/>
          <w:left w:w="108" w:type="dxa"/>
          <w:bottom w:w="0" w:type="dxa"/>
          <w:right w:w="108" w:type="dxa"/>
        </w:tblCellMar>
      </w:tblPr>
      <w:tblGrid>
        <w:gridCol w:w="5103"/>
        <w:gridCol w:w="238"/>
        <w:gridCol w:w="5149"/>
      </w:tblGrid>
      <w:tr w14:paraId="697EB5E6">
        <w:tblPrEx>
          <w:tblCellMar>
            <w:top w:w="0" w:type="dxa"/>
            <w:left w:w="108" w:type="dxa"/>
            <w:bottom w:w="0" w:type="dxa"/>
            <w:right w:w="108" w:type="dxa"/>
          </w:tblCellMar>
        </w:tblPrEx>
        <w:trPr>
          <w:trHeight w:val="227" w:hRule="atLeast"/>
        </w:trPr>
        <w:tc>
          <w:tcPr>
            <w:tcW w:w="5103" w:type="dxa"/>
            <w:tcBorders>
              <w:top w:val="nil"/>
              <w:left w:val="nil"/>
              <w:bottom w:val="single" w:color="auto" w:sz="4" w:space="0"/>
              <w:right w:val="nil"/>
            </w:tcBorders>
            <w:tcMar>
              <w:top w:w="0" w:type="dxa"/>
              <w:left w:w="0" w:type="dxa"/>
              <w:bottom w:w="0" w:type="dxa"/>
              <w:right w:w="28" w:type="dxa"/>
            </w:tcMar>
          </w:tcPr>
          <w:p w14:paraId="48416B76">
            <w:pPr>
              <w:overflowPunct w:val="0"/>
              <w:rPr>
                <w:rFonts w:hint="default" w:ascii="Calibri" w:hAnsi="Calibri" w:eastAsia="楷体_GB2312" w:cs="Calibri"/>
                <w:b/>
                <w:sz w:val="18"/>
                <w:szCs w:val="18"/>
                <w:lang w:val="zh-CN"/>
              </w:rPr>
            </w:pPr>
            <w:r>
              <w:rPr>
                <w:rFonts w:hint="default" w:ascii="Calibri" w:hAnsi="Calibri" w:eastAsia="楷体_GB2312" w:cs="Calibri"/>
                <w:b/>
                <w:sz w:val="18"/>
                <w:szCs w:val="18"/>
                <w:lang w:val="zh-CN"/>
              </w:rPr>
              <w:t>图</w:t>
            </w:r>
            <w:r>
              <w:rPr>
                <w:rFonts w:hint="eastAsia" w:eastAsia="楷体_GB2312" w:cs="Calibri"/>
                <w:b/>
                <w:sz w:val="18"/>
                <w:szCs w:val="18"/>
                <w:lang w:val="en-US" w:eastAsia="zh-CN"/>
              </w:rPr>
              <w:t>35</w:t>
            </w:r>
            <w:r>
              <w:rPr>
                <w:rFonts w:hint="default" w:ascii="Calibri" w:hAnsi="Calibri" w:eastAsia="楷体_GB2312" w:cs="Calibri"/>
                <w:b/>
                <w:sz w:val="18"/>
                <w:szCs w:val="18"/>
                <w:lang w:val="zh-CN"/>
              </w:rPr>
              <w:t>：美国天然气亨利港期货价格 （美元/百万英热）</w:t>
            </w:r>
          </w:p>
        </w:tc>
        <w:tc>
          <w:tcPr>
            <w:tcW w:w="238" w:type="dxa"/>
            <w:tcBorders>
              <w:top w:val="nil"/>
              <w:left w:val="nil"/>
              <w:bottom w:val="nil"/>
              <w:right w:val="nil"/>
            </w:tcBorders>
            <w:tcMar>
              <w:top w:w="0" w:type="dxa"/>
              <w:left w:w="0" w:type="dxa"/>
              <w:bottom w:w="0" w:type="dxa"/>
              <w:right w:w="28" w:type="dxa"/>
            </w:tcMar>
          </w:tcPr>
          <w:p w14:paraId="16F85E34">
            <w:pPr>
              <w:overflowPunct w:val="0"/>
              <w:rPr>
                <w:rFonts w:hint="default" w:ascii="Calibri" w:hAnsi="Calibri" w:eastAsia="楷体_GB2312" w:cs="Calibri"/>
                <w:b/>
                <w:sz w:val="18"/>
                <w:szCs w:val="18"/>
                <w:lang w:val="zh-CN"/>
              </w:rPr>
            </w:pPr>
            <w:r>
              <w:rPr>
                <w:rFonts w:hint="default" w:ascii="Calibri" w:hAnsi="Calibri" w:eastAsia="楷体_GB2312" w:cs="Calibri"/>
                <w:b/>
                <w:sz w:val="18"/>
                <w:szCs w:val="18"/>
                <w:lang w:val="zh-CN"/>
              </w:rPr>
              <w:t xml:space="preserve">         </w:t>
            </w:r>
          </w:p>
        </w:tc>
        <w:tc>
          <w:tcPr>
            <w:tcW w:w="5149" w:type="dxa"/>
            <w:tcBorders>
              <w:top w:val="nil"/>
              <w:left w:val="nil"/>
              <w:bottom w:val="single" w:color="auto" w:sz="4" w:space="0"/>
              <w:right w:val="nil"/>
            </w:tcBorders>
            <w:tcMar>
              <w:top w:w="0" w:type="dxa"/>
              <w:left w:w="0" w:type="dxa"/>
              <w:bottom w:w="0" w:type="dxa"/>
              <w:right w:w="28" w:type="dxa"/>
            </w:tcMar>
          </w:tcPr>
          <w:p w14:paraId="01CFFF4A">
            <w:pPr>
              <w:overflowPunct w:val="0"/>
              <w:rPr>
                <w:rFonts w:hint="default" w:ascii="Calibri" w:hAnsi="Calibri" w:eastAsia="楷体_GB2312" w:cs="Calibri"/>
                <w:b/>
                <w:sz w:val="18"/>
                <w:szCs w:val="18"/>
                <w:lang w:val="zh-CN"/>
              </w:rPr>
            </w:pPr>
            <w:r>
              <w:rPr>
                <w:rFonts w:hint="default" w:ascii="Calibri" w:hAnsi="Calibri" w:eastAsia="楷体_GB2312" w:cs="Calibri"/>
                <w:b/>
                <w:sz w:val="18"/>
                <w:szCs w:val="18"/>
                <w:lang w:val="zh-CN"/>
              </w:rPr>
              <w:t>图</w:t>
            </w:r>
            <w:r>
              <w:rPr>
                <w:rFonts w:hint="eastAsia" w:eastAsia="楷体_GB2312" w:cs="Calibri"/>
                <w:b/>
                <w:sz w:val="18"/>
                <w:szCs w:val="18"/>
                <w:lang w:val="en-US" w:eastAsia="zh-CN"/>
              </w:rPr>
              <w:t>36</w:t>
            </w:r>
            <w:r>
              <w:rPr>
                <w:rFonts w:hint="default" w:ascii="Calibri" w:hAnsi="Calibri" w:eastAsia="楷体_GB2312" w:cs="Calibri"/>
                <w:b/>
                <w:sz w:val="18"/>
                <w:szCs w:val="18"/>
                <w:lang w:val="zh-CN"/>
              </w:rPr>
              <w:t>：美国天然气期货合约成交量</w:t>
            </w:r>
          </w:p>
        </w:tc>
      </w:tr>
      <w:tr w14:paraId="1EC79F35">
        <w:tblPrEx>
          <w:tblCellMar>
            <w:top w:w="0" w:type="dxa"/>
            <w:left w:w="108" w:type="dxa"/>
            <w:bottom w:w="0" w:type="dxa"/>
            <w:right w:w="108" w:type="dxa"/>
          </w:tblCellMar>
        </w:tblPrEx>
        <w:trPr>
          <w:trHeight w:val="90" w:hRule="atLeast"/>
        </w:trPr>
        <w:tc>
          <w:tcPr>
            <w:tcW w:w="5103" w:type="dxa"/>
            <w:tcBorders>
              <w:top w:val="single" w:color="auto" w:sz="4" w:space="0"/>
              <w:left w:val="nil"/>
              <w:bottom w:val="single" w:color="auto" w:sz="4" w:space="0"/>
              <w:right w:val="nil"/>
            </w:tcBorders>
            <w:vAlign w:val="center"/>
          </w:tcPr>
          <w:p w14:paraId="360B99EA">
            <w:pPr>
              <w:overflowPunct w:val="0"/>
              <w:spacing w:before="48" w:beforeLines="20" w:after="48" w:afterLines="20"/>
              <w:jc w:val="center"/>
              <w:textAlignment w:val="center"/>
              <w:rPr>
                <w:rFonts w:hint="default" w:ascii="Calibri" w:hAnsi="Calibri" w:eastAsia="楷体_GB2312" w:cs="Calibri"/>
                <w:b/>
                <w:color w:val="000000"/>
                <w:sz w:val="15"/>
                <w:szCs w:val="15"/>
              </w:rPr>
            </w:pPr>
            <w:r>
              <w:rPr>
                <w:rFonts w:hint="default" w:ascii="Calibri" w:hAnsi="Calibri" w:eastAsia="楷体_GB2312" w:cs="Calibri"/>
                <w:b/>
                <w:color w:val="000000"/>
                <w:sz w:val="15"/>
                <w:szCs w:val="15"/>
              </w:rPr>
              <w:drawing>
                <wp:inline distT="0" distB="0" distL="0" distR="0">
                  <wp:extent cx="3103245" cy="1437640"/>
                  <wp:effectExtent l="0" t="0" r="1905" b="0"/>
                  <wp:docPr id="21033200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20010" name="图片 1"/>
                          <pic:cNvPicPr>
                            <a:picLocks noChangeAspect="1"/>
                          </pic:cNvPicPr>
                        </pic:nvPicPr>
                        <pic:blipFill>
                          <a:blip r:embed="rId52"/>
                          <a:stretch>
                            <a:fillRect/>
                          </a:stretch>
                        </pic:blipFill>
                        <pic:spPr>
                          <a:xfrm>
                            <a:off x="0" y="0"/>
                            <a:ext cx="3103245" cy="1437640"/>
                          </a:xfrm>
                          <a:prstGeom prst="rect">
                            <a:avLst/>
                          </a:prstGeom>
                        </pic:spPr>
                      </pic:pic>
                    </a:graphicData>
                  </a:graphic>
                </wp:inline>
              </w:drawing>
            </w:r>
          </w:p>
        </w:tc>
        <w:tc>
          <w:tcPr>
            <w:tcW w:w="238" w:type="dxa"/>
            <w:tcBorders>
              <w:top w:val="nil"/>
              <w:left w:val="nil"/>
              <w:bottom w:val="nil"/>
              <w:right w:val="nil"/>
            </w:tcBorders>
          </w:tcPr>
          <w:p w14:paraId="7EACDA27">
            <w:pPr>
              <w:overflowPunct w:val="0"/>
              <w:spacing w:before="48" w:beforeLines="20" w:after="48" w:afterLines="20"/>
              <w:rPr>
                <w:rFonts w:hint="default" w:ascii="Calibri" w:hAnsi="Calibri" w:eastAsia="楷体_GB2312" w:cs="Calibri"/>
                <w:sz w:val="15"/>
                <w:szCs w:val="15"/>
              </w:rPr>
            </w:pPr>
          </w:p>
        </w:tc>
        <w:tc>
          <w:tcPr>
            <w:tcW w:w="5149" w:type="dxa"/>
            <w:tcBorders>
              <w:top w:val="single" w:color="auto" w:sz="4" w:space="0"/>
              <w:left w:val="nil"/>
              <w:bottom w:val="single" w:color="auto" w:sz="4" w:space="0"/>
              <w:right w:val="nil"/>
            </w:tcBorders>
          </w:tcPr>
          <w:p w14:paraId="56CDC5B0">
            <w:pPr>
              <w:overflowPunct w:val="0"/>
              <w:spacing w:before="48" w:beforeLines="20" w:after="48" w:afterLines="20"/>
              <w:rPr>
                <w:rFonts w:hint="default" w:ascii="Calibri" w:hAnsi="Calibri" w:eastAsia="楷体_GB2312" w:cs="Calibri"/>
                <w:b/>
                <w:sz w:val="15"/>
                <w:szCs w:val="15"/>
              </w:rPr>
            </w:pPr>
          </w:p>
          <w:p w14:paraId="7A48FCA3">
            <w:pPr>
              <w:overflowPunct w:val="0"/>
              <w:spacing w:before="48" w:beforeLines="20" w:after="48" w:afterLines="20"/>
              <w:jc w:val="center"/>
              <w:rPr>
                <w:rFonts w:hint="default" w:ascii="Calibri" w:hAnsi="Calibri" w:eastAsia="楷体_GB2312" w:cs="Calibri"/>
                <w:b/>
                <w:sz w:val="15"/>
                <w:szCs w:val="15"/>
              </w:rPr>
            </w:pPr>
            <w:r>
              <w:rPr>
                <w:rFonts w:hint="default" w:ascii="Calibri" w:hAnsi="Calibri" w:eastAsia="楷体_GB2312" w:cs="Calibri"/>
                <w:b/>
                <w:sz w:val="15"/>
                <w:szCs w:val="15"/>
              </w:rPr>
              <w:drawing>
                <wp:inline distT="0" distB="0" distL="0" distR="0">
                  <wp:extent cx="3132455" cy="1767840"/>
                  <wp:effectExtent l="0" t="0" r="0" b="0"/>
                  <wp:docPr id="1277414501"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14501" name="图片 1" descr="图表, 条形图&#10;&#10;AI 生成的内容可能不正确。"/>
                          <pic:cNvPicPr>
                            <a:picLocks noChangeAspect="1"/>
                          </pic:cNvPicPr>
                        </pic:nvPicPr>
                        <pic:blipFill>
                          <a:blip r:embed="rId53">
                            <a:clrChange>
                              <a:clrFrom>
                                <a:srgbClr val="F1F5F7"/>
                              </a:clrFrom>
                              <a:clrTo>
                                <a:srgbClr val="F1F5F7">
                                  <a:alpha val="0"/>
                                </a:srgbClr>
                              </a:clrTo>
                            </a:clrChange>
                          </a:blip>
                          <a:stretch>
                            <a:fillRect/>
                          </a:stretch>
                        </pic:blipFill>
                        <pic:spPr>
                          <a:xfrm>
                            <a:off x="0" y="0"/>
                            <a:ext cx="3132455" cy="1767840"/>
                          </a:xfrm>
                          <a:prstGeom prst="rect">
                            <a:avLst/>
                          </a:prstGeom>
                        </pic:spPr>
                      </pic:pic>
                    </a:graphicData>
                  </a:graphic>
                </wp:inline>
              </w:drawing>
            </w:r>
          </w:p>
        </w:tc>
      </w:tr>
      <w:tr w14:paraId="389F6CF1">
        <w:tblPrEx>
          <w:tblCellMar>
            <w:top w:w="0" w:type="dxa"/>
            <w:left w:w="108" w:type="dxa"/>
            <w:bottom w:w="0" w:type="dxa"/>
            <w:right w:w="108" w:type="dxa"/>
          </w:tblCellMar>
        </w:tblPrEx>
        <w:tc>
          <w:tcPr>
            <w:tcW w:w="5103" w:type="dxa"/>
            <w:tcBorders>
              <w:top w:val="single" w:color="auto" w:sz="4" w:space="0"/>
              <w:left w:val="nil"/>
              <w:bottom w:val="nil"/>
              <w:right w:val="nil"/>
            </w:tcBorders>
            <w:tcMar>
              <w:top w:w="0" w:type="dxa"/>
              <w:left w:w="0" w:type="dxa"/>
              <w:bottom w:w="0" w:type="dxa"/>
              <w:right w:w="28" w:type="dxa"/>
            </w:tcMar>
            <w:vAlign w:val="center"/>
          </w:tcPr>
          <w:p w14:paraId="0E820823">
            <w:pPr>
              <w:overflowPunct w:val="0"/>
              <w:spacing w:before="48" w:beforeLines="20" w:after="48" w:afterLines="20"/>
              <w:textAlignment w:val="center"/>
              <w:rPr>
                <w:rFonts w:hint="default" w:ascii="Calibri" w:hAnsi="Calibri" w:eastAsia="楷体_GB2312" w:cs="Calibri"/>
                <w:sz w:val="10"/>
                <w:szCs w:val="10"/>
              </w:rPr>
            </w:pPr>
            <w:r>
              <w:rPr>
                <w:rFonts w:hint="default" w:ascii="Calibri" w:hAnsi="Calibri" w:eastAsia="楷体_GB2312" w:cs="Calibri"/>
                <w:i/>
                <w:iCs/>
                <w:lang w:val="zh-CN"/>
              </w:rPr>
              <w:t>资料来源：</w:t>
            </w:r>
            <w:r>
              <w:rPr>
                <w:rFonts w:hint="default" w:ascii="Calibri" w:hAnsi="Calibri" w:eastAsia="楷体_GB2312" w:cs="Calibri"/>
                <w:i/>
                <w:iCs/>
              </w:rPr>
              <w:t>Wind</w:t>
            </w:r>
            <w:r>
              <w:rPr>
                <w:rFonts w:hint="default" w:ascii="Calibri" w:hAnsi="Calibri" w:eastAsia="楷体_GB2312" w:cs="Calibri"/>
                <w:i/>
                <w:iCs/>
                <w:lang w:val="zh-CN"/>
              </w:rPr>
              <w:t>，HFI</w:t>
            </w:r>
          </w:p>
        </w:tc>
        <w:tc>
          <w:tcPr>
            <w:tcW w:w="238" w:type="dxa"/>
            <w:tcBorders>
              <w:top w:val="nil"/>
              <w:left w:val="nil"/>
              <w:bottom w:val="nil"/>
              <w:right w:val="nil"/>
            </w:tcBorders>
            <w:tcMar>
              <w:top w:w="0" w:type="dxa"/>
              <w:left w:w="0" w:type="dxa"/>
              <w:bottom w:w="0" w:type="dxa"/>
              <w:right w:w="28" w:type="dxa"/>
            </w:tcMar>
          </w:tcPr>
          <w:p w14:paraId="50477304">
            <w:pPr>
              <w:overflowPunct w:val="0"/>
              <w:spacing w:before="48" w:beforeLines="20" w:after="48" w:afterLines="20"/>
              <w:rPr>
                <w:rFonts w:hint="default" w:ascii="Calibri" w:hAnsi="Calibri" w:eastAsia="楷体_GB2312" w:cs="Calibri"/>
                <w:sz w:val="15"/>
                <w:szCs w:val="15"/>
              </w:rPr>
            </w:pPr>
          </w:p>
        </w:tc>
        <w:tc>
          <w:tcPr>
            <w:tcW w:w="5149" w:type="dxa"/>
            <w:tcBorders>
              <w:top w:val="single" w:color="auto" w:sz="4" w:space="0"/>
              <w:left w:val="nil"/>
              <w:bottom w:val="nil"/>
              <w:right w:val="nil"/>
            </w:tcBorders>
            <w:tcMar>
              <w:top w:w="0" w:type="dxa"/>
              <w:left w:w="0" w:type="dxa"/>
              <w:bottom w:w="0" w:type="dxa"/>
              <w:right w:w="28" w:type="dxa"/>
            </w:tcMar>
          </w:tcPr>
          <w:p w14:paraId="23ACD966">
            <w:pPr>
              <w:overflowPunct w:val="0"/>
              <w:spacing w:before="48" w:beforeLines="20" w:after="48" w:afterLines="20"/>
              <w:rPr>
                <w:rFonts w:hint="default" w:ascii="Calibri" w:hAnsi="Calibri" w:eastAsia="楷体_GB2312" w:cs="Calibri"/>
                <w:sz w:val="10"/>
                <w:szCs w:val="10"/>
              </w:rPr>
            </w:pPr>
            <w:r>
              <w:rPr>
                <w:rFonts w:hint="default" w:ascii="Calibri" w:hAnsi="Calibri" w:eastAsia="楷体_GB2312" w:cs="Calibri"/>
                <w:i/>
                <w:iCs/>
                <w:lang w:val="zh-CN"/>
              </w:rPr>
              <w:t>资料来源：</w:t>
            </w:r>
            <w:r>
              <w:rPr>
                <w:rFonts w:hint="default" w:ascii="Calibri" w:hAnsi="Calibri" w:eastAsia="楷体_GB2312" w:cs="Calibri"/>
                <w:i/>
                <w:iCs/>
              </w:rPr>
              <w:t>Wind</w:t>
            </w:r>
            <w:r>
              <w:rPr>
                <w:rFonts w:hint="default" w:ascii="Calibri" w:hAnsi="Calibri" w:eastAsia="楷体_GB2312" w:cs="Calibri"/>
                <w:i/>
                <w:iCs/>
                <w:lang w:val="zh-CN"/>
              </w:rPr>
              <w:t>，HFI</w:t>
            </w:r>
          </w:p>
        </w:tc>
      </w:tr>
    </w:tbl>
    <w:p w14:paraId="791CFBF7">
      <w:pPr>
        <w:overflowPunct w:val="0"/>
        <w:ind w:left="3200" w:leftChars="2000"/>
        <w:jc w:val="both"/>
        <w:rPr>
          <w:rFonts w:hint="default" w:ascii="Calibri" w:hAnsi="Calibri" w:eastAsia="楷体_GB2312" w:cs="Calibri"/>
          <w:sz w:val="20"/>
          <w:szCs w:val="20"/>
          <w:lang w:val="en-US" w:eastAsia="zh-CN"/>
        </w:rPr>
      </w:pPr>
    </w:p>
    <w:p w14:paraId="609BF295">
      <w:pPr>
        <w:overflowPunct w:val="0"/>
        <w:jc w:val="both"/>
        <w:rPr>
          <w:rFonts w:hint="default" w:ascii="Calibri" w:hAnsi="Calibri" w:eastAsia="楷体_GB2312" w:cs="Calibri"/>
          <w:sz w:val="20"/>
          <w:szCs w:val="20"/>
          <w:lang w:val="en-US" w:eastAsia="zh-CN"/>
        </w:rPr>
      </w:pPr>
    </w:p>
    <w:p w14:paraId="0B7F11CB">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rPr>
        <w:drawing>
          <wp:inline distT="0" distB="0" distL="114300" distR="114300">
            <wp:extent cx="5389880" cy="2749550"/>
            <wp:effectExtent l="0" t="0" r="0" b="0"/>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pic:cNvPicPr>
                  </pic:nvPicPr>
                  <pic:blipFill>
                    <a:blip r:embed="rId54"/>
                    <a:stretch>
                      <a:fillRect/>
                    </a:stretch>
                  </pic:blipFill>
                  <pic:spPr>
                    <a:xfrm>
                      <a:off x="0" y="0"/>
                      <a:ext cx="5389880" cy="2749550"/>
                    </a:xfrm>
                    <a:prstGeom prst="rect">
                      <a:avLst/>
                    </a:prstGeom>
                    <a:noFill/>
                    <a:ln>
                      <a:noFill/>
                    </a:ln>
                  </pic:spPr>
                </pic:pic>
              </a:graphicData>
            </a:graphic>
          </wp:inline>
        </w:drawing>
      </w:r>
    </w:p>
    <w:p w14:paraId="619245EB">
      <w:pPr>
        <w:overflowPunct w:val="0"/>
        <w:ind w:left="3200" w:leftChars="2000"/>
        <w:jc w:val="both"/>
        <w:outlineLvl w:val="0"/>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25" w:name="_Toc6477"/>
      <w:r>
        <w:rPr>
          <w:rFonts w:hint="default" w:ascii="Calibri" w:hAnsi="Calibri" w:eastAsia="楷体_GB2312" w:cs="Calibri"/>
          <w:b/>
          <w:bCs/>
          <w:color w:val="1F497D" w:themeColor="text2"/>
          <w:sz w:val="24"/>
          <w:szCs w:val="24"/>
          <w:lang w:val="en-US" w:eastAsia="zh-CN"/>
          <w14:textFill>
            <w14:solidFill>
              <w14:schemeClr w14:val="tx2"/>
            </w14:solidFill>
          </w14:textFill>
        </w:rPr>
        <w:t>五、 全球新材料</w:t>
      </w:r>
      <w:bookmarkEnd w:id="25"/>
    </w:p>
    <w:p w14:paraId="37F937E5">
      <w:pPr>
        <w:overflowPunct w:val="0"/>
        <w:ind w:left="3200" w:leftChars="2000"/>
        <w:jc w:val="both"/>
        <w:outlineLvl w:val="1"/>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26" w:name="_Toc80654777"/>
      <w:bookmarkStart w:id="27" w:name="_Toc3503"/>
      <w:r>
        <w:rPr>
          <w:rFonts w:hint="default" w:ascii="Calibri" w:hAnsi="Calibri" w:eastAsia="楷体_GB2312" w:cs="Calibri"/>
          <w:b/>
          <w:bCs/>
          <w:color w:val="1F497D" w:themeColor="text2"/>
          <w:sz w:val="24"/>
          <w:szCs w:val="24"/>
          <w:lang w:val="en-US" w:eastAsia="zh-CN"/>
          <w14:textFill>
            <w14:solidFill>
              <w14:schemeClr w14:val="tx2"/>
            </w14:solidFill>
          </w14:textFill>
        </w:rPr>
        <w:t>（一）天然铀</w:t>
      </w:r>
      <w:bookmarkEnd w:id="26"/>
      <w:bookmarkEnd w:id="27"/>
    </w:p>
    <w:p w14:paraId="70FD5E74">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12月全球铀实际市场价格稳中微增。根据国际货币基金组织统计，2025年12月全球铀实际市场价格为63.51美元/磅，环比+2.0%，同比+5.5%。根据Global Electricity预测，全球铀需求预计在2026年增长27%，主要受能源安全需求和核能扩张驱动，全球范围内新反应堆建设规划加速，以及现有反应堆延寿带来的需求增加都将成为推动铀价的积极因素。</w:t>
      </w:r>
    </w:p>
    <w:p w14:paraId="6EB14662">
      <w:pPr>
        <w:overflowPunct w:val="0"/>
        <w:ind w:left="3200" w:leftChars="2000"/>
        <w:jc w:val="both"/>
        <w:rPr>
          <w:rFonts w:hint="default" w:ascii="Calibri" w:hAnsi="Calibri" w:eastAsia="楷体_GB2312" w:cs="Calibri"/>
          <w:sz w:val="20"/>
          <w:szCs w:val="20"/>
          <w:lang w:val="en-US" w:eastAsia="zh-CN"/>
        </w:rPr>
      </w:pPr>
    </w:p>
    <w:p w14:paraId="652610E6">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全球约90%的反应堆铀需求和地缘政治因素交织，供应链安全的复杂性凸显，而产业链自主可控将是美国核电全产业链中长期发展的核心主题。根据世界核能协会WNA统计，目前全球有20余个国家从事铀矿开采，CR5超过90%，其中哈萨克斯坦铀产量占全球供应的39%，占比第一。俄罗斯拥有全球约5%的铀产量和约44%的核浓缩能力，美国三分之一的浓缩铀来自俄罗斯，复杂的地缘政治因素或将推动美国政府加速发展核电产业链自主可控。</w:t>
      </w:r>
    </w:p>
    <w:p w14:paraId="2005E642">
      <w:pPr>
        <w:overflowPunct w:val="0"/>
        <w:jc w:val="both"/>
        <w:rPr>
          <w:rFonts w:hint="default" w:ascii="Calibri" w:hAnsi="Calibri" w:eastAsia="楷体_GB2312" w:cs="Calibri"/>
          <w:b/>
          <w:bCs/>
          <w:color w:val="1F497D" w:themeColor="text2"/>
          <w:sz w:val="24"/>
          <w:szCs w:val="24"/>
          <w:lang w:val="en-US" w:eastAsia="zh-CN"/>
          <w14:textFill>
            <w14:solidFill>
              <w14:schemeClr w14:val="tx2"/>
            </w14:solidFill>
          </w14:textFill>
        </w:rPr>
      </w:pPr>
    </w:p>
    <w:tbl>
      <w:tblPr>
        <w:tblStyle w:val="26"/>
        <w:tblW w:w="10490" w:type="dxa"/>
        <w:tblInd w:w="0" w:type="dxa"/>
        <w:tblLayout w:type="fixed"/>
        <w:tblCellMar>
          <w:top w:w="0" w:type="dxa"/>
          <w:left w:w="108" w:type="dxa"/>
          <w:bottom w:w="0" w:type="dxa"/>
          <w:right w:w="108" w:type="dxa"/>
        </w:tblCellMar>
      </w:tblPr>
      <w:tblGrid>
        <w:gridCol w:w="5103"/>
        <w:gridCol w:w="238"/>
        <w:gridCol w:w="5149"/>
      </w:tblGrid>
      <w:tr w14:paraId="0C92708C">
        <w:tblPrEx>
          <w:tblCellMar>
            <w:top w:w="0" w:type="dxa"/>
            <w:left w:w="108" w:type="dxa"/>
            <w:bottom w:w="0" w:type="dxa"/>
            <w:right w:w="108" w:type="dxa"/>
          </w:tblCellMar>
        </w:tblPrEx>
        <w:trPr>
          <w:trHeight w:val="227" w:hRule="atLeast"/>
        </w:trPr>
        <w:tc>
          <w:tcPr>
            <w:tcW w:w="5103" w:type="dxa"/>
            <w:tcBorders>
              <w:top w:val="nil"/>
              <w:left w:val="nil"/>
              <w:bottom w:val="single" w:color="auto" w:sz="4" w:space="0"/>
              <w:right w:val="nil"/>
            </w:tcBorders>
            <w:tcMar>
              <w:top w:w="0" w:type="dxa"/>
              <w:left w:w="0" w:type="dxa"/>
              <w:bottom w:w="0" w:type="dxa"/>
              <w:right w:w="28" w:type="dxa"/>
            </w:tcMar>
          </w:tcPr>
          <w:p w14:paraId="2BD9D1C7">
            <w:pPr>
              <w:overflowPunct w:val="0"/>
              <w:rPr>
                <w:rFonts w:hint="default" w:ascii="Calibri" w:hAnsi="Calibri" w:eastAsia="楷体_GB2312" w:cs="Calibri"/>
                <w:b/>
                <w:sz w:val="18"/>
                <w:szCs w:val="18"/>
                <w:lang w:val="zh-CN"/>
              </w:rPr>
            </w:pPr>
            <w:r>
              <w:rPr>
                <w:rFonts w:hint="default" w:ascii="Calibri" w:hAnsi="Calibri" w:eastAsia="楷体_GB2312" w:cs="Calibri"/>
                <w:b/>
                <w:sz w:val="18"/>
                <w:szCs w:val="18"/>
                <w:lang w:val="zh-CN"/>
              </w:rPr>
              <w:t>图</w:t>
            </w:r>
            <w:r>
              <w:rPr>
                <w:rFonts w:hint="default" w:ascii="Calibri" w:hAnsi="Calibri" w:eastAsia="楷体_GB2312" w:cs="Calibri"/>
                <w:b/>
                <w:sz w:val="18"/>
                <w:szCs w:val="18"/>
                <w:lang w:val="en-US" w:eastAsia="zh-CN"/>
              </w:rPr>
              <w:t>3</w:t>
            </w:r>
            <w:r>
              <w:rPr>
                <w:rFonts w:hint="eastAsia" w:eastAsia="楷体_GB2312" w:cs="Calibri"/>
                <w:b/>
                <w:sz w:val="18"/>
                <w:szCs w:val="18"/>
                <w:lang w:val="en-US" w:eastAsia="zh-CN"/>
              </w:rPr>
              <w:t>7</w:t>
            </w:r>
            <w:r>
              <w:rPr>
                <w:rFonts w:hint="default" w:ascii="Calibri" w:hAnsi="Calibri" w:eastAsia="楷体_GB2312" w:cs="Calibri"/>
                <w:b/>
                <w:sz w:val="18"/>
                <w:szCs w:val="18"/>
                <w:lang w:val="zh-CN"/>
              </w:rPr>
              <w:t>： 全球铀实际市场价格（美元/磅）</w:t>
            </w:r>
          </w:p>
        </w:tc>
        <w:tc>
          <w:tcPr>
            <w:tcW w:w="238" w:type="dxa"/>
            <w:tcBorders>
              <w:top w:val="nil"/>
              <w:left w:val="nil"/>
              <w:bottom w:val="nil"/>
              <w:right w:val="nil"/>
            </w:tcBorders>
            <w:tcMar>
              <w:top w:w="0" w:type="dxa"/>
              <w:left w:w="0" w:type="dxa"/>
              <w:bottom w:w="0" w:type="dxa"/>
              <w:right w:w="28" w:type="dxa"/>
            </w:tcMar>
          </w:tcPr>
          <w:p w14:paraId="54712187">
            <w:pPr>
              <w:overflowPunct w:val="0"/>
              <w:rPr>
                <w:rFonts w:hint="default" w:ascii="Calibri" w:hAnsi="Calibri" w:eastAsia="楷体_GB2312" w:cs="Calibri"/>
                <w:b/>
                <w:sz w:val="18"/>
                <w:szCs w:val="18"/>
                <w:lang w:val="zh-CN"/>
              </w:rPr>
            </w:pPr>
            <w:r>
              <w:rPr>
                <w:rFonts w:hint="default" w:ascii="Calibri" w:hAnsi="Calibri" w:eastAsia="楷体_GB2312" w:cs="Calibri"/>
                <w:b/>
                <w:sz w:val="18"/>
                <w:szCs w:val="18"/>
                <w:lang w:val="zh-CN"/>
              </w:rPr>
              <w:t xml:space="preserve">         </w:t>
            </w:r>
          </w:p>
        </w:tc>
        <w:tc>
          <w:tcPr>
            <w:tcW w:w="5149" w:type="dxa"/>
            <w:tcBorders>
              <w:top w:val="nil"/>
              <w:left w:val="nil"/>
              <w:bottom w:val="single" w:color="auto" w:sz="4" w:space="0"/>
              <w:right w:val="nil"/>
            </w:tcBorders>
            <w:tcMar>
              <w:top w:w="0" w:type="dxa"/>
              <w:left w:w="0" w:type="dxa"/>
              <w:bottom w:w="0" w:type="dxa"/>
              <w:right w:w="28" w:type="dxa"/>
            </w:tcMar>
          </w:tcPr>
          <w:p w14:paraId="2114A151">
            <w:pPr>
              <w:overflowPunct w:val="0"/>
              <w:rPr>
                <w:rFonts w:hint="default" w:ascii="Calibri" w:hAnsi="Calibri" w:eastAsia="楷体_GB2312" w:cs="Calibri"/>
                <w:b/>
                <w:sz w:val="18"/>
                <w:szCs w:val="18"/>
                <w:lang w:val="zh-CN"/>
              </w:rPr>
            </w:pPr>
            <w:r>
              <w:rPr>
                <w:rFonts w:hint="default" w:ascii="Calibri" w:hAnsi="Calibri" w:eastAsia="楷体_GB2312" w:cs="Calibri"/>
                <w:b/>
                <w:sz w:val="18"/>
                <w:szCs w:val="18"/>
                <w:lang w:val="zh-CN"/>
              </w:rPr>
              <w:t>图</w:t>
            </w:r>
            <w:r>
              <w:rPr>
                <w:rFonts w:hint="default" w:ascii="Calibri" w:hAnsi="Calibri" w:eastAsia="楷体_GB2312" w:cs="Calibri"/>
                <w:b/>
                <w:sz w:val="18"/>
                <w:szCs w:val="18"/>
                <w:lang w:val="en-US" w:eastAsia="zh-CN"/>
              </w:rPr>
              <w:t>3</w:t>
            </w:r>
            <w:r>
              <w:rPr>
                <w:rFonts w:hint="eastAsia" w:eastAsia="楷体_GB2312" w:cs="Calibri"/>
                <w:b/>
                <w:sz w:val="18"/>
                <w:szCs w:val="18"/>
                <w:lang w:val="en-US" w:eastAsia="zh-CN"/>
              </w:rPr>
              <w:t>8</w:t>
            </w:r>
            <w:r>
              <w:rPr>
                <w:rFonts w:hint="default" w:ascii="Calibri" w:hAnsi="Calibri" w:eastAsia="楷体_GB2312" w:cs="Calibri"/>
                <w:b/>
                <w:sz w:val="18"/>
                <w:szCs w:val="18"/>
                <w:lang w:val="zh-CN"/>
              </w:rPr>
              <w:t>：</w:t>
            </w:r>
            <w:r>
              <w:rPr>
                <w:rFonts w:hint="default" w:ascii="Calibri" w:hAnsi="Calibri" w:eastAsia="楷体_GB2312" w:cs="Calibri"/>
                <w:b/>
                <w:sz w:val="18"/>
                <w:szCs w:val="18"/>
                <w:lang w:val="en-US" w:eastAsia="zh-CN"/>
              </w:rPr>
              <w:t>2024年全球铀产量分布</w:t>
            </w:r>
            <w:r>
              <w:rPr>
                <w:rFonts w:hint="default" w:ascii="Calibri" w:hAnsi="Calibri" w:eastAsia="楷体_GB2312" w:cs="Calibri"/>
                <w:b/>
                <w:sz w:val="18"/>
                <w:szCs w:val="18"/>
                <w:lang w:val="zh-CN"/>
              </w:rPr>
              <w:t>（%）</w:t>
            </w:r>
          </w:p>
        </w:tc>
      </w:tr>
      <w:tr w14:paraId="624DA3F2">
        <w:tblPrEx>
          <w:tblCellMar>
            <w:top w:w="0" w:type="dxa"/>
            <w:left w:w="108" w:type="dxa"/>
            <w:bottom w:w="0" w:type="dxa"/>
            <w:right w:w="108" w:type="dxa"/>
          </w:tblCellMar>
        </w:tblPrEx>
        <w:trPr>
          <w:trHeight w:val="2219" w:hRule="atLeast"/>
        </w:trPr>
        <w:tc>
          <w:tcPr>
            <w:tcW w:w="5103" w:type="dxa"/>
            <w:tcBorders>
              <w:top w:val="single" w:color="auto" w:sz="4" w:space="0"/>
              <w:left w:val="nil"/>
              <w:bottom w:val="single" w:color="auto" w:sz="4" w:space="0"/>
              <w:right w:val="nil"/>
            </w:tcBorders>
            <w:tcMar>
              <w:top w:w="0" w:type="dxa"/>
              <w:left w:w="0" w:type="dxa"/>
              <w:bottom w:w="0" w:type="dxa"/>
              <w:right w:w="28" w:type="dxa"/>
            </w:tcMar>
            <w:vAlign w:val="center"/>
          </w:tcPr>
          <w:p w14:paraId="704AE264">
            <w:pPr>
              <w:overflowPunct w:val="0"/>
              <w:spacing w:before="48" w:beforeLines="20" w:after="48" w:afterLines="20"/>
              <w:jc w:val="center"/>
              <w:textAlignment w:val="center"/>
              <w:rPr>
                <w:rFonts w:hint="default" w:ascii="Calibri" w:hAnsi="Calibri" w:eastAsia="楷体_GB2312" w:cs="Calibri"/>
                <w:b/>
                <w:color w:val="000000"/>
                <w:sz w:val="15"/>
                <w:szCs w:val="15"/>
              </w:rPr>
            </w:pPr>
            <w:r>
              <w:rPr>
                <w:rFonts w:hint="default" w:ascii="Calibri" w:hAnsi="Calibri" w:eastAsia="楷体_GB2312" w:cs="Calibri"/>
              </w:rPr>
              <w:drawing>
                <wp:inline distT="0" distB="0" distL="114300" distR="114300">
                  <wp:extent cx="3220085" cy="1819275"/>
                  <wp:effectExtent l="0" t="0" r="8890" b="0"/>
                  <wp:docPr id="25595623" name="图片 25595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5623" name="图片 25595623"/>
                          <pic:cNvPicPr>
                            <a:picLocks noChangeAspect="1"/>
                          </pic:cNvPicPr>
                        </pic:nvPicPr>
                        <pic:blipFill>
                          <a:blip r:embed="rId55"/>
                          <a:stretch>
                            <a:fillRect/>
                          </a:stretch>
                        </pic:blipFill>
                        <pic:spPr>
                          <a:xfrm>
                            <a:off x="0" y="0"/>
                            <a:ext cx="3220085" cy="1819275"/>
                          </a:xfrm>
                          <a:prstGeom prst="rect">
                            <a:avLst/>
                          </a:prstGeom>
                          <a:noFill/>
                          <a:ln>
                            <a:noFill/>
                          </a:ln>
                        </pic:spPr>
                      </pic:pic>
                    </a:graphicData>
                  </a:graphic>
                </wp:inline>
              </w:drawing>
            </w:r>
          </w:p>
        </w:tc>
        <w:tc>
          <w:tcPr>
            <w:tcW w:w="238" w:type="dxa"/>
            <w:tcBorders>
              <w:top w:val="nil"/>
              <w:left w:val="nil"/>
              <w:bottom w:val="nil"/>
              <w:right w:val="nil"/>
            </w:tcBorders>
            <w:tcMar>
              <w:top w:w="0" w:type="dxa"/>
              <w:left w:w="0" w:type="dxa"/>
              <w:bottom w:w="0" w:type="dxa"/>
              <w:right w:w="28" w:type="dxa"/>
            </w:tcMar>
          </w:tcPr>
          <w:p w14:paraId="4C20E31C">
            <w:pPr>
              <w:overflowPunct w:val="0"/>
              <w:spacing w:before="48" w:beforeLines="20" w:after="48" w:afterLines="20"/>
              <w:rPr>
                <w:rFonts w:hint="default" w:ascii="Calibri" w:hAnsi="Calibri" w:eastAsia="楷体_GB2312" w:cs="Calibri"/>
                <w:sz w:val="15"/>
                <w:szCs w:val="15"/>
              </w:rPr>
            </w:pPr>
          </w:p>
        </w:tc>
        <w:tc>
          <w:tcPr>
            <w:tcW w:w="5149" w:type="dxa"/>
            <w:tcBorders>
              <w:top w:val="single" w:color="auto" w:sz="4" w:space="0"/>
              <w:left w:val="nil"/>
              <w:bottom w:val="single" w:color="auto" w:sz="4" w:space="0"/>
              <w:right w:val="nil"/>
            </w:tcBorders>
            <w:tcMar>
              <w:top w:w="0" w:type="dxa"/>
              <w:left w:w="0" w:type="dxa"/>
              <w:bottom w:w="0" w:type="dxa"/>
              <w:right w:w="28" w:type="dxa"/>
            </w:tcMar>
          </w:tcPr>
          <w:p w14:paraId="0215A713">
            <w:pPr>
              <w:overflowPunct w:val="0"/>
              <w:spacing w:before="48" w:beforeLines="20" w:after="48" w:afterLines="20"/>
              <w:jc w:val="center"/>
              <w:rPr>
                <w:rFonts w:hint="default" w:ascii="Calibri" w:hAnsi="Calibri" w:eastAsia="楷体_GB2312" w:cs="Calibri"/>
                <w:b/>
                <w:sz w:val="15"/>
                <w:szCs w:val="15"/>
              </w:rPr>
            </w:pPr>
            <w:r>
              <w:rPr>
                <w:rFonts w:hint="default" w:ascii="Calibri" w:hAnsi="Calibri" w:eastAsia="楷体_GB2312" w:cs="Calibri"/>
              </w:rPr>
              <w:drawing>
                <wp:inline distT="0" distB="0" distL="114300" distR="114300">
                  <wp:extent cx="2986405" cy="1941830"/>
                  <wp:effectExtent l="0" t="0" r="4445" b="127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56"/>
                          <a:stretch>
                            <a:fillRect/>
                          </a:stretch>
                        </pic:blipFill>
                        <pic:spPr>
                          <a:xfrm>
                            <a:off x="0" y="0"/>
                            <a:ext cx="2986405" cy="1941830"/>
                          </a:xfrm>
                          <a:prstGeom prst="rect">
                            <a:avLst/>
                          </a:prstGeom>
                          <a:noFill/>
                          <a:ln>
                            <a:noFill/>
                          </a:ln>
                        </pic:spPr>
                      </pic:pic>
                    </a:graphicData>
                  </a:graphic>
                </wp:inline>
              </w:drawing>
            </w:r>
          </w:p>
        </w:tc>
      </w:tr>
      <w:tr w14:paraId="641C7804">
        <w:tblPrEx>
          <w:tblCellMar>
            <w:top w:w="0" w:type="dxa"/>
            <w:left w:w="108" w:type="dxa"/>
            <w:bottom w:w="0" w:type="dxa"/>
            <w:right w:w="108" w:type="dxa"/>
          </w:tblCellMar>
        </w:tblPrEx>
        <w:tc>
          <w:tcPr>
            <w:tcW w:w="5103" w:type="dxa"/>
            <w:tcBorders>
              <w:top w:val="single" w:color="auto" w:sz="4" w:space="0"/>
              <w:left w:val="nil"/>
              <w:bottom w:val="nil"/>
              <w:right w:val="nil"/>
            </w:tcBorders>
            <w:tcMar>
              <w:top w:w="0" w:type="dxa"/>
              <w:left w:w="0" w:type="dxa"/>
              <w:bottom w:w="0" w:type="dxa"/>
              <w:right w:w="28" w:type="dxa"/>
            </w:tcMar>
            <w:vAlign w:val="center"/>
          </w:tcPr>
          <w:p w14:paraId="2C38196B">
            <w:pPr>
              <w:overflowPunct w:val="0"/>
              <w:spacing w:before="48" w:beforeLines="20" w:after="48" w:afterLines="20"/>
              <w:textAlignment w:val="center"/>
              <w:rPr>
                <w:rFonts w:hint="default" w:ascii="Calibri" w:hAnsi="Calibri" w:eastAsia="楷体_GB2312" w:cs="Calibri"/>
                <w:sz w:val="10"/>
                <w:szCs w:val="10"/>
              </w:rPr>
            </w:pPr>
            <w:r>
              <w:rPr>
                <w:rFonts w:hint="default" w:ascii="Calibri" w:hAnsi="Calibri" w:eastAsia="楷体_GB2312" w:cs="Calibri"/>
                <w:i/>
                <w:iCs/>
                <w:lang w:val="zh-CN"/>
              </w:rPr>
              <w:t>资料来源：</w:t>
            </w:r>
            <w:r>
              <w:rPr>
                <w:rFonts w:hint="default" w:ascii="Calibri" w:hAnsi="Calibri" w:eastAsia="楷体_GB2312" w:cs="Calibri"/>
                <w:i/>
                <w:iCs/>
                <w:lang w:val="en-US" w:eastAsia="zh-CN"/>
              </w:rPr>
              <w:t>iFinD</w:t>
            </w:r>
            <w:r>
              <w:rPr>
                <w:rFonts w:hint="default" w:ascii="Calibri" w:hAnsi="Calibri" w:eastAsia="楷体_GB2312" w:cs="Calibri"/>
                <w:i/>
                <w:iCs/>
                <w:lang w:val="zh-CN"/>
              </w:rPr>
              <w:t>，HFI</w:t>
            </w:r>
          </w:p>
        </w:tc>
        <w:tc>
          <w:tcPr>
            <w:tcW w:w="238" w:type="dxa"/>
            <w:tcBorders>
              <w:top w:val="nil"/>
              <w:left w:val="nil"/>
              <w:bottom w:val="nil"/>
              <w:right w:val="nil"/>
            </w:tcBorders>
            <w:tcMar>
              <w:top w:w="0" w:type="dxa"/>
              <w:left w:w="0" w:type="dxa"/>
              <w:bottom w:w="0" w:type="dxa"/>
              <w:right w:w="28" w:type="dxa"/>
            </w:tcMar>
          </w:tcPr>
          <w:p w14:paraId="15781028">
            <w:pPr>
              <w:overflowPunct w:val="0"/>
              <w:spacing w:before="48" w:beforeLines="20" w:after="48" w:afterLines="20"/>
              <w:rPr>
                <w:rFonts w:hint="default" w:ascii="Calibri" w:hAnsi="Calibri" w:eastAsia="楷体_GB2312" w:cs="Calibri"/>
                <w:sz w:val="15"/>
                <w:szCs w:val="15"/>
              </w:rPr>
            </w:pPr>
          </w:p>
        </w:tc>
        <w:tc>
          <w:tcPr>
            <w:tcW w:w="5149" w:type="dxa"/>
            <w:tcBorders>
              <w:top w:val="single" w:color="auto" w:sz="4" w:space="0"/>
              <w:left w:val="nil"/>
              <w:bottom w:val="nil"/>
              <w:right w:val="nil"/>
            </w:tcBorders>
            <w:tcMar>
              <w:top w:w="0" w:type="dxa"/>
              <w:left w:w="0" w:type="dxa"/>
              <w:bottom w:w="0" w:type="dxa"/>
              <w:right w:w="28" w:type="dxa"/>
            </w:tcMar>
          </w:tcPr>
          <w:p w14:paraId="72C2E97D">
            <w:pPr>
              <w:overflowPunct w:val="0"/>
              <w:spacing w:before="48" w:beforeLines="20" w:after="48" w:afterLines="20"/>
              <w:rPr>
                <w:rFonts w:hint="default" w:ascii="Calibri" w:hAnsi="Calibri" w:eastAsia="楷体_GB2312" w:cs="Calibri"/>
                <w:sz w:val="10"/>
                <w:szCs w:val="10"/>
              </w:rPr>
            </w:pPr>
            <w:r>
              <w:rPr>
                <w:rFonts w:hint="default" w:ascii="Calibri" w:hAnsi="Calibri" w:eastAsia="楷体_GB2312" w:cs="Calibri"/>
                <w:i/>
                <w:iCs/>
                <w:lang w:val="zh-CN"/>
              </w:rPr>
              <w:t>资料来源：</w:t>
            </w:r>
            <w:r>
              <w:rPr>
                <w:rFonts w:hint="default" w:ascii="Calibri" w:hAnsi="Calibri" w:eastAsia="楷体_GB2312" w:cs="Calibri"/>
                <w:i/>
                <w:iCs/>
                <w:lang w:val="en-US" w:eastAsia="zh-CN"/>
              </w:rPr>
              <w:t>WNA</w:t>
            </w:r>
            <w:r>
              <w:rPr>
                <w:rFonts w:hint="default" w:ascii="Calibri" w:hAnsi="Calibri" w:eastAsia="楷体_GB2312" w:cs="Calibri"/>
                <w:i/>
                <w:iCs/>
                <w:lang w:val="zh-CN"/>
              </w:rPr>
              <w:t>，HFI</w:t>
            </w:r>
          </w:p>
        </w:tc>
      </w:tr>
    </w:tbl>
    <w:p w14:paraId="16550155">
      <w:pPr>
        <w:overflowPunct w:val="0"/>
        <w:ind w:left="3200" w:leftChars="2000"/>
        <w:jc w:val="both"/>
        <w:rPr>
          <w:rFonts w:hint="default" w:ascii="Calibri" w:hAnsi="Calibri" w:eastAsia="楷体_GB2312" w:cs="Calibri"/>
          <w:b/>
          <w:bCs/>
          <w:color w:val="1F497D" w:themeColor="text2"/>
          <w:sz w:val="24"/>
          <w:szCs w:val="24"/>
          <w:lang w:eastAsia="zh-CN"/>
          <w14:textFill>
            <w14:solidFill>
              <w14:schemeClr w14:val="tx2"/>
            </w14:solidFill>
          </w14:textFill>
        </w:rPr>
      </w:pPr>
    </w:p>
    <w:p w14:paraId="48276A99">
      <w:pPr>
        <w:overflowPunct w:val="0"/>
        <w:jc w:val="both"/>
        <w:rPr>
          <w:rFonts w:hint="default" w:ascii="Calibri" w:hAnsi="Calibri" w:eastAsia="楷体_GB2312" w:cs="Calibri"/>
          <w:b/>
          <w:bCs/>
          <w:color w:val="1F497D" w:themeColor="text2"/>
          <w:sz w:val="24"/>
          <w:szCs w:val="24"/>
          <w:lang w:val="en-US" w:eastAsia="zh-CN"/>
          <w14:textFill>
            <w14:solidFill>
              <w14:schemeClr w14:val="tx2"/>
            </w14:solidFill>
          </w14:textFill>
        </w:rPr>
      </w:pPr>
    </w:p>
    <w:p w14:paraId="2754BD36">
      <w:pPr>
        <w:overflowPunct w:val="0"/>
        <w:ind w:left="3200" w:leftChars="2000"/>
        <w:jc w:val="both"/>
        <w:outlineLvl w:val="1"/>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28" w:name="_Toc31292"/>
      <w:r>
        <w:rPr>
          <w:rFonts w:hint="default" w:ascii="Calibri" w:hAnsi="Calibri" w:eastAsia="楷体_GB2312" w:cs="Calibri"/>
          <w:b/>
          <w:bCs/>
          <w:color w:val="1F497D" w:themeColor="text2"/>
          <w:sz w:val="24"/>
          <w:szCs w:val="24"/>
          <w:lang w:val="en-US" w:eastAsia="zh-CN"/>
          <w14:textFill>
            <w14:solidFill>
              <w14:schemeClr w14:val="tx2"/>
            </w14:solidFill>
          </w14:textFill>
        </w:rPr>
        <w:t>（二）全球稀土市场动态追踪</w:t>
      </w:r>
      <w:bookmarkEnd w:id="28"/>
    </w:p>
    <w:p w14:paraId="6663E8BC">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本周稀土市场价格持续走强。</w:t>
      </w:r>
      <w:r>
        <w:rPr>
          <w:rFonts w:hint="default" w:ascii="Calibri" w:hAnsi="Calibri" w:eastAsia="楷体_GB2312" w:cs="Calibri"/>
          <w:sz w:val="20"/>
          <w:szCs w:val="20"/>
          <w:lang w:val="en-US" w:eastAsia="zh-CN"/>
        </w:rPr>
        <w:t>缅甸局势导致稀土出口持续收紧，越南亦修订法律，禁止稀土原矿出口，这些因素共同加剧了全球市场，尤其是中重稀土品种的供应紧张局面。本周氧化镨钕（850,000元/吨）涨幅领先，周度环比+13.8%，月度环比+33.4%，其余品种周度环比涨幅在2-5%区间。我们预计航空航天与国防（A&amp;D）领域在发动机、制导及雷达系统等关键组件中，对掺杂镝、铽元素的高性能耐高温永磁材料具有不可替代的刚性需求，该领域持续稳定的采购需求将成为支撑重稀土价格中枢的基石，预计其价格表现将优于轻稀土品种。</w:t>
      </w:r>
    </w:p>
    <w:p w14:paraId="2B729581">
      <w:pPr>
        <w:overflowPunct w:val="0"/>
        <w:ind w:left="3200" w:leftChars="2000"/>
        <w:jc w:val="both"/>
        <w:rPr>
          <w:rFonts w:hint="default" w:ascii="Calibri" w:hAnsi="Calibri" w:eastAsia="楷体_GB2312" w:cs="Calibri"/>
          <w:b/>
          <w:bCs/>
          <w:color w:val="1F497D" w:themeColor="text2"/>
          <w:sz w:val="24"/>
          <w:szCs w:val="24"/>
          <w:lang w:val="en-US" w:eastAsia="zh-CN"/>
          <w14:textFill>
            <w14:solidFill>
              <w14:schemeClr w14:val="tx2"/>
            </w14:solidFill>
          </w14:textFill>
        </w:rPr>
      </w:pPr>
    </w:p>
    <w:p w14:paraId="338D71FD">
      <w:pPr>
        <w:rPr>
          <w:rFonts w:hint="default" w:ascii="Calibri" w:hAnsi="Calibri" w:eastAsia="楷体_GB2312" w:cs="Calibri"/>
          <w:b/>
          <w:bCs/>
          <w:color w:val="1F497D" w:themeColor="text2"/>
          <w:sz w:val="24"/>
          <w:szCs w:val="24"/>
          <w:lang w:val="en-US" w:eastAsia="zh-CN"/>
          <w14:textFill>
            <w14:solidFill>
              <w14:schemeClr w14:val="tx2"/>
            </w14:solidFill>
          </w14:textFill>
        </w:rPr>
      </w:pPr>
      <w:r>
        <w:rPr>
          <w:rFonts w:hint="default" w:ascii="Calibri" w:hAnsi="Calibri" w:eastAsia="楷体_GB2312" w:cs="Calibri"/>
          <w:b/>
          <w:bCs/>
          <w:color w:val="1F497D" w:themeColor="text2"/>
          <w:sz w:val="24"/>
          <w:szCs w:val="24"/>
          <w:lang w:val="en-US" w:eastAsia="zh-CN"/>
          <w14:textFill>
            <w14:solidFill>
              <w14:schemeClr w14:val="tx2"/>
            </w14:solidFill>
          </w14:textFill>
        </w:rPr>
        <w:br w:type="page"/>
      </w:r>
    </w:p>
    <w:tbl>
      <w:tblPr>
        <w:tblStyle w:val="27"/>
        <w:tblW w:w="7555" w:type="dxa"/>
        <w:tblInd w:w="2935"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7555"/>
      </w:tblGrid>
      <w:tr w14:paraId="401C85A1">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PrEx>
        <w:tc>
          <w:tcPr>
            <w:tcW w:w="7555" w:type="dxa"/>
            <w:tcBorders>
              <w:bottom w:val="single" w:color="auto" w:sz="4" w:space="0"/>
            </w:tcBorders>
          </w:tcPr>
          <w:p w14:paraId="5BB85C99">
            <w:pPr>
              <w:overflowPunct w:val="0"/>
              <w:rPr>
                <w:rFonts w:hint="default" w:ascii="Calibri" w:hAnsi="Calibri" w:eastAsia="楷体_GB2312" w:cs="Calibri"/>
                <w:b/>
                <w:szCs w:val="20"/>
              </w:rPr>
            </w:pPr>
            <w:r>
              <w:rPr>
                <w:rFonts w:hint="default" w:ascii="Calibri" w:hAnsi="Calibri" w:eastAsia="楷体_GB2312" w:cs="Calibri"/>
                <w:b/>
                <w:sz w:val="18"/>
                <w:szCs w:val="18"/>
                <w:lang w:val="zh-CN"/>
              </w:rPr>
              <w:t>图</w:t>
            </w:r>
            <w:r>
              <w:rPr>
                <w:rFonts w:hint="eastAsia" w:eastAsia="楷体_GB2312" w:cs="Calibri"/>
                <w:b/>
                <w:sz w:val="18"/>
                <w:szCs w:val="18"/>
                <w:lang w:val="en-US" w:eastAsia="zh-CN"/>
              </w:rPr>
              <w:t>39</w:t>
            </w:r>
            <w:r>
              <w:rPr>
                <w:rFonts w:hint="default" w:ascii="Calibri" w:hAnsi="Calibri" w:eastAsia="楷体_GB2312" w:cs="Calibri"/>
                <w:b/>
                <w:sz w:val="18"/>
                <w:szCs w:val="18"/>
                <w:lang w:val="zh-CN"/>
              </w:rPr>
              <w:t>: 核心追踪指标（截止于</w:t>
            </w:r>
            <w:r>
              <w:rPr>
                <w:rFonts w:hint="default" w:ascii="Calibri" w:hAnsi="Calibri" w:eastAsia="楷体_GB2312" w:cs="Calibri"/>
                <w:b/>
                <w:sz w:val="18"/>
                <w:szCs w:val="18"/>
                <w:lang w:val="en-US" w:eastAsia="zh-CN"/>
              </w:rPr>
              <w:t>02/11</w:t>
            </w:r>
            <w:r>
              <w:rPr>
                <w:rFonts w:hint="default" w:ascii="Calibri" w:hAnsi="Calibri" w:eastAsia="楷体_GB2312" w:cs="Calibri"/>
                <w:b/>
                <w:sz w:val="18"/>
                <w:szCs w:val="18"/>
                <w:lang w:val="zh-CN"/>
              </w:rPr>
              <w:t>/2</w:t>
            </w:r>
            <w:r>
              <w:rPr>
                <w:rFonts w:hint="default" w:ascii="Calibri" w:hAnsi="Calibri" w:eastAsia="楷体_GB2312" w:cs="Calibri"/>
                <w:b/>
                <w:sz w:val="18"/>
                <w:szCs w:val="18"/>
                <w:lang w:val="en-US" w:eastAsia="zh-CN"/>
              </w:rPr>
              <w:t>6</w:t>
            </w:r>
            <w:r>
              <w:rPr>
                <w:rFonts w:hint="default" w:ascii="Calibri" w:hAnsi="Calibri" w:eastAsia="楷体_GB2312" w:cs="Calibri"/>
                <w:b/>
                <w:sz w:val="18"/>
                <w:szCs w:val="18"/>
                <w:lang w:val="zh-CN"/>
              </w:rPr>
              <w:t>）</w:t>
            </w:r>
          </w:p>
        </w:tc>
      </w:tr>
      <w:tr w14:paraId="54D459A0">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2526" w:hRule="atLeast"/>
        </w:trPr>
        <w:tc>
          <w:tcPr>
            <w:tcW w:w="7555" w:type="dxa"/>
            <w:tcBorders>
              <w:top w:val="single" w:color="auto" w:sz="4" w:space="0"/>
              <w:bottom w:val="single" w:color="auto" w:sz="4" w:space="0"/>
            </w:tcBorders>
            <w:vAlign w:val="center"/>
          </w:tcPr>
          <w:tbl>
            <w:tblPr>
              <w:tblStyle w:val="27"/>
              <w:tblW w:w="73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2"/>
              <w:gridCol w:w="1832"/>
              <w:gridCol w:w="1832"/>
              <w:gridCol w:w="1833"/>
            </w:tblGrid>
            <w:tr w14:paraId="065CF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1832" w:type="dxa"/>
                  <w:shd w:val="clear" w:color="auto" w:fill="002060"/>
                </w:tcPr>
                <w:p w14:paraId="64886746">
                  <w:pPr>
                    <w:overflowPunct w:val="0"/>
                    <w:jc w:val="center"/>
                    <w:rPr>
                      <w:rFonts w:hint="default" w:ascii="Calibri" w:hAnsi="Calibri" w:eastAsia="楷体_GB2312" w:cs="Calibri"/>
                      <w:b/>
                      <w:bCs/>
                      <w:sz w:val="18"/>
                      <w:szCs w:val="18"/>
                    </w:rPr>
                  </w:pPr>
                  <w:r>
                    <w:rPr>
                      <w:rFonts w:hint="default" w:ascii="Calibri" w:hAnsi="Calibri" w:eastAsia="楷体_GB2312" w:cs="Calibri"/>
                      <w:b/>
                      <w:bCs/>
                      <w:sz w:val="18"/>
                      <w:szCs w:val="18"/>
                    </w:rPr>
                    <w:t>产品</w:t>
                  </w:r>
                </w:p>
              </w:tc>
              <w:tc>
                <w:tcPr>
                  <w:tcW w:w="1832" w:type="dxa"/>
                  <w:shd w:val="clear" w:color="auto" w:fill="002060"/>
                </w:tcPr>
                <w:p w14:paraId="6F6FBF3A">
                  <w:pPr>
                    <w:overflowPunct w:val="0"/>
                    <w:jc w:val="center"/>
                    <w:rPr>
                      <w:rFonts w:hint="default" w:ascii="Calibri" w:hAnsi="Calibri" w:eastAsia="楷体_GB2312" w:cs="Calibri"/>
                      <w:b/>
                      <w:bCs/>
                      <w:sz w:val="8"/>
                      <w:szCs w:val="22"/>
                    </w:rPr>
                  </w:pPr>
                  <w:r>
                    <w:rPr>
                      <w:rFonts w:hint="default" w:ascii="Calibri" w:hAnsi="Calibri" w:eastAsia="楷体_GB2312" w:cs="Calibri"/>
                      <w:b/>
                      <w:bCs/>
                      <w:sz w:val="18"/>
                      <w:szCs w:val="18"/>
                    </w:rPr>
                    <w:t>本周均价</w:t>
                  </w:r>
                </w:p>
              </w:tc>
              <w:tc>
                <w:tcPr>
                  <w:tcW w:w="1832" w:type="dxa"/>
                  <w:shd w:val="clear" w:color="auto" w:fill="002060"/>
                </w:tcPr>
                <w:p w14:paraId="653FA936">
                  <w:pPr>
                    <w:overflowPunct w:val="0"/>
                    <w:jc w:val="center"/>
                    <w:rPr>
                      <w:rFonts w:hint="default" w:ascii="Calibri" w:hAnsi="Calibri" w:eastAsia="楷体_GB2312" w:cs="Calibri"/>
                      <w:b/>
                      <w:bCs/>
                      <w:sz w:val="8"/>
                      <w:szCs w:val="22"/>
                    </w:rPr>
                  </w:pPr>
                  <w:r>
                    <w:rPr>
                      <w:rFonts w:hint="default" w:ascii="Calibri" w:hAnsi="Calibri" w:eastAsia="楷体_GB2312" w:cs="Calibri"/>
                      <w:b/>
                      <w:bCs/>
                      <w:sz w:val="18"/>
                      <w:szCs w:val="18"/>
                    </w:rPr>
                    <w:t>周度环比（%）</w:t>
                  </w:r>
                </w:p>
              </w:tc>
              <w:tc>
                <w:tcPr>
                  <w:tcW w:w="1833" w:type="dxa"/>
                  <w:shd w:val="clear" w:color="auto" w:fill="002060"/>
                </w:tcPr>
                <w:p w14:paraId="4308E87E">
                  <w:pPr>
                    <w:overflowPunct w:val="0"/>
                    <w:jc w:val="center"/>
                    <w:rPr>
                      <w:rFonts w:hint="default" w:ascii="Calibri" w:hAnsi="Calibri" w:eastAsia="楷体_GB2312" w:cs="Calibri"/>
                      <w:b/>
                      <w:bCs/>
                      <w:sz w:val="8"/>
                      <w:szCs w:val="22"/>
                    </w:rPr>
                  </w:pPr>
                  <w:r>
                    <w:rPr>
                      <w:rFonts w:hint="default" w:ascii="Calibri" w:hAnsi="Calibri" w:eastAsia="楷体_GB2312" w:cs="Calibri"/>
                      <w:b/>
                      <w:bCs/>
                      <w:sz w:val="18"/>
                      <w:szCs w:val="18"/>
                    </w:rPr>
                    <w:t>月度环比（%）</w:t>
                  </w:r>
                </w:p>
              </w:tc>
            </w:tr>
            <w:tr w14:paraId="64069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1832" w:type="dxa"/>
                  <w:shd w:val="clear" w:color="auto" w:fill="C6D9F0" w:themeFill="text2" w:themeFillTint="33"/>
                </w:tcPr>
                <w:p w14:paraId="6108F41D">
                  <w:pPr>
                    <w:overflowPunct w:val="0"/>
                    <w:jc w:val="center"/>
                    <w:rPr>
                      <w:rFonts w:hint="default" w:ascii="Calibri" w:hAnsi="Calibri" w:eastAsia="楷体_GB2312" w:cs="Calibri"/>
                      <w:b/>
                      <w:bCs/>
                      <w:sz w:val="18"/>
                      <w:szCs w:val="18"/>
                    </w:rPr>
                  </w:pPr>
                  <w:r>
                    <w:rPr>
                      <w:rFonts w:hint="default" w:ascii="Calibri" w:hAnsi="Calibri" w:eastAsia="楷体_GB2312" w:cs="Calibri"/>
                      <w:b/>
                      <w:bCs/>
                      <w:sz w:val="18"/>
                      <w:szCs w:val="18"/>
                    </w:rPr>
                    <w:t xml:space="preserve">氧化镨钕 </w:t>
                  </w:r>
                </w:p>
              </w:tc>
              <w:tc>
                <w:tcPr>
                  <w:tcW w:w="1832" w:type="dxa"/>
                </w:tcPr>
                <w:p w14:paraId="1E4AAE6A">
                  <w:pPr>
                    <w:overflowPunct w:val="0"/>
                    <w:jc w:val="center"/>
                    <w:rPr>
                      <w:rFonts w:hint="default" w:ascii="Calibri" w:hAnsi="Calibri" w:eastAsia="楷体_GB2312" w:cs="Calibri"/>
                      <w:sz w:val="18"/>
                      <w:szCs w:val="18"/>
                    </w:rPr>
                  </w:pPr>
                  <w:r>
                    <w:rPr>
                      <w:rFonts w:hint="default" w:ascii="Calibri" w:hAnsi="Calibri" w:eastAsia="楷体_GB2312" w:cs="Calibri"/>
                      <w:sz w:val="18"/>
                      <w:szCs w:val="18"/>
                      <w:lang w:val="en-US" w:eastAsia="zh-CN"/>
                    </w:rPr>
                    <w:t>850</w:t>
                  </w:r>
                  <w:r>
                    <w:rPr>
                      <w:rFonts w:hint="default" w:ascii="Calibri" w:hAnsi="Calibri" w:eastAsia="楷体_GB2312" w:cs="Calibri"/>
                      <w:sz w:val="18"/>
                      <w:szCs w:val="18"/>
                    </w:rPr>
                    <w:t>,</w:t>
                  </w:r>
                  <w:r>
                    <w:rPr>
                      <w:rFonts w:hint="default" w:ascii="Calibri" w:hAnsi="Calibri" w:eastAsia="楷体_GB2312" w:cs="Calibri"/>
                      <w:sz w:val="18"/>
                      <w:szCs w:val="18"/>
                      <w:lang w:val="en-US" w:eastAsia="zh-CN"/>
                    </w:rPr>
                    <w:t>0</w:t>
                  </w:r>
                  <w:r>
                    <w:rPr>
                      <w:rFonts w:hint="default" w:ascii="Calibri" w:hAnsi="Calibri" w:eastAsia="楷体_GB2312" w:cs="Calibri"/>
                      <w:sz w:val="18"/>
                      <w:szCs w:val="18"/>
                    </w:rPr>
                    <w:t>00元/吨</w:t>
                  </w:r>
                </w:p>
              </w:tc>
              <w:tc>
                <w:tcPr>
                  <w:tcW w:w="1832" w:type="dxa"/>
                </w:tcPr>
                <w:p w14:paraId="2E90FD31">
                  <w:pPr>
                    <w:overflowPunct w:val="0"/>
                    <w:jc w:val="center"/>
                    <w:rPr>
                      <w:rFonts w:hint="default" w:ascii="Calibri" w:hAnsi="Calibri" w:eastAsia="楷体_GB2312" w:cs="Calibri"/>
                      <w:sz w:val="18"/>
                      <w:szCs w:val="18"/>
                    </w:rPr>
                  </w:pPr>
                  <w:r>
                    <w:rPr>
                      <w:rFonts w:hint="default" w:ascii="Calibri" w:hAnsi="Calibri" w:eastAsia="楷体_GB2312" w:cs="Calibri"/>
                      <w:sz w:val="18"/>
                      <w:szCs w:val="18"/>
                      <w:lang w:val="en-US" w:eastAsia="zh-CN"/>
                    </w:rPr>
                    <w:t>13.8</w:t>
                  </w:r>
                  <w:r>
                    <w:rPr>
                      <w:rFonts w:hint="default" w:ascii="Calibri" w:hAnsi="Calibri" w:eastAsia="楷体_GB2312" w:cs="Calibri"/>
                      <w:sz w:val="18"/>
                      <w:szCs w:val="18"/>
                    </w:rPr>
                    <w:t>%</w:t>
                  </w:r>
                </w:p>
              </w:tc>
              <w:tc>
                <w:tcPr>
                  <w:tcW w:w="1833" w:type="dxa"/>
                </w:tcPr>
                <w:p w14:paraId="1BADE008">
                  <w:pPr>
                    <w:overflowPunct w:val="0"/>
                    <w:jc w:val="center"/>
                    <w:rPr>
                      <w:rFonts w:hint="default" w:ascii="Calibri" w:hAnsi="Calibri" w:eastAsia="楷体_GB2312" w:cs="Calibri"/>
                      <w:sz w:val="18"/>
                      <w:szCs w:val="18"/>
                    </w:rPr>
                  </w:pPr>
                  <w:r>
                    <w:rPr>
                      <w:rFonts w:hint="default" w:ascii="Calibri" w:hAnsi="Calibri" w:eastAsia="楷体_GB2312" w:cs="Calibri"/>
                      <w:sz w:val="18"/>
                      <w:szCs w:val="18"/>
                      <w:lang w:val="en-US" w:eastAsia="zh-CN"/>
                    </w:rPr>
                    <w:t>33.4</w:t>
                  </w:r>
                  <w:r>
                    <w:rPr>
                      <w:rFonts w:hint="default" w:ascii="Calibri" w:hAnsi="Calibri" w:eastAsia="楷体_GB2312" w:cs="Calibri"/>
                      <w:sz w:val="18"/>
                      <w:szCs w:val="18"/>
                    </w:rPr>
                    <w:t>%</w:t>
                  </w:r>
                </w:p>
              </w:tc>
            </w:tr>
            <w:tr w14:paraId="3C3BD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1832" w:type="dxa"/>
                  <w:shd w:val="clear" w:color="auto" w:fill="C6D9F0" w:themeFill="text2" w:themeFillTint="33"/>
                </w:tcPr>
                <w:p w14:paraId="1BB1EE7F">
                  <w:pPr>
                    <w:overflowPunct w:val="0"/>
                    <w:jc w:val="center"/>
                    <w:rPr>
                      <w:rFonts w:hint="default" w:ascii="Calibri" w:hAnsi="Calibri" w:eastAsia="楷体_GB2312" w:cs="Calibri"/>
                      <w:b/>
                      <w:bCs/>
                      <w:sz w:val="18"/>
                      <w:szCs w:val="18"/>
                    </w:rPr>
                  </w:pPr>
                  <w:r>
                    <w:rPr>
                      <w:rFonts w:hint="default" w:ascii="Calibri" w:hAnsi="Calibri" w:eastAsia="楷体_GB2312" w:cs="Calibri"/>
                      <w:b/>
                      <w:bCs/>
                      <w:sz w:val="18"/>
                      <w:szCs w:val="18"/>
                    </w:rPr>
                    <w:t>氧化镝</w:t>
                  </w:r>
                </w:p>
              </w:tc>
              <w:tc>
                <w:tcPr>
                  <w:tcW w:w="1832" w:type="dxa"/>
                </w:tcPr>
                <w:p w14:paraId="5C15E3FB">
                  <w:pPr>
                    <w:overflowPunct w:val="0"/>
                    <w:jc w:val="center"/>
                    <w:rPr>
                      <w:rFonts w:hint="default" w:ascii="Calibri" w:hAnsi="Calibri" w:eastAsia="楷体_GB2312" w:cs="Calibri"/>
                      <w:sz w:val="18"/>
                      <w:szCs w:val="18"/>
                    </w:rPr>
                  </w:pPr>
                  <w:r>
                    <w:rPr>
                      <w:rFonts w:hint="default" w:ascii="Calibri" w:hAnsi="Calibri" w:eastAsia="楷体_GB2312" w:cs="Calibri"/>
                      <w:sz w:val="18"/>
                      <w:szCs w:val="18"/>
                    </w:rPr>
                    <w:t>1</w:t>
                  </w:r>
                  <w:r>
                    <w:rPr>
                      <w:rFonts w:hint="default" w:ascii="Calibri" w:hAnsi="Calibri" w:eastAsia="楷体_GB2312" w:cs="Calibri"/>
                      <w:sz w:val="18"/>
                      <w:szCs w:val="18"/>
                      <w:lang w:val="en-US" w:eastAsia="zh-CN"/>
                    </w:rPr>
                    <w:t>,470</w:t>
                  </w:r>
                  <w:r>
                    <w:rPr>
                      <w:rFonts w:hint="default" w:ascii="Calibri" w:hAnsi="Calibri" w:eastAsia="楷体_GB2312" w:cs="Calibri"/>
                      <w:sz w:val="18"/>
                      <w:szCs w:val="18"/>
                    </w:rPr>
                    <w:t>,000元/吨</w:t>
                  </w:r>
                </w:p>
              </w:tc>
              <w:tc>
                <w:tcPr>
                  <w:tcW w:w="1832" w:type="dxa"/>
                </w:tcPr>
                <w:p w14:paraId="044CCD72">
                  <w:pPr>
                    <w:overflowPunct w:val="0"/>
                    <w:jc w:val="center"/>
                    <w:rPr>
                      <w:rFonts w:hint="default" w:ascii="Calibri" w:hAnsi="Calibri" w:eastAsia="楷体_GB2312" w:cs="Calibri"/>
                      <w:sz w:val="18"/>
                      <w:szCs w:val="18"/>
                    </w:rPr>
                  </w:pPr>
                  <w:r>
                    <w:rPr>
                      <w:rFonts w:hint="default" w:ascii="Calibri" w:hAnsi="Calibri" w:eastAsia="楷体_GB2312" w:cs="Calibri"/>
                      <w:sz w:val="18"/>
                      <w:szCs w:val="18"/>
                      <w:lang w:val="en-US" w:eastAsia="zh-CN"/>
                    </w:rPr>
                    <w:t>5.4</w:t>
                  </w:r>
                  <w:r>
                    <w:rPr>
                      <w:rFonts w:hint="default" w:ascii="Calibri" w:hAnsi="Calibri" w:eastAsia="楷体_GB2312" w:cs="Calibri"/>
                      <w:sz w:val="18"/>
                      <w:szCs w:val="18"/>
                    </w:rPr>
                    <w:t>%</w:t>
                  </w:r>
                </w:p>
              </w:tc>
              <w:tc>
                <w:tcPr>
                  <w:tcW w:w="1833" w:type="dxa"/>
                </w:tcPr>
                <w:p w14:paraId="68D1D832">
                  <w:pPr>
                    <w:overflowPunct w:val="0"/>
                    <w:jc w:val="center"/>
                    <w:rPr>
                      <w:rFonts w:hint="default" w:ascii="Calibri" w:hAnsi="Calibri" w:eastAsia="楷体_GB2312" w:cs="Calibri"/>
                      <w:sz w:val="18"/>
                      <w:szCs w:val="18"/>
                    </w:rPr>
                  </w:pPr>
                  <w:r>
                    <w:rPr>
                      <w:rFonts w:hint="default" w:ascii="Calibri" w:hAnsi="Calibri" w:eastAsia="楷体_GB2312" w:cs="Calibri"/>
                      <w:sz w:val="18"/>
                      <w:szCs w:val="18"/>
                      <w:lang w:val="en-US" w:eastAsia="zh-CN"/>
                    </w:rPr>
                    <w:t>2.1</w:t>
                  </w:r>
                  <w:r>
                    <w:rPr>
                      <w:rFonts w:hint="default" w:ascii="Calibri" w:hAnsi="Calibri" w:eastAsia="楷体_GB2312" w:cs="Calibri"/>
                      <w:sz w:val="18"/>
                      <w:szCs w:val="18"/>
                    </w:rPr>
                    <w:t>%</w:t>
                  </w:r>
                </w:p>
              </w:tc>
            </w:tr>
            <w:tr w14:paraId="02B1E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1832" w:type="dxa"/>
                  <w:shd w:val="clear" w:color="auto" w:fill="C6D9F0" w:themeFill="text2" w:themeFillTint="33"/>
                </w:tcPr>
                <w:p w14:paraId="0CBAA6AD">
                  <w:pPr>
                    <w:overflowPunct w:val="0"/>
                    <w:jc w:val="center"/>
                    <w:rPr>
                      <w:rFonts w:hint="default" w:ascii="Calibri" w:hAnsi="Calibri" w:eastAsia="楷体_GB2312" w:cs="Calibri"/>
                      <w:b/>
                      <w:bCs/>
                      <w:sz w:val="18"/>
                      <w:szCs w:val="18"/>
                    </w:rPr>
                  </w:pPr>
                  <w:r>
                    <w:rPr>
                      <w:rFonts w:hint="default" w:ascii="Calibri" w:hAnsi="Calibri" w:eastAsia="楷体_GB2312" w:cs="Calibri"/>
                      <w:b/>
                      <w:bCs/>
                      <w:sz w:val="18"/>
                      <w:szCs w:val="18"/>
                    </w:rPr>
                    <w:t>镝铁合金</w:t>
                  </w:r>
                </w:p>
              </w:tc>
              <w:tc>
                <w:tcPr>
                  <w:tcW w:w="1832" w:type="dxa"/>
                </w:tcPr>
                <w:p w14:paraId="155BC2C5">
                  <w:pPr>
                    <w:overflowPunct w:val="0"/>
                    <w:jc w:val="center"/>
                    <w:rPr>
                      <w:rFonts w:hint="default" w:ascii="Calibri" w:hAnsi="Calibri" w:eastAsia="楷体_GB2312" w:cs="Calibri"/>
                      <w:sz w:val="18"/>
                      <w:szCs w:val="18"/>
                    </w:rPr>
                  </w:pPr>
                  <w:r>
                    <w:rPr>
                      <w:rFonts w:hint="default" w:ascii="Calibri" w:hAnsi="Calibri" w:eastAsia="楷体_GB2312" w:cs="Calibri"/>
                      <w:sz w:val="18"/>
                      <w:szCs w:val="18"/>
                    </w:rPr>
                    <w:t>1,</w:t>
                  </w:r>
                  <w:r>
                    <w:rPr>
                      <w:rFonts w:hint="default" w:ascii="Calibri" w:hAnsi="Calibri" w:eastAsia="楷体_GB2312" w:cs="Calibri"/>
                      <w:sz w:val="18"/>
                      <w:szCs w:val="18"/>
                      <w:lang w:val="en-US" w:eastAsia="zh-CN"/>
                    </w:rPr>
                    <w:t>401</w:t>
                  </w:r>
                  <w:r>
                    <w:rPr>
                      <w:rFonts w:hint="default" w:ascii="Calibri" w:hAnsi="Calibri" w:eastAsia="楷体_GB2312" w:cs="Calibri"/>
                      <w:sz w:val="18"/>
                      <w:szCs w:val="18"/>
                    </w:rPr>
                    <w:t>,</w:t>
                  </w:r>
                  <w:r>
                    <w:rPr>
                      <w:rFonts w:hint="default" w:ascii="Calibri" w:hAnsi="Calibri" w:eastAsia="楷体_GB2312" w:cs="Calibri"/>
                      <w:sz w:val="18"/>
                      <w:szCs w:val="18"/>
                      <w:lang w:val="en-US" w:eastAsia="zh-CN"/>
                    </w:rPr>
                    <w:t>000</w:t>
                  </w:r>
                  <w:r>
                    <w:rPr>
                      <w:rFonts w:hint="default" w:ascii="Calibri" w:hAnsi="Calibri" w:eastAsia="楷体_GB2312" w:cs="Calibri"/>
                      <w:sz w:val="18"/>
                      <w:szCs w:val="18"/>
                    </w:rPr>
                    <w:t>元/吨</w:t>
                  </w:r>
                </w:p>
              </w:tc>
              <w:tc>
                <w:tcPr>
                  <w:tcW w:w="1832" w:type="dxa"/>
                </w:tcPr>
                <w:p w14:paraId="459D8615">
                  <w:pPr>
                    <w:overflowPunct w:val="0"/>
                    <w:jc w:val="center"/>
                    <w:rPr>
                      <w:rFonts w:hint="default" w:ascii="Calibri" w:hAnsi="Calibri" w:eastAsia="楷体_GB2312" w:cs="Calibri"/>
                      <w:sz w:val="18"/>
                      <w:szCs w:val="18"/>
                    </w:rPr>
                  </w:pPr>
                  <w:r>
                    <w:rPr>
                      <w:rFonts w:hint="default" w:ascii="Calibri" w:hAnsi="Calibri" w:eastAsia="楷体_GB2312" w:cs="Calibri"/>
                      <w:sz w:val="18"/>
                      <w:szCs w:val="18"/>
                      <w:lang w:val="en-US" w:eastAsia="zh-CN"/>
                    </w:rPr>
                    <w:t>4.0</w:t>
                  </w:r>
                  <w:r>
                    <w:rPr>
                      <w:rFonts w:hint="default" w:ascii="Calibri" w:hAnsi="Calibri" w:eastAsia="楷体_GB2312" w:cs="Calibri"/>
                      <w:sz w:val="18"/>
                      <w:szCs w:val="18"/>
                    </w:rPr>
                    <w:t>%</w:t>
                  </w:r>
                </w:p>
              </w:tc>
              <w:tc>
                <w:tcPr>
                  <w:tcW w:w="1833" w:type="dxa"/>
                </w:tcPr>
                <w:p w14:paraId="2AADD192">
                  <w:pPr>
                    <w:overflowPunct w:val="0"/>
                    <w:jc w:val="center"/>
                    <w:rPr>
                      <w:rFonts w:hint="default" w:ascii="Calibri" w:hAnsi="Calibri" w:eastAsia="楷体_GB2312" w:cs="Calibri"/>
                      <w:sz w:val="18"/>
                      <w:szCs w:val="18"/>
                    </w:rPr>
                  </w:pPr>
                  <w:r>
                    <w:rPr>
                      <w:rFonts w:hint="default" w:ascii="Calibri" w:hAnsi="Calibri" w:eastAsia="楷体_GB2312" w:cs="Calibri"/>
                      <w:sz w:val="18"/>
                      <w:szCs w:val="18"/>
                    </w:rPr>
                    <w:t>-</w:t>
                  </w:r>
                  <w:r>
                    <w:rPr>
                      <w:rFonts w:hint="default" w:ascii="Calibri" w:hAnsi="Calibri" w:eastAsia="楷体_GB2312" w:cs="Calibri"/>
                      <w:sz w:val="18"/>
                      <w:szCs w:val="18"/>
                      <w:lang w:val="en-US" w:eastAsia="zh-CN"/>
                    </w:rPr>
                    <w:t>2.0</w:t>
                  </w:r>
                  <w:r>
                    <w:rPr>
                      <w:rFonts w:hint="default" w:ascii="Calibri" w:hAnsi="Calibri" w:eastAsia="楷体_GB2312" w:cs="Calibri"/>
                      <w:sz w:val="18"/>
                      <w:szCs w:val="18"/>
                    </w:rPr>
                    <w:t>%</w:t>
                  </w:r>
                </w:p>
              </w:tc>
            </w:tr>
            <w:tr w14:paraId="1A9A3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1832" w:type="dxa"/>
                  <w:shd w:val="clear" w:color="auto" w:fill="C6D9F0" w:themeFill="text2" w:themeFillTint="33"/>
                </w:tcPr>
                <w:p w14:paraId="4DA47C4C">
                  <w:pPr>
                    <w:overflowPunct w:val="0"/>
                    <w:jc w:val="center"/>
                    <w:rPr>
                      <w:rFonts w:hint="default" w:ascii="Calibri" w:hAnsi="Calibri" w:eastAsia="楷体_GB2312" w:cs="Calibri"/>
                      <w:b/>
                      <w:bCs/>
                      <w:sz w:val="18"/>
                      <w:szCs w:val="18"/>
                    </w:rPr>
                  </w:pPr>
                  <w:r>
                    <w:rPr>
                      <w:rFonts w:hint="default" w:ascii="Calibri" w:hAnsi="Calibri" w:eastAsia="楷体_GB2312" w:cs="Calibri"/>
                      <w:b/>
                      <w:bCs/>
                      <w:sz w:val="18"/>
                      <w:szCs w:val="18"/>
                    </w:rPr>
                    <w:t>氧化铽</w:t>
                  </w:r>
                </w:p>
              </w:tc>
              <w:tc>
                <w:tcPr>
                  <w:tcW w:w="1832" w:type="dxa"/>
                </w:tcPr>
                <w:p w14:paraId="4B84104E">
                  <w:pPr>
                    <w:overflowPunct w:val="0"/>
                    <w:jc w:val="center"/>
                    <w:rPr>
                      <w:rFonts w:hint="default" w:ascii="Calibri" w:hAnsi="Calibri" w:eastAsia="楷体_GB2312" w:cs="Calibri"/>
                      <w:sz w:val="18"/>
                      <w:szCs w:val="18"/>
                    </w:rPr>
                  </w:pPr>
                  <w:r>
                    <w:rPr>
                      <w:rFonts w:hint="default" w:ascii="Calibri" w:hAnsi="Calibri" w:eastAsia="楷体_GB2312" w:cs="Calibri"/>
                      <w:sz w:val="18"/>
                      <w:szCs w:val="18"/>
                      <w:lang w:val="en-US" w:eastAsia="zh-CN"/>
                    </w:rPr>
                    <w:t>6</w:t>
                  </w:r>
                  <w:r>
                    <w:rPr>
                      <w:rFonts w:hint="default" w:ascii="Calibri" w:hAnsi="Calibri" w:eastAsia="楷体_GB2312" w:cs="Calibri"/>
                      <w:sz w:val="18"/>
                      <w:szCs w:val="18"/>
                    </w:rPr>
                    <w:t>,</w:t>
                  </w:r>
                  <w:r>
                    <w:rPr>
                      <w:rFonts w:hint="default" w:ascii="Calibri" w:hAnsi="Calibri" w:eastAsia="楷体_GB2312" w:cs="Calibri"/>
                      <w:sz w:val="18"/>
                      <w:szCs w:val="18"/>
                      <w:lang w:val="en-US" w:eastAsia="zh-CN"/>
                    </w:rPr>
                    <w:t>370</w:t>
                  </w:r>
                  <w:r>
                    <w:rPr>
                      <w:rFonts w:hint="default" w:ascii="Calibri" w:hAnsi="Calibri" w:eastAsia="楷体_GB2312" w:cs="Calibri"/>
                      <w:sz w:val="18"/>
                      <w:szCs w:val="18"/>
                    </w:rPr>
                    <w:t xml:space="preserve"> 元/千克</w:t>
                  </w:r>
                </w:p>
              </w:tc>
              <w:tc>
                <w:tcPr>
                  <w:tcW w:w="1832" w:type="dxa"/>
                </w:tcPr>
                <w:p w14:paraId="5CEE4EBF">
                  <w:pPr>
                    <w:overflowPunct w:val="0"/>
                    <w:jc w:val="center"/>
                    <w:rPr>
                      <w:rFonts w:hint="default" w:ascii="Calibri" w:hAnsi="Calibri" w:eastAsia="楷体_GB2312" w:cs="Calibri"/>
                      <w:sz w:val="18"/>
                      <w:szCs w:val="18"/>
                    </w:rPr>
                  </w:pPr>
                  <w:r>
                    <w:rPr>
                      <w:rFonts w:hint="default" w:ascii="Calibri" w:hAnsi="Calibri" w:eastAsia="楷体_GB2312" w:cs="Calibri"/>
                      <w:sz w:val="18"/>
                      <w:szCs w:val="18"/>
                      <w:lang w:val="en-US" w:eastAsia="zh-CN"/>
                    </w:rPr>
                    <w:t>3.6</w:t>
                  </w:r>
                  <w:r>
                    <w:rPr>
                      <w:rFonts w:hint="default" w:ascii="Calibri" w:hAnsi="Calibri" w:eastAsia="楷体_GB2312" w:cs="Calibri"/>
                      <w:sz w:val="18"/>
                      <w:szCs w:val="18"/>
                    </w:rPr>
                    <w:t>%</w:t>
                  </w:r>
                </w:p>
              </w:tc>
              <w:tc>
                <w:tcPr>
                  <w:tcW w:w="1833" w:type="dxa"/>
                </w:tcPr>
                <w:p w14:paraId="15B154B2">
                  <w:pPr>
                    <w:overflowPunct w:val="0"/>
                    <w:jc w:val="center"/>
                    <w:rPr>
                      <w:rFonts w:hint="default" w:ascii="Calibri" w:hAnsi="Calibri" w:eastAsia="楷体_GB2312" w:cs="Calibri"/>
                      <w:sz w:val="18"/>
                      <w:szCs w:val="18"/>
                    </w:rPr>
                  </w:pPr>
                  <w:r>
                    <w:rPr>
                      <w:rFonts w:hint="default" w:ascii="Calibri" w:hAnsi="Calibri" w:eastAsia="楷体_GB2312" w:cs="Calibri"/>
                      <w:sz w:val="18"/>
                      <w:szCs w:val="18"/>
                      <w:lang w:val="en-US" w:eastAsia="zh-CN"/>
                    </w:rPr>
                    <w:t>2.2</w:t>
                  </w:r>
                  <w:r>
                    <w:rPr>
                      <w:rFonts w:hint="default" w:ascii="Calibri" w:hAnsi="Calibri" w:eastAsia="楷体_GB2312" w:cs="Calibri"/>
                      <w:sz w:val="18"/>
                      <w:szCs w:val="18"/>
                    </w:rPr>
                    <w:t>%</w:t>
                  </w:r>
                </w:p>
              </w:tc>
            </w:tr>
            <w:tr w14:paraId="7214E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1832" w:type="dxa"/>
                  <w:shd w:val="clear" w:color="auto" w:fill="C6D9F0" w:themeFill="text2" w:themeFillTint="33"/>
                </w:tcPr>
                <w:p w14:paraId="6EC2A5C9">
                  <w:pPr>
                    <w:overflowPunct w:val="0"/>
                    <w:jc w:val="center"/>
                    <w:rPr>
                      <w:rFonts w:hint="default" w:ascii="Calibri" w:hAnsi="Calibri" w:eastAsia="楷体_GB2312" w:cs="Calibri"/>
                      <w:b/>
                      <w:bCs/>
                      <w:sz w:val="18"/>
                      <w:szCs w:val="18"/>
                    </w:rPr>
                  </w:pPr>
                  <w:r>
                    <w:rPr>
                      <w:rFonts w:hint="default" w:ascii="Calibri" w:hAnsi="Calibri" w:eastAsia="楷体_GB2312" w:cs="Calibri"/>
                      <w:b/>
                      <w:bCs/>
                      <w:sz w:val="18"/>
                      <w:szCs w:val="18"/>
                    </w:rPr>
                    <w:t>金属铽</w:t>
                  </w:r>
                </w:p>
              </w:tc>
              <w:tc>
                <w:tcPr>
                  <w:tcW w:w="1832" w:type="dxa"/>
                </w:tcPr>
                <w:p w14:paraId="6702DFC4">
                  <w:pPr>
                    <w:overflowPunct w:val="0"/>
                    <w:jc w:val="center"/>
                    <w:rPr>
                      <w:rFonts w:hint="default" w:ascii="Calibri" w:hAnsi="Calibri" w:eastAsia="楷体_GB2312" w:cs="Calibri"/>
                      <w:sz w:val="18"/>
                      <w:szCs w:val="18"/>
                    </w:rPr>
                  </w:pPr>
                  <w:r>
                    <w:rPr>
                      <w:rFonts w:hint="default" w:ascii="Calibri" w:hAnsi="Calibri" w:eastAsia="楷体_GB2312" w:cs="Calibri"/>
                      <w:sz w:val="18"/>
                      <w:szCs w:val="18"/>
                      <w:lang w:val="en-US" w:eastAsia="zh-CN"/>
                    </w:rPr>
                    <w:t>7</w:t>
                  </w:r>
                  <w:r>
                    <w:rPr>
                      <w:rFonts w:hint="default" w:ascii="Calibri" w:hAnsi="Calibri" w:eastAsia="楷体_GB2312" w:cs="Calibri"/>
                      <w:sz w:val="18"/>
                      <w:szCs w:val="18"/>
                    </w:rPr>
                    <w:t>,7</w:t>
                  </w:r>
                  <w:r>
                    <w:rPr>
                      <w:rFonts w:hint="default" w:ascii="Calibri" w:hAnsi="Calibri" w:eastAsia="楷体_GB2312" w:cs="Calibri"/>
                      <w:sz w:val="18"/>
                      <w:szCs w:val="18"/>
                      <w:lang w:val="en-US" w:eastAsia="zh-CN"/>
                    </w:rPr>
                    <w:t>13</w:t>
                  </w:r>
                  <w:r>
                    <w:rPr>
                      <w:rFonts w:hint="default" w:ascii="Calibri" w:hAnsi="Calibri" w:eastAsia="楷体_GB2312" w:cs="Calibri"/>
                      <w:sz w:val="18"/>
                      <w:szCs w:val="18"/>
                    </w:rPr>
                    <w:t xml:space="preserve"> 元/千克</w:t>
                  </w:r>
                </w:p>
              </w:tc>
              <w:tc>
                <w:tcPr>
                  <w:tcW w:w="1832" w:type="dxa"/>
                </w:tcPr>
                <w:p w14:paraId="504D9B80">
                  <w:pPr>
                    <w:overflowPunct w:val="0"/>
                    <w:jc w:val="center"/>
                    <w:rPr>
                      <w:rFonts w:hint="default" w:ascii="Calibri" w:hAnsi="Calibri" w:eastAsia="楷体_GB2312" w:cs="Calibri"/>
                      <w:sz w:val="18"/>
                      <w:szCs w:val="18"/>
                    </w:rPr>
                  </w:pPr>
                  <w:r>
                    <w:rPr>
                      <w:rFonts w:hint="default" w:ascii="Calibri" w:hAnsi="Calibri" w:eastAsia="楷体_GB2312" w:cs="Calibri"/>
                      <w:sz w:val="18"/>
                      <w:szCs w:val="18"/>
                      <w:lang w:val="en-US" w:eastAsia="zh-CN"/>
                    </w:rPr>
                    <w:t>2.2</w:t>
                  </w:r>
                  <w:r>
                    <w:rPr>
                      <w:rFonts w:hint="default" w:ascii="Calibri" w:hAnsi="Calibri" w:eastAsia="楷体_GB2312" w:cs="Calibri"/>
                      <w:sz w:val="18"/>
                      <w:szCs w:val="18"/>
                    </w:rPr>
                    <w:t>%</w:t>
                  </w:r>
                </w:p>
              </w:tc>
              <w:tc>
                <w:tcPr>
                  <w:tcW w:w="1833" w:type="dxa"/>
                </w:tcPr>
                <w:p w14:paraId="75154889">
                  <w:pPr>
                    <w:overflowPunct w:val="0"/>
                    <w:jc w:val="center"/>
                    <w:rPr>
                      <w:rFonts w:hint="default" w:ascii="Calibri" w:hAnsi="Calibri" w:eastAsia="楷体_GB2312" w:cs="Calibri"/>
                      <w:sz w:val="18"/>
                      <w:szCs w:val="18"/>
                    </w:rPr>
                  </w:pPr>
                  <w:r>
                    <w:rPr>
                      <w:rFonts w:hint="default" w:ascii="Calibri" w:hAnsi="Calibri" w:eastAsia="楷体_GB2312" w:cs="Calibri"/>
                      <w:sz w:val="18"/>
                      <w:szCs w:val="18"/>
                      <w:lang w:val="en-US" w:eastAsia="zh-CN"/>
                    </w:rPr>
                    <w:t>2.2</w:t>
                  </w:r>
                  <w:r>
                    <w:rPr>
                      <w:rFonts w:hint="default" w:ascii="Calibri" w:hAnsi="Calibri" w:eastAsia="楷体_GB2312" w:cs="Calibri"/>
                      <w:sz w:val="18"/>
                      <w:szCs w:val="18"/>
                    </w:rPr>
                    <w:t>%</w:t>
                  </w:r>
                </w:p>
              </w:tc>
            </w:tr>
          </w:tbl>
          <w:p w14:paraId="089CBE68">
            <w:pPr>
              <w:overflowPunct w:val="0"/>
              <w:jc w:val="center"/>
              <w:rPr>
                <w:rFonts w:hint="default" w:ascii="Calibri" w:hAnsi="Calibri" w:eastAsia="楷体_GB2312" w:cs="Calibri"/>
                <w:sz w:val="10"/>
              </w:rPr>
            </w:pPr>
          </w:p>
        </w:tc>
      </w:tr>
      <w:tr w14:paraId="16F12E47">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7555" w:type="dxa"/>
            <w:tcBorders>
              <w:top w:val="single" w:color="auto" w:sz="4" w:space="0"/>
            </w:tcBorders>
          </w:tcPr>
          <w:p w14:paraId="7FD16190">
            <w:pPr>
              <w:overflowPunct w:val="0"/>
              <w:rPr>
                <w:rFonts w:hint="default" w:ascii="Calibri" w:hAnsi="Calibri" w:eastAsia="楷体_GB2312" w:cs="Calibri"/>
                <w:i/>
                <w:iCs/>
                <w:sz w:val="15"/>
                <w:szCs w:val="15"/>
                <w:lang w:eastAsia="zh-CN"/>
              </w:rPr>
            </w:pPr>
            <w:r>
              <w:rPr>
                <w:rFonts w:hint="default" w:ascii="Calibri" w:hAnsi="Calibri" w:eastAsia="楷体_GB2312" w:cs="Calibri"/>
                <w:i/>
                <w:iCs/>
                <w:sz w:val="15"/>
                <w:szCs w:val="15"/>
              </w:rPr>
              <w:t>资料来源：Wind，</w:t>
            </w:r>
            <w:r>
              <w:rPr>
                <w:rFonts w:hint="default" w:ascii="Calibri" w:hAnsi="Calibri" w:eastAsia="楷体_GB2312" w:cs="Calibri"/>
                <w:i/>
                <w:iCs/>
                <w:sz w:val="15"/>
                <w:szCs w:val="15"/>
                <w:lang w:eastAsia="zh-CN"/>
              </w:rPr>
              <w:t>HFI</w:t>
            </w:r>
          </w:p>
        </w:tc>
      </w:tr>
    </w:tbl>
    <w:p w14:paraId="11AC9CDA">
      <w:pPr>
        <w:overflowPunct w:val="0"/>
        <w:ind w:left="3200" w:leftChars="2000"/>
        <w:jc w:val="both"/>
        <w:rPr>
          <w:rFonts w:hint="default" w:ascii="Calibri" w:hAnsi="Calibri" w:eastAsia="楷体_GB2312" w:cs="Calibri"/>
          <w:b/>
          <w:bCs/>
          <w:color w:val="1F497D" w:themeColor="text2"/>
          <w:sz w:val="24"/>
          <w:szCs w:val="24"/>
          <w:lang w:val="en-US" w:eastAsia="zh-CN"/>
          <w14:textFill>
            <w14:solidFill>
              <w14:schemeClr w14:val="tx2"/>
            </w14:solidFill>
          </w14:textFill>
        </w:rPr>
      </w:pPr>
    </w:p>
    <w:p w14:paraId="42075B98">
      <w:pPr>
        <w:overflowPunct w:val="0"/>
        <w:ind w:left="3200" w:leftChars="2000"/>
        <w:jc w:val="both"/>
        <w:rPr>
          <w:rFonts w:hint="default" w:ascii="Calibri" w:hAnsi="Calibri" w:eastAsia="楷体_GB2312" w:cs="Calibri"/>
          <w:b/>
          <w:bCs/>
          <w:color w:val="1F497D" w:themeColor="text2"/>
          <w:sz w:val="24"/>
          <w:szCs w:val="24"/>
          <w:lang w:val="en-US" w:eastAsia="zh-CN"/>
          <w14:textFill>
            <w14:solidFill>
              <w14:schemeClr w14:val="tx2"/>
            </w14:solidFill>
          </w14:textFill>
        </w:rPr>
      </w:pPr>
    </w:p>
    <w:p w14:paraId="02973138">
      <w:pPr>
        <w:overflowPunct w:val="0"/>
        <w:ind w:left="3200" w:leftChars="2000"/>
        <w:jc w:val="both"/>
        <w:outlineLvl w:val="0"/>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29" w:name="_Toc32170"/>
      <w:r>
        <w:rPr>
          <w:rFonts w:hint="default" w:ascii="Calibri" w:hAnsi="Calibri" w:eastAsia="楷体_GB2312" w:cs="Calibri"/>
          <w:b/>
          <w:bCs/>
          <w:color w:val="1F497D" w:themeColor="text2"/>
          <w:sz w:val="24"/>
          <w:szCs w:val="24"/>
          <w:lang w:val="en-US" w:eastAsia="zh-CN"/>
          <w14:textFill>
            <w14:solidFill>
              <w14:schemeClr w14:val="tx2"/>
            </w14:solidFill>
          </w14:textFill>
        </w:rPr>
        <w:fldChar w:fldCharType="begin"/>
      </w:r>
      <w:r>
        <w:rPr>
          <w:rFonts w:hint="default" w:ascii="Calibri" w:hAnsi="Calibri" w:eastAsia="楷体_GB2312" w:cs="Calibri"/>
          <w:b/>
          <w:bCs/>
          <w:color w:val="1F497D" w:themeColor="text2"/>
          <w:sz w:val="24"/>
          <w:szCs w:val="24"/>
          <w:lang w:val="en-US" w:eastAsia="zh-CN"/>
          <w14:textFill>
            <w14:solidFill>
              <w14:schemeClr w14:val="tx2"/>
            </w14:solidFill>
          </w14:textFill>
        </w:rPr>
        <w:instrText xml:space="preserve"> HYPERLINK \l "_Toc192787055" </w:instrText>
      </w:r>
      <w:r>
        <w:rPr>
          <w:rFonts w:hint="default" w:ascii="Calibri" w:hAnsi="Calibri" w:eastAsia="楷体_GB2312" w:cs="Calibri"/>
          <w:b/>
          <w:bCs/>
          <w:color w:val="1F497D" w:themeColor="text2"/>
          <w:sz w:val="24"/>
          <w:szCs w:val="24"/>
          <w:lang w:val="en-US" w:eastAsia="zh-CN"/>
          <w14:textFill>
            <w14:solidFill>
              <w14:schemeClr w14:val="tx2"/>
            </w14:solidFill>
          </w14:textFill>
        </w:rPr>
        <w:fldChar w:fldCharType="separate"/>
      </w:r>
      <w:bookmarkStart w:id="30" w:name="_Toc2082544423"/>
      <w:r>
        <w:rPr>
          <w:rFonts w:hint="default" w:ascii="Calibri" w:hAnsi="Calibri" w:eastAsia="楷体_GB2312" w:cs="Calibri"/>
          <w:b/>
          <w:bCs/>
          <w:color w:val="1F497D" w:themeColor="text2"/>
          <w:sz w:val="24"/>
          <w:szCs w:val="24"/>
          <w:lang w:val="en-US" w:eastAsia="zh-CN"/>
          <w14:textFill>
            <w14:solidFill>
              <w14:schemeClr w14:val="tx2"/>
            </w14:solidFill>
          </w14:textFill>
        </w:rPr>
        <w:t>六、全球国防与航空航天</w:t>
      </w:r>
      <w:bookmarkEnd w:id="30"/>
      <w:r>
        <w:rPr>
          <w:rFonts w:hint="default" w:ascii="Calibri" w:hAnsi="Calibri" w:eastAsia="楷体_GB2312" w:cs="Calibri"/>
          <w:b/>
          <w:bCs/>
          <w:color w:val="1F497D" w:themeColor="text2"/>
          <w:sz w:val="24"/>
          <w:szCs w:val="24"/>
          <w:lang w:val="en-US" w:eastAsia="zh-CN"/>
          <w14:textFill>
            <w14:solidFill>
              <w14:schemeClr w14:val="tx2"/>
            </w14:solidFill>
          </w14:textFill>
        </w:rPr>
        <w:fldChar w:fldCharType="end"/>
      </w:r>
      <w:bookmarkEnd w:id="29"/>
      <w:bookmarkStart w:id="31" w:name="_Toc1635638555"/>
    </w:p>
    <w:p w14:paraId="60C39923">
      <w:pPr>
        <w:overflowPunct w:val="0"/>
        <w:ind w:left="3200" w:leftChars="2000"/>
        <w:jc w:val="both"/>
        <w:outlineLvl w:val="1"/>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32" w:name="_Toc26000"/>
      <w:r>
        <w:rPr>
          <w:rFonts w:hint="default" w:ascii="Calibri" w:hAnsi="Calibri" w:eastAsia="楷体_GB2312" w:cs="Calibri"/>
          <w:b/>
          <w:bCs/>
          <w:color w:val="1F497D" w:themeColor="text2"/>
          <w:sz w:val="24"/>
          <w:szCs w:val="24"/>
          <w:lang w:val="en-US" w:eastAsia="zh-CN"/>
          <w14:textFill>
            <w14:solidFill>
              <w14:schemeClr w14:val="tx2"/>
            </w14:solidFill>
          </w14:textFill>
        </w:rPr>
        <w:t>（一</w:t>
      </w:r>
      <w:r>
        <w:rPr>
          <w:rFonts w:hint="default" w:ascii="Calibri" w:hAnsi="Calibri" w:eastAsia="楷体_GB2312" w:cs="Calibri"/>
          <w:b/>
          <w:bCs/>
          <w:color w:val="1F497D" w:themeColor="text2"/>
          <w:sz w:val="24"/>
          <w:szCs w:val="24"/>
          <w:lang w:val="en-US" w:eastAsia="zh-CN"/>
          <w14:textFill>
            <w14:solidFill>
              <w14:schemeClr w14:val="tx2"/>
            </w14:solidFill>
          </w14:textFill>
        </w:rPr>
        <w:fldChar w:fldCharType="begin"/>
      </w:r>
      <w:r>
        <w:rPr>
          <w:rFonts w:hint="default" w:ascii="Calibri" w:hAnsi="Calibri" w:eastAsia="楷体_GB2312" w:cs="Calibri"/>
          <w:b/>
          <w:bCs/>
          <w:color w:val="1F497D" w:themeColor="text2"/>
          <w:sz w:val="24"/>
          <w:szCs w:val="24"/>
          <w:lang w:val="en-US" w:eastAsia="zh-CN"/>
          <w14:textFill>
            <w14:solidFill>
              <w14:schemeClr w14:val="tx2"/>
            </w14:solidFill>
          </w14:textFill>
        </w:rPr>
        <w:instrText xml:space="preserve"> HYPERLINK \l "_Toc192787048" </w:instrText>
      </w:r>
      <w:r>
        <w:rPr>
          <w:rFonts w:hint="default" w:ascii="Calibri" w:hAnsi="Calibri" w:eastAsia="楷体_GB2312" w:cs="Calibri"/>
          <w:b/>
          <w:bCs/>
          <w:color w:val="1F497D" w:themeColor="text2"/>
          <w:sz w:val="24"/>
          <w:szCs w:val="24"/>
          <w:lang w:val="en-US" w:eastAsia="zh-CN"/>
          <w14:textFill>
            <w14:solidFill>
              <w14:schemeClr w14:val="tx2"/>
            </w14:solidFill>
          </w14:textFill>
        </w:rPr>
        <w:fldChar w:fldCharType="separate"/>
      </w:r>
      <w:r>
        <w:rPr>
          <w:rFonts w:hint="default" w:ascii="Calibri" w:hAnsi="Calibri" w:eastAsia="楷体_GB2312" w:cs="Calibri"/>
          <w:b/>
          <w:bCs/>
          <w:color w:val="1F497D" w:themeColor="text2"/>
          <w:sz w:val="24"/>
          <w:szCs w:val="24"/>
          <w:lang w:val="en-US" w:eastAsia="zh-CN"/>
          <w14:textFill>
            <w14:solidFill>
              <w14:schemeClr w14:val="tx2"/>
            </w14:solidFill>
          </w14:textFill>
        </w:rPr>
        <w:t>）航空航天</w:t>
      </w:r>
      <w:r>
        <w:rPr>
          <w:rFonts w:hint="default" w:ascii="Calibri" w:hAnsi="Calibri" w:eastAsia="楷体_GB2312" w:cs="Calibri"/>
          <w:b/>
          <w:bCs/>
          <w:color w:val="1F497D" w:themeColor="text2"/>
          <w:sz w:val="24"/>
          <w:szCs w:val="24"/>
          <w:lang w:val="en-US" w:eastAsia="zh-CN"/>
          <w14:textFill>
            <w14:solidFill>
              <w14:schemeClr w14:val="tx2"/>
            </w14:solidFill>
          </w14:textFill>
        </w:rPr>
        <w:fldChar w:fldCharType="end"/>
      </w:r>
      <w:bookmarkEnd w:id="31"/>
      <w:bookmarkEnd w:id="32"/>
      <w:bookmarkStart w:id="33" w:name="_Toc239028638"/>
    </w:p>
    <w:p w14:paraId="6AF894B5">
      <w:pPr>
        <w:pStyle w:val="45"/>
        <w:numPr>
          <w:ilvl w:val="0"/>
          <w:numId w:val="14"/>
        </w:numPr>
        <w:overflowPunct w:val="0"/>
        <w:jc w:val="both"/>
        <w:outlineLvl w:val="2"/>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34" w:name="_Toc12024"/>
      <w:r>
        <w:rPr>
          <w:rFonts w:hint="default" w:ascii="Calibri" w:hAnsi="Calibri" w:eastAsia="楷体_GB2312" w:cs="Calibri"/>
          <w:b/>
          <w:bCs/>
          <w:color w:val="1F497D" w:themeColor="text2"/>
          <w:sz w:val="24"/>
          <w:szCs w:val="24"/>
          <w:lang w:val="en-US" w:eastAsia="zh-CN"/>
          <w14:textFill>
            <w14:solidFill>
              <w14:schemeClr w14:val="tx2"/>
            </w14:solidFill>
          </w14:textFill>
        </w:rPr>
        <w:t>航空航天行业动态</w:t>
      </w:r>
      <w:bookmarkEnd w:id="33"/>
      <w:bookmarkEnd w:id="34"/>
    </w:p>
    <w:p w14:paraId="473DCDD6">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2月3日，NASA宣布Artemis II绕月载人试飞推迟至3月发射窗口，因发射台加注测试出现氢气泄漏。</w:t>
      </w:r>
    </w:p>
    <w:p w14:paraId="5C303627">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2月7日，SpaceX恢复Falcon 9发射（Starlink 17-33任务，送25颗卫星入轨），此前2月2日Starlink任务异常导致的停飞不足一周；2月11日执行Crew-12载人任务（乘组含NASA、ESA及俄罗斯宇航员）前往国际空间站。SpaceX 2025年已完成16次发射，年度目标175-180次。</w:t>
      </w:r>
    </w:p>
    <w:p w14:paraId="0B1EC2E3">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2月10日，Firefly Aerospace宣布Alpha火箭第7次任务（Flight 7）进入最后准备，计划不早于2月18日从范登堡发射，验证Block II升级（加长7英尺箭体、自主航电、热防护），2月6日已完成20秒静态点火测试。</w:t>
      </w:r>
    </w:p>
    <w:p w14:paraId="6BC2A503">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2月11日，FAA短暂关闭埃尔帕索空域（原计划10天），官方称"卡特尔无人机入侵"，引发国会质疑后迅速撤销禁令。</w:t>
      </w:r>
    </w:p>
    <w:p w14:paraId="35DE1835">
      <w:pPr>
        <w:overflowPunct w:val="0"/>
        <w:ind w:left="3200" w:leftChars="2000"/>
        <w:jc w:val="both"/>
        <w:rPr>
          <w:rFonts w:hint="default" w:ascii="Calibri" w:hAnsi="Calibri" w:eastAsia="楷体_GB2312" w:cs="Calibri"/>
          <w:sz w:val="20"/>
          <w:szCs w:val="20"/>
          <w:lang w:val="en-US" w:eastAsia="zh-CN"/>
        </w:rPr>
      </w:pPr>
    </w:p>
    <w:p w14:paraId="06881B43">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总体而言，本周航空航天行业呈现出商业航天快速迭代、地缘政治因素影响航空运输、以及载人深空探索遭遇波折的特点。Firefly 的复飞准备与 SpaceX 的高频发射节奏共同推动着商业航天能力的持续提升。</w:t>
      </w:r>
    </w:p>
    <w:p w14:paraId="5EE61F89">
      <w:pPr>
        <w:overflowPunct w:val="0"/>
        <w:ind w:left="3200" w:leftChars="2000"/>
        <w:jc w:val="both"/>
        <w:rPr>
          <w:rFonts w:hint="default" w:ascii="Calibri" w:hAnsi="Calibri" w:eastAsia="楷体_GB2312" w:cs="Calibri"/>
          <w:b/>
          <w:bCs/>
          <w:color w:val="1F497D" w:themeColor="text2"/>
          <w:sz w:val="24"/>
          <w:szCs w:val="24"/>
          <w:lang w:eastAsia="zh-CN"/>
          <w14:textFill>
            <w14:solidFill>
              <w14:schemeClr w14:val="tx2"/>
            </w14:solidFill>
          </w14:textFill>
        </w:rPr>
      </w:pPr>
    </w:p>
    <w:p w14:paraId="3BD04FC6">
      <w:pPr>
        <w:overflowPunct w:val="0"/>
        <w:ind w:left="3200" w:leftChars="2000"/>
        <w:jc w:val="both"/>
        <w:outlineLvl w:val="2"/>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35" w:name="_Toc1559898976"/>
      <w:bookmarkStart w:id="36" w:name="_Toc2150"/>
      <w:r>
        <w:rPr>
          <w:rFonts w:hint="default" w:ascii="Calibri" w:hAnsi="Calibri" w:eastAsia="楷体_GB2312" w:cs="Calibri"/>
          <w:b/>
          <w:bCs/>
          <w:color w:val="1F497D" w:themeColor="text2"/>
          <w:sz w:val="24"/>
          <w:szCs w:val="24"/>
          <w:lang w:val="en-US" w:eastAsia="zh-CN"/>
          <w14:textFill>
            <w14:solidFill>
              <w14:schemeClr w14:val="tx2"/>
            </w14:solidFill>
          </w14:textFill>
        </w:rPr>
        <w:t>（2）航空航天价格指数</w:t>
      </w:r>
      <w:bookmarkEnd w:id="35"/>
      <w:bookmarkEnd w:id="36"/>
    </w:p>
    <w:p w14:paraId="2218A503">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美国飞机发动机和发动机部件制造价格指数月环比稳定。</w:t>
      </w:r>
      <w:r>
        <w:rPr>
          <w:rFonts w:hint="default" w:ascii="Calibri" w:hAnsi="Calibri" w:eastAsia="楷体_GB2312" w:cs="Calibri"/>
          <w:sz w:val="20"/>
          <w:szCs w:val="20"/>
          <w:lang w:val="en-US" w:eastAsia="zh-CN"/>
        </w:rPr>
        <w:t>飞机发动机和发动机部件制造价格指数2025年12月为275.942，环比+0.35%，同比增长1.44%。</w:t>
      </w:r>
    </w:p>
    <w:p w14:paraId="5C57D265">
      <w:pPr>
        <w:overflowPunct w:val="0"/>
        <w:ind w:left="3200" w:leftChars="2000"/>
        <w:jc w:val="both"/>
        <w:rPr>
          <w:rFonts w:hint="default" w:ascii="Calibri" w:hAnsi="Calibri" w:eastAsia="楷体_GB2312" w:cs="Calibri"/>
          <w:sz w:val="20"/>
          <w:szCs w:val="20"/>
          <w:lang w:val="en-US" w:eastAsia="zh-CN"/>
        </w:rPr>
      </w:pPr>
    </w:p>
    <w:tbl>
      <w:tblPr>
        <w:tblStyle w:val="27"/>
        <w:tblW w:w="7555" w:type="dxa"/>
        <w:tblInd w:w="2935"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7555"/>
      </w:tblGrid>
      <w:tr w14:paraId="18925108">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7555" w:type="dxa"/>
            <w:tcBorders>
              <w:bottom w:val="single" w:color="auto" w:sz="4" w:space="0"/>
            </w:tcBorders>
          </w:tcPr>
          <w:p w14:paraId="6AD837D9">
            <w:pPr>
              <w:overflowPunct w:val="0"/>
              <w:rPr>
                <w:rFonts w:hint="default" w:ascii="Calibri" w:hAnsi="Calibri" w:eastAsia="楷体_GB2312" w:cs="Calibri"/>
                <w:b/>
                <w:szCs w:val="20"/>
              </w:rPr>
            </w:pPr>
            <w:r>
              <w:rPr>
                <w:rFonts w:hint="default" w:ascii="Calibri" w:hAnsi="Calibri" w:eastAsia="楷体_GB2312" w:cs="Calibri"/>
                <w:b/>
                <w:sz w:val="18"/>
                <w:szCs w:val="18"/>
                <w:lang w:val="zh-CN"/>
              </w:rPr>
              <w:t>图</w:t>
            </w:r>
            <w:r>
              <w:rPr>
                <w:rFonts w:hint="eastAsia" w:eastAsia="楷体_GB2312" w:cs="Calibri"/>
                <w:b/>
                <w:sz w:val="18"/>
                <w:szCs w:val="18"/>
                <w:lang w:val="en-US" w:eastAsia="zh-CN"/>
              </w:rPr>
              <w:t>40</w:t>
            </w:r>
            <w:r>
              <w:rPr>
                <w:rFonts w:hint="default" w:ascii="Calibri" w:hAnsi="Calibri" w:eastAsia="楷体_GB2312" w:cs="Calibri"/>
                <w:b/>
                <w:sz w:val="18"/>
                <w:szCs w:val="18"/>
                <w:lang w:val="zh-CN"/>
              </w:rPr>
              <w:t>:美国飞机发动机和发动机部件制造价格指数</w:t>
            </w:r>
          </w:p>
        </w:tc>
      </w:tr>
      <w:tr w14:paraId="3576F44F">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2526" w:hRule="atLeast"/>
        </w:trPr>
        <w:tc>
          <w:tcPr>
            <w:tcW w:w="7555" w:type="dxa"/>
            <w:tcBorders>
              <w:top w:val="single" w:color="auto" w:sz="4" w:space="0"/>
              <w:bottom w:val="single" w:color="auto" w:sz="4" w:space="0"/>
            </w:tcBorders>
            <w:vAlign w:val="center"/>
          </w:tcPr>
          <w:p w14:paraId="4D950635">
            <w:pPr>
              <w:overflowPunct w:val="0"/>
              <w:jc w:val="center"/>
              <w:rPr>
                <w:rFonts w:hint="default" w:ascii="Calibri" w:hAnsi="Calibri" w:eastAsia="楷体_GB2312" w:cs="Calibri"/>
                <w:sz w:val="10"/>
              </w:rPr>
            </w:pPr>
            <w:r>
              <w:rPr>
                <w:rFonts w:hint="default" w:ascii="Calibri" w:hAnsi="Calibri" w:eastAsia="楷体_GB2312" w:cs="Calibri"/>
              </w:rPr>
              <w:drawing>
                <wp:inline distT="0" distB="0" distL="114300" distR="114300">
                  <wp:extent cx="4596765" cy="1851025"/>
                  <wp:effectExtent l="0" t="0" r="635" b="3175"/>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57"/>
                          <a:stretch>
                            <a:fillRect/>
                          </a:stretch>
                        </pic:blipFill>
                        <pic:spPr>
                          <a:xfrm>
                            <a:off x="0" y="0"/>
                            <a:ext cx="4596765" cy="1851025"/>
                          </a:xfrm>
                          <a:prstGeom prst="rect">
                            <a:avLst/>
                          </a:prstGeom>
                          <a:noFill/>
                          <a:ln>
                            <a:noFill/>
                          </a:ln>
                        </pic:spPr>
                      </pic:pic>
                    </a:graphicData>
                  </a:graphic>
                </wp:inline>
              </w:drawing>
            </w:r>
          </w:p>
        </w:tc>
      </w:tr>
      <w:tr w14:paraId="0717A449">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7555" w:type="dxa"/>
            <w:tcBorders>
              <w:top w:val="single" w:color="auto" w:sz="4" w:space="0"/>
            </w:tcBorders>
          </w:tcPr>
          <w:p w14:paraId="71803C44">
            <w:pPr>
              <w:overflowPunct w:val="0"/>
              <w:rPr>
                <w:rFonts w:hint="default" w:ascii="Calibri" w:hAnsi="Calibri" w:eastAsia="楷体_GB2312" w:cs="Calibri"/>
                <w:i/>
                <w:iCs/>
                <w:sz w:val="15"/>
                <w:szCs w:val="15"/>
                <w:lang w:eastAsia="zh-CN"/>
              </w:rPr>
            </w:pPr>
            <w:r>
              <w:rPr>
                <w:rFonts w:hint="default" w:ascii="Calibri" w:hAnsi="Calibri" w:eastAsia="楷体_GB2312" w:cs="Calibri"/>
                <w:i/>
                <w:iCs/>
                <w:sz w:val="15"/>
                <w:szCs w:val="15"/>
              </w:rPr>
              <w:t>资料来源：U.S. Bureau of Labor Statistics，</w:t>
            </w:r>
            <w:r>
              <w:rPr>
                <w:rFonts w:hint="default" w:ascii="Calibri" w:hAnsi="Calibri" w:eastAsia="楷体_GB2312" w:cs="Calibri"/>
                <w:i/>
                <w:iCs/>
                <w:sz w:val="15"/>
                <w:szCs w:val="15"/>
                <w:lang w:eastAsia="zh-CN"/>
              </w:rPr>
              <w:t>HFI</w:t>
            </w:r>
          </w:p>
        </w:tc>
      </w:tr>
    </w:tbl>
    <w:p w14:paraId="2B465B9E">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美国飞机发动机和发动机零部件制造：飞机发动机零部件价格指数月环比稳定。</w:t>
      </w:r>
      <w:r>
        <w:rPr>
          <w:rFonts w:hint="default" w:ascii="Calibri" w:hAnsi="Calibri" w:eastAsia="楷体_GB2312" w:cs="Calibri"/>
          <w:sz w:val="20"/>
          <w:szCs w:val="20"/>
          <w:lang w:val="en-US" w:eastAsia="zh-CN"/>
        </w:rPr>
        <w:t>飞机发动机和发动机零部件制造：飞机发动机零部件价格指数2025年12月为292.545，环比+0.7%，同比增长3.7%。</w:t>
      </w:r>
    </w:p>
    <w:p w14:paraId="4B738AE9">
      <w:pPr>
        <w:overflowPunct w:val="0"/>
        <w:ind w:left="3200" w:leftChars="2000"/>
        <w:jc w:val="both"/>
        <w:rPr>
          <w:rFonts w:hint="default" w:ascii="Calibri" w:hAnsi="Calibri" w:eastAsia="楷体_GB2312" w:cs="Calibri"/>
          <w:sz w:val="20"/>
          <w:szCs w:val="20"/>
          <w:lang w:val="en-US" w:eastAsia="zh-CN"/>
        </w:rPr>
      </w:pPr>
    </w:p>
    <w:tbl>
      <w:tblPr>
        <w:tblStyle w:val="27"/>
        <w:tblW w:w="7555" w:type="dxa"/>
        <w:tblInd w:w="2935"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7555"/>
      </w:tblGrid>
      <w:tr w14:paraId="4DD3D88B">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PrEx>
        <w:tc>
          <w:tcPr>
            <w:tcW w:w="7555" w:type="dxa"/>
            <w:tcBorders>
              <w:bottom w:val="single" w:color="auto" w:sz="4" w:space="0"/>
            </w:tcBorders>
          </w:tcPr>
          <w:p w14:paraId="3A5BEA28">
            <w:pPr>
              <w:overflowPunct w:val="0"/>
              <w:rPr>
                <w:rFonts w:hint="default" w:ascii="Calibri" w:hAnsi="Calibri" w:eastAsia="楷体_GB2312" w:cs="Calibri"/>
                <w:b/>
                <w:szCs w:val="20"/>
              </w:rPr>
            </w:pPr>
            <w:r>
              <w:rPr>
                <w:rFonts w:hint="default" w:ascii="Calibri" w:hAnsi="Calibri" w:eastAsia="楷体_GB2312" w:cs="Calibri"/>
                <w:b/>
                <w:sz w:val="18"/>
                <w:szCs w:val="18"/>
                <w:lang w:val="zh-CN"/>
              </w:rPr>
              <w:t>图</w:t>
            </w:r>
            <w:r>
              <w:rPr>
                <w:rFonts w:hint="default" w:ascii="Calibri" w:hAnsi="Calibri" w:eastAsia="楷体_GB2312" w:cs="Calibri"/>
                <w:b/>
                <w:sz w:val="18"/>
                <w:szCs w:val="18"/>
                <w:lang w:val="en-US" w:eastAsia="zh-CN"/>
              </w:rPr>
              <w:t>4</w:t>
            </w:r>
            <w:r>
              <w:rPr>
                <w:rFonts w:hint="eastAsia" w:eastAsia="楷体_GB2312" w:cs="Calibri"/>
                <w:b/>
                <w:sz w:val="18"/>
                <w:szCs w:val="18"/>
                <w:lang w:val="en-US" w:eastAsia="zh-CN"/>
              </w:rPr>
              <w:t>1</w:t>
            </w:r>
            <w:r>
              <w:rPr>
                <w:rFonts w:hint="default" w:ascii="Calibri" w:hAnsi="Calibri" w:eastAsia="楷体_GB2312" w:cs="Calibri"/>
                <w:b/>
                <w:sz w:val="18"/>
                <w:szCs w:val="18"/>
                <w:lang w:val="zh-CN"/>
              </w:rPr>
              <w:t>: 美国飞机发动机和发动机零部件制造： 飞机发动机零部件价格指数</w:t>
            </w:r>
          </w:p>
        </w:tc>
      </w:tr>
      <w:tr w14:paraId="5A8EC261">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2526" w:hRule="atLeast"/>
        </w:trPr>
        <w:tc>
          <w:tcPr>
            <w:tcW w:w="7555" w:type="dxa"/>
            <w:tcBorders>
              <w:top w:val="single" w:color="auto" w:sz="4" w:space="0"/>
              <w:bottom w:val="single" w:color="auto" w:sz="4" w:space="0"/>
            </w:tcBorders>
            <w:vAlign w:val="center"/>
          </w:tcPr>
          <w:p w14:paraId="62D77EEE">
            <w:pPr>
              <w:overflowPunct w:val="0"/>
              <w:jc w:val="center"/>
              <w:rPr>
                <w:rFonts w:hint="default" w:ascii="Calibri" w:hAnsi="Calibri" w:eastAsia="楷体_GB2312" w:cs="Calibri"/>
                <w:sz w:val="10"/>
              </w:rPr>
            </w:pPr>
            <w:r>
              <w:rPr>
                <w:rFonts w:hint="default" w:ascii="Calibri" w:hAnsi="Calibri" w:eastAsia="楷体_GB2312" w:cs="Calibri"/>
              </w:rPr>
              <w:drawing>
                <wp:inline distT="0" distB="0" distL="114300" distR="114300">
                  <wp:extent cx="4596765" cy="1851025"/>
                  <wp:effectExtent l="0" t="0" r="635" b="3175"/>
                  <wp:docPr id="102239230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92309" name="图片 2"/>
                          <pic:cNvPicPr>
                            <a:picLocks noChangeAspect="1"/>
                          </pic:cNvPicPr>
                        </pic:nvPicPr>
                        <pic:blipFill>
                          <a:blip r:embed="rId57"/>
                          <a:stretch>
                            <a:fillRect/>
                          </a:stretch>
                        </pic:blipFill>
                        <pic:spPr>
                          <a:xfrm>
                            <a:off x="0" y="0"/>
                            <a:ext cx="4596765" cy="1851025"/>
                          </a:xfrm>
                          <a:prstGeom prst="rect">
                            <a:avLst/>
                          </a:prstGeom>
                          <a:noFill/>
                          <a:ln>
                            <a:noFill/>
                          </a:ln>
                        </pic:spPr>
                      </pic:pic>
                    </a:graphicData>
                  </a:graphic>
                </wp:inline>
              </w:drawing>
            </w:r>
          </w:p>
        </w:tc>
      </w:tr>
      <w:tr w14:paraId="01A37C11">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7555" w:type="dxa"/>
            <w:tcBorders>
              <w:top w:val="single" w:color="auto" w:sz="4" w:space="0"/>
            </w:tcBorders>
          </w:tcPr>
          <w:p w14:paraId="2DC76770">
            <w:pPr>
              <w:overflowPunct w:val="0"/>
              <w:rPr>
                <w:rFonts w:hint="default" w:ascii="Calibri" w:hAnsi="Calibri" w:eastAsia="楷体_GB2312" w:cs="Calibri"/>
                <w:i/>
                <w:iCs/>
                <w:sz w:val="15"/>
                <w:szCs w:val="15"/>
                <w:lang w:eastAsia="zh-CN"/>
              </w:rPr>
            </w:pPr>
            <w:r>
              <w:rPr>
                <w:rFonts w:hint="default" w:ascii="Calibri" w:hAnsi="Calibri" w:eastAsia="楷体_GB2312" w:cs="Calibri"/>
                <w:i/>
                <w:iCs/>
                <w:sz w:val="15"/>
                <w:szCs w:val="15"/>
              </w:rPr>
              <w:t>资料来源：U.S. Bureau of Labor Statistics，</w:t>
            </w:r>
            <w:r>
              <w:rPr>
                <w:rFonts w:hint="default" w:ascii="Calibri" w:hAnsi="Calibri" w:eastAsia="楷体_GB2312" w:cs="Calibri"/>
                <w:i/>
                <w:iCs/>
                <w:sz w:val="15"/>
                <w:szCs w:val="15"/>
                <w:lang w:eastAsia="zh-CN"/>
              </w:rPr>
              <w:t>HFI</w:t>
            </w:r>
          </w:p>
        </w:tc>
      </w:tr>
    </w:tbl>
    <w:p w14:paraId="0640A1A3">
      <w:pPr>
        <w:overflowPunct w:val="0"/>
        <w:ind w:left="3200" w:leftChars="2000"/>
        <w:jc w:val="both"/>
        <w:rPr>
          <w:rFonts w:hint="default" w:ascii="Calibri" w:hAnsi="Calibri" w:eastAsia="楷体_GB2312" w:cs="Calibri"/>
          <w:sz w:val="20"/>
          <w:szCs w:val="20"/>
          <w:lang w:val="en-US" w:eastAsia="zh-CN"/>
        </w:rPr>
      </w:pPr>
    </w:p>
    <w:p w14:paraId="5519DBEA">
      <w:pPr>
        <w:overflowPunct w:val="0"/>
        <w:ind w:left="3200" w:leftChars="2000"/>
        <w:jc w:val="both"/>
        <w:outlineLvl w:val="2"/>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37" w:name="_Toc28768"/>
      <w:r>
        <w:rPr>
          <w:rFonts w:hint="default" w:ascii="Calibri" w:hAnsi="Calibri" w:eastAsia="楷体_GB2312" w:cs="Calibri"/>
          <w:b/>
          <w:bCs/>
          <w:color w:val="1F497D" w:themeColor="text2"/>
          <w:sz w:val="24"/>
          <w:szCs w:val="24"/>
          <w:lang w:val="en-US" w:eastAsia="zh-CN"/>
          <w14:textFill>
            <w14:solidFill>
              <w14:schemeClr w14:val="tx2"/>
            </w14:solidFill>
          </w14:textFill>
        </w:rPr>
        <w:t>（3）航空航天空中流量</w:t>
      </w:r>
      <w:bookmarkEnd w:id="37"/>
    </w:p>
    <w:p w14:paraId="7AF36746">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2025年12月全球总收益客公里（RPK）同比增长5.6%，可用座位公里（ASK）同比增长5.9%。</w:t>
      </w:r>
    </w:p>
    <w:p w14:paraId="0E38BE35">
      <w:pPr>
        <w:overflowPunct w:val="0"/>
        <w:ind w:left="3200" w:leftChars="2000"/>
        <w:jc w:val="both"/>
        <w:rPr>
          <w:rFonts w:hint="default" w:ascii="Calibri" w:hAnsi="Calibri" w:eastAsia="楷体_GB2312" w:cs="Calibri"/>
          <w:sz w:val="20"/>
          <w:szCs w:val="20"/>
          <w:lang w:val="en-US" w:eastAsia="zh-CN"/>
        </w:rPr>
      </w:pPr>
    </w:p>
    <w:tbl>
      <w:tblPr>
        <w:tblStyle w:val="27"/>
        <w:tblW w:w="7555" w:type="dxa"/>
        <w:tblInd w:w="2935"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7555"/>
      </w:tblGrid>
      <w:tr w14:paraId="66EE72B1">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7555" w:type="dxa"/>
            <w:tcBorders>
              <w:bottom w:val="single" w:color="auto" w:sz="4" w:space="0"/>
            </w:tcBorders>
          </w:tcPr>
          <w:p w14:paraId="23B5EC0C">
            <w:pPr>
              <w:overflowPunct w:val="0"/>
              <w:rPr>
                <w:rFonts w:hint="default" w:ascii="Calibri" w:hAnsi="Calibri" w:eastAsia="楷体_GB2312" w:cs="Calibri"/>
                <w:b/>
                <w:szCs w:val="20"/>
                <w:lang w:eastAsia="zh-CN"/>
              </w:rPr>
            </w:pPr>
            <w:r>
              <w:rPr>
                <w:rFonts w:hint="default" w:ascii="Calibri" w:hAnsi="Calibri" w:eastAsia="楷体_GB2312" w:cs="Calibri"/>
                <w:b/>
                <w:sz w:val="18"/>
                <w:szCs w:val="18"/>
                <w:lang w:val="zh-CN"/>
              </w:rPr>
              <w:t>图</w:t>
            </w:r>
            <w:r>
              <w:rPr>
                <w:rFonts w:hint="default" w:ascii="Calibri" w:hAnsi="Calibri" w:eastAsia="楷体_GB2312" w:cs="Calibri"/>
                <w:b/>
                <w:sz w:val="18"/>
                <w:szCs w:val="18"/>
                <w:lang w:val="en-US" w:eastAsia="zh-CN"/>
              </w:rPr>
              <w:t>4</w:t>
            </w:r>
            <w:r>
              <w:rPr>
                <w:rFonts w:hint="eastAsia" w:eastAsia="楷体_GB2312" w:cs="Calibri"/>
                <w:b/>
                <w:sz w:val="18"/>
                <w:szCs w:val="18"/>
                <w:lang w:val="en-US" w:eastAsia="zh-CN"/>
              </w:rPr>
              <w:t>2</w:t>
            </w:r>
            <w:r>
              <w:rPr>
                <w:rFonts w:hint="default" w:ascii="Calibri" w:hAnsi="Calibri" w:eastAsia="楷体_GB2312" w:cs="Calibri"/>
                <w:b/>
                <w:sz w:val="18"/>
                <w:szCs w:val="18"/>
                <w:lang w:val="zh-CN"/>
              </w:rPr>
              <w:t>:</w:t>
            </w:r>
            <w:r>
              <w:rPr>
                <w:rFonts w:hint="default" w:ascii="Calibri" w:hAnsi="Calibri" w:eastAsia="楷体_GB2312" w:cs="Calibri"/>
              </w:rPr>
              <w:t xml:space="preserve"> </w:t>
            </w:r>
            <w:r>
              <w:rPr>
                <w:rFonts w:hint="default" w:ascii="Calibri" w:hAnsi="Calibri" w:eastAsia="楷体_GB2312" w:cs="Calibri"/>
                <w:b/>
                <w:sz w:val="18"/>
                <w:szCs w:val="18"/>
                <w:lang w:val="zh-CN"/>
              </w:rPr>
              <w:t>全球空中流量（2025年12月）</w:t>
            </w:r>
            <w:r>
              <w:rPr>
                <w:rFonts w:hint="default" w:ascii="Calibri" w:hAnsi="Calibri" w:eastAsia="楷体_GB2312" w:cs="Calibri"/>
                <w:b/>
                <w:sz w:val="18"/>
                <w:szCs w:val="18"/>
                <w:lang w:val="zh-CN" w:eastAsia="zh-CN"/>
              </w:rPr>
              <w:t xml:space="preserve"> </w:t>
            </w:r>
          </w:p>
        </w:tc>
      </w:tr>
      <w:tr w14:paraId="43EFDF4C">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2526" w:hRule="atLeast"/>
        </w:trPr>
        <w:tc>
          <w:tcPr>
            <w:tcW w:w="7555" w:type="dxa"/>
            <w:tcBorders>
              <w:top w:val="single" w:color="auto" w:sz="4" w:space="0"/>
              <w:bottom w:val="single" w:color="auto" w:sz="4" w:space="0"/>
            </w:tcBorders>
            <w:vAlign w:val="center"/>
          </w:tcPr>
          <w:p w14:paraId="458AA7B7">
            <w:pPr>
              <w:overflowPunct w:val="0"/>
              <w:jc w:val="center"/>
              <w:rPr>
                <w:rFonts w:hint="default" w:ascii="Calibri" w:hAnsi="Calibri" w:eastAsia="楷体_GB2312" w:cs="Calibri"/>
                <w:sz w:val="10"/>
              </w:rPr>
            </w:pPr>
            <w:r>
              <w:rPr>
                <w:rFonts w:hint="default" w:ascii="Calibri" w:hAnsi="Calibri" w:eastAsia="楷体_GB2312" w:cs="Calibri"/>
              </w:rPr>
              <w:drawing>
                <wp:inline distT="0" distB="0" distL="114300" distR="114300">
                  <wp:extent cx="4603750" cy="3943350"/>
                  <wp:effectExtent l="0" t="0" r="6350" b="635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58"/>
                          <a:stretch>
                            <a:fillRect/>
                          </a:stretch>
                        </pic:blipFill>
                        <pic:spPr>
                          <a:xfrm>
                            <a:off x="0" y="0"/>
                            <a:ext cx="4603750" cy="3943350"/>
                          </a:xfrm>
                          <a:prstGeom prst="rect">
                            <a:avLst/>
                          </a:prstGeom>
                          <a:noFill/>
                          <a:ln>
                            <a:noFill/>
                          </a:ln>
                        </pic:spPr>
                      </pic:pic>
                    </a:graphicData>
                  </a:graphic>
                </wp:inline>
              </w:drawing>
            </w:r>
          </w:p>
        </w:tc>
      </w:tr>
      <w:tr w14:paraId="14458F30">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7555" w:type="dxa"/>
            <w:tcBorders>
              <w:top w:val="single" w:color="auto" w:sz="4" w:space="0"/>
            </w:tcBorders>
          </w:tcPr>
          <w:p w14:paraId="79CEF531">
            <w:pPr>
              <w:overflowPunct w:val="0"/>
              <w:rPr>
                <w:rFonts w:hint="default" w:ascii="Calibri" w:hAnsi="Calibri" w:eastAsia="楷体_GB2312" w:cs="Calibri"/>
                <w:i/>
                <w:iCs/>
                <w:sz w:val="15"/>
                <w:szCs w:val="15"/>
                <w:lang w:eastAsia="zh-CN"/>
              </w:rPr>
            </w:pPr>
            <w:r>
              <w:rPr>
                <w:rFonts w:hint="default" w:ascii="Calibri" w:hAnsi="Calibri" w:eastAsia="楷体_GB2312" w:cs="Calibri"/>
                <w:i/>
                <w:iCs/>
                <w:sz w:val="15"/>
                <w:szCs w:val="15"/>
              </w:rPr>
              <w:t>资料来源：</w:t>
            </w:r>
            <w:r>
              <w:rPr>
                <w:rFonts w:hint="default" w:ascii="Calibri" w:hAnsi="Calibri" w:eastAsia="楷体_GB2312" w:cs="Calibri"/>
                <w:i/>
                <w:iCs/>
                <w:sz w:val="15"/>
                <w:szCs w:val="15"/>
                <w:lang w:eastAsia="zh-CN"/>
              </w:rPr>
              <w:t>AITA</w:t>
            </w:r>
            <w:r>
              <w:rPr>
                <w:rFonts w:hint="default" w:ascii="Calibri" w:hAnsi="Calibri" w:eastAsia="楷体_GB2312" w:cs="Calibri"/>
                <w:i/>
                <w:iCs/>
                <w:sz w:val="15"/>
                <w:szCs w:val="15"/>
              </w:rPr>
              <w:t>，</w:t>
            </w:r>
            <w:r>
              <w:rPr>
                <w:rFonts w:hint="default" w:ascii="Calibri" w:hAnsi="Calibri" w:eastAsia="楷体_GB2312" w:cs="Calibri"/>
                <w:i/>
                <w:iCs/>
                <w:sz w:val="15"/>
                <w:szCs w:val="15"/>
                <w:lang w:eastAsia="zh-CN"/>
              </w:rPr>
              <w:t>HFI</w:t>
            </w:r>
          </w:p>
        </w:tc>
      </w:tr>
    </w:tbl>
    <w:p w14:paraId="4933EF8D">
      <w:pPr>
        <w:overflowPunct w:val="0"/>
        <w:ind w:left="3200" w:leftChars="2000"/>
        <w:jc w:val="both"/>
        <w:rPr>
          <w:rFonts w:hint="default" w:ascii="Calibri" w:hAnsi="Calibri" w:eastAsia="楷体_GB2312" w:cs="Calibri"/>
          <w:sz w:val="20"/>
          <w:szCs w:val="20"/>
          <w:lang w:val="en-US" w:eastAsia="zh-CN"/>
        </w:rPr>
      </w:pPr>
    </w:p>
    <w:p w14:paraId="48A6CC49">
      <w:pPr>
        <w:overflowPunct w:val="0"/>
        <w:ind w:left="3200" w:leftChars="2000"/>
        <w:jc w:val="both"/>
        <w:rPr>
          <w:rFonts w:hint="default" w:ascii="Calibri" w:hAnsi="Calibri" w:eastAsia="楷体_GB2312" w:cs="Calibri"/>
          <w:sz w:val="20"/>
          <w:szCs w:val="20"/>
          <w:lang w:val="en-US" w:eastAsia="zh-CN"/>
        </w:rPr>
      </w:pPr>
    </w:p>
    <w:p w14:paraId="12EB95CB">
      <w:pPr>
        <w:overflowPunct w:val="0"/>
        <w:ind w:left="3200" w:leftChars="2000"/>
        <w:jc w:val="both"/>
        <w:rPr>
          <w:rFonts w:hint="default" w:ascii="Calibri" w:hAnsi="Calibri" w:eastAsia="楷体_GB2312" w:cs="Calibri"/>
          <w:sz w:val="20"/>
          <w:szCs w:val="20"/>
          <w:lang w:val="en-US" w:eastAsia="zh-CN"/>
        </w:rPr>
      </w:pPr>
    </w:p>
    <w:tbl>
      <w:tblPr>
        <w:tblStyle w:val="27"/>
        <w:tblW w:w="7706" w:type="dxa"/>
        <w:tblInd w:w="2935"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7706"/>
      </w:tblGrid>
      <w:tr w14:paraId="6728BA7F">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7706" w:type="dxa"/>
            <w:tcBorders>
              <w:bottom w:val="single" w:color="auto" w:sz="4" w:space="0"/>
            </w:tcBorders>
          </w:tcPr>
          <w:p w14:paraId="138CF2E4">
            <w:pPr>
              <w:overflowPunct w:val="0"/>
              <w:rPr>
                <w:rFonts w:hint="default" w:ascii="Calibri" w:hAnsi="Calibri" w:eastAsia="楷体_GB2312" w:cs="Calibri"/>
                <w:b/>
                <w:szCs w:val="20"/>
                <w:lang w:eastAsia="zh-CN"/>
              </w:rPr>
            </w:pPr>
            <w:r>
              <w:rPr>
                <w:rFonts w:hint="default" w:ascii="Calibri" w:hAnsi="Calibri" w:eastAsia="楷体_GB2312" w:cs="Calibri"/>
                <w:b/>
                <w:sz w:val="18"/>
                <w:szCs w:val="18"/>
                <w:lang w:val="zh-CN"/>
              </w:rPr>
              <w:t>图</w:t>
            </w:r>
            <w:r>
              <w:rPr>
                <w:rFonts w:hint="default" w:ascii="Calibri" w:hAnsi="Calibri" w:eastAsia="楷体_GB2312" w:cs="Calibri"/>
                <w:b/>
                <w:sz w:val="18"/>
                <w:szCs w:val="18"/>
                <w:lang w:val="en-US" w:eastAsia="zh-CN"/>
              </w:rPr>
              <w:t>43</w:t>
            </w:r>
            <w:r>
              <w:rPr>
                <w:rFonts w:hint="default" w:ascii="Calibri" w:hAnsi="Calibri" w:eastAsia="楷体_GB2312" w:cs="Calibri"/>
                <w:b/>
                <w:sz w:val="18"/>
                <w:szCs w:val="18"/>
                <w:lang w:val="zh-CN"/>
              </w:rPr>
              <w:t>:</w:t>
            </w:r>
            <w:r>
              <w:rPr>
                <w:rFonts w:hint="default" w:ascii="Calibri" w:hAnsi="Calibri" w:eastAsia="楷体_GB2312" w:cs="Calibri"/>
              </w:rPr>
              <w:t xml:space="preserve"> </w:t>
            </w:r>
            <w:r>
              <w:rPr>
                <w:rFonts w:hint="default" w:ascii="Calibri" w:hAnsi="Calibri" w:eastAsia="楷体_GB2312" w:cs="Calibri"/>
                <w:b/>
                <w:sz w:val="18"/>
                <w:szCs w:val="18"/>
                <w:lang w:val="zh-CN"/>
              </w:rPr>
              <w:t xml:space="preserve">本周主要公司情况更新 </w:t>
            </w:r>
          </w:p>
        </w:tc>
      </w:tr>
      <w:tr w14:paraId="33B643E4">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1074" w:hRule="atLeast"/>
        </w:trPr>
        <w:tc>
          <w:tcPr>
            <w:tcW w:w="7706" w:type="dxa"/>
            <w:tcBorders>
              <w:top w:val="single" w:color="auto" w:sz="4" w:space="0"/>
              <w:bottom w:val="single" w:color="auto" w:sz="4" w:space="0"/>
            </w:tcBorders>
            <w:vAlign w:val="center"/>
          </w:tcPr>
          <w:tbl>
            <w:tblPr>
              <w:tblStyle w:val="26"/>
              <w:tblW w:w="5177" w:type="pct"/>
              <w:jc w:val="center"/>
              <w:tblLayout w:type="autofit"/>
              <w:tblCellMar>
                <w:top w:w="0" w:type="dxa"/>
                <w:left w:w="108" w:type="dxa"/>
                <w:bottom w:w="0" w:type="dxa"/>
                <w:right w:w="108" w:type="dxa"/>
              </w:tblCellMar>
            </w:tblPr>
            <w:tblGrid>
              <w:gridCol w:w="991"/>
              <w:gridCol w:w="816"/>
              <w:gridCol w:w="5948"/>
            </w:tblGrid>
            <w:tr w14:paraId="666DA679">
              <w:tblPrEx>
                <w:tblCellMar>
                  <w:top w:w="0" w:type="dxa"/>
                  <w:left w:w="108" w:type="dxa"/>
                  <w:bottom w:w="0" w:type="dxa"/>
                  <w:right w:w="108" w:type="dxa"/>
                </w:tblCellMar>
              </w:tblPrEx>
              <w:trPr>
                <w:trHeight w:val="269" w:hRule="atLeast"/>
                <w:jc w:val="center"/>
              </w:trPr>
              <w:tc>
                <w:tcPr>
                  <w:tcW w:w="715" w:type="pct"/>
                  <w:tcBorders>
                    <w:top w:val="single" w:color="auto" w:sz="4" w:space="0"/>
                    <w:left w:val="single" w:color="auto" w:sz="4" w:space="0"/>
                    <w:bottom w:val="single" w:color="auto" w:sz="4" w:space="0"/>
                    <w:right w:val="nil"/>
                  </w:tcBorders>
                  <w:shd w:val="clear" w:color="000000" w:fill="0C2060"/>
                  <w:vAlign w:val="center"/>
                </w:tcPr>
                <w:p w14:paraId="7B24D337">
                  <w:pPr>
                    <w:overflowPunct w:val="0"/>
                    <w:jc w:val="center"/>
                    <w:rPr>
                      <w:rFonts w:hint="default" w:ascii="Calibri" w:hAnsi="Calibri" w:eastAsia="楷体_GB2312" w:cs="Calibri"/>
                      <w:b/>
                      <w:bCs/>
                      <w:color w:val="FFFFFF"/>
                    </w:rPr>
                  </w:pPr>
                  <w:r>
                    <w:rPr>
                      <w:rFonts w:hint="default" w:ascii="Calibri" w:hAnsi="Calibri" w:eastAsia="楷体_GB2312" w:cs="Calibri"/>
                      <w:b/>
                      <w:bCs/>
                      <w:color w:val="FFFFFF"/>
                    </w:rPr>
                    <w:t>公司名称</w:t>
                  </w:r>
                </w:p>
              </w:tc>
              <w:tc>
                <w:tcPr>
                  <w:tcW w:w="602" w:type="pct"/>
                  <w:tcBorders>
                    <w:top w:val="single" w:color="auto" w:sz="4" w:space="0"/>
                    <w:left w:val="single" w:color="auto" w:sz="4" w:space="0"/>
                    <w:bottom w:val="single" w:color="auto" w:sz="4" w:space="0"/>
                    <w:right w:val="nil"/>
                  </w:tcBorders>
                  <w:shd w:val="clear" w:color="000000" w:fill="0C2060"/>
                  <w:vAlign w:val="center"/>
                </w:tcPr>
                <w:p w14:paraId="60BE66CB">
                  <w:pPr>
                    <w:overflowPunct w:val="0"/>
                    <w:jc w:val="center"/>
                    <w:rPr>
                      <w:rFonts w:hint="default" w:ascii="Calibri" w:hAnsi="Calibri" w:eastAsia="楷体_GB2312" w:cs="Calibri"/>
                      <w:b/>
                      <w:bCs/>
                      <w:color w:val="FFFFFF"/>
                    </w:rPr>
                  </w:pPr>
                  <w:r>
                    <w:rPr>
                      <w:rFonts w:hint="default" w:ascii="Calibri" w:hAnsi="Calibri" w:eastAsia="楷体_GB2312" w:cs="Calibri"/>
                      <w:b/>
                      <w:bCs/>
                      <w:color w:val="FFFFFF"/>
                    </w:rPr>
                    <w:t>时间</w:t>
                  </w:r>
                </w:p>
              </w:tc>
              <w:tc>
                <w:tcPr>
                  <w:tcW w:w="3682" w:type="pct"/>
                  <w:tcBorders>
                    <w:top w:val="single" w:color="auto" w:sz="4" w:space="0"/>
                    <w:left w:val="nil"/>
                    <w:bottom w:val="single" w:color="auto" w:sz="4" w:space="0"/>
                    <w:right w:val="single" w:color="auto" w:sz="4" w:space="0"/>
                  </w:tcBorders>
                  <w:shd w:val="clear" w:color="000000" w:fill="0C2060"/>
                  <w:vAlign w:val="center"/>
                </w:tcPr>
                <w:p w14:paraId="426E05DB">
                  <w:pPr>
                    <w:overflowPunct w:val="0"/>
                    <w:jc w:val="center"/>
                    <w:rPr>
                      <w:rFonts w:hint="default" w:ascii="Calibri" w:hAnsi="Calibri" w:eastAsia="楷体_GB2312" w:cs="Calibri"/>
                      <w:b/>
                      <w:bCs/>
                      <w:color w:val="FFFFFF"/>
                    </w:rPr>
                  </w:pPr>
                  <w:r>
                    <w:rPr>
                      <w:rFonts w:hint="default" w:ascii="Calibri" w:hAnsi="Calibri" w:eastAsia="楷体_GB2312" w:cs="Calibri"/>
                      <w:b/>
                      <w:bCs/>
                      <w:color w:val="FFFFFF"/>
                    </w:rPr>
                    <w:t>主要内容</w:t>
                  </w:r>
                </w:p>
              </w:tc>
            </w:tr>
            <w:tr w14:paraId="182503D6">
              <w:tblPrEx>
                <w:tblCellMar>
                  <w:top w:w="0" w:type="dxa"/>
                  <w:left w:w="108" w:type="dxa"/>
                  <w:bottom w:w="0" w:type="dxa"/>
                  <w:right w:w="108" w:type="dxa"/>
                </w:tblCellMar>
              </w:tblPrEx>
              <w:trPr>
                <w:trHeight w:val="416" w:hRule="atLeast"/>
                <w:jc w:val="center"/>
              </w:trPr>
              <w:tc>
                <w:tcPr>
                  <w:tcW w:w="715" w:type="pct"/>
                  <w:tcBorders>
                    <w:top w:val="single" w:color="auto" w:sz="4" w:space="0"/>
                    <w:left w:val="single" w:color="auto" w:sz="4" w:space="0"/>
                    <w:bottom w:val="single" w:color="auto" w:sz="4" w:space="0"/>
                    <w:right w:val="nil"/>
                  </w:tcBorders>
                  <w:vAlign w:val="center"/>
                </w:tcPr>
                <w:p w14:paraId="79F3D72C">
                  <w:pPr>
                    <w:overflowPunct w:val="0"/>
                    <w:jc w:val="center"/>
                    <w:rPr>
                      <w:rFonts w:hint="default" w:ascii="Calibri" w:hAnsi="Calibri" w:eastAsia="楷体_GB2312" w:cs="Calibri"/>
                      <w:color w:val="000000"/>
                    </w:rPr>
                  </w:pPr>
                  <w:r>
                    <w:rPr>
                      <w:rFonts w:hint="default" w:ascii="Calibri" w:hAnsi="Calibri" w:eastAsia="楷体_GB2312" w:cs="Calibri"/>
                      <w:color w:val="000000"/>
                    </w:rPr>
                    <w:t>Howmet Aerospace</w:t>
                  </w:r>
                </w:p>
              </w:tc>
              <w:tc>
                <w:tcPr>
                  <w:tcW w:w="602" w:type="pct"/>
                  <w:tcBorders>
                    <w:top w:val="single" w:color="auto" w:sz="4" w:space="0"/>
                    <w:left w:val="single" w:color="auto" w:sz="4" w:space="0"/>
                    <w:bottom w:val="single" w:color="auto" w:sz="4" w:space="0"/>
                    <w:right w:val="nil"/>
                  </w:tcBorders>
                  <w:vAlign w:val="center"/>
                </w:tcPr>
                <w:p w14:paraId="618EA734">
                  <w:pPr>
                    <w:overflowPunct w:val="0"/>
                    <w:rPr>
                      <w:rFonts w:hint="default" w:ascii="Calibri" w:hAnsi="Calibri" w:eastAsia="楷体_GB2312" w:cs="Calibri"/>
                      <w:color w:val="000000"/>
                      <w:lang w:eastAsia="zh-CN"/>
                    </w:rPr>
                  </w:pPr>
                  <w:r>
                    <w:rPr>
                      <w:rFonts w:hint="default" w:ascii="Calibri" w:hAnsi="Calibri" w:eastAsia="楷体_GB2312" w:cs="Calibri"/>
                      <w:color w:val="000000"/>
                      <w:lang w:eastAsia="zh-CN"/>
                    </w:rPr>
                    <w:t>2月12日</w:t>
                  </w:r>
                </w:p>
              </w:tc>
              <w:tc>
                <w:tcPr>
                  <w:tcW w:w="3682" w:type="pct"/>
                  <w:tcBorders>
                    <w:top w:val="single" w:color="auto" w:sz="4" w:space="0"/>
                    <w:left w:val="single" w:color="auto" w:sz="4" w:space="0"/>
                    <w:bottom w:val="single" w:color="auto" w:sz="4" w:space="0"/>
                    <w:right w:val="single" w:color="auto" w:sz="4" w:space="0"/>
                  </w:tcBorders>
                  <w:noWrap/>
                  <w:vAlign w:val="center"/>
                </w:tcPr>
                <w:p w14:paraId="1C83EFAE">
                  <w:pPr>
                    <w:overflowPunct w:val="0"/>
                    <w:rPr>
                      <w:rFonts w:hint="default" w:ascii="Calibri" w:hAnsi="Calibri" w:eastAsia="楷体_GB2312" w:cs="Calibri"/>
                      <w:color w:val="000000"/>
                    </w:rPr>
                  </w:pPr>
                  <w:r>
                    <w:rPr>
                      <w:rFonts w:hint="default" w:ascii="Calibri" w:hAnsi="Calibri" w:eastAsia="楷体_GB2312" w:cs="Calibri"/>
                      <w:color w:val="000000"/>
                    </w:rPr>
                    <w:t xml:space="preserve">发布了2025年第四季度及全年业绩。第四季度净利润达3.72亿美元，或每股收益 </w:t>
                  </w:r>
                </w:p>
                <w:p w14:paraId="006C7F11">
                  <w:pPr>
                    <w:overflowPunct w:val="0"/>
                    <w:rPr>
                      <w:rFonts w:hint="default" w:ascii="Calibri" w:hAnsi="Calibri" w:eastAsia="楷体_GB2312" w:cs="Calibri"/>
                      <w:color w:val="000000"/>
                    </w:rPr>
                  </w:pPr>
                  <w:r>
                    <w:rPr>
                      <w:rFonts w:hint="default" w:ascii="Calibri" w:hAnsi="Calibri" w:eastAsia="楷体_GB2312" w:cs="Calibri"/>
                      <w:color w:val="000000"/>
                    </w:rPr>
                    <w:t xml:space="preserve"> 美元。</w:t>
                  </w:r>
                </w:p>
              </w:tc>
            </w:tr>
          </w:tbl>
          <w:p w14:paraId="6AA00B28">
            <w:pPr>
              <w:overflowPunct w:val="0"/>
              <w:jc w:val="center"/>
              <w:rPr>
                <w:rFonts w:hint="default" w:ascii="Calibri" w:hAnsi="Calibri" w:eastAsia="楷体_GB2312" w:cs="Calibri"/>
                <w:sz w:val="10"/>
              </w:rPr>
            </w:pPr>
          </w:p>
        </w:tc>
      </w:tr>
      <w:tr w14:paraId="44BE1306">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7706" w:type="dxa"/>
            <w:tcBorders>
              <w:top w:val="single" w:color="auto" w:sz="4" w:space="0"/>
            </w:tcBorders>
          </w:tcPr>
          <w:p w14:paraId="795CD78A">
            <w:pPr>
              <w:overflowPunct w:val="0"/>
              <w:rPr>
                <w:rFonts w:hint="default" w:ascii="Calibri" w:hAnsi="Calibri" w:eastAsia="楷体_GB2312" w:cs="Calibri"/>
                <w:i/>
                <w:iCs/>
                <w:sz w:val="15"/>
                <w:szCs w:val="15"/>
                <w:lang w:eastAsia="zh-CN"/>
              </w:rPr>
            </w:pPr>
            <w:r>
              <w:rPr>
                <w:rFonts w:hint="default" w:ascii="Calibri" w:hAnsi="Calibri" w:eastAsia="楷体_GB2312" w:cs="Calibri"/>
                <w:i/>
                <w:iCs/>
                <w:sz w:val="15"/>
                <w:szCs w:val="15"/>
              </w:rPr>
              <w:t>资料来源：</w:t>
            </w:r>
            <w:r>
              <w:rPr>
                <w:rFonts w:hint="default" w:ascii="Calibri" w:hAnsi="Calibri" w:eastAsia="楷体_GB2312" w:cs="Calibri"/>
                <w:i/>
                <w:iCs/>
                <w:sz w:val="15"/>
                <w:szCs w:val="15"/>
                <w:lang w:eastAsia="zh-CN"/>
              </w:rPr>
              <w:t>公司公告</w:t>
            </w:r>
            <w:r>
              <w:rPr>
                <w:rFonts w:hint="default" w:ascii="Calibri" w:hAnsi="Calibri" w:eastAsia="楷体_GB2312" w:cs="Calibri"/>
                <w:i/>
                <w:iCs/>
                <w:sz w:val="15"/>
                <w:szCs w:val="15"/>
              </w:rPr>
              <w:t>，</w:t>
            </w:r>
            <w:r>
              <w:rPr>
                <w:rFonts w:hint="default" w:ascii="Calibri" w:hAnsi="Calibri" w:eastAsia="楷体_GB2312" w:cs="Calibri"/>
                <w:i/>
                <w:iCs/>
                <w:sz w:val="15"/>
                <w:szCs w:val="15"/>
                <w:lang w:eastAsia="zh-CN"/>
              </w:rPr>
              <w:t>HFI</w:t>
            </w:r>
          </w:p>
        </w:tc>
      </w:tr>
    </w:tbl>
    <w:p w14:paraId="599AE0DE">
      <w:pPr>
        <w:overflowPunct w:val="0"/>
        <w:jc w:val="both"/>
        <w:rPr>
          <w:rFonts w:hint="default" w:ascii="Calibri" w:hAnsi="Calibri" w:eastAsia="楷体_GB2312" w:cs="Calibri"/>
          <w:b/>
          <w:bCs/>
          <w:color w:val="1F497D" w:themeColor="text2"/>
          <w:sz w:val="24"/>
          <w:szCs w:val="24"/>
          <w:lang w:val="en-US" w:eastAsia="zh-CN"/>
          <w14:textFill>
            <w14:solidFill>
              <w14:schemeClr w14:val="tx2"/>
            </w14:solidFill>
          </w14:textFill>
        </w:rPr>
      </w:pPr>
    </w:p>
    <w:p w14:paraId="121D9D05">
      <w:pPr>
        <w:overflowPunct w:val="0"/>
        <w:ind w:left="3200" w:leftChars="2000"/>
        <w:jc w:val="both"/>
        <w:outlineLvl w:val="1"/>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38" w:name="_Toc23568"/>
      <w:r>
        <w:rPr>
          <w:rFonts w:hint="default" w:ascii="Calibri" w:hAnsi="Calibri" w:eastAsia="楷体_GB2312" w:cs="Calibri"/>
          <w:b/>
          <w:bCs/>
          <w:color w:val="1F497D" w:themeColor="text2"/>
          <w:sz w:val="24"/>
          <w:szCs w:val="24"/>
          <w:lang w:val="en-US" w:eastAsia="zh-CN"/>
          <w14:textFill>
            <w14:solidFill>
              <w14:schemeClr w14:val="tx2"/>
            </w14:solidFill>
          </w14:textFill>
        </w:rPr>
        <w:fldChar w:fldCharType="begin"/>
      </w:r>
      <w:r>
        <w:rPr>
          <w:rFonts w:hint="default" w:ascii="Calibri" w:hAnsi="Calibri" w:eastAsia="楷体_GB2312" w:cs="Calibri"/>
          <w:b/>
          <w:bCs/>
          <w:color w:val="1F497D" w:themeColor="text2"/>
          <w:sz w:val="24"/>
          <w:szCs w:val="24"/>
          <w:lang w:val="en-US" w:eastAsia="zh-CN"/>
          <w14:textFill>
            <w14:solidFill>
              <w14:schemeClr w14:val="tx2"/>
            </w14:solidFill>
          </w14:textFill>
        </w:rPr>
        <w:instrText xml:space="preserve"> HYPERLINK \l "_Toc192787049" </w:instrText>
      </w:r>
      <w:r>
        <w:rPr>
          <w:rFonts w:hint="default" w:ascii="Calibri" w:hAnsi="Calibri" w:eastAsia="楷体_GB2312" w:cs="Calibri"/>
          <w:b/>
          <w:bCs/>
          <w:color w:val="1F497D" w:themeColor="text2"/>
          <w:sz w:val="24"/>
          <w:szCs w:val="24"/>
          <w:lang w:val="en-US" w:eastAsia="zh-CN"/>
          <w14:textFill>
            <w14:solidFill>
              <w14:schemeClr w14:val="tx2"/>
            </w14:solidFill>
          </w14:textFill>
        </w:rPr>
        <w:fldChar w:fldCharType="separate"/>
      </w:r>
      <w:r>
        <w:rPr>
          <w:rFonts w:hint="default" w:ascii="Calibri" w:hAnsi="Calibri" w:eastAsia="楷体_GB2312" w:cs="Calibri"/>
          <w:b/>
          <w:bCs/>
          <w:color w:val="1F497D" w:themeColor="text2"/>
          <w:sz w:val="24"/>
          <w:szCs w:val="24"/>
          <w:lang w:val="en-US" w:eastAsia="zh-CN"/>
          <w14:textFill>
            <w14:solidFill>
              <w14:schemeClr w14:val="tx2"/>
            </w14:solidFill>
          </w14:textFill>
        </w:rPr>
        <w:fldChar w:fldCharType="end"/>
      </w:r>
      <w:bookmarkStart w:id="39" w:name="_Toc64059357"/>
      <w:r>
        <w:rPr>
          <w:rFonts w:hint="default" w:ascii="Calibri" w:hAnsi="Calibri" w:eastAsia="楷体_GB2312" w:cs="Calibri"/>
          <w:b/>
          <w:bCs/>
          <w:color w:val="1F497D" w:themeColor="text2"/>
          <w:sz w:val="24"/>
          <w:szCs w:val="24"/>
          <w:lang w:val="en-US" w:eastAsia="zh-CN"/>
          <w14:textFill>
            <w14:solidFill>
              <w14:schemeClr w14:val="tx2"/>
            </w14:solidFill>
          </w14:textFill>
        </w:rPr>
        <w:fldChar w:fldCharType="begin"/>
      </w:r>
      <w:r>
        <w:rPr>
          <w:rFonts w:hint="default" w:ascii="Calibri" w:hAnsi="Calibri" w:eastAsia="楷体_GB2312" w:cs="Calibri"/>
          <w:b/>
          <w:bCs/>
          <w:color w:val="1F497D" w:themeColor="text2"/>
          <w:sz w:val="24"/>
          <w:szCs w:val="24"/>
          <w:lang w:val="en-US" w:eastAsia="zh-CN"/>
          <w14:textFill>
            <w14:solidFill>
              <w14:schemeClr w14:val="tx2"/>
            </w14:solidFill>
          </w14:textFill>
        </w:rPr>
        <w:instrText xml:space="preserve"> HYPERLINK \l "_Toc192787049" </w:instrText>
      </w:r>
      <w:r>
        <w:rPr>
          <w:rFonts w:hint="default" w:ascii="Calibri" w:hAnsi="Calibri" w:eastAsia="楷体_GB2312" w:cs="Calibri"/>
          <w:b/>
          <w:bCs/>
          <w:color w:val="1F497D" w:themeColor="text2"/>
          <w:sz w:val="24"/>
          <w:szCs w:val="24"/>
          <w:lang w:val="en-US" w:eastAsia="zh-CN"/>
          <w14:textFill>
            <w14:solidFill>
              <w14:schemeClr w14:val="tx2"/>
            </w14:solidFill>
          </w14:textFill>
        </w:rPr>
        <w:fldChar w:fldCharType="separate"/>
      </w:r>
      <w:r>
        <w:rPr>
          <w:rFonts w:hint="default" w:ascii="Calibri" w:hAnsi="Calibri" w:eastAsia="楷体_GB2312" w:cs="Calibri"/>
          <w:b/>
          <w:bCs/>
          <w:color w:val="1F497D" w:themeColor="text2"/>
          <w:sz w:val="24"/>
          <w:szCs w:val="24"/>
          <w:lang w:val="en-US" w:eastAsia="zh-CN"/>
          <w14:textFill>
            <w14:solidFill>
              <w14:schemeClr w14:val="tx2"/>
            </w14:solidFill>
          </w14:textFill>
        </w:rPr>
        <w:t>（二）国防</w:t>
      </w:r>
      <w:r>
        <w:rPr>
          <w:rFonts w:hint="default" w:ascii="Calibri" w:hAnsi="Calibri" w:eastAsia="楷体_GB2312" w:cs="Calibri"/>
          <w:b/>
          <w:bCs/>
          <w:color w:val="1F497D" w:themeColor="text2"/>
          <w:sz w:val="24"/>
          <w:szCs w:val="24"/>
          <w:lang w:val="en-US" w:eastAsia="zh-CN"/>
          <w14:textFill>
            <w14:solidFill>
              <w14:schemeClr w14:val="tx2"/>
            </w14:solidFill>
          </w14:textFill>
        </w:rPr>
        <w:fldChar w:fldCharType="end"/>
      </w:r>
      <w:bookmarkEnd w:id="38"/>
      <w:bookmarkEnd w:id="39"/>
    </w:p>
    <w:p w14:paraId="2F792580">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2月3日，美国国会通过2026财年国防预算案，总额8,390亿美元（较申请增80亿美元），结束4天停摆；重点投入F-35、F-47、B-21、"哨兵"及"金穹"系统（134亿美元）。同日，波音宣布放弃向印尼出售F-15战斗机（谈判拖延两年）。</w:t>
      </w:r>
    </w:p>
    <w:p w14:paraId="6F17CAD9">
      <w:pPr>
        <w:overflowPunct w:val="0"/>
        <w:ind w:left="3200" w:leftChars="2000"/>
        <w:jc w:val="both"/>
        <w:rPr>
          <w:rFonts w:hint="default" w:ascii="Calibri" w:hAnsi="Calibri" w:eastAsia="楷体_GB2312" w:cs="Calibri"/>
          <w:sz w:val="20"/>
          <w:szCs w:val="20"/>
          <w:lang w:val="en-US" w:eastAsia="zh-CN"/>
        </w:rPr>
      </w:pPr>
    </w:p>
    <w:p w14:paraId="1416B2E1">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2月4日，印尼与莱昂纳多签署M-346教练机采购意向书；新加坡航展研讨指出2030年军事AI将落地。</w:t>
      </w:r>
    </w:p>
    <w:p w14:paraId="585F4564">
      <w:pPr>
        <w:overflowPunct w:val="0"/>
        <w:ind w:left="3200" w:leftChars="2000"/>
        <w:jc w:val="both"/>
        <w:rPr>
          <w:rFonts w:hint="default" w:ascii="Calibri" w:hAnsi="Calibri" w:eastAsia="楷体_GB2312" w:cs="Calibri"/>
          <w:sz w:val="20"/>
          <w:szCs w:val="20"/>
          <w:lang w:val="en-US" w:eastAsia="zh-CN"/>
        </w:rPr>
      </w:pPr>
    </w:p>
    <w:p w14:paraId="736AA62A">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2月5日，加拿大PBO报告：至2035年需年增335亿美元国防预算以达北约3.5%目标，预计2035-36年赤字膨胀630亿美元（占GDP 1.4%）。</w:t>
      </w:r>
    </w:p>
    <w:p w14:paraId="3BB5FA03">
      <w:pPr>
        <w:overflowPunct w:val="0"/>
        <w:ind w:left="3200" w:leftChars="2000"/>
        <w:jc w:val="both"/>
        <w:rPr>
          <w:rFonts w:hint="default" w:ascii="Calibri" w:hAnsi="Calibri" w:eastAsia="楷体_GB2312" w:cs="Calibri"/>
          <w:sz w:val="20"/>
          <w:szCs w:val="20"/>
          <w:lang w:val="en-US" w:eastAsia="zh-CN"/>
        </w:rPr>
      </w:pPr>
      <w:bookmarkStart w:id="46" w:name="_GoBack"/>
      <w:bookmarkEnd w:id="46"/>
    </w:p>
    <w:p w14:paraId="04B83181">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2月6日，Diehl防务获德国政府多份IRIS-T导弹合同，支撑产能爬坡。</w:t>
      </w:r>
    </w:p>
    <w:p w14:paraId="5F6758B9">
      <w:pPr>
        <w:overflowPunct w:val="0"/>
        <w:ind w:left="3200" w:leftChars="2000"/>
        <w:jc w:val="both"/>
        <w:rPr>
          <w:rFonts w:hint="default" w:ascii="Calibri" w:hAnsi="Calibri" w:eastAsia="楷体_GB2312" w:cs="Calibri"/>
          <w:sz w:val="20"/>
          <w:szCs w:val="20"/>
          <w:lang w:val="en-US" w:eastAsia="zh-CN"/>
        </w:rPr>
      </w:pPr>
    </w:p>
    <w:p w14:paraId="1600D480">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2月8-12日，世界防务展（WDS 2026）在沙特利雅得举行：乌克兰展2S22 Bohdana榴弹炮，巴基斯坦推YALGHAR-200巡飞弹（射程200公里），洛马推广MMSC舰艇，沙特GAMI揭幕SAMI新防务公司及制造综合体推进"愿景2030"本地化50%军费目标，土耳其MKE展示多域装备。</w:t>
      </w:r>
    </w:p>
    <w:p w14:paraId="02C3CA63">
      <w:pPr>
        <w:overflowPunct w:val="0"/>
        <w:ind w:left="3200" w:leftChars="2000"/>
        <w:jc w:val="both"/>
        <w:rPr>
          <w:rFonts w:hint="default" w:ascii="Calibri" w:hAnsi="Calibri" w:eastAsia="楷体_GB2312" w:cs="Calibri"/>
          <w:sz w:val="20"/>
          <w:szCs w:val="20"/>
          <w:lang w:val="en-US" w:eastAsia="zh-CN"/>
        </w:rPr>
      </w:pPr>
    </w:p>
    <w:p w14:paraId="4A78F689">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2月12日，北约国防部长会议在布鲁塞尔召开，议程涵盖对乌援助、新国防开支承诺及"北极哨兵"任务。</w:t>
      </w:r>
    </w:p>
    <w:p w14:paraId="756040FF">
      <w:pPr>
        <w:overflowPunct w:val="0"/>
        <w:ind w:left="3200" w:leftChars="2000"/>
        <w:jc w:val="both"/>
        <w:rPr>
          <w:rFonts w:hint="default" w:ascii="Calibri" w:hAnsi="Calibri" w:eastAsia="楷体_GB2312" w:cs="Calibri"/>
          <w:sz w:val="20"/>
          <w:szCs w:val="20"/>
          <w:lang w:val="en-US" w:eastAsia="zh-CN"/>
        </w:rPr>
      </w:pPr>
    </w:p>
    <w:p w14:paraId="092E5F7D">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2025年Q3美国政府支出国防价格指数119.101，环比+0.7%，同比+2.8%。</w:t>
      </w:r>
    </w:p>
    <w:p w14:paraId="53DD0B42">
      <w:pPr>
        <w:overflowPunct w:val="0"/>
        <w:ind w:left="3200" w:leftChars="2000"/>
        <w:jc w:val="both"/>
        <w:rPr>
          <w:rFonts w:hint="default" w:ascii="Calibri" w:hAnsi="Calibri" w:eastAsia="楷体_GB2312" w:cs="Calibri"/>
          <w:b/>
          <w:bCs/>
          <w:color w:val="1F497D" w:themeColor="text2"/>
          <w:sz w:val="24"/>
          <w:szCs w:val="24"/>
          <w:lang w:eastAsia="zh-CN"/>
          <w14:textFill>
            <w14:solidFill>
              <w14:schemeClr w14:val="tx2"/>
            </w14:solidFill>
          </w14:textFill>
        </w:rPr>
      </w:pPr>
    </w:p>
    <w:tbl>
      <w:tblPr>
        <w:tblStyle w:val="27"/>
        <w:tblW w:w="7459" w:type="dxa"/>
        <w:tblInd w:w="2868"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7459"/>
      </w:tblGrid>
      <w:tr w14:paraId="03DDAE4C">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7459" w:type="dxa"/>
            <w:tcBorders>
              <w:bottom w:val="single" w:color="auto" w:sz="4" w:space="0"/>
            </w:tcBorders>
          </w:tcPr>
          <w:p w14:paraId="17801F94">
            <w:pPr>
              <w:overflowPunct w:val="0"/>
              <w:rPr>
                <w:rFonts w:hint="default" w:ascii="Calibri" w:hAnsi="Calibri" w:eastAsia="楷体_GB2312" w:cs="Calibri"/>
                <w:b/>
                <w:szCs w:val="20"/>
              </w:rPr>
            </w:pPr>
            <w:r>
              <w:rPr>
                <w:rFonts w:hint="default" w:ascii="Calibri" w:hAnsi="Calibri" w:eastAsia="楷体_GB2312" w:cs="Calibri"/>
                <w:b/>
                <w:sz w:val="18"/>
                <w:szCs w:val="18"/>
                <w:lang w:val="zh-CN"/>
              </w:rPr>
              <w:t>图</w:t>
            </w:r>
            <w:r>
              <w:rPr>
                <w:rFonts w:hint="default" w:ascii="Calibri" w:hAnsi="Calibri" w:eastAsia="楷体_GB2312" w:cs="Calibri"/>
                <w:b/>
                <w:sz w:val="18"/>
                <w:szCs w:val="18"/>
              </w:rPr>
              <w:t>44:</w:t>
            </w:r>
            <w:r>
              <w:rPr>
                <w:rFonts w:hint="default" w:ascii="Calibri" w:hAnsi="Calibri" w:eastAsia="楷体_GB2312" w:cs="Calibri"/>
                <w:b/>
                <w:sz w:val="18"/>
                <w:szCs w:val="18"/>
                <w:lang w:val="zh-CN"/>
              </w:rPr>
              <w:t xml:space="preserve"> 美国政府支出国防价格指数</w:t>
            </w:r>
          </w:p>
        </w:tc>
      </w:tr>
      <w:tr w14:paraId="4A9C3265">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3222" w:hRule="atLeast"/>
        </w:trPr>
        <w:tc>
          <w:tcPr>
            <w:tcW w:w="7459" w:type="dxa"/>
            <w:tcBorders>
              <w:top w:val="single" w:color="auto" w:sz="4" w:space="0"/>
              <w:bottom w:val="single" w:color="auto" w:sz="4" w:space="0"/>
            </w:tcBorders>
            <w:vAlign w:val="center"/>
          </w:tcPr>
          <w:p w14:paraId="1F85DBDE">
            <w:pPr>
              <w:overflowPunct w:val="0"/>
              <w:jc w:val="center"/>
              <w:rPr>
                <w:rFonts w:hint="default" w:ascii="Calibri" w:hAnsi="Calibri" w:eastAsia="楷体_GB2312" w:cs="Calibri"/>
                <w:sz w:val="10"/>
              </w:rPr>
            </w:pPr>
            <w:r>
              <w:rPr>
                <w:rFonts w:hint="default" w:ascii="Calibri" w:hAnsi="Calibri" w:eastAsia="楷体_GB2312" w:cs="Calibri"/>
              </w:rPr>
              <w:drawing>
                <wp:inline distT="0" distB="0" distL="114300" distR="114300">
                  <wp:extent cx="4591685" cy="1853565"/>
                  <wp:effectExtent l="0" t="0" r="5715" b="635"/>
                  <wp:docPr id="21" name="图片 5"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descr="图表, 折线图&#10;&#10;AI 生成的内容可能不正确。"/>
                          <pic:cNvPicPr>
                            <a:picLocks noChangeAspect="1"/>
                          </pic:cNvPicPr>
                        </pic:nvPicPr>
                        <pic:blipFill>
                          <a:blip r:embed="rId59"/>
                          <a:stretch>
                            <a:fillRect/>
                          </a:stretch>
                        </pic:blipFill>
                        <pic:spPr>
                          <a:xfrm>
                            <a:off x="0" y="0"/>
                            <a:ext cx="4591685" cy="1853565"/>
                          </a:xfrm>
                          <a:prstGeom prst="rect">
                            <a:avLst/>
                          </a:prstGeom>
                          <a:noFill/>
                          <a:ln>
                            <a:noFill/>
                          </a:ln>
                        </pic:spPr>
                      </pic:pic>
                    </a:graphicData>
                  </a:graphic>
                </wp:inline>
              </w:drawing>
            </w:r>
          </w:p>
        </w:tc>
      </w:tr>
      <w:tr w14:paraId="09F7FD54">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7459" w:type="dxa"/>
            <w:tcBorders>
              <w:top w:val="single" w:color="auto" w:sz="4" w:space="0"/>
            </w:tcBorders>
          </w:tcPr>
          <w:p w14:paraId="1BE85676">
            <w:pPr>
              <w:overflowPunct w:val="0"/>
              <w:rPr>
                <w:rFonts w:hint="default" w:ascii="Calibri" w:hAnsi="Calibri" w:eastAsia="楷体_GB2312" w:cs="Calibri"/>
                <w:i/>
                <w:iCs/>
                <w:sz w:val="15"/>
                <w:szCs w:val="15"/>
                <w:lang w:eastAsia="zh-CN"/>
              </w:rPr>
            </w:pPr>
            <w:r>
              <w:rPr>
                <w:rFonts w:hint="default" w:ascii="Calibri" w:hAnsi="Calibri" w:eastAsia="楷体_GB2312" w:cs="Calibri"/>
                <w:i/>
                <w:iCs/>
                <w:sz w:val="15"/>
                <w:szCs w:val="15"/>
              </w:rPr>
              <w:t>资料来源：U.S. Bureau of Economic Analysis，</w:t>
            </w:r>
            <w:r>
              <w:rPr>
                <w:rFonts w:hint="default" w:ascii="Calibri" w:hAnsi="Calibri" w:eastAsia="楷体_GB2312" w:cs="Calibri"/>
                <w:i/>
                <w:iCs/>
                <w:sz w:val="15"/>
                <w:szCs w:val="15"/>
                <w:lang w:eastAsia="zh-CN"/>
              </w:rPr>
              <w:t>HFI</w:t>
            </w:r>
          </w:p>
        </w:tc>
      </w:tr>
    </w:tbl>
    <w:p w14:paraId="61A91292">
      <w:pPr>
        <w:overflowPunct w:val="0"/>
        <w:ind w:left="3200" w:leftChars="2000"/>
        <w:jc w:val="both"/>
        <w:rPr>
          <w:rFonts w:hint="default" w:ascii="Calibri" w:hAnsi="Calibri" w:eastAsia="楷体_GB2312" w:cs="Calibri"/>
          <w:b/>
          <w:bCs/>
          <w:color w:val="1F497D" w:themeColor="text2"/>
          <w:sz w:val="24"/>
          <w:szCs w:val="24"/>
          <w:lang w:val="en-US" w:eastAsia="zh-CN"/>
          <w14:textFill>
            <w14:solidFill>
              <w14:schemeClr w14:val="tx2"/>
            </w14:solidFill>
          </w14:textFill>
        </w:rPr>
      </w:pPr>
    </w:p>
    <w:p w14:paraId="7AF22684">
      <w:pPr>
        <w:overflowPunct w:val="0"/>
        <w:ind w:left="3200" w:leftChars="2000"/>
        <w:jc w:val="both"/>
        <w:rPr>
          <w:rFonts w:hint="default" w:ascii="Calibri" w:hAnsi="Calibri" w:eastAsia="楷体_GB2312" w:cs="Calibri"/>
          <w:b/>
          <w:bCs/>
          <w:color w:val="1F497D" w:themeColor="text2"/>
          <w:sz w:val="24"/>
          <w:szCs w:val="24"/>
          <w:lang w:val="en-US" w:eastAsia="zh-CN"/>
          <w14:textFill>
            <w14:solidFill>
              <w14:schemeClr w14:val="tx2"/>
            </w14:solidFill>
          </w14:textFill>
        </w:rPr>
      </w:pPr>
    </w:p>
    <w:p w14:paraId="6C68BB24">
      <w:pPr>
        <w:overflowPunct w:val="0"/>
        <w:ind w:left="3200" w:leftChars="2000"/>
        <w:jc w:val="both"/>
        <w:rPr>
          <w:rFonts w:hint="default" w:ascii="Calibri" w:hAnsi="Calibri" w:eastAsia="楷体_GB2312" w:cs="Calibri"/>
          <w:b/>
          <w:bCs/>
          <w:color w:val="1F497D" w:themeColor="text2"/>
          <w:sz w:val="24"/>
          <w:szCs w:val="24"/>
          <w:lang w:val="en-US" w:eastAsia="zh-CN"/>
          <w14:textFill>
            <w14:solidFill>
              <w14:schemeClr w14:val="tx2"/>
            </w14:solidFill>
          </w14:textFill>
        </w:rPr>
      </w:pPr>
    </w:p>
    <w:p w14:paraId="4BF06726">
      <w:pPr>
        <w:overflowPunct w:val="0"/>
        <w:ind w:left="3200" w:leftChars="2000"/>
        <w:jc w:val="both"/>
        <w:rPr>
          <w:rFonts w:hint="default" w:ascii="Calibri" w:hAnsi="Calibri" w:eastAsia="楷体_GB2312" w:cs="Calibri"/>
          <w:b/>
          <w:bCs/>
          <w:color w:val="1F497D" w:themeColor="text2"/>
          <w:sz w:val="24"/>
          <w:szCs w:val="24"/>
          <w:lang w:val="en-US" w:eastAsia="zh-CN"/>
          <w14:textFill>
            <w14:solidFill>
              <w14:schemeClr w14:val="tx2"/>
            </w14:solidFill>
          </w14:textFill>
        </w:rPr>
      </w:pPr>
    </w:p>
    <w:p w14:paraId="0D6F84E6">
      <w:pPr>
        <w:overflowPunct w:val="0"/>
        <w:ind w:left="3200" w:leftChars="2000"/>
        <w:jc w:val="both"/>
        <w:rPr>
          <w:rFonts w:hint="default" w:ascii="Calibri" w:hAnsi="Calibri" w:eastAsia="楷体_GB2312" w:cs="Calibri"/>
          <w:b/>
          <w:bCs/>
          <w:color w:val="1F497D" w:themeColor="text2"/>
          <w:sz w:val="24"/>
          <w:szCs w:val="24"/>
          <w:lang w:val="en-US" w:eastAsia="zh-CN"/>
          <w14:textFill>
            <w14:solidFill>
              <w14:schemeClr w14:val="tx2"/>
            </w14:solidFill>
          </w14:textFill>
        </w:rPr>
      </w:pPr>
    </w:p>
    <w:p w14:paraId="630EF085">
      <w:pPr>
        <w:overflowPunct w:val="0"/>
        <w:ind w:left="3200" w:leftChars="2000"/>
        <w:jc w:val="both"/>
        <w:rPr>
          <w:rFonts w:hint="default" w:ascii="Calibri" w:hAnsi="Calibri" w:eastAsia="楷体_GB2312" w:cs="Calibri"/>
          <w:b/>
          <w:bCs/>
          <w:color w:val="1F497D" w:themeColor="text2"/>
          <w:sz w:val="24"/>
          <w:szCs w:val="24"/>
          <w:lang w:val="en-US" w:eastAsia="zh-CN"/>
          <w14:textFill>
            <w14:solidFill>
              <w14:schemeClr w14:val="tx2"/>
            </w14:solidFill>
          </w14:textFill>
        </w:rPr>
      </w:pPr>
      <w:r>
        <w:rPr>
          <w:rFonts w:hint="default" w:ascii="Calibri" w:hAnsi="Calibri" w:eastAsia="楷体_GB2312" w:cs="Calibri"/>
        </w:rPr>
        <w:fldChar w:fldCharType="begin"/>
      </w:r>
      <w:r>
        <w:rPr>
          <w:rFonts w:hint="default" w:ascii="Calibri" w:hAnsi="Calibri" w:eastAsia="楷体_GB2312" w:cs="Calibri"/>
        </w:rPr>
        <w:instrText xml:space="preserve"> HYPERLINK \l "_Toc192787049" </w:instrText>
      </w:r>
      <w:r>
        <w:rPr>
          <w:rFonts w:hint="default" w:ascii="Calibri" w:hAnsi="Calibri" w:eastAsia="楷体_GB2312" w:cs="Calibri"/>
        </w:rPr>
        <w:fldChar w:fldCharType="separate"/>
      </w:r>
      <w:r>
        <w:rPr>
          <w:rFonts w:hint="default" w:ascii="Calibri" w:hAnsi="Calibri" w:eastAsia="楷体_GB2312" w:cs="Calibri"/>
        </w:rPr>
        <w:fldChar w:fldCharType="end"/>
      </w:r>
    </w:p>
    <w:p w14:paraId="2E13A44D">
      <w:pPr>
        <w:overflowPunct w:val="0"/>
        <w:ind w:left="3200" w:leftChars="2000"/>
        <w:jc w:val="both"/>
        <w:outlineLvl w:val="1"/>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40" w:name="_Toc27857"/>
      <w:r>
        <w:rPr>
          <w:rFonts w:hint="default" w:ascii="Calibri" w:hAnsi="Calibri" w:eastAsia="楷体_GB2312" w:cs="Calibri"/>
          <w:b/>
          <w:bCs/>
          <w:color w:val="1F497D" w:themeColor="text2"/>
          <w:sz w:val="24"/>
          <w:szCs w:val="24"/>
          <w:lang w:val="en-US" w:eastAsia="zh-CN"/>
          <w14:textFill>
            <w14:solidFill>
              <w14:schemeClr w14:val="tx2"/>
            </w14:solidFill>
          </w14:textFill>
        </w:rPr>
        <w:t>（三）通用航空</w:t>
      </w:r>
      <w:bookmarkEnd w:id="40"/>
    </w:p>
    <w:p w14:paraId="78429862">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全球通用航空器交付量呈现稳步增长态势。2024 年全球通用航空器交付量达到 3,126 架，同比增长 2.49%。展望未来，预计 2025 年交付量将增至 3,250 架，同比增长 4.5%；2026 年将进一步上升至 3,410 架，增幅 5.0%；2027 年和 2028 年预计分别达到 3,520 架和 3,650 架，对应增速 3.2% 和 3.5%。这一趋势表明，全球通用航空制造业在经历疫情后已实现全面恢复，市场需求持续释放，行业进入稳定增长的新阶段。</w:t>
      </w:r>
    </w:p>
    <w:p w14:paraId="35296A9C">
      <w:pPr>
        <w:overflowPunct w:val="0"/>
        <w:jc w:val="both"/>
        <w:rPr>
          <w:rFonts w:hint="default" w:ascii="Calibri" w:hAnsi="Calibri" w:eastAsia="楷体_GB2312" w:cs="Calibri"/>
          <w:b/>
          <w:bCs/>
          <w:color w:val="1F497D" w:themeColor="text2"/>
          <w:sz w:val="24"/>
          <w:szCs w:val="24"/>
          <w:lang w:eastAsia="zh-CN"/>
          <w14:textFill>
            <w14:solidFill>
              <w14:schemeClr w14:val="tx2"/>
            </w14:solidFill>
          </w14:textFill>
        </w:rPr>
      </w:pPr>
    </w:p>
    <w:tbl>
      <w:tblPr>
        <w:tblStyle w:val="26"/>
        <w:tblW w:w="10743" w:type="dxa"/>
        <w:tblInd w:w="0" w:type="dxa"/>
        <w:tblLayout w:type="fixed"/>
        <w:tblCellMar>
          <w:top w:w="0" w:type="dxa"/>
          <w:left w:w="108" w:type="dxa"/>
          <w:bottom w:w="0" w:type="dxa"/>
          <w:right w:w="108" w:type="dxa"/>
        </w:tblCellMar>
      </w:tblPr>
      <w:tblGrid>
        <w:gridCol w:w="5306"/>
        <w:gridCol w:w="240"/>
        <w:gridCol w:w="5197"/>
      </w:tblGrid>
      <w:tr w14:paraId="18249B2A">
        <w:tblPrEx>
          <w:tblCellMar>
            <w:top w:w="0" w:type="dxa"/>
            <w:left w:w="108" w:type="dxa"/>
            <w:bottom w:w="0" w:type="dxa"/>
            <w:right w:w="108" w:type="dxa"/>
          </w:tblCellMar>
        </w:tblPrEx>
        <w:trPr>
          <w:trHeight w:val="227" w:hRule="atLeast"/>
        </w:trPr>
        <w:tc>
          <w:tcPr>
            <w:tcW w:w="5306" w:type="dxa"/>
            <w:tcBorders>
              <w:bottom w:val="single" w:color="auto" w:sz="4" w:space="0"/>
            </w:tcBorders>
            <w:tcMar>
              <w:left w:w="0" w:type="dxa"/>
              <w:right w:w="28" w:type="dxa"/>
            </w:tcMar>
          </w:tcPr>
          <w:p w14:paraId="745FD3DA">
            <w:pPr>
              <w:spacing w:before="48" w:beforeLines="20" w:after="48" w:afterLines="20"/>
              <w:textAlignment w:val="center"/>
              <w:rPr>
                <w:rFonts w:hint="default" w:ascii="Calibri" w:hAnsi="Calibri" w:eastAsia="楷体_GB2312" w:cs="Calibri"/>
                <w:b/>
                <w:szCs w:val="20"/>
                <w:highlight w:val="yellow"/>
              </w:rPr>
            </w:pPr>
            <w:r>
              <w:rPr>
                <w:rFonts w:hint="default" w:ascii="Calibri" w:hAnsi="Calibri" w:eastAsia="楷体_GB2312" w:cs="Calibri"/>
                <w:b/>
                <w:szCs w:val="20"/>
              </w:rPr>
              <w:t>图</w:t>
            </w:r>
            <w:r>
              <w:rPr>
                <w:rFonts w:hint="eastAsia" w:eastAsia="楷体_GB2312" w:cs="Calibri"/>
                <w:b/>
                <w:szCs w:val="20"/>
                <w:lang w:val="en-US" w:eastAsia="zh-CN"/>
              </w:rPr>
              <w:t>45</w:t>
            </w:r>
            <w:r>
              <w:rPr>
                <w:rFonts w:hint="default" w:ascii="Calibri" w:hAnsi="Calibri" w:eastAsia="楷体_GB2312" w:cs="Calibri"/>
                <w:b/>
                <w:szCs w:val="20"/>
              </w:rPr>
              <w:t>：全球通用航空器交付量（架）</w:t>
            </w:r>
          </w:p>
        </w:tc>
        <w:tc>
          <w:tcPr>
            <w:tcW w:w="240" w:type="dxa"/>
            <w:tcMar>
              <w:left w:w="0" w:type="dxa"/>
              <w:right w:w="28" w:type="dxa"/>
            </w:tcMar>
          </w:tcPr>
          <w:p w14:paraId="1A3FD62A">
            <w:pPr>
              <w:spacing w:before="48" w:beforeLines="20" w:after="48" w:afterLines="20"/>
              <w:rPr>
                <w:rFonts w:hint="default" w:ascii="Calibri" w:hAnsi="Calibri" w:eastAsia="楷体_GB2312" w:cs="Calibri"/>
                <w:szCs w:val="20"/>
                <w:highlight w:val="yellow"/>
              </w:rPr>
            </w:pPr>
          </w:p>
        </w:tc>
        <w:tc>
          <w:tcPr>
            <w:tcW w:w="5197" w:type="dxa"/>
            <w:tcBorders>
              <w:bottom w:val="single" w:color="auto" w:sz="4" w:space="0"/>
            </w:tcBorders>
            <w:tcMar>
              <w:left w:w="0" w:type="dxa"/>
              <w:right w:w="28" w:type="dxa"/>
            </w:tcMar>
          </w:tcPr>
          <w:p w14:paraId="22037164">
            <w:pPr>
              <w:spacing w:before="48" w:beforeLines="20" w:after="48" w:afterLines="20"/>
              <w:rPr>
                <w:rFonts w:hint="default" w:ascii="Calibri" w:hAnsi="Calibri" w:eastAsia="楷体_GB2312" w:cs="Calibri"/>
                <w:b/>
                <w:szCs w:val="20"/>
              </w:rPr>
            </w:pPr>
            <w:r>
              <w:rPr>
                <w:rFonts w:hint="default" w:ascii="Calibri" w:hAnsi="Calibri" w:eastAsia="楷体_GB2312" w:cs="Calibri"/>
                <w:b/>
                <w:szCs w:val="20"/>
              </w:rPr>
              <w:t>图</w:t>
            </w:r>
            <w:r>
              <w:rPr>
                <w:rFonts w:hint="eastAsia" w:eastAsia="楷体_GB2312" w:cs="Calibri"/>
                <w:b/>
                <w:szCs w:val="20"/>
                <w:lang w:val="en-US" w:eastAsia="zh-CN"/>
              </w:rPr>
              <w:t>46</w:t>
            </w:r>
            <w:r>
              <w:rPr>
                <w:rFonts w:hint="default" w:ascii="Calibri" w:hAnsi="Calibri" w:eastAsia="楷体_GB2312" w:cs="Calibri"/>
                <w:b/>
                <w:szCs w:val="20"/>
              </w:rPr>
              <w:t>：全球通用航空器交付量（美元）</w:t>
            </w:r>
          </w:p>
        </w:tc>
      </w:tr>
      <w:tr w14:paraId="2D39F25C">
        <w:tblPrEx>
          <w:tblCellMar>
            <w:top w:w="0" w:type="dxa"/>
            <w:left w:w="108" w:type="dxa"/>
            <w:bottom w:w="0" w:type="dxa"/>
            <w:right w:w="108" w:type="dxa"/>
          </w:tblCellMar>
        </w:tblPrEx>
        <w:trPr>
          <w:trHeight w:val="2300" w:hRule="atLeast"/>
        </w:trPr>
        <w:tc>
          <w:tcPr>
            <w:tcW w:w="5306" w:type="dxa"/>
            <w:tcBorders>
              <w:top w:val="single" w:color="auto" w:sz="4" w:space="0"/>
              <w:bottom w:val="single" w:color="auto" w:sz="4" w:space="0"/>
            </w:tcBorders>
            <w:vAlign w:val="center"/>
          </w:tcPr>
          <w:p w14:paraId="25324E60">
            <w:pPr>
              <w:spacing w:before="48" w:beforeLines="20" w:after="48" w:afterLines="20"/>
              <w:textAlignment w:val="center"/>
              <w:rPr>
                <w:rFonts w:hint="default" w:ascii="Calibri" w:hAnsi="Calibri" w:eastAsia="楷体_GB2312" w:cs="Calibri"/>
                <w:b/>
                <w:color w:val="000000"/>
                <w:szCs w:val="20"/>
                <w:lang w:bidi="ar"/>
              </w:rPr>
            </w:pPr>
            <w:r>
              <w:rPr>
                <w:rFonts w:hint="default" w:ascii="Calibri" w:hAnsi="Calibri" w:eastAsia="楷体_GB2312" w:cs="Calibri"/>
              </w:rPr>
              <w:drawing>
                <wp:inline distT="0" distB="0" distL="114300" distR="114300">
                  <wp:extent cx="3314700" cy="1880870"/>
                  <wp:effectExtent l="0" t="0" r="0" b="0"/>
                  <wp:docPr id="368691032"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inline>
              </w:drawing>
            </w:r>
          </w:p>
        </w:tc>
        <w:tc>
          <w:tcPr>
            <w:tcW w:w="240" w:type="dxa"/>
          </w:tcPr>
          <w:p w14:paraId="66D993F7">
            <w:pPr>
              <w:spacing w:before="48" w:beforeLines="20" w:after="48" w:afterLines="20"/>
              <w:rPr>
                <w:rFonts w:hint="default" w:ascii="Calibri" w:hAnsi="Calibri" w:eastAsia="楷体_GB2312" w:cs="Calibri"/>
                <w:szCs w:val="20"/>
              </w:rPr>
            </w:pPr>
          </w:p>
        </w:tc>
        <w:tc>
          <w:tcPr>
            <w:tcW w:w="5197" w:type="dxa"/>
            <w:tcBorders>
              <w:top w:val="single" w:color="auto" w:sz="4" w:space="0"/>
              <w:bottom w:val="single" w:color="auto" w:sz="4" w:space="0"/>
            </w:tcBorders>
          </w:tcPr>
          <w:p w14:paraId="55596D47">
            <w:pPr>
              <w:spacing w:before="48" w:beforeLines="20" w:after="48" w:afterLines="20"/>
              <w:rPr>
                <w:rFonts w:hint="default" w:ascii="Calibri" w:hAnsi="Calibri" w:eastAsia="楷体_GB2312" w:cs="Calibri"/>
                <w:b/>
                <w:szCs w:val="20"/>
              </w:rPr>
            </w:pPr>
            <w:r>
              <w:rPr>
                <w:rFonts w:hint="default" w:ascii="Calibri" w:hAnsi="Calibri" w:eastAsia="楷体_GB2312" w:cs="Calibri"/>
              </w:rPr>
              <w:drawing>
                <wp:inline distT="0" distB="0" distL="114300" distR="114300">
                  <wp:extent cx="3238500" cy="1918335"/>
                  <wp:effectExtent l="0" t="0" r="0" b="0"/>
                  <wp:docPr id="1941302885"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p>
        </w:tc>
      </w:tr>
      <w:tr w14:paraId="6F561101">
        <w:tblPrEx>
          <w:tblCellMar>
            <w:top w:w="0" w:type="dxa"/>
            <w:left w:w="108" w:type="dxa"/>
            <w:bottom w:w="0" w:type="dxa"/>
            <w:right w:w="108" w:type="dxa"/>
          </w:tblCellMar>
        </w:tblPrEx>
        <w:trPr>
          <w:trHeight w:val="227" w:hRule="atLeast"/>
        </w:trPr>
        <w:tc>
          <w:tcPr>
            <w:tcW w:w="5306" w:type="dxa"/>
            <w:tcBorders>
              <w:top w:val="single" w:color="auto" w:sz="4" w:space="0"/>
            </w:tcBorders>
            <w:tcMar>
              <w:left w:w="0" w:type="dxa"/>
              <w:right w:w="28" w:type="dxa"/>
            </w:tcMar>
            <w:vAlign w:val="center"/>
          </w:tcPr>
          <w:p w14:paraId="3EF7A0AF">
            <w:pPr>
              <w:overflowPunct w:val="0"/>
              <w:rPr>
                <w:rFonts w:hint="default" w:ascii="Calibri" w:hAnsi="Calibri" w:eastAsia="楷体_GB2312" w:cs="Calibri"/>
                <w:i/>
                <w:iCs/>
              </w:rPr>
            </w:pPr>
            <w:r>
              <w:rPr>
                <w:rFonts w:hint="default" w:ascii="Calibri" w:hAnsi="Calibri" w:eastAsia="楷体_GB2312" w:cs="Calibri"/>
                <w:i/>
                <w:iCs/>
              </w:rPr>
              <w:t>资料来源: GAMA, Wind, HFI</w:t>
            </w:r>
          </w:p>
        </w:tc>
        <w:tc>
          <w:tcPr>
            <w:tcW w:w="240" w:type="dxa"/>
            <w:tcMar>
              <w:left w:w="0" w:type="dxa"/>
              <w:right w:w="28" w:type="dxa"/>
            </w:tcMar>
          </w:tcPr>
          <w:p w14:paraId="44917B01">
            <w:pPr>
              <w:overflowPunct w:val="0"/>
              <w:rPr>
                <w:rFonts w:hint="default" w:ascii="Calibri" w:hAnsi="Calibri" w:eastAsia="楷体_GB2312" w:cs="Calibri"/>
                <w:i/>
                <w:iCs/>
              </w:rPr>
            </w:pPr>
          </w:p>
        </w:tc>
        <w:tc>
          <w:tcPr>
            <w:tcW w:w="5197" w:type="dxa"/>
            <w:tcBorders>
              <w:top w:val="single" w:color="auto" w:sz="4" w:space="0"/>
            </w:tcBorders>
            <w:tcMar>
              <w:left w:w="0" w:type="dxa"/>
              <w:right w:w="28" w:type="dxa"/>
            </w:tcMar>
          </w:tcPr>
          <w:p w14:paraId="15C02C12">
            <w:pPr>
              <w:overflowPunct w:val="0"/>
              <w:rPr>
                <w:rFonts w:hint="default" w:ascii="Calibri" w:hAnsi="Calibri" w:eastAsia="楷体_GB2312" w:cs="Calibri"/>
                <w:i/>
                <w:iCs/>
              </w:rPr>
            </w:pPr>
            <w:r>
              <w:rPr>
                <w:rFonts w:hint="default" w:ascii="Calibri" w:hAnsi="Calibri" w:eastAsia="楷体_GB2312" w:cs="Calibri"/>
                <w:i/>
                <w:iCs/>
              </w:rPr>
              <w:t>资料来源: GAMA, Wind,HFI</w:t>
            </w:r>
          </w:p>
        </w:tc>
      </w:tr>
    </w:tbl>
    <w:p w14:paraId="629BE7CB">
      <w:pPr>
        <w:overflowPunct w:val="0"/>
        <w:jc w:val="both"/>
        <w:rPr>
          <w:rFonts w:hint="default" w:ascii="Calibri" w:hAnsi="Calibri" w:eastAsia="楷体_GB2312" w:cs="Calibri"/>
          <w:b/>
          <w:bCs/>
          <w:color w:val="1F497D" w:themeColor="text2"/>
          <w:sz w:val="24"/>
          <w:szCs w:val="24"/>
          <w:lang w:val="en-US" w:eastAsia="zh-CN"/>
          <w14:textFill>
            <w14:solidFill>
              <w14:schemeClr w14:val="tx2"/>
            </w14:solidFill>
          </w14:textFill>
        </w:rPr>
      </w:pPr>
    </w:p>
    <w:p w14:paraId="288CDA83">
      <w:pPr>
        <w:overflowPunct w:val="0"/>
        <w:ind w:left="3200" w:leftChars="2000"/>
        <w:jc w:val="both"/>
        <w:rPr>
          <w:rFonts w:hint="default" w:ascii="Calibri" w:hAnsi="Calibri" w:eastAsia="楷体_GB2312" w:cs="Calibri"/>
          <w:b/>
          <w:bCs/>
          <w:color w:val="1F497D" w:themeColor="text2"/>
          <w:kern w:val="0"/>
          <w:sz w:val="24"/>
          <w:lang w:eastAsia="ja-JP"/>
          <w14:textFill>
            <w14:solidFill>
              <w14:schemeClr w14:val="tx2"/>
            </w14:solidFill>
          </w14:textFill>
        </w:rPr>
      </w:pPr>
      <w:r>
        <w:rPr>
          <w:rFonts w:hint="default" w:ascii="Calibri" w:hAnsi="Calibri" w:eastAsia="楷体_GB2312" w:cs="Calibri"/>
          <w:sz w:val="20"/>
          <w:szCs w:val="20"/>
          <w:lang w:val="en-US" w:eastAsia="zh-CN"/>
        </w:rPr>
        <w:t>全球通用航空市场呈现北美地区增长为主、欧洲保持稳定、亚太地区面临调整压力、拉美/中东及非洲地区增速放缓的格局。未来随着各国政策落地实施，特别是中国持续推进低空经济与通用航空发展，亚太地区的市场份额有望回升。</w:t>
      </w:r>
    </w:p>
    <w:tbl>
      <w:tblPr>
        <w:tblStyle w:val="26"/>
        <w:tblpPr w:leftFromText="180" w:rightFromText="180" w:vertAnchor="text" w:horzAnchor="margin" w:tblpXSpec="right" w:tblpY="317"/>
        <w:tblW w:w="7466" w:type="dxa"/>
        <w:jc w:val="right"/>
        <w:tblLayout w:type="fixed"/>
        <w:tblCellMar>
          <w:top w:w="0" w:type="dxa"/>
          <w:left w:w="108" w:type="dxa"/>
          <w:bottom w:w="0" w:type="dxa"/>
          <w:right w:w="108" w:type="dxa"/>
        </w:tblCellMar>
      </w:tblPr>
      <w:tblGrid>
        <w:gridCol w:w="7466"/>
      </w:tblGrid>
      <w:tr w14:paraId="0149723F">
        <w:tblPrEx>
          <w:tblCellMar>
            <w:top w:w="0" w:type="dxa"/>
            <w:left w:w="108" w:type="dxa"/>
            <w:bottom w:w="0" w:type="dxa"/>
            <w:right w:w="108" w:type="dxa"/>
          </w:tblCellMar>
        </w:tblPrEx>
        <w:trPr>
          <w:trHeight w:val="302" w:hRule="atLeast"/>
          <w:jc w:val="right"/>
        </w:trPr>
        <w:tc>
          <w:tcPr>
            <w:tcW w:w="7466" w:type="dxa"/>
            <w:tcBorders>
              <w:bottom w:val="single" w:color="auto" w:sz="4" w:space="0"/>
            </w:tcBorders>
            <w:tcMar>
              <w:left w:w="0" w:type="dxa"/>
              <w:right w:w="28" w:type="dxa"/>
            </w:tcMar>
          </w:tcPr>
          <w:p w14:paraId="2871D49B">
            <w:pPr>
              <w:spacing w:before="48" w:beforeLines="20" w:after="48" w:afterLines="20"/>
              <w:textAlignment w:val="center"/>
              <w:rPr>
                <w:rFonts w:hint="default" w:ascii="Calibri" w:hAnsi="Calibri" w:eastAsia="楷体_GB2312" w:cs="Calibri"/>
                <w:szCs w:val="20"/>
              </w:rPr>
            </w:pPr>
            <w:r>
              <w:rPr>
                <w:rFonts w:hint="default" w:ascii="Calibri" w:hAnsi="Calibri" w:eastAsia="楷体_GB2312" w:cs="Calibri"/>
                <w:b/>
                <w:szCs w:val="20"/>
              </w:rPr>
              <w:t>图</w:t>
            </w:r>
            <w:r>
              <w:rPr>
                <w:rFonts w:hint="eastAsia" w:eastAsia="楷体_GB2312" w:cs="Calibri"/>
                <w:b/>
                <w:szCs w:val="20"/>
                <w:lang w:val="en-US" w:eastAsia="zh-CN"/>
              </w:rPr>
              <w:t>47</w:t>
            </w:r>
            <w:r>
              <w:rPr>
                <w:rFonts w:hint="default" w:ascii="Calibri" w:hAnsi="Calibri" w:eastAsia="楷体_GB2312" w:cs="Calibri"/>
                <w:b/>
                <w:szCs w:val="20"/>
              </w:rPr>
              <w:t>：全球通用航空器按地区交付量（架）</w:t>
            </w:r>
          </w:p>
        </w:tc>
      </w:tr>
      <w:tr w14:paraId="6E5D3C4E">
        <w:tblPrEx>
          <w:tblCellMar>
            <w:top w:w="0" w:type="dxa"/>
            <w:left w:w="108" w:type="dxa"/>
            <w:bottom w:w="0" w:type="dxa"/>
            <w:right w:w="108" w:type="dxa"/>
          </w:tblCellMar>
        </w:tblPrEx>
        <w:trPr>
          <w:trHeight w:val="856" w:hRule="atLeast"/>
          <w:jc w:val="right"/>
        </w:trPr>
        <w:tc>
          <w:tcPr>
            <w:tcW w:w="7466" w:type="dxa"/>
            <w:tcBorders>
              <w:top w:val="single" w:color="auto" w:sz="4" w:space="0"/>
              <w:bottom w:val="single" w:color="auto" w:sz="4" w:space="0"/>
            </w:tcBorders>
            <w:vAlign w:val="center"/>
          </w:tcPr>
          <w:p w14:paraId="1718C4C7">
            <w:pPr>
              <w:spacing w:before="48" w:beforeLines="20" w:after="48" w:afterLines="20"/>
              <w:jc w:val="center"/>
              <w:textAlignment w:val="center"/>
              <w:rPr>
                <w:rFonts w:hint="default" w:ascii="Calibri" w:hAnsi="Calibri" w:eastAsia="楷体_GB2312" w:cs="Calibri"/>
                <w:b/>
                <w:bCs/>
                <w:szCs w:val="20"/>
              </w:rPr>
            </w:pPr>
            <w:r>
              <w:rPr>
                <w:rFonts w:hint="default" w:ascii="Calibri" w:hAnsi="Calibri" w:eastAsia="楷体_GB2312" w:cs="Calibri"/>
              </w:rPr>
              <w:drawing>
                <wp:inline distT="0" distB="0" distL="114300" distR="114300">
                  <wp:extent cx="4380865" cy="2126615"/>
                  <wp:effectExtent l="0" t="0" r="8255" b="6985"/>
                  <wp:docPr id="26" name="图表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inline>
              </w:drawing>
            </w:r>
          </w:p>
        </w:tc>
      </w:tr>
      <w:tr w14:paraId="67917FF2">
        <w:tblPrEx>
          <w:tblCellMar>
            <w:top w:w="0" w:type="dxa"/>
            <w:left w:w="108" w:type="dxa"/>
            <w:bottom w:w="0" w:type="dxa"/>
            <w:right w:w="108" w:type="dxa"/>
          </w:tblCellMar>
        </w:tblPrEx>
        <w:trPr>
          <w:trHeight w:val="64" w:hRule="atLeast"/>
          <w:jc w:val="right"/>
        </w:trPr>
        <w:tc>
          <w:tcPr>
            <w:tcW w:w="7466" w:type="dxa"/>
            <w:tcBorders>
              <w:top w:val="single" w:color="auto" w:sz="4" w:space="0"/>
            </w:tcBorders>
            <w:tcMar>
              <w:left w:w="0" w:type="dxa"/>
              <w:right w:w="28" w:type="dxa"/>
            </w:tcMar>
            <w:vAlign w:val="center"/>
          </w:tcPr>
          <w:p w14:paraId="1AD52547">
            <w:pPr>
              <w:spacing w:line="240" w:lineRule="atLeast"/>
              <w:textAlignment w:val="center"/>
              <w:rPr>
                <w:rFonts w:hint="default" w:ascii="Calibri" w:hAnsi="Calibri" w:eastAsia="楷体_GB2312" w:cs="Calibri"/>
                <w:i/>
                <w:iCs/>
              </w:rPr>
            </w:pPr>
            <w:r>
              <w:rPr>
                <w:rFonts w:hint="default" w:ascii="Calibri" w:hAnsi="Calibri" w:eastAsia="楷体_GB2312" w:cs="Calibri"/>
                <w:i/>
                <w:iCs/>
              </w:rPr>
              <w:t>资料来源: GAMA, Wind, HFI</w:t>
            </w:r>
          </w:p>
        </w:tc>
      </w:tr>
    </w:tbl>
    <w:p w14:paraId="3D280B02">
      <w:pPr>
        <w:pStyle w:val="12"/>
        <w:spacing w:before="240" w:beforeLines="100" w:after="240" w:afterLines="100" w:line="260" w:lineRule="exact"/>
        <w:ind w:left="0" w:leftChars="0" w:right="42" w:firstLine="0"/>
        <w:jc w:val="both"/>
        <w:rPr>
          <w:rFonts w:hint="default" w:ascii="Calibri" w:hAnsi="Calibri" w:eastAsia="楷体_GB2312" w:cs="Calibri"/>
          <w:b/>
          <w:bCs/>
          <w:color w:val="1F497D" w:themeColor="text2"/>
          <w:kern w:val="0"/>
          <w:sz w:val="24"/>
          <w:lang w:eastAsia="ja-JP"/>
          <w14:textFill>
            <w14:solidFill>
              <w14:schemeClr w14:val="tx2"/>
            </w14:solidFill>
          </w14:textFill>
        </w:rPr>
      </w:pPr>
    </w:p>
    <w:p w14:paraId="62FD6B72">
      <w:pPr>
        <w:pStyle w:val="12"/>
        <w:spacing w:before="240" w:beforeLines="100" w:after="240" w:afterLines="100" w:line="260" w:lineRule="exact"/>
        <w:ind w:left="0" w:leftChars="0" w:right="42" w:firstLine="0"/>
        <w:jc w:val="both"/>
        <w:rPr>
          <w:rFonts w:hint="default" w:ascii="Calibri" w:hAnsi="Calibri" w:eastAsia="楷体_GB2312" w:cs="Calibri"/>
          <w:b/>
          <w:bCs/>
          <w:color w:val="1F497D" w:themeColor="text2"/>
          <w:kern w:val="0"/>
          <w:sz w:val="24"/>
          <w:lang w:eastAsia="ja-JP"/>
          <w14:textFill>
            <w14:solidFill>
              <w14:schemeClr w14:val="tx2"/>
            </w14:solidFill>
          </w14:textFill>
        </w:rPr>
      </w:pPr>
    </w:p>
    <w:p w14:paraId="37145B72">
      <w:pPr>
        <w:pStyle w:val="12"/>
        <w:spacing w:before="240" w:beforeLines="100" w:after="240" w:afterLines="100" w:line="260" w:lineRule="exact"/>
        <w:ind w:left="0" w:leftChars="0" w:right="42" w:firstLine="0"/>
        <w:jc w:val="both"/>
        <w:rPr>
          <w:rFonts w:hint="default" w:ascii="Calibri" w:hAnsi="Calibri" w:eastAsia="楷体_GB2312" w:cs="Calibri"/>
          <w:sz w:val="20"/>
          <w:szCs w:val="20"/>
          <w:lang w:val="en-GB"/>
        </w:rPr>
      </w:pPr>
    </w:p>
    <w:p w14:paraId="2C0CBA1C">
      <w:pPr>
        <w:pStyle w:val="12"/>
        <w:spacing w:before="240" w:beforeLines="100" w:after="240" w:afterLines="100" w:line="260" w:lineRule="exact"/>
        <w:ind w:left="0" w:leftChars="0" w:right="42" w:firstLine="0"/>
        <w:jc w:val="both"/>
        <w:rPr>
          <w:rFonts w:hint="default" w:ascii="Calibri" w:hAnsi="Calibri" w:eastAsia="楷体_GB2312" w:cs="Calibri"/>
          <w:sz w:val="20"/>
          <w:szCs w:val="20"/>
          <w:lang w:val="en-GB"/>
        </w:rPr>
      </w:pPr>
    </w:p>
    <w:p w14:paraId="07A8E473">
      <w:pPr>
        <w:pStyle w:val="12"/>
        <w:spacing w:before="240" w:beforeLines="100" w:after="240" w:afterLines="100" w:line="260" w:lineRule="exact"/>
        <w:ind w:left="0" w:leftChars="0" w:right="42" w:firstLine="0"/>
        <w:jc w:val="both"/>
        <w:rPr>
          <w:rFonts w:hint="default" w:ascii="Calibri" w:hAnsi="Calibri" w:eastAsia="楷体_GB2312" w:cs="Calibri"/>
          <w:sz w:val="20"/>
          <w:szCs w:val="20"/>
          <w:lang w:val="en-GB"/>
        </w:rPr>
      </w:pPr>
    </w:p>
    <w:p w14:paraId="0C091D88">
      <w:pPr>
        <w:pStyle w:val="12"/>
        <w:spacing w:before="240" w:beforeLines="100" w:after="240" w:afterLines="100" w:line="260" w:lineRule="exact"/>
        <w:ind w:left="0" w:leftChars="0" w:right="42" w:firstLine="0"/>
        <w:jc w:val="both"/>
        <w:rPr>
          <w:rFonts w:hint="default" w:ascii="Calibri" w:hAnsi="Calibri" w:eastAsia="楷体_GB2312" w:cs="Calibri"/>
          <w:sz w:val="20"/>
          <w:szCs w:val="20"/>
          <w:lang w:val="en-GB"/>
        </w:rPr>
      </w:pPr>
    </w:p>
    <w:p w14:paraId="5CAD1394">
      <w:pPr>
        <w:pStyle w:val="12"/>
        <w:spacing w:before="240" w:beforeLines="100" w:after="240" w:afterLines="100" w:line="260" w:lineRule="exact"/>
        <w:ind w:left="0" w:leftChars="0" w:right="42" w:firstLine="0"/>
        <w:jc w:val="both"/>
        <w:rPr>
          <w:rFonts w:hint="default" w:ascii="Calibri" w:hAnsi="Calibri" w:eastAsia="楷体_GB2312" w:cs="Calibri"/>
          <w:sz w:val="20"/>
          <w:szCs w:val="20"/>
          <w:lang w:val="en-GB"/>
        </w:rPr>
      </w:pPr>
    </w:p>
    <w:p w14:paraId="7AE8C82D">
      <w:pPr>
        <w:pStyle w:val="12"/>
        <w:spacing w:before="240" w:beforeLines="100" w:after="240" w:afterLines="100" w:line="260" w:lineRule="exact"/>
        <w:ind w:left="0" w:leftChars="0" w:right="42" w:firstLine="0"/>
        <w:jc w:val="both"/>
        <w:rPr>
          <w:rFonts w:hint="default" w:ascii="Calibri" w:hAnsi="Calibri" w:eastAsia="楷体_GB2312" w:cs="Calibri"/>
          <w:sz w:val="20"/>
          <w:szCs w:val="20"/>
          <w:lang w:val="en-GB"/>
        </w:rPr>
      </w:pPr>
    </w:p>
    <w:p w14:paraId="1AB9B01B">
      <w:pPr>
        <w:overflowPunct w:val="0"/>
        <w:ind w:left="3200" w:leftChars="2000"/>
        <w:jc w:val="both"/>
        <w:rPr>
          <w:rFonts w:hint="default" w:ascii="Calibri" w:hAnsi="Calibri" w:eastAsia="楷体_GB2312" w:cs="Calibri"/>
          <w:sz w:val="20"/>
          <w:szCs w:val="20"/>
          <w:lang w:val="en-US" w:eastAsia="zh-CN"/>
        </w:rPr>
      </w:pPr>
    </w:p>
    <w:p w14:paraId="49B63B0A">
      <w:pPr>
        <w:pStyle w:val="45"/>
        <w:numPr>
          <w:ilvl w:val="0"/>
          <w:numId w:val="15"/>
        </w:numPr>
        <w:overflowPunct w:val="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活塞发动机飞机：从出货量来看，2024年全球五大活塞发动机飞机制造商合计市场份额达84.6%，其中西锐飞机以31.9%的份额位居榜首（较2020年约24.1%的份额显著提升）。西锐飞机处于高端市场，出货量领先。</w:t>
      </w:r>
    </w:p>
    <w:p w14:paraId="75623E5C">
      <w:pPr>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br w:type="page"/>
      </w:r>
    </w:p>
    <w:tbl>
      <w:tblPr>
        <w:tblStyle w:val="26"/>
        <w:tblW w:w="7466" w:type="dxa"/>
        <w:jc w:val="right"/>
        <w:tblLayout w:type="fixed"/>
        <w:tblCellMar>
          <w:top w:w="0" w:type="dxa"/>
          <w:left w:w="108" w:type="dxa"/>
          <w:bottom w:w="0" w:type="dxa"/>
          <w:right w:w="108" w:type="dxa"/>
        </w:tblCellMar>
      </w:tblPr>
      <w:tblGrid>
        <w:gridCol w:w="7466"/>
      </w:tblGrid>
      <w:tr w14:paraId="207AD918">
        <w:tblPrEx>
          <w:tblCellMar>
            <w:top w:w="0" w:type="dxa"/>
            <w:left w:w="108" w:type="dxa"/>
            <w:bottom w:w="0" w:type="dxa"/>
            <w:right w:w="108" w:type="dxa"/>
          </w:tblCellMar>
        </w:tblPrEx>
        <w:trPr>
          <w:trHeight w:val="302" w:hRule="atLeast"/>
          <w:jc w:val="right"/>
        </w:trPr>
        <w:tc>
          <w:tcPr>
            <w:tcW w:w="7466" w:type="dxa"/>
            <w:tcBorders>
              <w:bottom w:val="single" w:color="auto" w:sz="4" w:space="0"/>
            </w:tcBorders>
            <w:tcMar>
              <w:left w:w="0" w:type="dxa"/>
              <w:right w:w="28" w:type="dxa"/>
            </w:tcMar>
          </w:tcPr>
          <w:p w14:paraId="14161E21">
            <w:pPr>
              <w:spacing w:before="48" w:beforeLines="20" w:after="48" w:afterLines="20"/>
              <w:textAlignment w:val="center"/>
              <w:rPr>
                <w:rFonts w:hint="default" w:ascii="Calibri" w:hAnsi="Calibri" w:eastAsia="楷体_GB2312" w:cs="Calibri"/>
                <w:b/>
                <w:szCs w:val="20"/>
              </w:rPr>
            </w:pPr>
            <w:r>
              <w:rPr>
                <w:rFonts w:hint="default" w:ascii="Calibri" w:hAnsi="Calibri" w:eastAsia="楷体_GB2312" w:cs="Calibri"/>
                <w:b/>
                <w:szCs w:val="20"/>
              </w:rPr>
              <w:t>图</w:t>
            </w:r>
            <w:r>
              <w:rPr>
                <w:rFonts w:hint="eastAsia" w:eastAsia="楷体_GB2312" w:cs="Calibri"/>
                <w:b/>
                <w:szCs w:val="20"/>
                <w:lang w:val="en-US" w:eastAsia="zh-CN"/>
              </w:rPr>
              <w:t>48</w:t>
            </w:r>
            <w:r>
              <w:rPr>
                <w:rFonts w:hint="default" w:ascii="Calibri" w:hAnsi="Calibri" w:eastAsia="楷体_GB2312" w:cs="Calibri"/>
                <w:b/>
                <w:szCs w:val="20"/>
              </w:rPr>
              <w:t>：全球活塞式飞机交付量市场份额（单位：架）</w:t>
            </w:r>
          </w:p>
        </w:tc>
      </w:tr>
      <w:tr w14:paraId="229F3806">
        <w:tblPrEx>
          <w:tblCellMar>
            <w:top w:w="0" w:type="dxa"/>
            <w:left w:w="108" w:type="dxa"/>
            <w:bottom w:w="0" w:type="dxa"/>
            <w:right w:w="108" w:type="dxa"/>
          </w:tblCellMar>
        </w:tblPrEx>
        <w:trPr>
          <w:trHeight w:val="856" w:hRule="atLeast"/>
          <w:jc w:val="right"/>
        </w:trPr>
        <w:tc>
          <w:tcPr>
            <w:tcW w:w="7466" w:type="dxa"/>
            <w:tcBorders>
              <w:top w:val="single" w:color="auto" w:sz="4" w:space="0"/>
              <w:bottom w:val="single" w:color="auto" w:sz="4" w:space="0"/>
            </w:tcBorders>
            <w:vAlign w:val="center"/>
          </w:tcPr>
          <w:p w14:paraId="0A480423">
            <w:pPr>
              <w:spacing w:before="48" w:beforeLines="20" w:after="48" w:afterLines="20"/>
              <w:jc w:val="center"/>
              <w:textAlignment w:val="center"/>
              <w:rPr>
                <w:rFonts w:hint="default" w:ascii="Calibri" w:hAnsi="Calibri" w:eastAsia="楷体_GB2312" w:cs="Calibri"/>
                <w:b/>
                <w:bCs/>
                <w:szCs w:val="20"/>
              </w:rPr>
            </w:pPr>
            <w:r>
              <w:rPr>
                <w:rFonts w:hint="default" w:ascii="Calibri" w:hAnsi="Calibri" w:eastAsia="楷体_GB2312" w:cs="Calibri"/>
              </w:rPr>
              <w:drawing>
                <wp:inline distT="0" distB="0" distL="114300" distR="114300">
                  <wp:extent cx="4462145" cy="2583815"/>
                  <wp:effectExtent l="0" t="0" r="0" b="6985"/>
                  <wp:docPr id="559185770"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inline>
              </w:drawing>
            </w:r>
          </w:p>
        </w:tc>
      </w:tr>
      <w:tr w14:paraId="2B3F2CC7">
        <w:tblPrEx>
          <w:tblCellMar>
            <w:top w:w="0" w:type="dxa"/>
            <w:left w:w="108" w:type="dxa"/>
            <w:bottom w:w="0" w:type="dxa"/>
            <w:right w:w="108" w:type="dxa"/>
          </w:tblCellMar>
        </w:tblPrEx>
        <w:trPr>
          <w:trHeight w:val="64" w:hRule="atLeast"/>
          <w:jc w:val="right"/>
        </w:trPr>
        <w:tc>
          <w:tcPr>
            <w:tcW w:w="7466" w:type="dxa"/>
            <w:tcBorders>
              <w:top w:val="single" w:color="auto" w:sz="4" w:space="0"/>
            </w:tcBorders>
            <w:tcMar>
              <w:left w:w="0" w:type="dxa"/>
              <w:right w:w="28" w:type="dxa"/>
            </w:tcMar>
            <w:vAlign w:val="center"/>
          </w:tcPr>
          <w:p w14:paraId="2B6465B2">
            <w:pPr>
              <w:spacing w:line="240" w:lineRule="atLeast"/>
              <w:textAlignment w:val="center"/>
              <w:rPr>
                <w:rFonts w:hint="default" w:ascii="Calibri" w:hAnsi="Calibri" w:eastAsia="楷体_GB2312" w:cs="Calibri"/>
                <w:szCs w:val="20"/>
              </w:rPr>
            </w:pPr>
            <w:r>
              <w:rPr>
                <w:rFonts w:hint="default" w:ascii="Calibri" w:hAnsi="Calibri" w:eastAsia="楷体_GB2312" w:cs="Calibri"/>
                <w:i/>
                <w:iCs/>
              </w:rPr>
              <w:t>资料来源: GAMA, Wind, HFI</w:t>
            </w:r>
          </w:p>
        </w:tc>
      </w:tr>
    </w:tbl>
    <w:p w14:paraId="0F88A2D8">
      <w:pPr>
        <w:overflowPunct w:val="0"/>
        <w:ind w:left="3200" w:leftChars="2000"/>
        <w:jc w:val="both"/>
        <w:rPr>
          <w:rFonts w:hint="default" w:ascii="Calibri" w:hAnsi="Calibri" w:eastAsia="楷体_GB2312" w:cs="Calibri"/>
          <w:b/>
          <w:bCs/>
          <w:sz w:val="20"/>
          <w:szCs w:val="20"/>
          <w:lang w:val="en-US" w:eastAsia="zh-CN"/>
        </w:rPr>
      </w:pPr>
    </w:p>
    <w:p w14:paraId="6D465CAF">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2)喷气式飞机：</w:t>
      </w:r>
      <w:r>
        <w:rPr>
          <w:rFonts w:hint="default" w:ascii="Calibri" w:hAnsi="Calibri" w:eastAsia="楷体_GB2312" w:cs="Calibri"/>
          <w:sz w:val="20"/>
          <w:szCs w:val="20"/>
          <w:lang w:val="en-US" w:eastAsia="zh-CN"/>
        </w:rPr>
        <w:t>2024年全球五大喷气式飞机制造商合计市场份额达86.91%，其中西锐飞机以约13.22%的份额位列第五（较2019年的约10.0%有所提升）。</w:t>
      </w:r>
    </w:p>
    <w:p w14:paraId="67AC3784">
      <w:pPr>
        <w:overflowPunct w:val="0"/>
        <w:ind w:left="3200" w:leftChars="2000"/>
        <w:jc w:val="both"/>
        <w:rPr>
          <w:rFonts w:hint="default" w:ascii="Calibri" w:hAnsi="Calibri" w:eastAsia="楷体_GB2312" w:cs="Calibri"/>
          <w:sz w:val="20"/>
          <w:szCs w:val="20"/>
          <w:lang w:val="en-US" w:eastAsia="zh-CN"/>
        </w:rPr>
      </w:pPr>
    </w:p>
    <w:tbl>
      <w:tblPr>
        <w:tblStyle w:val="26"/>
        <w:tblW w:w="7466" w:type="dxa"/>
        <w:jc w:val="right"/>
        <w:tblLayout w:type="fixed"/>
        <w:tblCellMar>
          <w:top w:w="0" w:type="dxa"/>
          <w:left w:w="108" w:type="dxa"/>
          <w:bottom w:w="0" w:type="dxa"/>
          <w:right w:w="108" w:type="dxa"/>
        </w:tblCellMar>
      </w:tblPr>
      <w:tblGrid>
        <w:gridCol w:w="7466"/>
      </w:tblGrid>
      <w:tr w14:paraId="3DBA81C4">
        <w:tblPrEx>
          <w:tblCellMar>
            <w:top w:w="0" w:type="dxa"/>
            <w:left w:w="108" w:type="dxa"/>
            <w:bottom w:w="0" w:type="dxa"/>
            <w:right w:w="108" w:type="dxa"/>
          </w:tblCellMar>
        </w:tblPrEx>
        <w:trPr>
          <w:trHeight w:val="302" w:hRule="atLeast"/>
          <w:jc w:val="right"/>
        </w:trPr>
        <w:tc>
          <w:tcPr>
            <w:tcW w:w="7466" w:type="dxa"/>
            <w:tcBorders>
              <w:bottom w:val="single" w:color="auto" w:sz="4" w:space="0"/>
            </w:tcBorders>
            <w:tcMar>
              <w:left w:w="0" w:type="dxa"/>
              <w:right w:w="28" w:type="dxa"/>
            </w:tcMar>
          </w:tcPr>
          <w:p w14:paraId="50C0E5E8">
            <w:pPr>
              <w:spacing w:before="48" w:beforeLines="20" w:after="48" w:afterLines="20"/>
              <w:textAlignment w:val="center"/>
              <w:rPr>
                <w:rFonts w:hint="default" w:ascii="Calibri" w:hAnsi="Calibri" w:eastAsia="楷体_GB2312" w:cs="Calibri"/>
                <w:b/>
                <w:szCs w:val="20"/>
              </w:rPr>
            </w:pPr>
            <w:r>
              <w:rPr>
                <w:rFonts w:hint="default" w:ascii="Calibri" w:hAnsi="Calibri" w:eastAsia="楷体_GB2312" w:cs="Calibri"/>
                <w:b/>
                <w:szCs w:val="20"/>
              </w:rPr>
              <w:t>图</w:t>
            </w:r>
            <w:r>
              <w:rPr>
                <w:rFonts w:hint="eastAsia" w:eastAsia="楷体_GB2312" w:cs="Calibri"/>
                <w:b/>
                <w:szCs w:val="20"/>
                <w:lang w:val="en-US" w:eastAsia="zh-CN"/>
              </w:rPr>
              <w:t>49</w:t>
            </w:r>
            <w:r>
              <w:rPr>
                <w:rFonts w:hint="default" w:ascii="Calibri" w:hAnsi="Calibri" w:eastAsia="楷体_GB2312" w:cs="Calibri"/>
                <w:b/>
                <w:szCs w:val="20"/>
              </w:rPr>
              <w:t>：全球喷气式飞机交付量市场份额（单位：架）</w:t>
            </w:r>
          </w:p>
        </w:tc>
      </w:tr>
      <w:tr w14:paraId="58905DCE">
        <w:tblPrEx>
          <w:tblCellMar>
            <w:top w:w="0" w:type="dxa"/>
            <w:left w:w="108" w:type="dxa"/>
            <w:bottom w:w="0" w:type="dxa"/>
            <w:right w:w="108" w:type="dxa"/>
          </w:tblCellMar>
        </w:tblPrEx>
        <w:trPr>
          <w:trHeight w:val="856" w:hRule="atLeast"/>
          <w:jc w:val="right"/>
        </w:trPr>
        <w:tc>
          <w:tcPr>
            <w:tcW w:w="7466" w:type="dxa"/>
            <w:tcBorders>
              <w:top w:val="single" w:color="auto" w:sz="4" w:space="0"/>
              <w:bottom w:val="single" w:color="auto" w:sz="4" w:space="0"/>
            </w:tcBorders>
            <w:vAlign w:val="center"/>
          </w:tcPr>
          <w:p w14:paraId="6FE77A10">
            <w:pPr>
              <w:spacing w:before="48" w:beforeLines="20" w:after="48" w:afterLines="20"/>
              <w:jc w:val="center"/>
              <w:textAlignment w:val="center"/>
              <w:rPr>
                <w:rFonts w:hint="default" w:ascii="Calibri" w:hAnsi="Calibri" w:eastAsia="楷体_GB2312" w:cs="Calibri"/>
                <w:b/>
                <w:bCs/>
                <w:sz w:val="15"/>
                <w:szCs w:val="15"/>
              </w:rPr>
            </w:pPr>
            <w:r>
              <w:rPr>
                <w:rFonts w:hint="default" w:ascii="Calibri" w:hAnsi="Calibri" w:eastAsia="楷体_GB2312" w:cs="Calibri"/>
                <w:sz w:val="15"/>
                <w:szCs w:val="15"/>
              </w:rPr>
              <w:drawing>
                <wp:inline distT="0" distB="0" distL="114300" distR="114300">
                  <wp:extent cx="4338320" cy="2731135"/>
                  <wp:effectExtent l="0" t="0" r="5080" b="12065"/>
                  <wp:docPr id="204820470"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inline>
              </w:drawing>
            </w:r>
          </w:p>
        </w:tc>
      </w:tr>
      <w:tr w14:paraId="1D2361FE">
        <w:tblPrEx>
          <w:tblCellMar>
            <w:top w:w="0" w:type="dxa"/>
            <w:left w:w="108" w:type="dxa"/>
            <w:bottom w:w="0" w:type="dxa"/>
            <w:right w:w="108" w:type="dxa"/>
          </w:tblCellMar>
        </w:tblPrEx>
        <w:trPr>
          <w:trHeight w:val="64" w:hRule="atLeast"/>
          <w:jc w:val="right"/>
        </w:trPr>
        <w:tc>
          <w:tcPr>
            <w:tcW w:w="7466" w:type="dxa"/>
            <w:tcBorders>
              <w:top w:val="single" w:color="auto" w:sz="4" w:space="0"/>
            </w:tcBorders>
            <w:tcMar>
              <w:left w:w="0" w:type="dxa"/>
              <w:right w:w="28" w:type="dxa"/>
            </w:tcMar>
            <w:vAlign w:val="center"/>
          </w:tcPr>
          <w:p w14:paraId="768CFAD0">
            <w:pPr>
              <w:spacing w:line="240" w:lineRule="atLeast"/>
              <w:textAlignment w:val="center"/>
              <w:rPr>
                <w:rFonts w:hint="default" w:ascii="Calibri" w:hAnsi="Calibri" w:eastAsia="楷体_GB2312" w:cs="Calibri"/>
                <w:szCs w:val="20"/>
              </w:rPr>
            </w:pPr>
            <w:r>
              <w:rPr>
                <w:rFonts w:hint="default" w:ascii="Calibri" w:hAnsi="Calibri" w:eastAsia="楷体_GB2312" w:cs="Calibri"/>
                <w:i/>
                <w:iCs/>
              </w:rPr>
              <w:t>资料来源: GAMA, Wind, HFI</w:t>
            </w:r>
          </w:p>
        </w:tc>
      </w:tr>
    </w:tbl>
    <w:p w14:paraId="3ACE7A2D">
      <w:pPr>
        <w:overflowPunct w:val="0"/>
        <w:ind w:left="3200" w:leftChars="2000"/>
        <w:jc w:val="both"/>
        <w:rPr>
          <w:rFonts w:hint="default" w:ascii="Calibri" w:hAnsi="Calibri" w:eastAsia="楷体_GB2312" w:cs="Calibri"/>
          <w:b/>
          <w:bCs/>
          <w:sz w:val="20"/>
          <w:szCs w:val="20"/>
          <w:lang w:val="en-US" w:eastAsia="zh-CN"/>
        </w:rPr>
      </w:pPr>
    </w:p>
    <w:p w14:paraId="380E55FA">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2025年前三季度与2024年同期相比，公务喷气机交付量显著增长，带动整体交付价值大幅提升</w:t>
      </w:r>
      <w:r>
        <w:rPr>
          <w:rFonts w:hint="default" w:ascii="Calibri" w:hAnsi="Calibri" w:eastAsia="楷体_GB2312" w:cs="Calibri"/>
          <w:sz w:val="20"/>
          <w:szCs w:val="20"/>
          <w:lang w:val="en-US" w:eastAsia="zh-CN"/>
        </w:rPr>
        <w:t>。2025年1月至9月，全球共交付通用飞机2201架，较去年同期增加1.5%；民用及商用直升机共交付612架，较去年减少21架。具体来看，喷气机交付量达到554架，同比增长10.6%，成为增长最快的细分市场；活塞飞机共交付1238架，与去年基本持平；涡轮螺旋桨飞机交付409架，同比下降6.0%。尽管交付总量增长温和，但受益于产品结构向高价值机型倾斜，飞机交付总价值达到194亿美元，同比大幅增长13.2%。此外，同期，民用直升机总交付量为612架，同比减少3.3%。其中活塞直升机与涡轮直升机交付量均略有下降。</w:t>
      </w:r>
    </w:p>
    <w:p w14:paraId="737796B3">
      <w:pPr>
        <w:overflowPunct w:val="0"/>
        <w:ind w:left="3200" w:leftChars="2000"/>
        <w:jc w:val="both"/>
        <w:rPr>
          <w:rFonts w:hint="default" w:ascii="Calibri" w:hAnsi="Calibri" w:eastAsia="楷体_GB2312" w:cs="Calibri"/>
          <w:sz w:val="20"/>
          <w:szCs w:val="20"/>
          <w:lang w:val="en-US" w:eastAsia="zh-CN"/>
        </w:rPr>
      </w:pPr>
    </w:p>
    <w:tbl>
      <w:tblPr>
        <w:tblStyle w:val="26"/>
        <w:tblW w:w="10920" w:type="dxa"/>
        <w:tblInd w:w="0" w:type="dxa"/>
        <w:tblLayout w:type="fixed"/>
        <w:tblCellMar>
          <w:top w:w="0" w:type="dxa"/>
          <w:left w:w="108" w:type="dxa"/>
          <w:bottom w:w="0" w:type="dxa"/>
          <w:right w:w="108" w:type="dxa"/>
        </w:tblCellMar>
      </w:tblPr>
      <w:tblGrid>
        <w:gridCol w:w="5306"/>
        <w:gridCol w:w="240"/>
        <w:gridCol w:w="5374"/>
      </w:tblGrid>
      <w:tr w14:paraId="2A4FE700">
        <w:tblPrEx>
          <w:tblCellMar>
            <w:top w:w="0" w:type="dxa"/>
            <w:left w:w="108" w:type="dxa"/>
            <w:bottom w:w="0" w:type="dxa"/>
            <w:right w:w="108" w:type="dxa"/>
          </w:tblCellMar>
        </w:tblPrEx>
        <w:trPr>
          <w:trHeight w:val="227" w:hRule="atLeast"/>
        </w:trPr>
        <w:tc>
          <w:tcPr>
            <w:tcW w:w="5306" w:type="dxa"/>
            <w:tcBorders>
              <w:bottom w:val="single" w:color="auto" w:sz="4" w:space="0"/>
            </w:tcBorders>
            <w:tcMar>
              <w:left w:w="0" w:type="dxa"/>
              <w:right w:w="28" w:type="dxa"/>
            </w:tcMar>
          </w:tcPr>
          <w:p w14:paraId="77171296">
            <w:pPr>
              <w:spacing w:before="48" w:beforeLines="20" w:after="48" w:afterLines="20"/>
              <w:textAlignment w:val="center"/>
              <w:rPr>
                <w:rFonts w:hint="default" w:ascii="Calibri" w:hAnsi="Calibri" w:eastAsia="楷体_GB2312" w:cs="Calibri"/>
                <w:b/>
                <w:szCs w:val="20"/>
                <w:highlight w:val="yellow"/>
              </w:rPr>
            </w:pPr>
            <w:r>
              <w:rPr>
                <w:rFonts w:hint="default" w:ascii="Calibri" w:hAnsi="Calibri" w:eastAsia="楷体_GB2312" w:cs="Calibri"/>
                <w:b/>
                <w:szCs w:val="20"/>
              </w:rPr>
              <w:t>图</w:t>
            </w:r>
            <w:r>
              <w:rPr>
                <w:rFonts w:hint="eastAsia" w:eastAsia="楷体_GB2312" w:cs="Calibri"/>
                <w:b/>
                <w:szCs w:val="20"/>
                <w:lang w:val="en-US" w:eastAsia="zh-CN"/>
              </w:rPr>
              <w:t>50</w:t>
            </w:r>
            <w:r>
              <w:rPr>
                <w:rFonts w:hint="default" w:ascii="Calibri" w:hAnsi="Calibri" w:eastAsia="楷体_GB2312" w:cs="Calibri"/>
                <w:b/>
                <w:szCs w:val="20"/>
              </w:rPr>
              <w:t>：全球通用飞机交付数量2024-2025Q3</w:t>
            </w:r>
          </w:p>
        </w:tc>
        <w:tc>
          <w:tcPr>
            <w:tcW w:w="240" w:type="dxa"/>
            <w:tcMar>
              <w:left w:w="0" w:type="dxa"/>
              <w:right w:w="28" w:type="dxa"/>
            </w:tcMar>
          </w:tcPr>
          <w:p w14:paraId="2254FC8C">
            <w:pPr>
              <w:spacing w:before="48" w:beforeLines="20" w:after="48" w:afterLines="20"/>
              <w:rPr>
                <w:rFonts w:hint="default" w:ascii="Calibri" w:hAnsi="Calibri" w:eastAsia="楷体_GB2312" w:cs="Calibri"/>
                <w:szCs w:val="20"/>
                <w:highlight w:val="yellow"/>
              </w:rPr>
            </w:pPr>
          </w:p>
        </w:tc>
        <w:tc>
          <w:tcPr>
            <w:tcW w:w="5374" w:type="dxa"/>
            <w:tcBorders>
              <w:bottom w:val="single" w:color="auto" w:sz="4" w:space="0"/>
            </w:tcBorders>
            <w:tcMar>
              <w:left w:w="0" w:type="dxa"/>
              <w:right w:w="28" w:type="dxa"/>
            </w:tcMar>
          </w:tcPr>
          <w:p w14:paraId="1207BDE3">
            <w:pPr>
              <w:spacing w:before="48" w:beforeLines="20" w:after="48" w:afterLines="20"/>
              <w:rPr>
                <w:rFonts w:hint="default" w:ascii="Calibri" w:hAnsi="Calibri" w:eastAsia="楷体_GB2312" w:cs="Calibri"/>
                <w:b/>
                <w:szCs w:val="20"/>
              </w:rPr>
            </w:pPr>
            <w:r>
              <w:rPr>
                <w:rFonts w:hint="default" w:ascii="Calibri" w:hAnsi="Calibri" w:eastAsia="楷体_GB2312" w:cs="Calibri"/>
                <w:b/>
                <w:szCs w:val="20"/>
              </w:rPr>
              <w:t>图</w:t>
            </w:r>
            <w:r>
              <w:rPr>
                <w:rFonts w:hint="eastAsia" w:eastAsia="楷体_GB2312" w:cs="Calibri"/>
                <w:b/>
                <w:szCs w:val="20"/>
                <w:lang w:val="en-US" w:eastAsia="zh-CN"/>
              </w:rPr>
              <w:t>51</w:t>
            </w:r>
            <w:r>
              <w:rPr>
                <w:rFonts w:hint="default" w:ascii="Calibri" w:hAnsi="Calibri" w:eastAsia="楷体_GB2312" w:cs="Calibri"/>
                <w:b/>
                <w:szCs w:val="20"/>
              </w:rPr>
              <w:t>：全球</w:t>
            </w:r>
            <w:r>
              <w:rPr>
                <w:rFonts w:hint="default" w:ascii="Calibri" w:hAnsi="Calibri" w:eastAsia="楷体_GB2312" w:cs="Calibri"/>
                <w:b/>
                <w:bCs/>
              </w:rPr>
              <w:t>民用及商用直升机</w:t>
            </w:r>
            <w:r>
              <w:rPr>
                <w:rFonts w:hint="default" w:ascii="Calibri" w:hAnsi="Calibri" w:eastAsia="楷体_GB2312" w:cs="Calibri"/>
                <w:b/>
                <w:szCs w:val="20"/>
              </w:rPr>
              <w:t>交付量（架）</w:t>
            </w:r>
          </w:p>
        </w:tc>
      </w:tr>
      <w:tr w14:paraId="00A839D0">
        <w:tblPrEx>
          <w:tblCellMar>
            <w:top w:w="0" w:type="dxa"/>
            <w:left w:w="108" w:type="dxa"/>
            <w:bottom w:w="0" w:type="dxa"/>
            <w:right w:w="108" w:type="dxa"/>
          </w:tblCellMar>
        </w:tblPrEx>
        <w:trPr>
          <w:trHeight w:val="2300" w:hRule="atLeast"/>
        </w:trPr>
        <w:tc>
          <w:tcPr>
            <w:tcW w:w="5306" w:type="dxa"/>
            <w:tcBorders>
              <w:top w:val="single" w:color="auto" w:sz="4" w:space="0"/>
              <w:bottom w:val="single" w:color="auto" w:sz="4" w:space="0"/>
            </w:tcBorders>
            <w:vAlign w:val="center"/>
          </w:tcPr>
          <w:p w14:paraId="6CE841F7">
            <w:pPr>
              <w:spacing w:before="48" w:beforeLines="20" w:after="48" w:afterLines="20"/>
              <w:textAlignment w:val="center"/>
              <w:rPr>
                <w:rFonts w:hint="default" w:ascii="Calibri" w:hAnsi="Calibri" w:eastAsia="楷体_GB2312" w:cs="Calibri"/>
                <w:b/>
                <w:color w:val="000000"/>
                <w:szCs w:val="20"/>
                <w:lang w:bidi="ar"/>
              </w:rPr>
            </w:pPr>
            <w:r>
              <w:rPr>
                <w:rFonts w:hint="default" w:ascii="Calibri" w:hAnsi="Calibri" w:eastAsia="楷体_GB2312" w:cs="Calibri"/>
              </w:rPr>
              <w:drawing>
                <wp:inline distT="0" distB="0" distL="114300" distR="114300">
                  <wp:extent cx="3162935" cy="2009140"/>
                  <wp:effectExtent l="0" t="0" r="0" b="0"/>
                  <wp:docPr id="715595774" name="图表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65"/>
                    </a:graphicData>
                  </a:graphic>
                </wp:inline>
              </w:drawing>
            </w:r>
          </w:p>
        </w:tc>
        <w:tc>
          <w:tcPr>
            <w:tcW w:w="240" w:type="dxa"/>
          </w:tcPr>
          <w:p w14:paraId="4F50A09D">
            <w:pPr>
              <w:spacing w:before="48" w:beforeLines="20" w:after="48" w:afterLines="20"/>
              <w:rPr>
                <w:rFonts w:hint="default" w:ascii="Calibri" w:hAnsi="Calibri" w:eastAsia="楷体_GB2312" w:cs="Calibri"/>
                <w:szCs w:val="20"/>
              </w:rPr>
            </w:pPr>
          </w:p>
        </w:tc>
        <w:tc>
          <w:tcPr>
            <w:tcW w:w="5374" w:type="dxa"/>
            <w:tcBorders>
              <w:top w:val="single" w:color="auto" w:sz="4" w:space="0"/>
              <w:bottom w:val="single" w:color="auto" w:sz="4" w:space="0"/>
            </w:tcBorders>
          </w:tcPr>
          <w:p w14:paraId="2199EAED">
            <w:pPr>
              <w:spacing w:before="48" w:beforeLines="20" w:after="48" w:afterLines="20"/>
              <w:rPr>
                <w:rFonts w:hint="default" w:ascii="Calibri" w:hAnsi="Calibri" w:eastAsia="楷体_GB2312" w:cs="Calibri"/>
                <w:b/>
                <w:szCs w:val="20"/>
              </w:rPr>
            </w:pPr>
            <w:r>
              <w:rPr>
                <w:rFonts w:hint="default" w:ascii="Calibri" w:hAnsi="Calibri" w:eastAsia="楷体_GB2312" w:cs="Calibri"/>
              </w:rPr>
              <w:drawing>
                <wp:inline distT="0" distB="0" distL="114300" distR="114300">
                  <wp:extent cx="3221355" cy="2099310"/>
                  <wp:effectExtent l="0" t="0" r="0" b="0"/>
                  <wp:docPr id="1355150817" name="图表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66"/>
                    </a:graphicData>
                  </a:graphic>
                </wp:inline>
              </w:drawing>
            </w:r>
          </w:p>
        </w:tc>
      </w:tr>
      <w:tr w14:paraId="2769C94F">
        <w:tblPrEx>
          <w:tblCellMar>
            <w:top w:w="0" w:type="dxa"/>
            <w:left w:w="108" w:type="dxa"/>
            <w:bottom w:w="0" w:type="dxa"/>
            <w:right w:w="108" w:type="dxa"/>
          </w:tblCellMar>
        </w:tblPrEx>
        <w:trPr>
          <w:trHeight w:val="227" w:hRule="atLeast"/>
        </w:trPr>
        <w:tc>
          <w:tcPr>
            <w:tcW w:w="5306" w:type="dxa"/>
            <w:tcBorders>
              <w:top w:val="single" w:color="auto" w:sz="4" w:space="0"/>
            </w:tcBorders>
            <w:tcMar>
              <w:left w:w="0" w:type="dxa"/>
              <w:right w:w="28" w:type="dxa"/>
            </w:tcMar>
            <w:vAlign w:val="center"/>
          </w:tcPr>
          <w:p w14:paraId="7ADC3AC0">
            <w:pPr>
              <w:spacing w:line="240" w:lineRule="atLeast"/>
              <w:textAlignment w:val="center"/>
              <w:rPr>
                <w:rFonts w:hint="default" w:ascii="Calibri" w:hAnsi="Calibri" w:eastAsia="楷体_GB2312" w:cs="Calibri"/>
                <w:i/>
                <w:iCs/>
              </w:rPr>
            </w:pPr>
            <w:r>
              <w:rPr>
                <w:rFonts w:hint="default" w:ascii="Calibri" w:hAnsi="Calibri" w:eastAsia="楷体_GB2312" w:cs="Calibri"/>
                <w:i/>
                <w:iCs/>
              </w:rPr>
              <w:t>资料来源: GAMA, Wind, HFI</w:t>
            </w:r>
          </w:p>
        </w:tc>
        <w:tc>
          <w:tcPr>
            <w:tcW w:w="240" w:type="dxa"/>
            <w:tcMar>
              <w:left w:w="0" w:type="dxa"/>
              <w:right w:w="28" w:type="dxa"/>
            </w:tcMar>
          </w:tcPr>
          <w:p w14:paraId="067A1F1E">
            <w:pPr>
              <w:spacing w:line="240" w:lineRule="atLeast"/>
              <w:rPr>
                <w:rFonts w:hint="default" w:ascii="Calibri" w:hAnsi="Calibri" w:eastAsia="楷体_GB2312" w:cs="Calibri"/>
                <w:i/>
                <w:iCs/>
              </w:rPr>
            </w:pPr>
          </w:p>
        </w:tc>
        <w:tc>
          <w:tcPr>
            <w:tcW w:w="5374" w:type="dxa"/>
            <w:tcBorders>
              <w:top w:val="single" w:color="auto" w:sz="4" w:space="0"/>
            </w:tcBorders>
            <w:tcMar>
              <w:left w:w="0" w:type="dxa"/>
              <w:right w:w="28" w:type="dxa"/>
            </w:tcMar>
          </w:tcPr>
          <w:p w14:paraId="7480F355">
            <w:pPr>
              <w:spacing w:line="240" w:lineRule="atLeast"/>
              <w:rPr>
                <w:rFonts w:hint="default" w:ascii="Calibri" w:hAnsi="Calibri" w:eastAsia="楷体_GB2312" w:cs="Calibri"/>
                <w:i/>
                <w:iCs/>
              </w:rPr>
            </w:pPr>
            <w:r>
              <w:rPr>
                <w:rFonts w:hint="default" w:ascii="Calibri" w:hAnsi="Calibri" w:eastAsia="楷体_GB2312" w:cs="Calibri"/>
                <w:i/>
                <w:iCs/>
              </w:rPr>
              <w:t>资料来源: GAMA, Wind,HFI</w:t>
            </w:r>
          </w:p>
        </w:tc>
      </w:tr>
    </w:tbl>
    <w:p w14:paraId="38535CAA">
      <w:pPr>
        <w:pStyle w:val="12"/>
        <w:spacing w:before="240" w:beforeLines="100" w:after="240" w:afterLines="100" w:line="260" w:lineRule="exact"/>
        <w:ind w:left="0" w:leftChars="0" w:right="42" w:firstLine="0"/>
        <w:jc w:val="both"/>
        <w:rPr>
          <w:rFonts w:hint="default" w:ascii="Calibri" w:hAnsi="Calibri" w:eastAsia="楷体_GB2312" w:cs="Calibri"/>
          <w:snapToGrid w:val="0"/>
          <w:color w:val="auto"/>
          <w:kern w:val="0"/>
          <w:sz w:val="20"/>
          <w:szCs w:val="20"/>
        </w:rPr>
      </w:pPr>
    </w:p>
    <w:tbl>
      <w:tblPr>
        <w:tblStyle w:val="26"/>
        <w:tblpPr w:leftFromText="180" w:rightFromText="180" w:vertAnchor="text" w:horzAnchor="margin" w:tblpY="220"/>
        <w:tblW w:w="10920" w:type="dxa"/>
        <w:tblInd w:w="0" w:type="dxa"/>
        <w:tblLayout w:type="fixed"/>
        <w:tblCellMar>
          <w:top w:w="0" w:type="dxa"/>
          <w:left w:w="108" w:type="dxa"/>
          <w:bottom w:w="0" w:type="dxa"/>
          <w:right w:w="108" w:type="dxa"/>
        </w:tblCellMar>
      </w:tblPr>
      <w:tblGrid>
        <w:gridCol w:w="5306"/>
        <w:gridCol w:w="240"/>
        <w:gridCol w:w="5374"/>
      </w:tblGrid>
      <w:tr w14:paraId="2B8599CF">
        <w:trPr>
          <w:trHeight w:val="227" w:hRule="atLeast"/>
        </w:trPr>
        <w:tc>
          <w:tcPr>
            <w:tcW w:w="5306" w:type="dxa"/>
            <w:tcBorders>
              <w:bottom w:val="single" w:color="auto" w:sz="4" w:space="0"/>
            </w:tcBorders>
            <w:tcMar>
              <w:left w:w="0" w:type="dxa"/>
              <w:right w:w="28" w:type="dxa"/>
            </w:tcMar>
          </w:tcPr>
          <w:p w14:paraId="50D639C5">
            <w:pPr>
              <w:spacing w:before="48" w:beforeLines="20" w:after="48" w:afterLines="20"/>
              <w:textAlignment w:val="center"/>
              <w:rPr>
                <w:rFonts w:hint="default" w:ascii="Calibri" w:hAnsi="Calibri" w:eastAsia="楷体_GB2312" w:cs="Calibri"/>
                <w:b/>
                <w:szCs w:val="20"/>
                <w:highlight w:val="yellow"/>
              </w:rPr>
            </w:pPr>
            <w:r>
              <w:rPr>
                <w:rFonts w:hint="default" w:ascii="Calibri" w:hAnsi="Calibri" w:eastAsia="楷体_GB2312" w:cs="Calibri"/>
                <w:b/>
                <w:szCs w:val="20"/>
              </w:rPr>
              <w:t>图</w:t>
            </w:r>
            <w:r>
              <w:rPr>
                <w:rFonts w:hint="eastAsia" w:eastAsia="楷体_GB2312" w:cs="Calibri"/>
                <w:b/>
                <w:szCs w:val="20"/>
                <w:lang w:val="en-US" w:eastAsia="zh-CN"/>
              </w:rPr>
              <w:t>52</w:t>
            </w:r>
            <w:r>
              <w:rPr>
                <w:rFonts w:hint="default" w:ascii="Calibri" w:hAnsi="Calibri" w:eastAsia="楷体_GB2312" w:cs="Calibri"/>
                <w:b/>
                <w:szCs w:val="20"/>
              </w:rPr>
              <w:t>：全球喷气机、活塞飞机、涡轮螺旋桨飞机（架）</w:t>
            </w:r>
          </w:p>
        </w:tc>
        <w:tc>
          <w:tcPr>
            <w:tcW w:w="240" w:type="dxa"/>
            <w:tcMar>
              <w:left w:w="0" w:type="dxa"/>
              <w:right w:w="28" w:type="dxa"/>
            </w:tcMar>
          </w:tcPr>
          <w:p w14:paraId="75DFFBA0">
            <w:pPr>
              <w:spacing w:before="48" w:beforeLines="20" w:after="48" w:afterLines="20"/>
              <w:rPr>
                <w:rFonts w:hint="default" w:ascii="Calibri" w:hAnsi="Calibri" w:eastAsia="楷体_GB2312" w:cs="Calibri"/>
                <w:szCs w:val="20"/>
                <w:highlight w:val="yellow"/>
              </w:rPr>
            </w:pPr>
          </w:p>
        </w:tc>
        <w:tc>
          <w:tcPr>
            <w:tcW w:w="5374" w:type="dxa"/>
            <w:tcBorders>
              <w:bottom w:val="single" w:color="auto" w:sz="4" w:space="0"/>
            </w:tcBorders>
            <w:tcMar>
              <w:left w:w="0" w:type="dxa"/>
              <w:right w:w="28" w:type="dxa"/>
            </w:tcMar>
          </w:tcPr>
          <w:p w14:paraId="7AE3DD73">
            <w:pPr>
              <w:spacing w:before="48" w:beforeLines="20" w:after="48" w:afterLines="20"/>
              <w:rPr>
                <w:rFonts w:hint="default" w:ascii="Calibri" w:hAnsi="Calibri" w:eastAsia="楷体_GB2312" w:cs="Calibri"/>
                <w:b/>
                <w:szCs w:val="20"/>
              </w:rPr>
            </w:pPr>
            <w:r>
              <w:rPr>
                <w:rFonts w:hint="default" w:ascii="Calibri" w:hAnsi="Calibri" w:eastAsia="楷体_GB2312" w:cs="Calibri"/>
                <w:b/>
                <w:szCs w:val="20"/>
              </w:rPr>
              <w:t>图</w:t>
            </w:r>
            <w:r>
              <w:rPr>
                <w:rFonts w:hint="eastAsia" w:eastAsia="楷体_GB2312" w:cs="Calibri"/>
                <w:b/>
                <w:szCs w:val="20"/>
                <w:lang w:val="en-US" w:eastAsia="zh-CN"/>
              </w:rPr>
              <w:t>53</w:t>
            </w:r>
            <w:r>
              <w:rPr>
                <w:rFonts w:hint="default" w:ascii="Calibri" w:hAnsi="Calibri" w:eastAsia="楷体_GB2312" w:cs="Calibri"/>
                <w:b/>
                <w:szCs w:val="20"/>
              </w:rPr>
              <w:t>：</w:t>
            </w:r>
            <w:r>
              <w:rPr>
                <w:rFonts w:hint="default" w:ascii="Calibri" w:hAnsi="Calibri" w:eastAsia="楷体_GB2312" w:cs="Calibri"/>
                <w:b/>
                <w:bCs/>
              </w:rPr>
              <w:t>活塞直升机与涡轮直升机交付量</w:t>
            </w:r>
            <w:r>
              <w:rPr>
                <w:rFonts w:hint="default" w:ascii="Calibri" w:hAnsi="Calibri" w:eastAsia="楷体_GB2312" w:cs="Calibri"/>
              </w:rPr>
              <w:t>（</w:t>
            </w:r>
            <w:r>
              <w:rPr>
                <w:rFonts w:hint="default" w:ascii="Calibri" w:hAnsi="Calibri" w:eastAsia="楷体_GB2312" w:cs="Calibri"/>
                <w:b/>
                <w:szCs w:val="20"/>
              </w:rPr>
              <w:t>单位：架）</w:t>
            </w:r>
          </w:p>
        </w:tc>
      </w:tr>
      <w:tr w14:paraId="2514F9DA">
        <w:tblPrEx>
          <w:tblCellMar>
            <w:top w:w="0" w:type="dxa"/>
            <w:left w:w="108" w:type="dxa"/>
            <w:bottom w:w="0" w:type="dxa"/>
            <w:right w:w="108" w:type="dxa"/>
          </w:tblCellMar>
        </w:tblPrEx>
        <w:trPr>
          <w:trHeight w:val="2300" w:hRule="atLeast"/>
        </w:trPr>
        <w:tc>
          <w:tcPr>
            <w:tcW w:w="5306" w:type="dxa"/>
            <w:tcBorders>
              <w:top w:val="single" w:color="auto" w:sz="4" w:space="0"/>
              <w:bottom w:val="single" w:color="auto" w:sz="4" w:space="0"/>
            </w:tcBorders>
            <w:vAlign w:val="center"/>
          </w:tcPr>
          <w:p w14:paraId="1B11E757">
            <w:pPr>
              <w:spacing w:before="48" w:beforeLines="20" w:after="48" w:afterLines="20"/>
              <w:textAlignment w:val="center"/>
              <w:rPr>
                <w:rFonts w:hint="default" w:ascii="Calibri" w:hAnsi="Calibri" w:eastAsia="楷体_GB2312" w:cs="Calibri"/>
                <w:b/>
                <w:color w:val="000000"/>
                <w:szCs w:val="20"/>
                <w:lang w:bidi="ar"/>
              </w:rPr>
            </w:pPr>
            <w:r>
              <w:rPr>
                <w:rFonts w:hint="default" w:ascii="Calibri" w:hAnsi="Calibri" w:eastAsia="楷体_GB2312" w:cs="Calibri"/>
              </w:rPr>
              <w:drawing>
                <wp:inline distT="0" distB="0" distL="114300" distR="114300">
                  <wp:extent cx="3272790" cy="2081530"/>
                  <wp:effectExtent l="0" t="0" r="3810" b="6350"/>
                  <wp:docPr id="1785810450" name="图表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67"/>
                    </a:graphicData>
                  </a:graphic>
                </wp:inline>
              </w:drawing>
            </w:r>
          </w:p>
        </w:tc>
        <w:tc>
          <w:tcPr>
            <w:tcW w:w="240" w:type="dxa"/>
          </w:tcPr>
          <w:p w14:paraId="7017EEF1">
            <w:pPr>
              <w:spacing w:before="48" w:beforeLines="20" w:after="48" w:afterLines="20"/>
              <w:rPr>
                <w:rFonts w:hint="default" w:ascii="Calibri" w:hAnsi="Calibri" w:eastAsia="楷体_GB2312" w:cs="Calibri"/>
                <w:szCs w:val="20"/>
              </w:rPr>
            </w:pPr>
          </w:p>
        </w:tc>
        <w:tc>
          <w:tcPr>
            <w:tcW w:w="5374" w:type="dxa"/>
            <w:tcBorders>
              <w:top w:val="single" w:color="auto" w:sz="4" w:space="0"/>
              <w:bottom w:val="single" w:color="auto" w:sz="4" w:space="0"/>
            </w:tcBorders>
          </w:tcPr>
          <w:p w14:paraId="7F0962E9">
            <w:pPr>
              <w:spacing w:before="48" w:beforeLines="20" w:after="48" w:afterLines="20"/>
              <w:rPr>
                <w:rFonts w:hint="default" w:ascii="Calibri" w:hAnsi="Calibri" w:eastAsia="楷体_GB2312" w:cs="Calibri"/>
                <w:b/>
                <w:szCs w:val="20"/>
              </w:rPr>
            </w:pPr>
            <w:r>
              <w:rPr>
                <w:rFonts w:hint="default" w:ascii="Calibri" w:hAnsi="Calibri" w:eastAsia="楷体_GB2312" w:cs="Calibri"/>
              </w:rPr>
              <w:drawing>
                <wp:inline distT="0" distB="0" distL="114300" distR="114300">
                  <wp:extent cx="3381375" cy="2179320"/>
                  <wp:effectExtent l="0" t="0" r="1905" b="0"/>
                  <wp:docPr id="1028654618" name="图表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68"/>
                    </a:graphicData>
                  </a:graphic>
                </wp:inline>
              </w:drawing>
            </w:r>
          </w:p>
        </w:tc>
      </w:tr>
      <w:tr w14:paraId="366B5FBA">
        <w:tblPrEx>
          <w:tblCellMar>
            <w:top w:w="0" w:type="dxa"/>
            <w:left w:w="108" w:type="dxa"/>
            <w:bottom w:w="0" w:type="dxa"/>
            <w:right w:w="108" w:type="dxa"/>
          </w:tblCellMar>
        </w:tblPrEx>
        <w:trPr>
          <w:trHeight w:val="227" w:hRule="atLeast"/>
        </w:trPr>
        <w:tc>
          <w:tcPr>
            <w:tcW w:w="5306" w:type="dxa"/>
            <w:tcBorders>
              <w:top w:val="single" w:color="auto" w:sz="4" w:space="0"/>
            </w:tcBorders>
            <w:tcMar>
              <w:left w:w="0" w:type="dxa"/>
              <w:right w:w="28" w:type="dxa"/>
            </w:tcMar>
            <w:vAlign w:val="center"/>
          </w:tcPr>
          <w:p w14:paraId="60CB3506">
            <w:pPr>
              <w:spacing w:line="240" w:lineRule="atLeast"/>
              <w:textAlignment w:val="center"/>
              <w:rPr>
                <w:rFonts w:hint="default" w:ascii="Calibri" w:hAnsi="Calibri" w:eastAsia="楷体_GB2312" w:cs="Calibri"/>
                <w:i/>
                <w:iCs/>
              </w:rPr>
            </w:pPr>
            <w:r>
              <w:rPr>
                <w:rFonts w:hint="default" w:ascii="Calibri" w:hAnsi="Calibri" w:eastAsia="楷体_GB2312" w:cs="Calibri"/>
                <w:i/>
                <w:iCs/>
              </w:rPr>
              <w:t>资料来源: GAMA, Wind, HFI</w:t>
            </w:r>
          </w:p>
        </w:tc>
        <w:tc>
          <w:tcPr>
            <w:tcW w:w="240" w:type="dxa"/>
            <w:tcMar>
              <w:left w:w="0" w:type="dxa"/>
              <w:right w:w="28" w:type="dxa"/>
            </w:tcMar>
          </w:tcPr>
          <w:p w14:paraId="2EE0F1FC">
            <w:pPr>
              <w:spacing w:line="240" w:lineRule="atLeast"/>
              <w:rPr>
                <w:rFonts w:hint="default" w:ascii="Calibri" w:hAnsi="Calibri" w:eastAsia="楷体_GB2312" w:cs="Calibri"/>
                <w:i/>
                <w:iCs/>
              </w:rPr>
            </w:pPr>
          </w:p>
        </w:tc>
        <w:tc>
          <w:tcPr>
            <w:tcW w:w="5374" w:type="dxa"/>
            <w:tcBorders>
              <w:top w:val="single" w:color="auto" w:sz="4" w:space="0"/>
            </w:tcBorders>
            <w:tcMar>
              <w:left w:w="0" w:type="dxa"/>
              <w:right w:w="28" w:type="dxa"/>
            </w:tcMar>
          </w:tcPr>
          <w:p w14:paraId="71F93E30">
            <w:pPr>
              <w:spacing w:line="240" w:lineRule="atLeast"/>
              <w:rPr>
                <w:rFonts w:hint="default" w:ascii="Calibri" w:hAnsi="Calibri" w:eastAsia="楷体_GB2312" w:cs="Calibri"/>
                <w:i/>
                <w:iCs/>
              </w:rPr>
            </w:pPr>
            <w:r>
              <w:rPr>
                <w:rFonts w:hint="default" w:ascii="Calibri" w:hAnsi="Calibri" w:eastAsia="楷体_GB2312" w:cs="Calibri"/>
                <w:i/>
                <w:iCs/>
              </w:rPr>
              <w:t>资料来源: GAMA, Wind,HFI</w:t>
            </w:r>
          </w:p>
        </w:tc>
      </w:tr>
    </w:tbl>
    <w:p w14:paraId="4C3AF62B">
      <w:pPr>
        <w:pStyle w:val="12"/>
        <w:spacing w:before="240" w:beforeLines="100" w:after="240" w:afterLines="100" w:line="260" w:lineRule="exact"/>
        <w:ind w:left="0" w:leftChars="0" w:right="42" w:firstLine="0"/>
        <w:jc w:val="both"/>
        <w:rPr>
          <w:rFonts w:hint="default" w:ascii="Calibri" w:hAnsi="Calibri" w:eastAsia="楷体_GB2312" w:cs="Calibri"/>
          <w:snapToGrid w:val="0"/>
          <w:color w:val="auto"/>
          <w:kern w:val="0"/>
          <w:sz w:val="20"/>
          <w:szCs w:val="20"/>
        </w:rPr>
      </w:pPr>
    </w:p>
    <w:p w14:paraId="4B49084F">
      <w:pPr>
        <w:overflowPunct w:val="0"/>
        <w:ind w:left="3200" w:leftChars="2000"/>
        <w:jc w:val="both"/>
        <w:outlineLvl w:val="0"/>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41" w:name="_Toc17166"/>
      <w:r>
        <w:rPr>
          <w:rFonts w:hint="default" w:ascii="Calibri" w:hAnsi="Calibri" w:eastAsia="楷体_GB2312" w:cs="Calibri"/>
          <w:b/>
          <w:bCs/>
          <w:color w:val="1F497D" w:themeColor="text2"/>
          <w:sz w:val="24"/>
          <w:szCs w:val="24"/>
          <w:lang w:val="en-US" w:eastAsia="zh-CN"/>
          <w14:textFill>
            <w14:solidFill>
              <w14:schemeClr w14:val="tx2"/>
            </w14:solidFill>
          </w14:textFill>
        </w:rPr>
        <w:fldChar w:fldCharType="begin"/>
      </w:r>
      <w:r>
        <w:rPr>
          <w:rFonts w:hint="default" w:ascii="Calibri" w:hAnsi="Calibri" w:eastAsia="楷体_GB2312" w:cs="Calibri"/>
          <w:b/>
          <w:bCs/>
          <w:color w:val="1F497D" w:themeColor="text2"/>
          <w:sz w:val="24"/>
          <w:szCs w:val="24"/>
          <w:lang w:val="en-US" w:eastAsia="zh-CN"/>
          <w14:textFill>
            <w14:solidFill>
              <w14:schemeClr w14:val="tx2"/>
            </w14:solidFill>
          </w14:textFill>
        </w:rPr>
        <w:instrText xml:space="preserve"> HYPERLINK \l "_Toc192787049" </w:instrText>
      </w:r>
      <w:r>
        <w:rPr>
          <w:rFonts w:hint="default" w:ascii="Calibri" w:hAnsi="Calibri" w:eastAsia="楷体_GB2312" w:cs="Calibri"/>
          <w:b/>
          <w:bCs/>
          <w:color w:val="1F497D" w:themeColor="text2"/>
          <w:sz w:val="24"/>
          <w:szCs w:val="24"/>
          <w:lang w:val="en-US" w:eastAsia="zh-CN"/>
          <w14:textFill>
            <w14:solidFill>
              <w14:schemeClr w14:val="tx2"/>
            </w14:solidFill>
          </w14:textFill>
        </w:rPr>
        <w:fldChar w:fldCharType="separate"/>
      </w:r>
      <w:r>
        <w:rPr>
          <w:rFonts w:hint="default" w:ascii="Calibri" w:hAnsi="Calibri" w:eastAsia="楷体_GB2312" w:cs="Calibri"/>
          <w:b/>
          <w:bCs/>
          <w:color w:val="1F497D" w:themeColor="text2"/>
          <w:sz w:val="24"/>
          <w:szCs w:val="24"/>
          <w:lang w:val="en-US" w:eastAsia="zh-CN"/>
          <w14:textFill>
            <w14:solidFill>
              <w14:schemeClr w14:val="tx2"/>
            </w14:solidFill>
          </w14:textFill>
        </w:rPr>
        <w:fldChar w:fldCharType="end"/>
      </w:r>
      <w:bookmarkStart w:id="42" w:name="_Toc756305952"/>
      <w:r>
        <w:rPr>
          <w:rFonts w:hint="default" w:ascii="Calibri" w:hAnsi="Calibri" w:eastAsia="楷体_GB2312" w:cs="Calibri"/>
          <w:b/>
          <w:bCs/>
          <w:color w:val="1F497D" w:themeColor="text2"/>
          <w:sz w:val="24"/>
          <w:szCs w:val="24"/>
          <w:lang w:val="en-US" w:eastAsia="zh-CN"/>
          <w14:textFill>
            <w14:solidFill>
              <w14:schemeClr w14:val="tx2"/>
            </w14:solidFill>
          </w14:textFill>
        </w:rPr>
        <w:t>七、重点公司资讯与点评</w:t>
      </w:r>
      <w:bookmarkEnd w:id="41"/>
      <w:bookmarkEnd w:id="42"/>
    </w:p>
    <w:p w14:paraId="4D4014D6">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【全球智能与电气装备】《美国输电规划与发展结构性阵痛下电网扩容、智能化电网调节与综合电力》</w:t>
      </w:r>
    </w:p>
    <w:p w14:paraId="0FC44FE6">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【全球智能与电气装备】《北美西北地区电力短缺预警：能源转型与需求激增带来的高风险考验》</w:t>
      </w:r>
    </w:p>
    <w:p w14:paraId="5584FE2E">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【全球国防和航天航空】《SpaceX猎鹰9号双事件引行业关注：故障停飞五日复飞，13手助推器创复用新纪录》</w:t>
      </w:r>
    </w:p>
    <w:p w14:paraId="7023A62E">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【全球国防和航天航空】《多起小型飞机事故刺激通用航空监管升级，驱动结构性机遇》</w:t>
      </w:r>
      <w:bookmarkStart w:id="43" w:name="_Toc192787060"/>
      <w:bookmarkStart w:id="44" w:name="_Toc278428671"/>
    </w:p>
    <w:p w14:paraId="4F4D6F4B">
      <w:pPr>
        <w:rPr>
          <w:rFonts w:hint="default" w:ascii="Calibri" w:hAnsi="Calibri" w:eastAsia="楷体_GB2312" w:cs="Calibri"/>
          <w:lang w:val="en-US" w:eastAsia="zh-CN"/>
        </w:rPr>
      </w:pPr>
      <w:r>
        <w:rPr>
          <w:rFonts w:hint="default" w:ascii="Calibri" w:hAnsi="Calibri" w:eastAsia="楷体_GB2312" w:cs="Calibri"/>
          <w:lang w:val="en-US" w:eastAsia="zh-CN"/>
        </w:rPr>
        <w:br w:type="page"/>
      </w:r>
    </w:p>
    <w:p w14:paraId="062EF32A">
      <w:pPr>
        <w:overflowPunct w:val="0"/>
        <w:ind w:left="3200" w:leftChars="2000"/>
        <w:jc w:val="both"/>
        <w:outlineLvl w:val="0"/>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45" w:name="_Toc23304"/>
      <w:r>
        <w:rPr>
          <w:rFonts w:hint="default" w:ascii="Calibri" w:hAnsi="Calibri" w:eastAsia="楷体_GB2312" w:cs="Calibri"/>
          <w:b/>
          <w:bCs/>
          <w:color w:val="1F497D" w:themeColor="text2"/>
          <w:sz w:val="24"/>
          <w:szCs w:val="24"/>
          <w:lang w:val="en-US" w:eastAsia="zh-CN"/>
          <w14:textFill>
            <w14:solidFill>
              <w14:schemeClr w14:val="tx2"/>
            </w14:solidFill>
          </w14:textFill>
        </w:rPr>
        <w:t>八、报告精选</w:t>
      </w:r>
      <w:bookmarkEnd w:id="43"/>
      <w:bookmarkEnd w:id="44"/>
      <w:bookmarkEnd w:id="45"/>
    </w:p>
    <w:p w14:paraId="4A6BDB48">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【全球智能与电气装备】《Bloom Energy Corporation(BE US)： A Solid Oxide Fuel Cell Player Set To Bloom In The Opportunity Of AI-Driven Onsite Power Generation Solutions: Initiation》</w:t>
      </w:r>
    </w:p>
    <w:p w14:paraId="15758CBA">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【全球智能与电气装备】《GE Vernova(GEV US)：An energy transition leader well-positioned in the accelerating electricity investment supercycle: Initiation》</w:t>
      </w:r>
    </w:p>
    <w:p w14:paraId="4170C741">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【全球国防和航天航空】《Cirrus Aircraft (2507.HK): Global Leader in Private Aviation: Dominating Personal Aviation with Safety, Innovation, and a Robust Ecosystem: Initiation》</w:t>
      </w:r>
    </w:p>
    <w:p w14:paraId="7E85AA4F">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【全球国防和航天航空】 《Textron (TXT US): A Diversified Industrial Giant Leading in the General-Aviation Jet Market: Initiation》</w:t>
      </w:r>
    </w:p>
    <w:p w14:paraId="01C5FC7A">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【全球国防和航天航空】《Howmet Aerospace(HWM US)：Aero-Engine Castings Leader, F-35 Sole Source + CAM Integration Widen Moat: Initiation》</w:t>
      </w:r>
    </w:p>
    <w:p w14:paraId="38313C03">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【全球能源-电力】《Vistra Corp(VST US)：Active Response to Energy Transition and Enhancement of Low-Carbon Power Amid AI Data Center Migration and Natural Gas Demand Growth: Initiation》</w:t>
      </w:r>
    </w:p>
    <w:p w14:paraId="05F17CE9">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【全球能源-电力】《Talen Energy Corp(TLN US)：Zero-Carbon Nuclear Powering PJM Wholesale &amp; Retail, Capturing the AI Power Wave for a New Cycle of Sustainable Growth: Initiation》</w:t>
      </w:r>
    </w:p>
    <w:p w14:paraId="02BD56A9">
      <w:pPr>
        <w:rPr>
          <w:rFonts w:hint="default" w:ascii="Calibri" w:hAnsi="Calibri" w:eastAsia="楷体_GB2312" w:cs="Calibri"/>
          <w:bCs/>
          <w:sz w:val="20"/>
          <w:szCs w:val="20"/>
        </w:rPr>
      </w:pPr>
      <w:r>
        <w:rPr>
          <w:rFonts w:hint="default" w:ascii="Calibri" w:hAnsi="Calibri" w:eastAsia="楷体_GB2312" w:cs="Calibri"/>
          <w:bCs/>
          <w:sz w:val="20"/>
          <w:szCs w:val="20"/>
        </w:rPr>
        <w:br w:type="page"/>
      </w:r>
    </w:p>
    <w:p w14:paraId="06A2522B">
      <w:pPr>
        <w:pStyle w:val="12"/>
        <w:spacing w:before="120" w:beforeLines="50" w:after="120" w:afterLines="50" w:line="260" w:lineRule="exact"/>
        <w:ind w:left="0" w:leftChars="0" w:right="42" w:firstLine="0"/>
        <w:jc w:val="both"/>
        <w:rPr>
          <w:rFonts w:ascii="Calibri" w:hAnsi="Calibri" w:eastAsia="楷体_GB2312" w:cs="Arial"/>
          <w:b/>
          <w:sz w:val="20"/>
          <w:szCs w:val="20"/>
        </w:rPr>
      </w:pPr>
      <w:r>
        <w:rPr>
          <w:rFonts w:ascii="Calibri" w:hAnsi="Calibri" w:eastAsia="楷体_GB2312" w:cs="Arial"/>
          <w:b/>
          <w:sz w:val="20"/>
          <w:szCs w:val="20"/>
        </w:rPr>
        <w:t>APPENDIX</w:t>
      </w:r>
      <w:r>
        <w:rPr>
          <w:rFonts w:hint="eastAsia" w:ascii="Calibri" w:hAnsi="Calibri" w:eastAsia="楷体_GB2312" w:cs="Arial"/>
          <w:b/>
          <w:sz w:val="20"/>
          <w:szCs w:val="20"/>
        </w:rPr>
        <w:t xml:space="preserve"> 1</w:t>
      </w:r>
    </w:p>
    <w:p w14:paraId="1C36DD7E">
      <w:pPr>
        <w:pStyle w:val="12"/>
        <w:spacing w:before="120" w:beforeLines="50" w:after="120" w:afterLines="50" w:line="260" w:lineRule="exact"/>
        <w:ind w:left="0" w:leftChars="0" w:right="42" w:firstLine="0"/>
        <w:jc w:val="both"/>
        <w:rPr>
          <w:rFonts w:ascii="Calibri" w:hAnsi="Calibri" w:eastAsia="楷体_GB2312" w:cs="Arial"/>
          <w:b/>
          <w:sz w:val="20"/>
          <w:szCs w:val="20"/>
        </w:rPr>
      </w:pPr>
      <w:r>
        <w:rPr>
          <w:rFonts w:hint="eastAsia" w:ascii="Calibri" w:hAnsi="Calibri" w:eastAsia="楷体_GB2312" w:cs="Arial"/>
          <w:b/>
          <w:sz w:val="20"/>
          <w:szCs w:val="20"/>
        </w:rPr>
        <w:t>Summary</w:t>
      </w:r>
    </w:p>
    <w:p w14:paraId="16A30DDD">
      <w:pPr>
        <w:overflowPunct w:val="0"/>
        <w:jc w:val="both"/>
        <w:rPr>
          <w:rFonts w:hint="eastAsia" w:eastAsia="楷体_GB2312" w:cs="Calibri"/>
          <w:b/>
          <w:bCs/>
          <w:sz w:val="20"/>
          <w:szCs w:val="20"/>
          <w:lang w:val="en-US" w:eastAsia="zh-CN"/>
        </w:rPr>
      </w:pPr>
      <w:r>
        <w:rPr>
          <w:rFonts w:hint="eastAsia" w:eastAsia="楷体_GB2312" w:cs="Calibri"/>
          <w:b/>
          <w:bCs/>
          <w:sz w:val="20"/>
          <w:szCs w:val="20"/>
          <w:lang w:val="en-US" w:eastAsia="zh-CN"/>
        </w:rPr>
        <w:t>1. Global Infrastructure &amp; Construction</w:t>
      </w:r>
    </w:p>
    <w:p w14:paraId="5EDDE589">
      <w:pPr>
        <w:overflowPunct w:val="0"/>
        <w:jc w:val="both"/>
        <w:rPr>
          <w:rFonts w:hint="eastAsia" w:eastAsia="楷体_GB2312" w:cs="Calibri"/>
          <w:b w:val="0"/>
          <w:bCs w:val="0"/>
          <w:sz w:val="20"/>
          <w:szCs w:val="20"/>
          <w:lang w:val="en-US" w:eastAsia="zh-CN"/>
        </w:rPr>
      </w:pPr>
      <w:r>
        <w:rPr>
          <w:rFonts w:hint="eastAsia" w:eastAsia="楷体_GB2312" w:cs="Calibri"/>
          <w:b/>
          <w:bCs/>
          <w:sz w:val="20"/>
          <w:szCs w:val="20"/>
          <w:lang w:val="en-US" w:eastAsia="zh-CN"/>
        </w:rPr>
        <w:t xml:space="preserve">AI &amp; Data Centers: </w:t>
      </w:r>
      <w:r>
        <w:rPr>
          <w:rFonts w:hint="eastAsia" w:eastAsia="楷体_GB2312" w:cs="Calibri"/>
          <w:b w:val="0"/>
          <w:bCs w:val="0"/>
          <w:sz w:val="20"/>
          <w:szCs w:val="20"/>
          <w:lang w:val="en-US" w:eastAsia="zh-CN"/>
        </w:rPr>
        <w:t xml:space="preserve">The "Stargate" project, led by OpenAI, SoftBank, and Oracle, is accelerating to fill the massive computing power gap as AI infrastructure enters a "sovereign-level" competition. </w:t>
      </w:r>
      <w:r>
        <w:rPr>
          <w:rFonts w:hint="eastAsia" w:eastAsia="楷体_GB2312" w:cs="Calibri"/>
          <w:b/>
          <w:bCs/>
          <w:sz w:val="20"/>
          <w:szCs w:val="20"/>
          <w:lang w:val="en-US" w:eastAsia="zh-CN"/>
        </w:rPr>
        <w:t xml:space="preserve">Energy Construction: </w:t>
      </w:r>
      <w:r>
        <w:rPr>
          <w:rFonts w:hint="eastAsia" w:eastAsia="楷体_GB2312" w:cs="Calibri"/>
          <w:b w:val="0"/>
          <w:bCs w:val="0"/>
          <w:sz w:val="20"/>
          <w:szCs w:val="20"/>
          <w:lang w:val="en-US" w:eastAsia="zh-CN"/>
        </w:rPr>
        <w:t xml:space="preserve">U.S. federal courts have cleared the resumption of several offshore wind projects, while China has clarified pricing mechanisms for independent energy storage. India has allocated $2.2 billion in its FY2026 budget for carbon capture and renewables. </w:t>
      </w:r>
      <w:r>
        <w:rPr>
          <w:rFonts w:hint="eastAsia" w:eastAsia="楷体_GB2312" w:cs="Calibri"/>
          <w:b/>
          <w:bCs/>
          <w:sz w:val="20"/>
          <w:szCs w:val="20"/>
          <w:lang w:val="en-US" w:eastAsia="zh-CN"/>
        </w:rPr>
        <w:t xml:space="preserve">SMR &amp; Nuclear: </w:t>
      </w:r>
      <w:r>
        <w:rPr>
          <w:rFonts w:hint="eastAsia" w:eastAsia="楷体_GB2312" w:cs="Calibri"/>
          <w:b w:val="0"/>
          <w:bCs w:val="0"/>
          <w:sz w:val="20"/>
          <w:szCs w:val="20"/>
          <w:lang w:val="en-US" w:eastAsia="zh-CN"/>
        </w:rPr>
        <w:t>The U.S. DOE allocated $2.7 billion for domestic uranium enrichment to support the Small Modular Reactor (SMR) supply chain. Tech giants like Meta (via Oklo), Google, and Amazon continue to sign long-term power agreements with SMR providers to fuel AI data centers.</w:t>
      </w:r>
      <w:r>
        <w:rPr>
          <w:rFonts w:hint="eastAsia" w:eastAsia="楷体_GB2312" w:cs="Calibri"/>
          <w:b/>
          <w:bCs/>
          <w:sz w:val="20"/>
          <w:szCs w:val="20"/>
          <w:lang w:val="en-US" w:eastAsia="zh-CN"/>
        </w:rPr>
        <w:t>Robotics:</w:t>
      </w:r>
      <w:r>
        <w:rPr>
          <w:rFonts w:hint="eastAsia" w:eastAsia="楷体_GB2312" w:cs="Calibri"/>
          <w:b w:val="0"/>
          <w:bCs w:val="0"/>
          <w:sz w:val="20"/>
          <w:szCs w:val="20"/>
          <w:lang w:val="en-US" w:eastAsia="zh-CN"/>
        </w:rPr>
        <w:t xml:space="preserve"> The U.S. industrial machinery manufacturing index (PPI) showed a significant recovery trend, stabilizing at a high of 264.258 by late 2025.</w:t>
      </w:r>
    </w:p>
    <w:p w14:paraId="5D95C4FA">
      <w:pPr>
        <w:overflowPunct w:val="0"/>
        <w:jc w:val="both"/>
        <w:rPr>
          <w:rFonts w:hint="eastAsia" w:eastAsia="楷体_GB2312" w:cs="Calibri"/>
          <w:b w:val="0"/>
          <w:bCs w:val="0"/>
          <w:sz w:val="20"/>
          <w:szCs w:val="20"/>
          <w:lang w:val="en-US" w:eastAsia="zh-CN"/>
        </w:rPr>
      </w:pPr>
    </w:p>
    <w:p w14:paraId="5DD3E27C">
      <w:pPr>
        <w:overflowPunct w:val="0"/>
        <w:jc w:val="both"/>
        <w:rPr>
          <w:rFonts w:hint="eastAsia" w:eastAsia="楷体_GB2312" w:cs="Calibri"/>
          <w:b/>
          <w:bCs/>
          <w:sz w:val="20"/>
          <w:szCs w:val="20"/>
          <w:lang w:val="en-US" w:eastAsia="zh-CN"/>
        </w:rPr>
      </w:pPr>
      <w:r>
        <w:rPr>
          <w:rFonts w:hint="eastAsia" w:eastAsia="楷体_GB2312" w:cs="Calibri"/>
          <w:b/>
          <w:bCs/>
          <w:sz w:val="20"/>
          <w:szCs w:val="20"/>
          <w:lang w:val="en-US" w:eastAsia="zh-CN"/>
        </w:rPr>
        <w:t>2. Global Electrical &amp; Intelligent Equipment</w:t>
      </w:r>
    </w:p>
    <w:p w14:paraId="5BC8EFD8">
      <w:pPr>
        <w:overflowPunct w:val="0"/>
        <w:jc w:val="both"/>
        <w:rPr>
          <w:rFonts w:hint="eastAsia" w:eastAsia="楷体_GB2312" w:cs="Calibri"/>
          <w:b w:val="0"/>
          <w:bCs w:val="0"/>
          <w:sz w:val="20"/>
          <w:szCs w:val="20"/>
          <w:lang w:val="en-US" w:eastAsia="zh-CN"/>
        </w:rPr>
      </w:pPr>
      <w:r>
        <w:rPr>
          <w:rFonts w:hint="eastAsia" w:eastAsia="楷体_GB2312" w:cs="Calibri"/>
          <w:b/>
          <w:bCs/>
          <w:sz w:val="20"/>
          <w:szCs w:val="20"/>
          <w:lang w:val="en-US" w:eastAsia="zh-CN"/>
        </w:rPr>
        <w:t xml:space="preserve">Industrial Equipment: </w:t>
      </w:r>
      <w:r>
        <w:rPr>
          <w:rFonts w:hint="eastAsia" w:eastAsia="楷体_GB2312" w:cs="Calibri"/>
          <w:b w:val="0"/>
          <w:bCs w:val="0"/>
          <w:sz w:val="20"/>
          <w:szCs w:val="20"/>
          <w:lang w:val="en-US" w:eastAsia="zh-CN"/>
        </w:rPr>
        <w:t xml:space="preserve">Tight supply and stable competition are driving up gas turbine price indices. </w:t>
      </w:r>
      <w:r>
        <w:rPr>
          <w:rFonts w:hint="eastAsia" w:eastAsia="楷体_GB2312" w:cs="Calibri"/>
          <w:b/>
          <w:bCs/>
          <w:sz w:val="20"/>
          <w:szCs w:val="20"/>
          <w:lang w:val="en-US" w:eastAsia="zh-CN"/>
        </w:rPr>
        <w:t>Exports:</w:t>
      </w:r>
      <w:r>
        <w:rPr>
          <w:rFonts w:hint="eastAsia" w:eastAsia="楷体_GB2312" w:cs="Calibri"/>
          <w:b w:val="0"/>
          <w:bCs w:val="0"/>
          <w:sz w:val="20"/>
          <w:szCs w:val="20"/>
          <w:lang w:val="en-US" w:eastAsia="zh-CN"/>
        </w:rPr>
        <w:t xml:space="preserve"> China maintained its position as the world's top transformer exporter in 2025, with export values surging 36% year-over-year to 64.6 billion RMB.</w:t>
      </w:r>
    </w:p>
    <w:p w14:paraId="7FA00C58">
      <w:pPr>
        <w:overflowPunct w:val="0"/>
        <w:jc w:val="both"/>
        <w:rPr>
          <w:rFonts w:hint="eastAsia" w:eastAsia="楷体_GB2312" w:cs="Calibri"/>
          <w:b w:val="0"/>
          <w:bCs w:val="0"/>
          <w:sz w:val="20"/>
          <w:szCs w:val="20"/>
          <w:lang w:val="en-US" w:eastAsia="zh-CN"/>
        </w:rPr>
      </w:pPr>
    </w:p>
    <w:p w14:paraId="4F1CE448">
      <w:pPr>
        <w:overflowPunct w:val="0"/>
        <w:jc w:val="both"/>
        <w:rPr>
          <w:rFonts w:hint="eastAsia" w:eastAsia="楷体_GB2312" w:cs="Calibri"/>
          <w:b/>
          <w:bCs/>
          <w:sz w:val="20"/>
          <w:szCs w:val="20"/>
          <w:lang w:val="en-US" w:eastAsia="zh-CN"/>
        </w:rPr>
      </w:pPr>
      <w:r>
        <w:rPr>
          <w:rFonts w:hint="eastAsia" w:eastAsia="楷体_GB2312" w:cs="Calibri"/>
          <w:b/>
          <w:bCs/>
          <w:sz w:val="20"/>
          <w:szCs w:val="20"/>
          <w:lang w:val="en-US" w:eastAsia="zh-CN"/>
        </w:rPr>
        <w:t>3. Global Energy Industry</w:t>
      </w:r>
    </w:p>
    <w:p w14:paraId="6198A9BD">
      <w:pPr>
        <w:overflowPunct w:val="0"/>
        <w:jc w:val="both"/>
        <w:rPr>
          <w:rFonts w:hint="eastAsia" w:eastAsia="楷体_GB2312" w:cs="Calibri"/>
          <w:b w:val="0"/>
          <w:bCs w:val="0"/>
          <w:sz w:val="20"/>
          <w:szCs w:val="20"/>
          <w:lang w:val="en-US" w:eastAsia="zh-CN"/>
        </w:rPr>
      </w:pPr>
      <w:r>
        <w:rPr>
          <w:rFonts w:hint="eastAsia" w:eastAsia="楷体_GB2312" w:cs="Calibri"/>
          <w:b/>
          <w:bCs/>
          <w:sz w:val="20"/>
          <w:szCs w:val="20"/>
          <w:lang w:val="en-US" w:eastAsia="zh-CN"/>
        </w:rPr>
        <w:t xml:space="preserve">Electricity: </w:t>
      </w:r>
      <w:r>
        <w:rPr>
          <w:rFonts w:hint="eastAsia" w:eastAsia="楷体_GB2312" w:cs="Calibri"/>
          <w:b w:val="0"/>
          <w:bCs w:val="0"/>
          <w:sz w:val="20"/>
          <w:szCs w:val="20"/>
          <w:lang w:val="en-US" w:eastAsia="zh-CN"/>
        </w:rPr>
        <w:t xml:space="preserve">As of February 2026, U.S. spot prices averaged $47.37/MWh, while European day-ahead prices trended upward. </w:t>
      </w:r>
      <w:r>
        <w:rPr>
          <w:rFonts w:hint="eastAsia" w:eastAsia="楷体_GB2312" w:cs="Calibri"/>
          <w:b/>
          <w:bCs/>
          <w:sz w:val="20"/>
          <w:szCs w:val="20"/>
          <w:lang w:val="en-US" w:eastAsia="zh-CN"/>
        </w:rPr>
        <w:t xml:space="preserve">Natural Gas: </w:t>
      </w:r>
      <w:r>
        <w:rPr>
          <w:rFonts w:hint="eastAsia" w:eastAsia="楷体_GB2312" w:cs="Calibri"/>
          <w:b w:val="0"/>
          <w:bCs w:val="0"/>
          <w:sz w:val="20"/>
          <w:szCs w:val="20"/>
          <w:lang w:val="en-US" w:eastAsia="zh-CN"/>
        </w:rPr>
        <w:t>U.S. Henry Hub spot and futures prices saw weekly declines (down to $4.4 and $3.13 per MMBtu respectively), with a notable shift toward non-commercial short positions in the futures market.</w:t>
      </w:r>
    </w:p>
    <w:p w14:paraId="285C3560">
      <w:pPr>
        <w:overflowPunct w:val="0"/>
        <w:jc w:val="both"/>
        <w:rPr>
          <w:rFonts w:hint="eastAsia" w:eastAsia="楷体_GB2312" w:cs="Calibri"/>
          <w:b/>
          <w:bCs/>
          <w:sz w:val="20"/>
          <w:szCs w:val="20"/>
          <w:lang w:val="en-US" w:eastAsia="zh-CN"/>
        </w:rPr>
      </w:pPr>
    </w:p>
    <w:p w14:paraId="4D80DE6A">
      <w:pPr>
        <w:overflowPunct w:val="0"/>
        <w:jc w:val="both"/>
        <w:rPr>
          <w:rFonts w:hint="eastAsia" w:eastAsia="楷体_GB2312" w:cs="Calibri"/>
          <w:b/>
          <w:bCs/>
          <w:sz w:val="20"/>
          <w:szCs w:val="20"/>
          <w:lang w:val="en-US" w:eastAsia="zh-CN"/>
        </w:rPr>
      </w:pPr>
      <w:r>
        <w:rPr>
          <w:rFonts w:hint="eastAsia" w:eastAsia="楷体_GB2312" w:cs="Calibri"/>
          <w:b/>
          <w:bCs/>
          <w:sz w:val="20"/>
          <w:szCs w:val="20"/>
          <w:lang w:val="en-US" w:eastAsia="zh-CN"/>
        </w:rPr>
        <w:t>4. Global New Materials</w:t>
      </w:r>
    </w:p>
    <w:p w14:paraId="1FBA4FBF">
      <w:pPr>
        <w:overflowPunct w:val="0"/>
        <w:jc w:val="both"/>
        <w:rPr>
          <w:rFonts w:hint="eastAsia" w:eastAsia="楷体_GB2312" w:cs="Calibri"/>
          <w:b w:val="0"/>
          <w:bCs w:val="0"/>
          <w:sz w:val="20"/>
          <w:szCs w:val="20"/>
          <w:lang w:val="en-US" w:eastAsia="zh-CN"/>
        </w:rPr>
      </w:pPr>
      <w:r>
        <w:rPr>
          <w:rFonts w:hint="eastAsia" w:eastAsia="楷体_GB2312" w:cs="Calibri"/>
          <w:b/>
          <w:bCs/>
          <w:sz w:val="20"/>
          <w:szCs w:val="20"/>
          <w:lang w:val="en-US" w:eastAsia="zh-CN"/>
        </w:rPr>
        <w:t xml:space="preserve">Uranium: </w:t>
      </w:r>
      <w:r>
        <w:rPr>
          <w:rFonts w:hint="eastAsia" w:eastAsia="楷体_GB2312" w:cs="Calibri"/>
          <w:b w:val="0"/>
          <w:bCs w:val="0"/>
          <w:sz w:val="20"/>
          <w:szCs w:val="20"/>
          <w:lang w:val="en-US" w:eastAsia="zh-CN"/>
        </w:rPr>
        <w:t xml:space="preserve">Global market prices reached $63.51/lb in late 2025, up 5.5% year-over-year. </w:t>
      </w:r>
      <w:r>
        <w:rPr>
          <w:rFonts w:hint="eastAsia" w:eastAsia="楷体_GB2312" w:cs="Calibri"/>
          <w:b/>
          <w:bCs/>
          <w:sz w:val="20"/>
          <w:szCs w:val="20"/>
          <w:lang w:val="en-US" w:eastAsia="zh-CN"/>
        </w:rPr>
        <w:t>Rare Earths:</w:t>
      </w:r>
      <w:r>
        <w:rPr>
          <w:rFonts w:hint="eastAsia" w:eastAsia="楷体_GB2312" w:cs="Calibri"/>
          <w:b w:val="0"/>
          <w:bCs w:val="0"/>
          <w:sz w:val="20"/>
          <w:szCs w:val="20"/>
          <w:lang w:val="en-US" w:eastAsia="zh-CN"/>
        </w:rPr>
        <w:t xml:space="preserve"> Praseodymium-neodymium oxide led gains this week, jumping 13.8% week-over-week, with other varieties rising between 2% and 5%.</w:t>
      </w:r>
    </w:p>
    <w:p w14:paraId="2802A0B5">
      <w:pPr>
        <w:overflowPunct w:val="0"/>
        <w:jc w:val="both"/>
        <w:rPr>
          <w:rFonts w:hint="eastAsia" w:eastAsia="楷体_GB2312" w:cs="Calibri"/>
          <w:b w:val="0"/>
          <w:bCs w:val="0"/>
          <w:sz w:val="20"/>
          <w:szCs w:val="20"/>
          <w:lang w:val="en-US" w:eastAsia="zh-CN"/>
        </w:rPr>
      </w:pPr>
    </w:p>
    <w:p w14:paraId="59512B86">
      <w:pPr>
        <w:overflowPunct w:val="0"/>
        <w:jc w:val="both"/>
        <w:rPr>
          <w:rFonts w:hint="eastAsia" w:eastAsia="楷体_GB2312" w:cs="Calibri"/>
          <w:b/>
          <w:bCs/>
          <w:sz w:val="20"/>
          <w:szCs w:val="20"/>
          <w:lang w:val="en-US" w:eastAsia="zh-CN"/>
        </w:rPr>
      </w:pPr>
      <w:r>
        <w:rPr>
          <w:rFonts w:hint="eastAsia" w:eastAsia="楷体_GB2312" w:cs="Calibri"/>
          <w:b/>
          <w:bCs/>
          <w:sz w:val="20"/>
          <w:szCs w:val="20"/>
          <w:lang w:val="en-US" w:eastAsia="zh-CN"/>
        </w:rPr>
        <w:t>5. Global Defense &amp; Aerospace</w:t>
      </w:r>
    </w:p>
    <w:p w14:paraId="0B8E2B3E">
      <w:pPr>
        <w:overflowPunct w:val="0"/>
        <w:jc w:val="both"/>
        <w:rPr>
          <w:rFonts w:hint="eastAsia" w:eastAsia="楷体_GB2312" w:cs="Calibri"/>
          <w:b w:val="0"/>
          <w:bCs w:val="0"/>
          <w:sz w:val="20"/>
          <w:szCs w:val="20"/>
          <w:lang w:val="en-US" w:eastAsia="zh-CN"/>
        </w:rPr>
      </w:pPr>
      <w:r>
        <w:rPr>
          <w:rFonts w:hint="eastAsia" w:eastAsia="楷体_GB2312" w:cs="Calibri"/>
          <w:b/>
          <w:bCs/>
          <w:sz w:val="20"/>
          <w:szCs w:val="20"/>
          <w:lang w:val="en-US" w:eastAsia="zh-CN"/>
        </w:rPr>
        <w:t xml:space="preserve">Defense Spending: </w:t>
      </w:r>
      <w:r>
        <w:rPr>
          <w:rFonts w:hint="eastAsia" w:eastAsia="楷体_GB2312" w:cs="Calibri"/>
          <w:b w:val="0"/>
          <w:bCs w:val="0"/>
          <w:sz w:val="20"/>
          <w:szCs w:val="20"/>
          <w:lang w:val="en-US" w:eastAsia="zh-CN"/>
        </w:rPr>
        <w:t xml:space="preserve">The U.S. government defense spending price index rose 2.8% year-over-year in Q3 2025, with steady price increases in aircraft engine components. </w:t>
      </w:r>
      <w:r>
        <w:rPr>
          <w:rFonts w:hint="eastAsia" w:eastAsia="楷体_GB2312" w:cs="Calibri"/>
          <w:b/>
          <w:bCs/>
          <w:sz w:val="20"/>
          <w:szCs w:val="20"/>
          <w:lang w:val="en-US" w:eastAsia="zh-CN"/>
        </w:rPr>
        <w:t>Aviation Deliveries:</w:t>
      </w:r>
      <w:r>
        <w:rPr>
          <w:rFonts w:hint="eastAsia" w:eastAsia="楷体_GB2312" w:cs="Calibri"/>
          <w:b w:val="0"/>
          <w:bCs w:val="0"/>
          <w:sz w:val="20"/>
          <w:szCs w:val="20"/>
          <w:lang w:val="en-US" w:eastAsia="zh-CN"/>
        </w:rPr>
        <w:t xml:space="preserve"> General aviation deliveries reached 3,126 units in 2024. Through the first nine months of 2025, a significant surge in business jet deliveries has driven up total delivery value, despite a slight decline in helicopter shipments.</w:t>
      </w:r>
    </w:p>
    <w:p w14:paraId="1A6261C3">
      <w:pPr>
        <w:rPr>
          <w:rFonts w:hint="default" w:ascii="Calibri" w:hAnsi="Calibri" w:eastAsia="楷体_GB2312" w:cs="Calibri"/>
          <w:bCs/>
          <w:sz w:val="20"/>
          <w:szCs w:val="20"/>
        </w:rPr>
      </w:pPr>
    </w:p>
    <w:p w14:paraId="77ABEACA">
      <w:pPr>
        <w:rPr>
          <w:rFonts w:hint="default" w:ascii="Calibri" w:hAnsi="Calibri" w:eastAsia="楷体_GB2312" w:cs="Calibri"/>
          <w:bCs/>
          <w:sz w:val="20"/>
          <w:szCs w:val="20"/>
        </w:rPr>
      </w:pPr>
    </w:p>
    <w:p w14:paraId="131EBA2A">
      <w:pPr>
        <w:rPr>
          <w:rFonts w:hint="default" w:ascii="Calibri" w:hAnsi="Calibri" w:eastAsia="楷体_GB2312" w:cs="Calibri"/>
          <w:bCs/>
          <w:sz w:val="20"/>
          <w:szCs w:val="20"/>
        </w:rPr>
      </w:pPr>
    </w:p>
    <w:p w14:paraId="34B23031">
      <w:pPr>
        <w:pStyle w:val="12"/>
        <w:spacing w:before="240" w:beforeLines="100" w:after="240" w:afterLines="100" w:line="260" w:lineRule="exact"/>
        <w:ind w:left="0" w:leftChars="0" w:right="42" w:firstLine="0"/>
        <w:jc w:val="both"/>
        <w:rPr>
          <w:rFonts w:hint="default" w:ascii="Calibri" w:hAnsi="Calibri" w:eastAsia="楷体_GB2312" w:cs="Calibri"/>
          <w:sz w:val="20"/>
          <w:szCs w:val="20"/>
        </w:rPr>
        <w:sectPr>
          <w:headerReference r:id="rId9" w:type="default"/>
          <w:footerReference r:id="rId10" w:type="default"/>
          <w:pgSz w:w="11909" w:h="16834"/>
          <w:pgMar w:top="1716" w:right="851" w:bottom="1021" w:left="360" w:header="720" w:footer="1580" w:gutter="0"/>
          <w:cols w:space="720" w:num="1"/>
          <w:docGrid w:linePitch="360" w:charSpace="0"/>
        </w:sectPr>
      </w:pPr>
    </w:p>
    <w:tbl>
      <w:tblPr>
        <w:tblStyle w:val="27"/>
        <w:tblW w:w="11252" w:type="dxa"/>
        <w:tblCaption w:val="[Table_APPENDIX]"/>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28" w:type="dxa"/>
          <w:bottom w:w="0" w:type="dxa"/>
          <w:right w:w="28" w:type="dxa"/>
        </w:tblCellMar>
      </w:tblPr>
      <w:tblGrid>
        <w:gridCol w:w="11252"/>
      </w:tblGrid>
      <w:tr w14:paraId="7A93922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23" w:hRule="exact"/>
        </w:trPr>
        <w:tc>
          <w:tcPr>
            <w:tcW w:w="11252" w:type="dxa"/>
          </w:tcPr>
          <w:p w14:paraId="266417A6">
            <w:pPr>
              <w:rPr>
                <w:rFonts w:hint="default" w:ascii="Calibri" w:hAnsi="Calibri" w:eastAsia="楷体_GB2312" w:cs="Calibri"/>
                <w:color w:val="FF0000"/>
              </w:rPr>
            </w:pPr>
            <w:r>
              <w:rPr>
                <w:rFonts w:hint="default" w:ascii="Calibri" w:hAnsi="Calibri" w:eastAsia="楷体_GB2312" w:cs="Calibri"/>
                <w:color w:val="FFFFFF" w:themeColor="background1"/>
                <w14:textFill>
                  <w14:solidFill>
                    <w14:schemeClr w14:val="bg1"/>
                  </w14:solidFill>
                </w14:textFill>
              </w:rPr>
              <w:t>[Table_APPENDIX]</w:t>
            </w:r>
          </w:p>
        </w:tc>
      </w:tr>
      <w:tr w14:paraId="73DDE13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1843" w:hRule="atLeast"/>
        </w:trPr>
        <w:tc>
          <w:tcPr>
            <w:tcW w:w="11252" w:type="dxa"/>
          </w:tcPr>
          <w:tbl>
            <w:tblPr>
              <w:tblStyle w:val="27"/>
              <w:tblW w:w="11196" w:type="dxa"/>
              <w:tblCaption w:val="[Table_disclaimer]"/>
              <w:tblDescription w:val="表格隐藏唯一标识（请勿删除和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28" w:type="dxa"/>
                <w:bottom w:w="0" w:type="dxa"/>
                <w:right w:w="28" w:type="dxa"/>
              </w:tblCellMar>
            </w:tblPr>
            <w:tblGrid>
              <w:gridCol w:w="11196"/>
            </w:tblGrid>
            <w:tr w14:paraId="01251EB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23" w:hRule="exact"/>
              </w:trPr>
              <w:tc>
                <w:tcPr>
                  <w:tcW w:w="11196" w:type="dxa"/>
                  <w:tcBorders>
                    <w:top w:val="nil"/>
                    <w:bottom w:val="single" w:color="C0C0C0" w:sz="4" w:space="0"/>
                  </w:tcBorders>
                </w:tcPr>
                <w:p w14:paraId="474A1C1B">
                  <w:pPr>
                    <w:pStyle w:val="44"/>
                    <w:spacing w:after="60"/>
                    <w:rPr>
                      <w:rFonts w:eastAsia="楷体_GB2312" w:cs="Calibri"/>
                      <w:b/>
                      <w:bCs/>
                      <w:w w:val="70"/>
                      <w:sz w:val="22"/>
                      <w:szCs w:val="22"/>
                    </w:rPr>
                  </w:pPr>
                  <w:r>
                    <w:rPr>
                      <w:rFonts w:eastAsia="楷体_GB2312" w:cs="Calibri"/>
                      <w:b/>
                      <w:bCs/>
                      <w:color w:val="FFFFFF" w:themeColor="background1"/>
                      <w:w w:val="70"/>
                      <w:sz w:val="22"/>
                      <w:szCs w:val="22"/>
                      <w14:textFill>
                        <w14:solidFill>
                          <w14:schemeClr w14:val="bg1"/>
                        </w14:solidFill>
                      </w14:textFill>
                    </w:rPr>
                    <w:t>[Table_disclaimer]</w:t>
                  </w:r>
                </w:p>
              </w:tc>
            </w:tr>
            <w:tr w14:paraId="7386886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24" w:space="0"/>
                  </w:tcBorders>
                </w:tcPr>
                <w:p w14:paraId="0817087A">
                  <w:pPr>
                    <w:pStyle w:val="44"/>
                    <w:spacing w:after="60"/>
                    <w:rPr>
                      <w:rFonts w:eastAsia="楷体_GB2312" w:cs="Calibri"/>
                      <w:b/>
                      <w:bCs/>
                      <w:w w:val="70"/>
                      <w:sz w:val="22"/>
                      <w:szCs w:val="22"/>
                      <w:lang w:eastAsia="zh-CN"/>
                    </w:rPr>
                  </w:pPr>
                  <w:r>
                    <w:rPr>
                      <w:rFonts w:eastAsia="楷体_GB2312" w:cs="Calibri"/>
                      <w:b/>
                      <w:bCs/>
                      <w:w w:val="70"/>
                      <w:sz w:val="22"/>
                      <w:szCs w:val="22"/>
                    </w:rPr>
                    <w:t>附录APPENDIX</w:t>
                  </w:r>
                </w:p>
                <w:p w14:paraId="76ACEF2F">
                  <w:pPr>
                    <w:pStyle w:val="44"/>
                    <w:rPr>
                      <w:rFonts w:eastAsia="楷体_GB2312" w:cs="Calibri"/>
                      <w:b/>
                      <w:w w:val="70"/>
                      <w:sz w:val="20"/>
                      <w:szCs w:val="20"/>
                    </w:rPr>
                  </w:pPr>
                  <w:r>
                    <w:rPr>
                      <w:rFonts w:eastAsia="楷体_GB2312" w:cs="Calibri"/>
                      <w:b/>
                      <w:w w:val="70"/>
                      <w:sz w:val="20"/>
                      <w:szCs w:val="20"/>
                    </w:rPr>
                    <w:t>重要信息披露</w:t>
                  </w:r>
                </w:p>
                <w:p w14:paraId="6360D2A0">
                  <w:pPr>
                    <w:pStyle w:val="44"/>
                    <w:rPr>
                      <w:rFonts w:eastAsia="楷体_GB2312" w:cs="Calibri"/>
                      <w:w w:val="70"/>
                      <w:sz w:val="20"/>
                      <w:szCs w:val="20"/>
                      <w:lang w:eastAsia="zh-CN"/>
                    </w:rPr>
                  </w:pPr>
                  <w:r>
                    <w:rPr>
                      <w:rFonts w:eastAsia="楷体_GB2312" w:cs="Calibri"/>
                      <w:w w:val="70"/>
                      <w:sz w:val="20"/>
                      <w:szCs w:val="20"/>
                    </w:rPr>
                    <w:t>本研究报告由</w:t>
                  </w:r>
                  <w:r>
                    <w:rPr>
                      <w:rFonts w:hint="eastAsia" w:eastAsia="楷体_GB2312" w:cs="Calibri"/>
                      <w:w w:val="70"/>
                      <w:sz w:val="20"/>
                      <w:szCs w:val="20"/>
                      <w:lang w:eastAsia="zh-CN"/>
                    </w:rPr>
                    <w:t>华福</w:t>
                  </w:r>
                  <w:r>
                    <w:rPr>
                      <w:rFonts w:eastAsia="楷体_GB2312" w:cs="Calibri"/>
                      <w:w w:val="70"/>
                      <w:sz w:val="20"/>
                      <w:szCs w:val="20"/>
                    </w:rPr>
                    <w:t>国际</w:t>
                  </w:r>
                  <w:r>
                    <w:rPr>
                      <w:rFonts w:hint="eastAsia" w:eastAsia="楷体_GB2312" w:cs="Calibri"/>
                      <w:w w:val="70"/>
                      <w:sz w:val="20"/>
                      <w:szCs w:val="20"/>
                      <w:lang w:eastAsia="zh-CN"/>
                    </w:rPr>
                    <w:t>（香港）金融控股有限公司（下称华福国际）</w:t>
                  </w:r>
                  <w:r>
                    <w:rPr>
                      <w:rFonts w:eastAsia="楷体_GB2312" w:cs="Calibri"/>
                      <w:w w:val="70"/>
                      <w:sz w:val="20"/>
                      <w:szCs w:val="20"/>
                    </w:rPr>
                    <w:t>分销</w:t>
                  </w:r>
                  <w:r>
                    <w:rPr>
                      <w:rFonts w:hint="eastAsia" w:eastAsia="楷体_GB2312" w:cs="Calibri"/>
                      <w:w w:val="70"/>
                      <w:sz w:val="20"/>
                      <w:szCs w:val="20"/>
                      <w:lang w:eastAsia="zh-CN"/>
                    </w:rPr>
                    <w:t>，</w:t>
                  </w:r>
                  <w:r>
                    <w:rPr>
                      <w:rFonts w:eastAsia="楷体_GB2312" w:cs="Calibri"/>
                      <w:w w:val="70"/>
                      <w:sz w:val="20"/>
                      <w:szCs w:val="20"/>
                    </w:rPr>
                    <w:t>在其许可的司法管辖区内从事证券活动。</w:t>
                  </w:r>
                </w:p>
                <w:p w14:paraId="147D1F9E">
                  <w:pPr>
                    <w:pStyle w:val="44"/>
                    <w:rPr>
                      <w:rFonts w:eastAsia="楷体_GB2312" w:cs="Calibri"/>
                      <w:b/>
                      <w:bCs/>
                      <w:w w:val="70"/>
                      <w:sz w:val="20"/>
                      <w:szCs w:val="20"/>
                    </w:rPr>
                  </w:pPr>
                  <w:r>
                    <w:rPr>
                      <w:rFonts w:eastAsia="楷体_GB2312" w:cs="Calibri"/>
                      <w:b/>
                      <w:bCs/>
                      <w:w w:val="70"/>
                      <w:sz w:val="20"/>
                      <w:szCs w:val="20"/>
                    </w:rPr>
                    <w:t>IMPORTANT DISCLOSURES</w:t>
                  </w:r>
                </w:p>
                <w:p w14:paraId="1F329B8F">
                  <w:pPr>
                    <w:pStyle w:val="44"/>
                    <w:spacing w:after="60"/>
                    <w:rPr>
                      <w:rFonts w:eastAsia="楷体_GB2312" w:cs="Calibri"/>
                      <w:lang w:eastAsia="zh-CN"/>
                    </w:rPr>
                  </w:pPr>
                  <w:r>
                    <w:rPr>
                      <w:rFonts w:eastAsia="楷体_GB2312" w:cs="Calibri"/>
                      <w:w w:val="70"/>
                      <w:sz w:val="20"/>
                      <w:szCs w:val="20"/>
                    </w:rPr>
                    <w:t xml:space="preserve">This research report is distributed by </w:t>
                  </w:r>
                  <w:r>
                    <w:rPr>
                      <w:rFonts w:hint="eastAsia" w:eastAsia="楷体_GB2312" w:cs="Calibri"/>
                      <w:w w:val="70"/>
                      <w:sz w:val="20"/>
                      <w:szCs w:val="20"/>
                      <w:lang w:eastAsia="zh-CN"/>
                    </w:rPr>
                    <w:t>HuaFu</w:t>
                  </w:r>
                  <w:r>
                    <w:rPr>
                      <w:rFonts w:eastAsia="楷体_GB2312" w:cs="Calibri"/>
                      <w:w w:val="70"/>
                      <w:sz w:val="20"/>
                      <w:szCs w:val="20"/>
                    </w:rPr>
                    <w:t xml:space="preserve"> International</w:t>
                  </w:r>
                  <w:r>
                    <w:rPr>
                      <w:rFonts w:hint="eastAsia" w:eastAsia="楷体_GB2312" w:cs="Calibri"/>
                      <w:w w:val="70"/>
                      <w:sz w:val="20"/>
                      <w:szCs w:val="20"/>
                      <w:lang w:eastAsia="zh-CN"/>
                    </w:rPr>
                    <w:t xml:space="preserve"> (HK) Financial Holdings Limited (referred as HuaFu International below)</w:t>
                  </w:r>
                  <w:r>
                    <w:rPr>
                      <w:rFonts w:eastAsia="楷体_GB2312" w:cs="Calibri"/>
                      <w:w w:val="70"/>
                      <w:sz w:val="20"/>
                      <w:szCs w:val="20"/>
                    </w:rPr>
                    <w:t xml:space="preserve">, </w:t>
                  </w:r>
                  <w:r>
                    <w:rPr>
                      <w:rFonts w:hint="eastAsia" w:eastAsia="楷体_GB2312" w:cs="Calibri"/>
                      <w:w w:val="70"/>
                      <w:sz w:val="20"/>
                      <w:szCs w:val="20"/>
                      <w:lang w:eastAsia="zh-CN"/>
                    </w:rPr>
                    <w:t>which</w:t>
                  </w:r>
                  <w:r>
                    <w:rPr>
                      <w:rFonts w:eastAsia="楷体_GB2312" w:cs="Calibri"/>
                      <w:w w:val="70"/>
                      <w:sz w:val="20"/>
                      <w:szCs w:val="20"/>
                    </w:rPr>
                    <w:t xml:space="preserve"> </w:t>
                  </w:r>
                  <w:r>
                    <w:rPr>
                      <w:rFonts w:hint="eastAsia" w:eastAsia="楷体_GB2312" w:cs="Calibri"/>
                      <w:w w:val="70"/>
                      <w:sz w:val="20"/>
                      <w:szCs w:val="20"/>
                      <w:lang w:eastAsia="zh-CN"/>
                    </w:rPr>
                    <w:t xml:space="preserve">is </w:t>
                  </w:r>
                  <w:r>
                    <w:rPr>
                      <w:rFonts w:eastAsia="楷体_GB2312" w:cs="Calibri"/>
                      <w:w w:val="70"/>
                      <w:sz w:val="20"/>
                      <w:szCs w:val="20"/>
                    </w:rPr>
                    <w:t>authorized to engage in securities activities in its respective jurisdiction.</w:t>
                  </w:r>
                </w:p>
              </w:tc>
            </w:tr>
            <w:tr w14:paraId="25BAA89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24" w:space="0"/>
                  </w:tcBorders>
                </w:tcPr>
                <w:p w14:paraId="0B2BADE4">
                  <w:pPr>
                    <w:pStyle w:val="44"/>
                    <w:spacing w:after="48" w:afterLines="20"/>
                    <w:rPr>
                      <w:rFonts w:eastAsia="楷体_GB2312" w:cs="Calibri"/>
                      <w:w w:val="70"/>
                      <w:sz w:val="20"/>
                      <w:szCs w:val="20"/>
                    </w:rPr>
                  </w:pPr>
                  <w:r>
                    <w:rPr>
                      <w:rFonts w:eastAsia="楷体_GB2312" w:cs="Calibri"/>
                      <w:b/>
                      <w:w w:val="70"/>
                      <w:sz w:val="20"/>
                      <w:szCs w:val="20"/>
                    </w:rPr>
                    <w:t>分析师认证Analyst Certification</w:t>
                  </w:r>
                  <w:r>
                    <w:rPr>
                      <w:rFonts w:eastAsia="楷体_GB2312" w:cs="Calibri"/>
                      <w:w w:val="70"/>
                      <w:sz w:val="20"/>
                      <w:szCs w:val="20"/>
                    </w:rPr>
                    <w:t>:</w:t>
                  </w:r>
                </w:p>
              </w:tc>
            </w:tr>
            <w:tr w14:paraId="2A0BFC8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bottom w:val="single" w:color="C0C0C0" w:sz="24" w:space="0"/>
                  </w:tcBorders>
                </w:tcPr>
                <w:p w14:paraId="1F3B435B">
                  <w:pPr>
                    <w:jc w:val="both"/>
                  </w:pPr>
                  <w:r>
                    <w:rPr>
                      <w:rFonts w:ascii="Calibri" w:eastAsia="楷体_GB2312"/>
                      <w:b w:val="0"/>
                      <w:i w:val="0"/>
                      <w:color w:val="000000"/>
                      <w:w w:val="70"/>
                      <w:sz w:val="20"/>
                    </w:rPr>
                    <w:t>我， 杨斌，在此保证（i）本研究报告中的意见准确反映了我们对本研究中提及的任何或所有目标公司或上市公司的个人观点，并且（ii）我的报酬中没有任何部分与本研究报告中表达的具体建议或观点直接或间接相关；及就此报告中所讨论目标公司的证券，我们（包括我们的家属）在其中均不持有任何财务利益。I, Bin Yang, certify that (i) the views expressed in this research report accurately reflect my personal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p>
              </w:tc>
            </w:tr>
            <w:tr w14:paraId="5B1F730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24" w:space="0"/>
                    <w:bottom w:val="nil"/>
                  </w:tcBorders>
                </w:tcPr>
                <w:p w14:paraId="28E45862">
                  <w:pPr>
                    <w:pStyle w:val="44"/>
                    <w:spacing w:after="48" w:afterLines="20"/>
                    <w:rPr>
                      <w:rFonts w:eastAsia="楷体_GB2312" w:cs="Calibri"/>
                      <w:b/>
                      <w:bCs/>
                      <w:w w:val="70"/>
                      <w:sz w:val="20"/>
                      <w:szCs w:val="20"/>
                    </w:rPr>
                  </w:pPr>
                  <w:r>
                    <w:rPr>
                      <w:rFonts w:eastAsia="楷体_GB2312" w:cs="Calibri"/>
                      <w:b/>
                      <w:bCs/>
                      <w:w w:val="70"/>
                      <w:sz w:val="20"/>
                      <w:szCs w:val="20"/>
                    </w:rPr>
                    <w:t>利益冲突披露Conflict of Interest Disclosures</w:t>
                  </w:r>
                </w:p>
              </w:tc>
            </w:tr>
            <w:tr w14:paraId="3DD1E3E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nil"/>
                    <w:bottom w:val="single" w:color="C0C0C0" w:sz="4" w:space="0"/>
                  </w:tcBorders>
                </w:tcPr>
                <w:p w14:paraId="608DB68D">
                  <w:pPr>
                    <w:pStyle w:val="44"/>
                    <w:rPr>
                      <w:rFonts w:eastAsia="楷体_GB2312" w:cs="Calibri"/>
                      <w:w w:val="70"/>
                      <w:sz w:val="20"/>
                      <w:szCs w:val="20"/>
                    </w:rPr>
                  </w:pPr>
                  <w:r>
                    <w:rPr>
                      <w:rFonts w:hint="eastAsia" w:eastAsia="楷体_GB2312" w:cs="Calibri"/>
                      <w:w w:val="70"/>
                      <w:sz w:val="20"/>
                      <w:szCs w:val="20"/>
                      <w:lang w:eastAsia="zh-CN"/>
                    </w:rPr>
                    <w:t>华福</w:t>
                  </w:r>
                  <w:r>
                    <w:rPr>
                      <w:rFonts w:eastAsia="楷体_GB2312" w:cs="Calibri"/>
                      <w:w w:val="70"/>
                      <w:sz w:val="20"/>
                      <w:szCs w:val="20"/>
                    </w:rPr>
                    <w:t>国际及其某些关联公司可从事投资银行业务和/或对本研究中的特定股票或公司进行做市或持有自营头寸。就本研究报告而言，如需了解</w:t>
                  </w:r>
                  <w:r>
                    <w:rPr>
                      <w:rFonts w:hint="eastAsia" w:eastAsia="楷体_GB2312" w:cs="Calibri"/>
                      <w:w w:val="70"/>
                      <w:sz w:val="20"/>
                      <w:szCs w:val="20"/>
                    </w:rPr>
                    <w:t>其中提到的某一公司</w:t>
                  </w:r>
                  <w:r>
                    <w:rPr>
                      <w:rFonts w:eastAsia="楷体_GB2312" w:cs="Calibri"/>
                      <w:w w:val="70"/>
                      <w:sz w:val="20"/>
                      <w:szCs w:val="20"/>
                    </w:rPr>
                    <w:t>信息，</w:t>
                  </w:r>
                  <w:r>
                    <w:fldChar w:fldCharType="begin"/>
                  </w:r>
                  <w:r>
                    <w:instrText xml:space="preserve"> HYPERLINK "mailto:请发邮件至lcd@hfisec.com.hk" </w:instrText>
                  </w:r>
                  <w:r>
                    <w:fldChar w:fldCharType="separate"/>
                  </w:r>
                  <w:r>
                    <w:rPr>
                      <w:rStyle w:val="32"/>
                      <w:rFonts w:eastAsia="楷体_GB2312" w:cs="Calibri"/>
                      <w:w w:val="70"/>
                      <w:sz w:val="20"/>
                      <w:szCs w:val="20"/>
                    </w:rPr>
                    <w:t>请发邮件至lcd@hfisec.com.hk</w:t>
                  </w:r>
                  <w:r>
                    <w:rPr>
                      <w:rStyle w:val="32"/>
                      <w:rFonts w:eastAsia="楷体_GB2312" w:cs="Calibri"/>
                      <w:w w:val="70"/>
                      <w:sz w:val="20"/>
                      <w:szCs w:val="20"/>
                    </w:rPr>
                    <w:fldChar w:fldCharType="end"/>
                  </w:r>
                  <w:r>
                    <w:rPr>
                      <w:rFonts w:eastAsia="楷体_GB2312" w:cs="Calibri"/>
                      <w:w w:val="70"/>
                      <w:sz w:val="20"/>
                      <w:szCs w:val="20"/>
                    </w:rPr>
                    <w:t>）</w:t>
                  </w:r>
                </w:p>
                <w:p w14:paraId="37A13097">
                  <w:pPr>
                    <w:pStyle w:val="44"/>
                    <w:rPr>
                      <w:rFonts w:eastAsia="楷体_GB2312" w:cs="Calibri"/>
                      <w:b/>
                      <w:bCs/>
                      <w:w w:val="70"/>
                      <w:sz w:val="20"/>
                      <w:szCs w:val="20"/>
                      <w:lang w:eastAsia="zh-CN"/>
                    </w:rPr>
                  </w:pPr>
                  <w:r>
                    <w:rPr>
                      <w:rFonts w:hint="eastAsia" w:eastAsia="楷体_GB2312" w:cs="Calibri"/>
                      <w:w w:val="70"/>
                      <w:sz w:val="20"/>
                      <w:szCs w:val="20"/>
                      <w:lang w:eastAsia="zh-CN"/>
                    </w:rPr>
                    <w:t>HuaFu International</w:t>
                  </w:r>
                  <w:r>
                    <w:rPr>
                      <w:rFonts w:eastAsia="楷体_GB2312" w:cs="Calibri"/>
                      <w:w w:val="70"/>
                      <w:sz w:val="20"/>
                      <w:szCs w:val="20"/>
                    </w:rPr>
                    <w:t xml:space="preserve"> and some of its affiliates may engage in investment banking and / or serve as a market maker or hold proprietary trading positions of certain stocks or companies in this research report. As far as this research report is concerned, </w:t>
                  </w:r>
                  <w:r>
                    <w:rPr>
                      <w:rFonts w:eastAsia="楷体_GB2312" w:cs="Calibri"/>
                      <w:color w:val="000000" w:themeColor="text1"/>
                      <w:w w:val="70"/>
                      <w:sz w:val="20"/>
                      <w:szCs w:val="20"/>
                      <w14:textFill>
                        <w14:solidFill>
                          <w14:schemeClr w14:val="tx1"/>
                        </w14:solidFill>
                      </w14:textFill>
                    </w:rPr>
                    <w:t xml:space="preserve">please send an email to </w:t>
                  </w:r>
                  <w:r>
                    <w:rPr>
                      <w:rFonts w:hint="eastAsia" w:eastAsia="楷体_GB2312" w:cs="Calibri"/>
                      <w:color w:val="000000" w:themeColor="text1"/>
                      <w:w w:val="70"/>
                      <w:sz w:val="20"/>
                      <w:szCs w:val="20"/>
                      <w:lang w:eastAsia="zh-CN"/>
                      <w14:textFill>
                        <w14:solidFill>
                          <w14:schemeClr w14:val="tx1"/>
                        </w14:solidFill>
                      </w14:textFill>
                    </w:rPr>
                    <w:t>lcd</w:t>
                  </w:r>
                  <w:r>
                    <w:rPr>
                      <w:rFonts w:eastAsia="楷体_GB2312" w:cs="Calibri"/>
                      <w:color w:val="000000" w:themeColor="text1"/>
                      <w:w w:val="70"/>
                      <w:sz w:val="20"/>
                      <w:szCs w:val="20"/>
                      <w14:textFill>
                        <w14:solidFill>
                          <w14:schemeClr w14:val="tx1"/>
                        </w14:solidFill>
                      </w14:textFill>
                    </w:rPr>
                    <w:t>@</w:t>
                  </w:r>
                  <w:r>
                    <w:rPr>
                      <w:rFonts w:hint="eastAsia" w:eastAsia="楷体_GB2312" w:cs="Calibri"/>
                      <w:color w:val="000000" w:themeColor="text1"/>
                      <w:w w:val="70"/>
                      <w:sz w:val="20"/>
                      <w:szCs w:val="20"/>
                      <w:lang w:eastAsia="zh-CN"/>
                      <w14:textFill>
                        <w14:solidFill>
                          <w14:schemeClr w14:val="tx1"/>
                        </w14:solidFill>
                      </w14:textFill>
                    </w:rPr>
                    <w:t>hfisec</w:t>
                  </w:r>
                  <w:r>
                    <w:rPr>
                      <w:rFonts w:eastAsia="楷体_GB2312" w:cs="Calibri"/>
                      <w:color w:val="000000" w:themeColor="text1"/>
                      <w:w w:val="70"/>
                      <w:sz w:val="20"/>
                      <w:szCs w:val="20"/>
                      <w14:textFill>
                        <w14:solidFill>
                          <w14:schemeClr w14:val="tx1"/>
                        </w14:solidFill>
                      </w14:textFill>
                    </w:rPr>
                    <w:t>.com</w:t>
                  </w:r>
                  <w:r>
                    <w:rPr>
                      <w:rFonts w:hint="eastAsia" w:eastAsia="楷体_GB2312" w:cs="Calibri"/>
                      <w:color w:val="000000" w:themeColor="text1"/>
                      <w:w w:val="70"/>
                      <w:sz w:val="20"/>
                      <w:szCs w:val="20"/>
                      <w:lang w:eastAsia="zh-CN"/>
                      <w14:textFill>
                        <w14:solidFill>
                          <w14:schemeClr w14:val="tx1"/>
                        </w14:solidFill>
                      </w14:textFill>
                    </w:rPr>
                    <w:t>.hk</w:t>
                  </w:r>
                  <w:r>
                    <w:rPr>
                      <w:rFonts w:eastAsia="楷体_GB2312" w:cs="Calibri"/>
                      <w:color w:val="000000" w:themeColor="text1"/>
                      <w:w w:val="70"/>
                      <w:sz w:val="20"/>
                      <w:szCs w:val="20"/>
                      <w14:textFill>
                        <w14:solidFill>
                          <w14:schemeClr w14:val="tx1"/>
                        </w14:solidFill>
                      </w14:textFill>
                    </w:rPr>
                    <w:t xml:space="preserve"> if </w:t>
                  </w:r>
                  <w:r>
                    <w:rPr>
                      <w:rFonts w:hint="eastAsia" w:eastAsia="楷体_GB2312" w:cs="Calibri"/>
                      <w:color w:val="000000" w:themeColor="text1"/>
                      <w:w w:val="70"/>
                      <w:sz w:val="20"/>
                      <w:szCs w:val="20"/>
                      <w:lang w:eastAsia="zh-CN"/>
                      <w14:textFill>
                        <w14:solidFill>
                          <w14:schemeClr w14:val="tx1"/>
                        </w14:solidFill>
                      </w14:textFill>
                    </w:rPr>
                    <w:t>the</w:t>
                  </w:r>
                  <w:r>
                    <w:rPr>
                      <w:rFonts w:eastAsia="楷体_GB2312" w:cs="Calibri"/>
                      <w:color w:val="000000" w:themeColor="text1"/>
                      <w:w w:val="70"/>
                      <w:sz w:val="20"/>
                      <w:szCs w:val="20"/>
                      <w14:textFill>
                        <w14:solidFill>
                          <w14:schemeClr w14:val="tx1"/>
                        </w14:solidFill>
                      </w14:textFill>
                    </w:rPr>
                    <w:t xml:space="preserve"> information </w:t>
                  </w:r>
                  <w:r>
                    <w:rPr>
                      <w:rFonts w:hint="eastAsia" w:eastAsia="楷体_GB2312" w:cs="Calibri"/>
                      <w:color w:val="000000" w:themeColor="text1"/>
                      <w:w w:val="70"/>
                      <w:sz w:val="20"/>
                      <w:szCs w:val="20"/>
                      <w:lang w:eastAsia="zh-CN"/>
                      <w14:textFill>
                        <w14:solidFill>
                          <w14:schemeClr w14:val="tx1"/>
                        </w14:solidFill>
                      </w14:textFill>
                    </w:rPr>
                    <w:t xml:space="preserve">about any company mentioned in this report </w:t>
                  </w:r>
                  <w:r>
                    <w:rPr>
                      <w:rFonts w:eastAsia="楷体_GB2312" w:cs="Calibri"/>
                      <w:color w:val="000000" w:themeColor="text1"/>
                      <w:w w:val="70"/>
                      <w:sz w:val="20"/>
                      <w:szCs w:val="20"/>
                      <w14:textFill>
                        <w14:solidFill>
                          <w14:schemeClr w14:val="tx1"/>
                        </w14:solidFill>
                      </w14:textFill>
                    </w:rPr>
                    <w:t>is needed).</w:t>
                  </w:r>
                </w:p>
              </w:tc>
            </w:tr>
            <w:tr w14:paraId="3BB1989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381FEC1B">
                  <w:pPr>
                    <w:pStyle w:val="44"/>
                    <w:rPr>
                      <w:rFonts w:eastAsia="楷体_GB2312" w:cs="Calibri"/>
                      <w:w w:val="70"/>
                      <w:sz w:val="20"/>
                      <w:szCs w:val="20"/>
                    </w:rPr>
                  </w:pPr>
                </w:p>
              </w:tc>
            </w:tr>
            <w:tr w14:paraId="1BE8AB9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5096" w:hRule="atLeast"/>
              </w:trPr>
              <w:tc>
                <w:tcPr>
                  <w:tcW w:w="11196" w:type="dxa"/>
                  <w:tcBorders>
                    <w:top w:val="single" w:color="C0C0C0" w:sz="4" w:space="0"/>
                  </w:tcBorders>
                </w:tcPr>
                <w:p w14:paraId="27375EA0">
                  <w:pPr>
                    <w:pStyle w:val="44"/>
                    <w:rPr>
                      <w:rFonts w:eastAsia="楷体_GB2312" w:cs="Calibri"/>
                      <w:b/>
                      <w:w w:val="70"/>
                      <w:sz w:val="20"/>
                      <w:szCs w:val="20"/>
                    </w:rPr>
                  </w:pPr>
                  <w:r>
                    <w:rPr>
                      <w:rFonts w:eastAsia="楷体_GB2312" w:cs="Calibri"/>
                      <w:b/>
                      <w:w w:val="70"/>
                      <w:sz w:val="20"/>
                      <w:szCs w:val="20"/>
                    </w:rPr>
                    <w:t>评级定义</w:t>
                  </w:r>
                  <w:r>
                    <w:rPr>
                      <w:rFonts w:eastAsia="楷体_GB2312" w:cs="Calibri"/>
                      <w:b/>
                      <w:w w:val="70"/>
                      <w:sz w:val="20"/>
                      <w:szCs w:val="20"/>
                      <w:lang w:eastAsia="zh-CN"/>
                    </w:rPr>
                    <w:t>（从2020年7月1日开始执行）</w:t>
                  </w:r>
                  <w:r>
                    <w:rPr>
                      <w:rFonts w:eastAsia="楷体_GB2312" w:cs="Calibri"/>
                      <w:b/>
                      <w:w w:val="70"/>
                      <w:sz w:val="20"/>
                      <w:szCs w:val="20"/>
                    </w:rPr>
                    <w:t>：</w:t>
                  </w:r>
                </w:p>
                <w:p w14:paraId="1235F971">
                  <w:pPr>
                    <w:pStyle w:val="44"/>
                    <w:rPr>
                      <w:rFonts w:eastAsia="楷体_GB2312" w:cs="Calibri"/>
                      <w:w w:val="70"/>
                      <w:sz w:val="20"/>
                      <w:szCs w:val="20"/>
                    </w:rPr>
                  </w:pPr>
                  <w:r>
                    <w:rPr>
                      <w:rFonts w:hint="eastAsia" w:eastAsia="楷体_GB2312" w:cs="Calibri"/>
                      <w:w w:val="70"/>
                      <w:sz w:val="20"/>
                      <w:szCs w:val="20"/>
                      <w:lang w:eastAsia="zh-CN"/>
                    </w:rPr>
                    <w:t>华福</w:t>
                  </w:r>
                  <w:r>
                    <w:rPr>
                      <w:rFonts w:eastAsia="楷体_GB2312" w:cs="Calibri"/>
                      <w:w w:val="70"/>
                      <w:sz w:val="20"/>
                      <w:szCs w:val="20"/>
                    </w:rPr>
                    <w:t>国际采用相对评级系统</w:t>
                  </w:r>
                  <w:r>
                    <w:rPr>
                      <w:rFonts w:eastAsia="楷体_GB2312" w:cs="Calibri"/>
                      <w:w w:val="70"/>
                      <w:sz w:val="20"/>
                      <w:szCs w:val="20"/>
                      <w:lang w:eastAsia="zh-CN"/>
                    </w:rPr>
                    <w:t>来为投资者推荐我们覆盖的公司</w:t>
                  </w:r>
                  <w:r>
                    <w:rPr>
                      <w:rFonts w:eastAsia="楷体_GB2312" w:cs="Calibri"/>
                      <w:w w:val="70"/>
                      <w:sz w:val="20"/>
                      <w:szCs w:val="20"/>
                    </w:rPr>
                    <w:t>：</w:t>
                  </w:r>
                  <w:r>
                    <w:rPr>
                      <w:rFonts w:eastAsia="楷体_GB2312" w:cs="Calibri"/>
                      <w:w w:val="70"/>
                      <w:sz w:val="20"/>
                      <w:szCs w:val="20"/>
                      <w:lang w:eastAsia="zh-CN"/>
                    </w:rPr>
                    <w:t>优于大市</w:t>
                  </w:r>
                  <w:r>
                    <w:rPr>
                      <w:rFonts w:eastAsia="楷体_GB2312" w:cs="Calibri"/>
                      <w:w w:val="70"/>
                      <w:sz w:val="20"/>
                      <w:szCs w:val="20"/>
                    </w:rPr>
                    <w:t>、中性</w:t>
                  </w:r>
                  <w:r>
                    <w:rPr>
                      <w:rFonts w:eastAsia="楷体_GB2312" w:cs="Calibri"/>
                      <w:w w:val="70"/>
                      <w:sz w:val="20"/>
                      <w:szCs w:val="20"/>
                      <w:lang w:eastAsia="zh-CN"/>
                    </w:rPr>
                    <w:t>或弱于大市</w:t>
                  </w:r>
                  <w:r>
                    <w:rPr>
                      <w:rFonts w:eastAsia="楷体_GB2312" w:cs="Calibri"/>
                      <w:w w:val="70"/>
                      <w:sz w:val="20"/>
                      <w:szCs w:val="20"/>
                    </w:rPr>
                    <w:t>。</w:t>
                  </w:r>
                  <w:r>
                    <w:rPr>
                      <w:rFonts w:eastAsia="楷体_GB2312" w:cs="Calibri"/>
                      <w:w w:val="70"/>
                      <w:sz w:val="20"/>
                      <w:szCs w:val="20"/>
                      <w:lang w:eastAsia="zh-CN"/>
                    </w:rPr>
                    <w:t>投资者应仔细阅读</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的评级定义。并且</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发布分析师观点的完整信息，投资者应仔细阅读全文而非仅看评级。在任何情况下，分析师的评级和研究都不能作为投资建议。投资者的买卖股票的决策应基于各自情况（比如投资者的现有持仓）以及其他因素。</w:t>
                  </w:r>
                </w:p>
                <w:p w14:paraId="3BAF2B4F">
                  <w:pPr>
                    <w:pStyle w:val="44"/>
                    <w:rPr>
                      <w:rFonts w:eastAsia="楷体_GB2312" w:cs="Calibri"/>
                      <w:b/>
                      <w:w w:val="70"/>
                      <w:sz w:val="20"/>
                      <w:szCs w:val="20"/>
                      <w:lang w:eastAsia="zh-CN"/>
                    </w:rPr>
                  </w:pPr>
                  <w:r>
                    <w:rPr>
                      <w:rFonts w:eastAsia="楷体_GB2312" w:cs="Calibri"/>
                      <w:b/>
                      <w:w w:val="70"/>
                      <w:sz w:val="20"/>
                      <w:szCs w:val="20"/>
                      <w:lang w:eastAsia="zh-CN"/>
                    </w:rPr>
                    <w:t>分析师股票评级</w:t>
                  </w:r>
                </w:p>
                <w:p w14:paraId="4A1D4593">
                  <w:pPr>
                    <w:pStyle w:val="44"/>
                    <w:rPr>
                      <w:rFonts w:eastAsia="楷体_GB2312" w:cs="Calibri"/>
                      <w:w w:val="70"/>
                      <w:sz w:val="20"/>
                      <w:szCs w:val="20"/>
                      <w:lang w:eastAsia="zh-CN"/>
                    </w:rPr>
                  </w:pPr>
                  <w:r>
                    <w:rPr>
                      <w:rFonts w:eastAsia="楷体_GB2312" w:cs="Calibri"/>
                      <w:b/>
                      <w:w w:val="70"/>
                      <w:sz w:val="20"/>
                      <w:szCs w:val="20"/>
                    </w:rPr>
                    <w:t>优于大市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预期相对基准指数涨幅在10%以上，基准定义如下</w:t>
                  </w:r>
                </w:p>
                <w:p w14:paraId="6002E401">
                  <w:pPr>
                    <w:pStyle w:val="44"/>
                    <w:rPr>
                      <w:rFonts w:eastAsia="楷体_GB2312" w:cs="Calibri"/>
                      <w:w w:val="70"/>
                      <w:sz w:val="20"/>
                      <w:szCs w:val="20"/>
                      <w:lang w:eastAsia="zh-CN"/>
                    </w:rPr>
                  </w:pPr>
                  <w:r>
                    <w:rPr>
                      <w:rFonts w:eastAsia="楷体_GB2312" w:cs="Calibri"/>
                      <w:b/>
                      <w:w w:val="70"/>
                      <w:sz w:val="20"/>
                      <w:szCs w:val="20"/>
                    </w:rPr>
                    <w:t>中性</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预期相对基准指数变化不大，基准定义如下</w:t>
                  </w:r>
                </w:p>
                <w:p w14:paraId="69F1DEC4">
                  <w:pPr>
                    <w:pStyle w:val="44"/>
                    <w:rPr>
                      <w:rFonts w:eastAsia="楷体_GB2312" w:cs="Calibri"/>
                      <w:w w:val="70"/>
                      <w:sz w:val="20"/>
                      <w:szCs w:val="20"/>
                    </w:rPr>
                  </w:pPr>
                  <w:r>
                    <w:rPr>
                      <w:rFonts w:eastAsia="楷体_GB2312" w:cs="Calibri"/>
                      <w:b/>
                      <w:w w:val="70"/>
                      <w:sz w:val="20"/>
                      <w:szCs w:val="20"/>
                      <w:lang w:eastAsia="zh-CN"/>
                    </w:rPr>
                    <w:t>弱于大市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预期相对基准指数跌幅在10%以上，基准定义如下</w:t>
                  </w:r>
                </w:p>
                <w:p w14:paraId="7EFBEE53">
                  <w:pPr>
                    <w:pStyle w:val="44"/>
                    <w:rPr>
                      <w:rFonts w:eastAsia="楷体_GB2312" w:cs="Calibri"/>
                      <w:w w:val="70"/>
                      <w:sz w:val="20"/>
                      <w:szCs w:val="20"/>
                      <w:lang w:eastAsia="zh-CN"/>
                    </w:rPr>
                  </w:pPr>
                  <w:r>
                    <w:rPr>
                      <w:rFonts w:eastAsia="楷体_GB2312" w:cs="Calibri"/>
                      <w:w w:val="70"/>
                      <w:sz w:val="20"/>
                      <w:szCs w:val="20"/>
                      <w:lang w:eastAsia="zh-CN"/>
                    </w:rPr>
                    <w:t xml:space="preserve">各地股票基准指数：日本 </w:t>
                  </w:r>
                  <w:r>
                    <w:rPr>
                      <w:rFonts w:eastAsia="微软雅黑" w:cs="Calibri"/>
                      <w:w w:val="70"/>
                      <w:sz w:val="20"/>
                      <w:szCs w:val="20"/>
                      <w:lang w:eastAsia="zh-CN"/>
                    </w:rPr>
                    <w:t>–</w:t>
                  </w:r>
                  <w:r>
                    <w:rPr>
                      <w:rFonts w:eastAsia="楷体_GB2312" w:cs="Calibri"/>
                      <w:w w:val="70"/>
                      <w:sz w:val="20"/>
                      <w:szCs w:val="20"/>
                      <w:lang w:eastAsia="zh-CN"/>
                    </w:rPr>
                    <w:t xml:space="preserve"> TOPIX, 韩国 </w:t>
                  </w:r>
                  <w:r>
                    <w:rPr>
                      <w:rFonts w:eastAsia="微软雅黑" w:cs="Calibri"/>
                      <w:w w:val="70"/>
                      <w:sz w:val="20"/>
                      <w:szCs w:val="20"/>
                      <w:lang w:eastAsia="zh-CN"/>
                    </w:rPr>
                    <w:t>–</w:t>
                  </w:r>
                  <w:r>
                    <w:rPr>
                      <w:rFonts w:eastAsia="楷体_GB2312" w:cs="Calibri"/>
                      <w:w w:val="70"/>
                      <w:sz w:val="20"/>
                      <w:szCs w:val="20"/>
                      <w:lang w:eastAsia="zh-CN"/>
                    </w:rPr>
                    <w:t xml:space="preserve"> KOSPI, 台湾 </w:t>
                  </w:r>
                  <w:r>
                    <w:rPr>
                      <w:rFonts w:eastAsia="微软雅黑" w:cs="Calibri"/>
                      <w:w w:val="70"/>
                      <w:sz w:val="20"/>
                      <w:szCs w:val="20"/>
                      <w:lang w:eastAsia="zh-CN"/>
                    </w:rPr>
                    <w:t>–</w:t>
                  </w:r>
                  <w:r>
                    <w:rPr>
                      <w:rFonts w:eastAsia="楷体_GB2312" w:cs="Calibri"/>
                      <w:w w:val="70"/>
                      <w:sz w:val="20"/>
                      <w:szCs w:val="20"/>
                      <w:lang w:eastAsia="zh-CN"/>
                    </w:rPr>
                    <w:t xml:space="preserve"> TAIEX, 印度 </w:t>
                  </w:r>
                  <w:r>
                    <w:rPr>
                      <w:rFonts w:eastAsia="微软雅黑" w:cs="Calibri"/>
                      <w:w w:val="70"/>
                      <w:sz w:val="20"/>
                      <w:szCs w:val="20"/>
                      <w:lang w:eastAsia="zh-CN"/>
                    </w:rPr>
                    <w:t>–</w:t>
                  </w:r>
                  <w:r>
                    <w:rPr>
                      <w:rFonts w:eastAsia="楷体_GB2312" w:cs="Calibri"/>
                      <w:w w:val="70"/>
                      <w:sz w:val="20"/>
                      <w:szCs w:val="20"/>
                      <w:lang w:eastAsia="zh-CN"/>
                    </w:rPr>
                    <w:t xml:space="preserve"> Nifty100, 美国 </w:t>
                  </w:r>
                  <w:r>
                    <w:rPr>
                      <w:rFonts w:eastAsia="微软雅黑" w:cs="Calibri"/>
                      <w:w w:val="70"/>
                      <w:sz w:val="20"/>
                      <w:szCs w:val="20"/>
                      <w:lang w:eastAsia="zh-CN"/>
                    </w:rPr>
                    <w:t>–</w:t>
                  </w:r>
                  <w:r>
                    <w:rPr>
                      <w:rFonts w:eastAsia="楷体_GB2312" w:cs="Calibri"/>
                      <w:w w:val="70"/>
                      <w:sz w:val="20"/>
                      <w:szCs w:val="20"/>
                      <w:lang w:eastAsia="zh-CN"/>
                    </w:rPr>
                    <w:t xml:space="preserve"> SP500; 其他所有中国概念股 </w:t>
                  </w:r>
                  <w:r>
                    <w:rPr>
                      <w:rFonts w:eastAsia="微软雅黑" w:cs="Calibri"/>
                      <w:w w:val="70"/>
                      <w:sz w:val="20"/>
                      <w:szCs w:val="20"/>
                      <w:lang w:eastAsia="zh-CN"/>
                    </w:rPr>
                    <w:t>–</w:t>
                  </w:r>
                  <w:r>
                    <w:rPr>
                      <w:rFonts w:eastAsia="楷体_GB2312" w:cs="Calibri"/>
                      <w:w w:val="70"/>
                      <w:sz w:val="20"/>
                      <w:szCs w:val="20"/>
                      <w:lang w:eastAsia="zh-CN"/>
                    </w:rPr>
                    <w:t xml:space="preserve"> MSCI China.</w:t>
                  </w:r>
                </w:p>
                <w:p w14:paraId="21F2E04A">
                  <w:pPr>
                    <w:pStyle w:val="44"/>
                    <w:rPr>
                      <w:rFonts w:eastAsia="楷体_GB2312" w:cs="Calibri"/>
                      <w:w w:val="79"/>
                      <w:sz w:val="20"/>
                      <w:szCs w:val="20"/>
                    </w:rPr>
                  </w:pPr>
                  <w:r>
                    <w:rPr>
                      <w:rFonts w:eastAsia="楷体_GB2312" w:cs="Calibri"/>
                      <w:b/>
                      <w:w w:val="79"/>
                      <w:sz w:val="20"/>
                      <w:szCs w:val="20"/>
                    </w:rPr>
                    <w:t xml:space="preserve">Ratings Definitions (from 1 Jul 2020): </w:t>
                  </w:r>
                </w:p>
                <w:p w14:paraId="7D932D5A">
                  <w:pPr>
                    <w:pStyle w:val="44"/>
                    <w:rPr>
                      <w:rFonts w:eastAsia="楷体_GB2312" w:cs="Calibri"/>
                      <w:w w:val="79"/>
                      <w:sz w:val="20"/>
                      <w:szCs w:val="20"/>
                    </w:rPr>
                  </w:pPr>
                  <w:r>
                    <w:rPr>
                      <w:rFonts w:hint="eastAsia" w:eastAsia="楷体_GB2312" w:cs="Calibri"/>
                      <w:w w:val="79"/>
                      <w:sz w:val="20"/>
                      <w:szCs w:val="20"/>
                      <w:lang w:eastAsia="zh-CN"/>
                    </w:rPr>
                    <w:t>HuaFu</w:t>
                  </w:r>
                  <w:r>
                    <w:rPr>
                      <w:rFonts w:eastAsia="楷体_GB2312" w:cs="Calibri"/>
                      <w:w w:val="79"/>
                      <w:sz w:val="20"/>
                      <w:szCs w:val="20"/>
                    </w:rPr>
                    <w:t xml:space="preserve"> International uses a relative rating system using </w:t>
                  </w:r>
                  <w:r>
                    <w:rPr>
                      <w:rFonts w:eastAsia="楷体_GB2312" w:cs="Calibri"/>
                      <w:w w:val="79"/>
                      <w:sz w:val="20"/>
                      <w:szCs w:val="20"/>
                      <w:lang w:eastAsia="zh-HK"/>
                    </w:rPr>
                    <w:t>Outperform</w:t>
                  </w:r>
                  <w:r>
                    <w:rPr>
                      <w:rFonts w:eastAsia="楷体_GB2312" w:cs="Calibri"/>
                      <w:w w:val="79"/>
                      <w:sz w:val="20"/>
                      <w:szCs w:val="20"/>
                    </w:rPr>
                    <w:t>, Neutral</w:t>
                  </w:r>
                  <w:r>
                    <w:rPr>
                      <w:rFonts w:eastAsia="楷体_GB2312" w:cs="Calibri"/>
                      <w:w w:val="79"/>
                      <w:sz w:val="20"/>
                      <w:szCs w:val="20"/>
                      <w:lang w:eastAsia="zh-HK"/>
                    </w:rPr>
                    <w:t>,</w:t>
                  </w:r>
                  <w:r>
                    <w:rPr>
                      <w:rFonts w:eastAsia="楷体_GB2312" w:cs="Calibri"/>
                      <w:w w:val="79"/>
                      <w:sz w:val="20"/>
                      <w:szCs w:val="20"/>
                    </w:rPr>
                    <w:t xml:space="preserve"> or </w:t>
                  </w:r>
                  <w:r>
                    <w:rPr>
                      <w:rFonts w:eastAsia="楷体_GB2312" w:cs="Calibri"/>
                      <w:w w:val="79"/>
                      <w:sz w:val="20"/>
                      <w:szCs w:val="20"/>
                      <w:lang w:eastAsia="zh-HK"/>
                    </w:rPr>
                    <w:t xml:space="preserve">Underperform </w:t>
                  </w:r>
                  <w:r>
                    <w:rPr>
                      <w:rFonts w:eastAsia="楷体_GB2312" w:cs="Calibri"/>
                      <w:w w:val="79"/>
                      <w:sz w:val="20"/>
                      <w:szCs w:val="20"/>
                    </w:rPr>
                    <w:t xml:space="preserve">for recommending the stocks we cover to investors. Investors should carefully read the definitions of all ratings used in </w:t>
                  </w:r>
                  <w:r>
                    <w:rPr>
                      <w:rFonts w:hint="eastAsia" w:eastAsia="楷体_GB2312" w:cs="Calibri"/>
                      <w:w w:val="79"/>
                      <w:sz w:val="20"/>
                      <w:szCs w:val="20"/>
                      <w:lang w:eastAsia="zh-CN"/>
                    </w:rPr>
                    <w:t>HuaFu</w:t>
                  </w:r>
                  <w:r>
                    <w:rPr>
                      <w:rFonts w:eastAsia="楷体_GB2312" w:cs="Calibri"/>
                      <w:w w:val="79"/>
                      <w:sz w:val="20"/>
                      <w:szCs w:val="20"/>
                    </w:rPr>
                    <w:t xml:space="preserve"> International Research. In addition, since </w:t>
                  </w:r>
                  <w:r>
                    <w:rPr>
                      <w:rFonts w:hint="eastAsia" w:eastAsia="楷体_GB2312" w:cs="Calibri"/>
                      <w:w w:val="79"/>
                      <w:sz w:val="20"/>
                      <w:szCs w:val="20"/>
                      <w:lang w:eastAsia="zh-CN"/>
                    </w:rPr>
                    <w:t>HuaFu</w:t>
                  </w:r>
                  <w:r>
                    <w:rPr>
                      <w:rFonts w:eastAsia="楷体_GB2312" w:cs="Calibri"/>
                      <w:w w:val="79"/>
                      <w:sz w:val="20"/>
                      <w:szCs w:val="20"/>
                    </w:rPr>
                    <w:t xml:space="preserve"> International Research contains more complete information concerning the analyst's views, investors should carefully read </w:t>
                  </w:r>
                  <w:r>
                    <w:rPr>
                      <w:rFonts w:hint="eastAsia" w:eastAsia="楷体_GB2312" w:cs="Calibri"/>
                      <w:w w:val="79"/>
                      <w:sz w:val="20"/>
                      <w:szCs w:val="20"/>
                      <w:lang w:eastAsia="zh-CN"/>
                    </w:rPr>
                    <w:t xml:space="preserve">HuaFu </w:t>
                  </w:r>
                  <w:r>
                    <w:rPr>
                      <w:rFonts w:eastAsia="楷体_GB2312" w:cs="Calibri"/>
                      <w:w w:val="79"/>
                      <w:sz w:val="20"/>
                      <w:szCs w:val="20"/>
                    </w:rPr>
                    <w:t>International Research, in its entirety, and not infer the contents from the rating alone. In any case, ratings (or research) should not be used or relied upon as investment advice. An investor's decision to buy or sell a stock should depend on individual circumstances (such as the investor's existing holdings) and other considerations.</w:t>
                  </w:r>
                </w:p>
                <w:p w14:paraId="123FD7EC">
                  <w:pPr>
                    <w:pStyle w:val="44"/>
                    <w:rPr>
                      <w:rFonts w:eastAsia="楷体_GB2312" w:cs="Calibri"/>
                      <w:b/>
                      <w:w w:val="79"/>
                      <w:sz w:val="20"/>
                      <w:szCs w:val="20"/>
                    </w:rPr>
                  </w:pPr>
                  <w:r>
                    <w:rPr>
                      <w:rFonts w:eastAsia="楷体_GB2312" w:cs="Calibri"/>
                      <w:b/>
                      <w:w w:val="79"/>
                      <w:sz w:val="20"/>
                      <w:szCs w:val="20"/>
                    </w:rPr>
                    <w:t>Analyst Stock Ratings</w:t>
                  </w:r>
                </w:p>
                <w:p w14:paraId="364B46E3">
                  <w:pPr>
                    <w:pStyle w:val="44"/>
                    <w:rPr>
                      <w:rFonts w:eastAsia="楷体_GB2312" w:cs="Calibri"/>
                      <w:w w:val="79"/>
                      <w:sz w:val="20"/>
                      <w:szCs w:val="20"/>
                    </w:rPr>
                  </w:pPr>
                  <w:r>
                    <w:rPr>
                      <w:rFonts w:eastAsia="楷体_GB2312" w:cs="Calibri"/>
                      <w:b/>
                      <w:w w:val="79"/>
                      <w:sz w:val="20"/>
                      <w:szCs w:val="20"/>
                      <w:lang w:eastAsia="zh-HK"/>
                    </w:rPr>
                    <w:t>Outperform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exceed the return of its relevant broad market benchmark</w:t>
                  </w:r>
                  <w:r>
                    <w:rPr>
                      <w:rFonts w:hint="eastAsia" w:eastAsia="楷体_GB2312" w:cs="Calibri"/>
                      <w:w w:val="79"/>
                      <w:sz w:val="20"/>
                      <w:szCs w:val="20"/>
                      <w:lang w:eastAsia="zh-CN"/>
                    </w:rPr>
                    <w:t xml:space="preserve"> by over 10%</w:t>
                  </w:r>
                  <w:r>
                    <w:rPr>
                      <w:rFonts w:eastAsia="楷体_GB2312" w:cs="Calibri"/>
                      <w:w w:val="79"/>
                      <w:sz w:val="20"/>
                      <w:szCs w:val="20"/>
                    </w:rPr>
                    <w:t xml:space="preserve">, as indicated below. </w:t>
                  </w:r>
                </w:p>
                <w:p w14:paraId="00EB3741">
                  <w:pPr>
                    <w:pStyle w:val="44"/>
                    <w:rPr>
                      <w:rFonts w:eastAsia="楷体_GB2312" w:cs="Calibri"/>
                      <w:w w:val="79"/>
                      <w:sz w:val="20"/>
                      <w:szCs w:val="20"/>
                    </w:rPr>
                  </w:pPr>
                  <w:r>
                    <w:rPr>
                      <w:rFonts w:eastAsia="楷体_GB2312" w:cs="Calibri"/>
                      <w:b/>
                      <w:w w:val="79"/>
                      <w:sz w:val="20"/>
                      <w:szCs w:val="20"/>
                    </w:rPr>
                    <w:t>Neutral:</w:t>
                  </w:r>
                  <w:r>
                    <w:rPr>
                      <w:rFonts w:eastAsia="楷体_GB2312" w:cs="Calibri"/>
                      <w:w w:val="79"/>
                      <w:sz w:val="20"/>
                      <w:szCs w:val="20"/>
                    </w:rPr>
                    <w:t xml:space="preserve"> The stock’s total return over the next 12-18 months is expected to be in line with the return of its relevant broad market benchmark, as indicated below. </w:t>
                  </w:r>
                  <w:r>
                    <w:rPr>
                      <w:rFonts w:eastAsia="楷体_GB2312" w:cs="Calibri"/>
                      <w:b/>
                      <w:w w:val="79"/>
                      <w:sz w:val="20"/>
                      <w:szCs w:val="20"/>
                      <w:lang w:eastAsia="zh-HK"/>
                    </w:rPr>
                    <w:t>Underperform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be below the return of its relevant broad market benchmark</w:t>
                  </w:r>
                  <w:r>
                    <w:rPr>
                      <w:rFonts w:hint="eastAsia" w:eastAsia="楷体_GB2312" w:cs="Calibri"/>
                      <w:w w:val="79"/>
                      <w:sz w:val="20"/>
                      <w:szCs w:val="20"/>
                      <w:lang w:eastAsia="zh-CN"/>
                    </w:rPr>
                    <w:t xml:space="preserve"> by over 10%</w:t>
                  </w:r>
                  <w:r>
                    <w:rPr>
                      <w:rFonts w:eastAsia="楷体_GB2312" w:cs="Calibri"/>
                      <w:w w:val="79"/>
                      <w:sz w:val="20"/>
                      <w:szCs w:val="20"/>
                    </w:rPr>
                    <w:t>, as indicated below.</w:t>
                  </w:r>
                </w:p>
                <w:p w14:paraId="5AB36259">
                  <w:pPr>
                    <w:pStyle w:val="44"/>
                    <w:rPr>
                      <w:rFonts w:eastAsia="楷体_GB2312" w:cs="Calibri"/>
                      <w:b/>
                      <w:w w:val="79"/>
                      <w:sz w:val="20"/>
                      <w:szCs w:val="20"/>
                    </w:rPr>
                  </w:pPr>
                  <w:r>
                    <w:rPr>
                      <w:rFonts w:eastAsia="楷体_GB2312" w:cs="Calibri"/>
                      <w:b/>
                      <w:w w:val="79"/>
                      <w:sz w:val="20"/>
                      <w:szCs w:val="20"/>
                    </w:rPr>
                    <w:t xml:space="preserve">Benchmarks for each stock’s listed region are as follows: Japan </w:t>
                  </w:r>
                  <w:r>
                    <w:rPr>
                      <w:rFonts w:eastAsia="微软雅黑" w:cs="Calibri"/>
                      <w:b/>
                      <w:w w:val="79"/>
                      <w:sz w:val="20"/>
                      <w:szCs w:val="20"/>
                    </w:rPr>
                    <w:t>–</w:t>
                  </w:r>
                  <w:r>
                    <w:rPr>
                      <w:rFonts w:eastAsia="楷体_GB2312" w:cs="Calibri"/>
                      <w:b/>
                      <w:w w:val="79"/>
                      <w:sz w:val="20"/>
                      <w:szCs w:val="20"/>
                    </w:rPr>
                    <w:t xml:space="preserve"> TOPIX, Korea </w:t>
                  </w:r>
                  <w:r>
                    <w:rPr>
                      <w:rFonts w:eastAsia="微软雅黑" w:cs="Calibri"/>
                      <w:b/>
                      <w:w w:val="79"/>
                      <w:sz w:val="20"/>
                      <w:szCs w:val="20"/>
                    </w:rPr>
                    <w:t>–</w:t>
                  </w:r>
                  <w:r>
                    <w:rPr>
                      <w:rFonts w:eastAsia="楷体_GB2312" w:cs="Calibri"/>
                      <w:b/>
                      <w:w w:val="79"/>
                      <w:sz w:val="20"/>
                      <w:szCs w:val="20"/>
                    </w:rPr>
                    <w:t xml:space="preserve"> KOSPI, Taiwan </w:t>
                  </w:r>
                  <w:r>
                    <w:rPr>
                      <w:rFonts w:eastAsia="微软雅黑" w:cs="Calibri"/>
                      <w:b/>
                      <w:w w:val="79"/>
                      <w:sz w:val="20"/>
                      <w:szCs w:val="20"/>
                    </w:rPr>
                    <w:t>–</w:t>
                  </w:r>
                  <w:r>
                    <w:rPr>
                      <w:rFonts w:eastAsia="楷体_GB2312" w:cs="Calibri"/>
                      <w:b/>
                      <w:w w:val="79"/>
                      <w:sz w:val="20"/>
                      <w:szCs w:val="20"/>
                    </w:rPr>
                    <w:t xml:space="preserve"> TAIEX, India </w:t>
                  </w:r>
                  <w:r>
                    <w:rPr>
                      <w:rFonts w:eastAsia="微软雅黑" w:cs="Calibri"/>
                      <w:b/>
                      <w:w w:val="79"/>
                      <w:sz w:val="20"/>
                      <w:szCs w:val="20"/>
                    </w:rPr>
                    <w:t>–</w:t>
                  </w:r>
                  <w:r>
                    <w:rPr>
                      <w:rFonts w:eastAsia="楷体_GB2312" w:cs="Calibri"/>
                      <w:b/>
                      <w:w w:val="79"/>
                      <w:sz w:val="20"/>
                      <w:szCs w:val="20"/>
                    </w:rPr>
                    <w:t xml:space="preserve"> Nifty100, US </w:t>
                  </w:r>
                  <w:r>
                    <w:rPr>
                      <w:rFonts w:eastAsia="微软雅黑" w:cs="Calibri"/>
                      <w:b/>
                      <w:w w:val="79"/>
                      <w:sz w:val="20"/>
                      <w:szCs w:val="20"/>
                    </w:rPr>
                    <w:t>–</w:t>
                  </w:r>
                  <w:r>
                    <w:rPr>
                      <w:rFonts w:eastAsia="楷体_GB2312" w:cs="Calibri"/>
                      <w:b/>
                      <w:w w:val="79"/>
                      <w:sz w:val="20"/>
                      <w:szCs w:val="20"/>
                    </w:rPr>
                    <w:t xml:space="preserve"> SP500; for all other China-concept stocks </w:t>
                  </w:r>
                  <w:r>
                    <w:rPr>
                      <w:rFonts w:eastAsia="微软雅黑" w:cs="Calibri"/>
                      <w:b/>
                      <w:w w:val="79"/>
                      <w:sz w:val="20"/>
                      <w:szCs w:val="20"/>
                    </w:rPr>
                    <w:t>–</w:t>
                  </w:r>
                  <w:r>
                    <w:rPr>
                      <w:rFonts w:eastAsia="楷体_GB2312" w:cs="Calibri"/>
                      <w:b/>
                      <w:w w:val="79"/>
                      <w:sz w:val="20"/>
                      <w:szCs w:val="20"/>
                    </w:rPr>
                    <w:t xml:space="preserve"> MSCI China.</w:t>
                  </w:r>
                </w:p>
                <w:p w14:paraId="2ED0D0D8">
                  <w:pPr>
                    <w:pStyle w:val="44"/>
                    <w:rPr>
                      <w:rFonts w:eastAsia="楷体_GB2312" w:cs="Calibri"/>
                      <w:w w:val="70"/>
                      <w:sz w:val="20"/>
                      <w:szCs w:val="20"/>
                      <w:lang w:eastAsia="zh-CN"/>
                    </w:rPr>
                  </w:pPr>
                </w:p>
              </w:tc>
            </w:tr>
            <w:tr w14:paraId="1C27DF7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480C61E7">
                  <w:pPr>
                    <w:pStyle w:val="44"/>
                    <w:spacing w:after="60"/>
                    <w:rPr>
                      <w:rFonts w:eastAsia="楷体_GB2312" w:cs="Calibri"/>
                      <w:w w:val="70"/>
                      <w:sz w:val="20"/>
                      <w:szCs w:val="20"/>
                    </w:rPr>
                  </w:pPr>
                  <w:r>
                    <w:rPr>
                      <w:rFonts w:hint="eastAsia" w:eastAsia="楷体_GB2312" w:cs="Calibri"/>
                      <w:b/>
                      <w:w w:val="70"/>
                      <w:sz w:val="20"/>
                      <w:szCs w:val="20"/>
                      <w:lang w:eastAsia="zh-CN"/>
                    </w:rPr>
                    <w:t>华福</w:t>
                  </w:r>
                  <w:r>
                    <w:rPr>
                      <w:rFonts w:eastAsia="楷体_GB2312" w:cs="Calibri"/>
                      <w:b/>
                      <w:w w:val="70"/>
                      <w:sz w:val="20"/>
                      <w:szCs w:val="20"/>
                    </w:rPr>
                    <w:t>国际非评级研究：</w:t>
                  </w:r>
                  <w:r>
                    <w:rPr>
                      <w:rFonts w:hint="eastAsia" w:eastAsia="楷体_GB2312" w:cs="Calibri"/>
                      <w:bCs/>
                      <w:w w:val="70"/>
                      <w:sz w:val="20"/>
                      <w:szCs w:val="20"/>
                      <w:lang w:eastAsia="zh-CN"/>
                    </w:rPr>
                    <w:t>华福</w:t>
                  </w:r>
                  <w:r>
                    <w:rPr>
                      <w:rFonts w:eastAsia="楷体_GB2312" w:cs="Calibri"/>
                      <w:w w:val="70"/>
                      <w:sz w:val="20"/>
                      <w:szCs w:val="20"/>
                    </w:rPr>
                    <w:t>国际发布</w:t>
                  </w:r>
                  <w:r>
                    <w:rPr>
                      <w:rFonts w:eastAsia="楷体_GB2312" w:cs="Calibri"/>
                      <w:w w:val="70"/>
                      <w:sz w:val="20"/>
                      <w:szCs w:val="20"/>
                      <w:lang w:eastAsia="zh-CN"/>
                    </w:rPr>
                    <w:t>计</w:t>
                  </w:r>
                  <w:r>
                    <w:rPr>
                      <w:rFonts w:eastAsia="楷体_GB2312" w:cs="Calibri"/>
                      <w:w w:val="70"/>
                      <w:sz w:val="20"/>
                      <w:szCs w:val="20"/>
                    </w:rPr>
                    <w:t>量、筛选或短篇报告，并在报告中根据估值和其他指标对股票进行排名，或者基于可能的估值倍数提出建议价格。这种排名或建议价格并非为了进行股票评级、提出目标价格或进行基本面估值，而仅供参考使用。</w:t>
                  </w:r>
                </w:p>
                <w:p w14:paraId="1E14B9C8">
                  <w:pPr>
                    <w:pStyle w:val="44"/>
                    <w:rPr>
                      <w:rFonts w:eastAsia="楷体_GB2312" w:cs="Calibri"/>
                      <w:w w:val="70"/>
                      <w:sz w:val="20"/>
                      <w:szCs w:val="20"/>
                      <w:lang w:eastAsia="zh-CN"/>
                    </w:rPr>
                  </w:pPr>
                  <w:r>
                    <w:rPr>
                      <w:rFonts w:hint="eastAsia" w:eastAsia="楷体_GB2312" w:cs="Calibri"/>
                      <w:b/>
                      <w:w w:val="70"/>
                      <w:sz w:val="20"/>
                      <w:szCs w:val="20"/>
                      <w:lang w:eastAsia="zh-CN"/>
                    </w:rPr>
                    <w:t>HuaFu</w:t>
                  </w:r>
                  <w:r>
                    <w:rPr>
                      <w:rFonts w:eastAsia="楷体_GB2312" w:cs="Calibri"/>
                      <w:b/>
                      <w:w w:val="70"/>
                      <w:sz w:val="20"/>
                      <w:szCs w:val="20"/>
                    </w:rPr>
                    <w:t xml:space="preserve"> International Non-Rated Research</w:t>
                  </w:r>
                  <w:r>
                    <w:rPr>
                      <w:rFonts w:eastAsia="楷体_GB2312" w:cs="Calibri"/>
                      <w:b/>
                      <w:bCs/>
                      <w:w w:val="70"/>
                      <w:sz w:val="20"/>
                      <w:szCs w:val="20"/>
                    </w:rPr>
                    <w:t>:</w:t>
                  </w:r>
                  <w:r>
                    <w:rPr>
                      <w:rFonts w:eastAsia="楷体_GB2312" w:cs="Calibri"/>
                      <w:w w:val="70"/>
                      <w:sz w:val="20"/>
                      <w:szCs w:val="20"/>
                    </w:rPr>
                    <w:t xml:space="preserve">  </w:t>
                  </w:r>
                  <w:r>
                    <w:rPr>
                      <w:rFonts w:hint="eastAsia" w:eastAsia="楷体_GB2312" w:cs="Calibri"/>
                      <w:w w:val="70"/>
                      <w:sz w:val="20"/>
                      <w:szCs w:val="20"/>
                      <w:lang w:eastAsia="zh-CN"/>
                    </w:rPr>
                    <w:t>HuaFu</w:t>
                  </w:r>
                  <w:r>
                    <w:rPr>
                      <w:rFonts w:eastAsia="楷体_GB2312" w:cs="Calibri"/>
                      <w:w w:val="70"/>
                      <w:sz w:val="20"/>
                      <w:szCs w:val="20"/>
                    </w:rPr>
                    <w:t xml:space="preserve"> International publishes quantitative, screening or short reports which may rank stocks according to valuation and other metrics or may suggest prices based on possible valuation multiples. Such rankings or suggested prices do not purport to be stock ratings or target prices or fundamental values and are for information only.</w:t>
                  </w:r>
                </w:p>
              </w:tc>
            </w:tr>
            <w:tr w14:paraId="694E4CC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40B569DE">
                  <w:pPr>
                    <w:pStyle w:val="44"/>
                    <w:spacing w:after="60"/>
                    <w:rPr>
                      <w:rFonts w:eastAsia="楷体_GB2312" w:cs="Calibri"/>
                      <w:w w:val="70"/>
                      <w:sz w:val="20"/>
                      <w:szCs w:val="20"/>
                      <w:lang w:eastAsia="zh-CN"/>
                    </w:rPr>
                  </w:pPr>
                  <w:r>
                    <w:rPr>
                      <w:rFonts w:hint="eastAsia" w:eastAsia="楷体_GB2312" w:cs="Calibri"/>
                      <w:b/>
                      <w:w w:val="70"/>
                      <w:sz w:val="20"/>
                      <w:szCs w:val="20"/>
                      <w:lang w:eastAsia="zh-CN"/>
                    </w:rPr>
                    <w:t>华福</w:t>
                  </w:r>
                  <w:r>
                    <w:rPr>
                      <w:rFonts w:eastAsia="楷体_GB2312" w:cs="Calibri"/>
                      <w:b/>
                      <w:w w:val="70"/>
                      <w:sz w:val="20"/>
                      <w:szCs w:val="20"/>
                    </w:rPr>
                    <w:t>国际</w:t>
                  </w:r>
                  <w:r>
                    <w:rPr>
                      <w:rFonts w:eastAsia="楷体_GB2312" w:cs="Calibri"/>
                      <w:b/>
                      <w:w w:val="70"/>
                      <w:sz w:val="20"/>
                      <w:szCs w:val="20"/>
                      <w:lang w:eastAsia="zh-CN"/>
                    </w:rPr>
                    <w:t>A股覆盖</w:t>
                  </w:r>
                  <w:r>
                    <w:rPr>
                      <w:rFonts w:eastAsia="楷体_GB2312" w:cs="Calibri"/>
                      <w:b/>
                      <w:w w:val="70"/>
                      <w:sz w:val="20"/>
                      <w:szCs w:val="20"/>
                    </w:rPr>
                    <w:t>：</w:t>
                  </w:r>
                  <w:r>
                    <w:rPr>
                      <w:rFonts w:hint="eastAsia" w:eastAsia="楷体_GB2312" w:cs="Calibri"/>
                      <w:bCs/>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可能会就中国A股进行覆盖及评级。</w:t>
                  </w:r>
                  <w:r>
                    <w:rPr>
                      <w:rFonts w:hint="eastAsia" w:eastAsia="楷体_GB2312" w:cs="Calibri"/>
                      <w:w w:val="70"/>
                      <w:sz w:val="20"/>
                      <w:szCs w:val="20"/>
                      <w:lang w:eastAsia="zh-CN"/>
                    </w:rPr>
                    <w:t>华福</w:t>
                  </w:r>
                  <w:r>
                    <w:rPr>
                      <w:rFonts w:eastAsia="楷体_GB2312" w:cs="Calibri"/>
                      <w:w w:val="70"/>
                      <w:sz w:val="20"/>
                      <w:szCs w:val="20"/>
                      <w:lang w:eastAsia="zh-CN"/>
                    </w:rPr>
                    <w:t>证券，</w:t>
                  </w:r>
                  <w:r>
                    <w:rPr>
                      <w:rFonts w:hint="eastAsia" w:eastAsia="楷体_GB2312" w:cs="Calibri"/>
                      <w:w w:val="70"/>
                      <w:sz w:val="20"/>
                      <w:szCs w:val="20"/>
                      <w:lang w:eastAsia="zh-CN"/>
                    </w:rPr>
                    <w:t>华福</w:t>
                  </w:r>
                  <w:r>
                    <w:rPr>
                      <w:rFonts w:eastAsia="楷体_GB2312" w:cs="Calibri"/>
                      <w:w w:val="70"/>
                      <w:sz w:val="20"/>
                      <w:szCs w:val="20"/>
                      <w:lang w:eastAsia="zh-CN"/>
                    </w:rPr>
                    <w:t>国际于</w:t>
                  </w:r>
                  <w:r>
                    <w:rPr>
                      <w:rFonts w:hint="eastAsia" w:eastAsia="楷体_GB2312" w:cs="Calibri"/>
                      <w:w w:val="70"/>
                      <w:sz w:val="20"/>
                      <w:szCs w:val="20"/>
                      <w:lang w:eastAsia="zh-CN"/>
                    </w:rPr>
                    <w:t>福州</w:t>
                  </w:r>
                  <w:r>
                    <w:rPr>
                      <w:rFonts w:eastAsia="楷体_GB2312" w:cs="Calibri"/>
                      <w:w w:val="70"/>
                      <w:sz w:val="20"/>
                      <w:szCs w:val="20"/>
                      <w:lang w:eastAsia="zh-CN"/>
                    </w:rPr>
                    <w:t>的母公司，也会于中国发布中国A股的研究报告。但是，</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使用与</w:t>
                  </w:r>
                  <w:r>
                    <w:rPr>
                      <w:rFonts w:hint="eastAsia" w:eastAsia="楷体_GB2312" w:cs="Calibri"/>
                      <w:w w:val="70"/>
                      <w:sz w:val="20"/>
                      <w:szCs w:val="20"/>
                      <w:lang w:eastAsia="zh-CN"/>
                    </w:rPr>
                    <w:t>华福</w:t>
                  </w:r>
                  <w:r>
                    <w:rPr>
                      <w:rFonts w:eastAsia="楷体_GB2312" w:cs="Calibri"/>
                      <w:w w:val="70"/>
                      <w:sz w:val="20"/>
                      <w:szCs w:val="20"/>
                      <w:lang w:eastAsia="zh-CN"/>
                    </w:rPr>
                    <w:t>证券不同的评级系统，</w:t>
                  </w:r>
                  <w:r>
                    <w:rPr>
                      <w:rFonts w:hint="eastAsia" w:eastAsia="楷体_GB2312" w:cs="Calibri"/>
                      <w:w w:val="70"/>
                      <w:sz w:val="20"/>
                      <w:szCs w:val="20"/>
                      <w:lang w:eastAsia="zh-CN"/>
                    </w:rPr>
                    <w:t>且可能有完全独立的不同研究覆盖团队，</w:t>
                  </w:r>
                  <w:r>
                    <w:rPr>
                      <w:rFonts w:eastAsia="楷体_GB2312" w:cs="Calibri"/>
                      <w:w w:val="70"/>
                      <w:sz w:val="20"/>
                      <w:szCs w:val="20"/>
                      <w:lang w:eastAsia="zh-CN"/>
                    </w:rPr>
                    <w:t>所以</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与</w:t>
                  </w:r>
                  <w:r>
                    <w:rPr>
                      <w:rFonts w:hint="eastAsia" w:eastAsia="楷体_GB2312" w:cs="Calibri"/>
                      <w:w w:val="70"/>
                      <w:sz w:val="20"/>
                      <w:szCs w:val="20"/>
                      <w:lang w:eastAsia="zh-CN"/>
                    </w:rPr>
                    <w:t>华福</w:t>
                  </w:r>
                  <w:r>
                    <w:rPr>
                      <w:rFonts w:eastAsia="楷体_GB2312" w:cs="Calibri"/>
                      <w:w w:val="70"/>
                      <w:sz w:val="20"/>
                      <w:szCs w:val="20"/>
                      <w:lang w:eastAsia="zh-CN"/>
                    </w:rPr>
                    <w:t>证券的中国A股评级</w:t>
                  </w:r>
                  <w:r>
                    <w:rPr>
                      <w:rFonts w:hint="eastAsia" w:eastAsia="楷体_GB2312" w:cs="Calibri"/>
                      <w:w w:val="70"/>
                      <w:sz w:val="20"/>
                      <w:szCs w:val="20"/>
                      <w:lang w:eastAsia="zh-CN"/>
                    </w:rPr>
                    <w:t>、目标价乃至分析逻辑</w:t>
                  </w:r>
                  <w:r>
                    <w:rPr>
                      <w:rFonts w:eastAsia="楷体_GB2312" w:cs="Calibri"/>
                      <w:w w:val="70"/>
                      <w:sz w:val="20"/>
                      <w:szCs w:val="20"/>
                      <w:lang w:eastAsia="zh-CN"/>
                    </w:rPr>
                    <w:t>可能有所不同。</w:t>
                  </w:r>
                </w:p>
                <w:p w14:paraId="0AAB50FA">
                  <w:pPr>
                    <w:pStyle w:val="44"/>
                    <w:rPr>
                      <w:rFonts w:eastAsia="楷体_GB2312" w:cs="Calibri"/>
                      <w:w w:val="70"/>
                      <w:sz w:val="20"/>
                      <w:szCs w:val="20"/>
                    </w:rPr>
                  </w:pPr>
                  <w:r>
                    <w:rPr>
                      <w:rFonts w:hint="eastAsia" w:eastAsia="楷体_GB2312" w:cs="Calibri"/>
                      <w:b/>
                      <w:w w:val="70"/>
                      <w:sz w:val="20"/>
                      <w:szCs w:val="20"/>
                      <w:lang w:eastAsia="zh-CN"/>
                    </w:rPr>
                    <w:t>HuaFu</w:t>
                  </w:r>
                  <w:r>
                    <w:rPr>
                      <w:rFonts w:eastAsia="楷体_GB2312" w:cs="Calibri"/>
                      <w:b/>
                      <w:w w:val="70"/>
                      <w:sz w:val="20"/>
                      <w:szCs w:val="20"/>
                    </w:rPr>
                    <w:t xml:space="preserve"> International Coverage of A-Shares</w:t>
                  </w:r>
                  <w:r>
                    <w:rPr>
                      <w:rFonts w:eastAsia="楷体_GB2312" w:cs="Calibri"/>
                      <w:b/>
                      <w:bCs/>
                      <w:w w:val="70"/>
                      <w:sz w:val="20"/>
                      <w:szCs w:val="20"/>
                    </w:rPr>
                    <w:t>:</w:t>
                  </w:r>
                  <w:r>
                    <w:rPr>
                      <w:rFonts w:eastAsia="楷体_GB2312" w:cs="Calibri"/>
                      <w:w w:val="70"/>
                      <w:sz w:val="20"/>
                      <w:szCs w:val="20"/>
                    </w:rPr>
                    <w:t xml:space="preserve">  </w:t>
                  </w:r>
                  <w:r>
                    <w:rPr>
                      <w:rFonts w:hint="eastAsia" w:eastAsia="楷体_GB2312" w:cs="Calibri"/>
                      <w:w w:val="70"/>
                      <w:sz w:val="20"/>
                      <w:szCs w:val="20"/>
                      <w:lang w:eastAsia="zh-CN"/>
                    </w:rPr>
                    <w:t>HuaFu</w:t>
                  </w:r>
                  <w:r>
                    <w:rPr>
                      <w:rFonts w:eastAsia="楷体_GB2312" w:cs="Calibri"/>
                      <w:w w:val="70"/>
                      <w:sz w:val="20"/>
                      <w:szCs w:val="20"/>
                    </w:rPr>
                    <w:t xml:space="preserve"> International may cover and rate A-Shares . </w:t>
                  </w:r>
                  <w:r>
                    <w:rPr>
                      <w:rFonts w:hint="eastAsia" w:eastAsia="楷体_GB2312" w:cs="Calibri"/>
                      <w:w w:val="70"/>
                      <w:sz w:val="20"/>
                      <w:szCs w:val="20"/>
                      <w:lang w:eastAsia="zh-CN"/>
                    </w:rPr>
                    <w:t>HuaFu</w:t>
                  </w:r>
                  <w:r>
                    <w:rPr>
                      <w:rFonts w:eastAsia="楷体_GB2312" w:cs="Calibri"/>
                      <w:w w:val="70"/>
                      <w:sz w:val="20"/>
                      <w:szCs w:val="20"/>
                    </w:rPr>
                    <w:t xml:space="preserve"> Securities, the ultimate parent company of </w:t>
                  </w:r>
                  <w:r>
                    <w:rPr>
                      <w:rFonts w:hint="eastAsia" w:eastAsia="楷体_GB2312" w:cs="Calibri"/>
                      <w:w w:val="70"/>
                      <w:sz w:val="20"/>
                      <w:szCs w:val="20"/>
                      <w:lang w:eastAsia="zh-CN"/>
                    </w:rPr>
                    <w:t>HuaFu International</w:t>
                  </w:r>
                  <w:r>
                    <w:rPr>
                      <w:rFonts w:eastAsia="楷体_GB2312" w:cs="Calibri"/>
                      <w:w w:val="70"/>
                      <w:sz w:val="20"/>
                      <w:szCs w:val="20"/>
                    </w:rPr>
                    <w:t xml:space="preserve"> based in </w:t>
                  </w:r>
                  <w:r>
                    <w:rPr>
                      <w:rFonts w:hint="eastAsia" w:eastAsia="楷体_GB2312" w:cs="Calibri"/>
                      <w:w w:val="70"/>
                      <w:sz w:val="20"/>
                      <w:szCs w:val="20"/>
                      <w:lang w:eastAsia="zh-CN"/>
                    </w:rPr>
                    <w:t>FuZhou</w:t>
                  </w:r>
                  <w:r>
                    <w:rPr>
                      <w:rFonts w:eastAsia="楷体_GB2312" w:cs="Calibri"/>
                      <w:w w:val="70"/>
                      <w:sz w:val="20"/>
                      <w:szCs w:val="20"/>
                    </w:rPr>
                    <w:t>, covers and publishes research on these same A-Shares for distribution in mainland China. However, the rating system employed by H</w:t>
                  </w:r>
                  <w:r>
                    <w:rPr>
                      <w:rFonts w:hint="eastAsia" w:eastAsia="楷体_GB2312" w:cs="Calibri"/>
                      <w:w w:val="70"/>
                      <w:sz w:val="20"/>
                      <w:szCs w:val="20"/>
                      <w:lang w:eastAsia="zh-CN"/>
                    </w:rPr>
                    <w:t>uaFu International</w:t>
                  </w:r>
                  <w:r>
                    <w:rPr>
                      <w:rFonts w:eastAsia="楷体_GB2312" w:cs="Calibri"/>
                      <w:w w:val="70"/>
                      <w:sz w:val="20"/>
                      <w:szCs w:val="20"/>
                    </w:rPr>
                    <w:t xml:space="preserve"> differs from that used by </w:t>
                  </w:r>
                  <w:r>
                    <w:rPr>
                      <w:rFonts w:hint="eastAsia" w:eastAsia="楷体_GB2312" w:cs="Calibri"/>
                      <w:w w:val="70"/>
                      <w:sz w:val="20"/>
                      <w:szCs w:val="20"/>
                      <w:lang w:eastAsia="zh-CN"/>
                    </w:rPr>
                    <w:t>HuaFu Securites</w:t>
                  </w:r>
                  <w:r>
                    <w:rPr>
                      <w:rFonts w:eastAsia="楷体_GB2312" w:cs="Calibri"/>
                      <w:w w:val="70"/>
                      <w:sz w:val="20"/>
                      <w:szCs w:val="20"/>
                    </w:rPr>
                    <w:t xml:space="preserve"> and </w:t>
                  </w:r>
                  <w:r>
                    <w:rPr>
                      <w:rFonts w:hint="eastAsia" w:eastAsia="楷体_GB2312" w:cs="Calibri"/>
                      <w:w w:val="70"/>
                      <w:sz w:val="20"/>
                      <w:szCs w:val="20"/>
                      <w:lang w:eastAsia="zh-CN"/>
                    </w:rPr>
                    <w:t xml:space="preserve">even the teams covering the same A-share stocks might be totally independently different, </w:t>
                  </w:r>
                  <w:r>
                    <w:rPr>
                      <w:rFonts w:eastAsia="楷体_GB2312" w:cs="Calibri"/>
                      <w:w w:val="70"/>
                      <w:sz w:val="20"/>
                      <w:szCs w:val="20"/>
                    </w:rPr>
                    <w:t xml:space="preserve">as a result there may be a difference in </w:t>
                  </w:r>
                  <w:r>
                    <w:rPr>
                      <w:rFonts w:hint="eastAsia" w:eastAsia="楷体_GB2312" w:cs="Calibri"/>
                      <w:w w:val="70"/>
                      <w:sz w:val="20"/>
                      <w:szCs w:val="20"/>
                      <w:lang w:eastAsia="zh-CN"/>
                    </w:rPr>
                    <w:t>their coverage</w:t>
                  </w:r>
                  <w:r>
                    <w:rPr>
                      <w:rFonts w:eastAsia="楷体_GB2312" w:cs="Calibri"/>
                      <w:w w:val="70"/>
                      <w:sz w:val="20"/>
                      <w:szCs w:val="20"/>
                    </w:rPr>
                    <w:t xml:space="preserve"> ratings</w:t>
                  </w:r>
                  <w:r>
                    <w:rPr>
                      <w:rFonts w:hint="eastAsia" w:eastAsia="楷体_GB2312" w:cs="Calibri"/>
                      <w:w w:val="70"/>
                      <w:sz w:val="20"/>
                      <w:szCs w:val="20"/>
                      <w:lang w:eastAsia="zh-CN"/>
                    </w:rPr>
                    <w:t>, target prices</w:t>
                  </w:r>
                  <w:r>
                    <w:rPr>
                      <w:rFonts w:eastAsia="楷体_GB2312" w:cs="Calibri"/>
                      <w:w w:val="70"/>
                      <w:sz w:val="20"/>
                      <w:szCs w:val="20"/>
                    </w:rPr>
                    <w:t xml:space="preserve"> </w:t>
                  </w:r>
                  <w:r>
                    <w:rPr>
                      <w:rFonts w:hint="eastAsia" w:eastAsia="楷体_GB2312" w:cs="Calibri"/>
                      <w:w w:val="70"/>
                      <w:sz w:val="20"/>
                      <w:szCs w:val="20"/>
                      <w:lang w:eastAsia="zh-CN"/>
                    </w:rPr>
                    <w:t xml:space="preserve">and research logics </w:t>
                  </w:r>
                  <w:r>
                    <w:rPr>
                      <w:rFonts w:eastAsia="楷体_GB2312" w:cs="Calibri"/>
                      <w:w w:val="70"/>
                      <w:sz w:val="20"/>
                      <w:szCs w:val="20"/>
                    </w:rPr>
                    <w:t>for the same A-share stocks.</w:t>
                  </w:r>
                </w:p>
              </w:tc>
            </w:tr>
            <w:tr w14:paraId="25EE998B">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7BE54756">
                  <w:pPr>
                    <w:pStyle w:val="44"/>
                    <w:rPr>
                      <w:rFonts w:eastAsia="楷体_GB2312" w:cs="Calibri"/>
                      <w:w w:val="70"/>
                      <w:sz w:val="20"/>
                      <w:szCs w:val="20"/>
                    </w:rPr>
                  </w:pPr>
                </w:p>
              </w:tc>
            </w:tr>
            <w:tr w14:paraId="6EA8B81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4D85212B">
                  <w:pPr>
                    <w:pStyle w:val="44"/>
                    <w:spacing w:after="60"/>
                    <w:rPr>
                      <w:rFonts w:eastAsia="楷体_GB2312" w:cs="Calibri"/>
                      <w:b/>
                      <w:w w:val="70"/>
                      <w:sz w:val="20"/>
                      <w:szCs w:val="20"/>
                    </w:rPr>
                  </w:pPr>
                  <w:r>
                    <w:rPr>
                      <w:rFonts w:eastAsia="楷体_GB2312" w:cs="Calibri"/>
                      <w:b/>
                      <w:w w:val="70"/>
                      <w:sz w:val="20"/>
                      <w:szCs w:val="20"/>
                    </w:rPr>
                    <w:t>重要免责声明：</w:t>
                  </w:r>
                </w:p>
                <w:p w14:paraId="075646E4">
                  <w:pPr>
                    <w:pStyle w:val="44"/>
                    <w:spacing w:after="60"/>
                    <w:rPr>
                      <w:rFonts w:eastAsia="楷体_GB2312" w:cs="Calibri"/>
                      <w:w w:val="70"/>
                      <w:sz w:val="20"/>
                      <w:szCs w:val="20"/>
                    </w:rPr>
                  </w:pPr>
                  <w:r>
                    <w:rPr>
                      <w:rFonts w:eastAsia="楷体_GB2312" w:cs="Calibri"/>
                      <w:w w:val="70"/>
                      <w:sz w:val="20"/>
                      <w:szCs w:val="20"/>
                    </w:rPr>
                    <w:t>本报告由</w:t>
                  </w:r>
                  <w:r>
                    <w:rPr>
                      <w:rFonts w:hint="eastAsia" w:eastAsia="楷体_GB2312" w:cs="Calibri"/>
                      <w:w w:val="70"/>
                      <w:sz w:val="20"/>
                      <w:szCs w:val="20"/>
                      <w:lang w:eastAsia="zh-CN"/>
                    </w:rPr>
                    <w:t>华福</w:t>
                  </w:r>
                  <w:r>
                    <w:rPr>
                      <w:rFonts w:eastAsia="楷体_GB2312" w:cs="Calibri"/>
                      <w:w w:val="70"/>
                      <w:sz w:val="20"/>
                      <w:szCs w:val="20"/>
                    </w:rPr>
                    <w:t>国际发行，该公司</w:t>
                  </w:r>
                  <w:r>
                    <w:rPr>
                      <w:rFonts w:eastAsia="楷体_GB2312" w:cs="Calibri"/>
                      <w:w w:val="70"/>
                      <w:sz w:val="20"/>
                      <w:szCs w:val="20"/>
                      <w:lang w:eastAsia="zh-CN"/>
                    </w:rPr>
                    <w:t>是根据</w:t>
                  </w:r>
                  <w:r>
                    <w:rPr>
                      <w:rFonts w:eastAsia="楷体_GB2312" w:cs="Calibri"/>
                      <w:w w:val="70"/>
                      <w:sz w:val="20"/>
                      <w:szCs w:val="20"/>
                    </w:rPr>
                    <w:t>香港证券及期货条例（第</w:t>
                  </w:r>
                  <w:r>
                    <w:rPr>
                      <w:rFonts w:eastAsia="楷体_GB2312" w:cs="Calibri"/>
                      <w:w w:val="70"/>
                      <w:sz w:val="20"/>
                      <w:szCs w:val="20"/>
                      <w:lang w:eastAsia="zh-CN"/>
                    </w:rPr>
                    <w:t>571</w:t>
                  </w:r>
                  <w:r>
                    <w:rPr>
                      <w:rFonts w:eastAsia="楷体_GB2312" w:cs="Calibri"/>
                      <w:w w:val="70"/>
                      <w:sz w:val="20"/>
                      <w:szCs w:val="20"/>
                    </w:rPr>
                    <w:t>章）</w:t>
                  </w:r>
                  <w:r>
                    <w:rPr>
                      <w:rFonts w:eastAsia="楷体_GB2312" w:cs="Calibri"/>
                      <w:w w:val="70"/>
                      <w:sz w:val="20"/>
                      <w:szCs w:val="20"/>
                      <w:lang w:eastAsia="zh-CN"/>
                    </w:rPr>
                    <w:t>持有</w:t>
                  </w:r>
                  <w:r>
                    <w:rPr>
                      <w:rFonts w:eastAsia="楷体_GB2312" w:cs="Calibri"/>
                      <w:w w:val="70"/>
                      <w:sz w:val="20"/>
                      <w:szCs w:val="20"/>
                    </w:rPr>
                    <w:t>第</w:t>
                  </w:r>
                  <w:r>
                    <w:rPr>
                      <w:rFonts w:eastAsia="楷体_GB2312" w:cs="Calibri"/>
                      <w:w w:val="70"/>
                      <w:sz w:val="20"/>
                      <w:szCs w:val="20"/>
                      <w:lang w:eastAsia="zh-CN"/>
                    </w:rPr>
                    <w:t>4</w:t>
                  </w:r>
                  <w:r>
                    <w:rPr>
                      <w:rFonts w:eastAsia="楷体_GB2312" w:cs="Calibri"/>
                      <w:w w:val="70"/>
                      <w:sz w:val="20"/>
                      <w:szCs w:val="20"/>
                    </w:rPr>
                    <w:t>类受规管活动（就证券提供意见）的持牌法团。</w:t>
                  </w:r>
                </w:p>
                <w:p w14:paraId="13EA4B42">
                  <w:pPr>
                    <w:pStyle w:val="44"/>
                    <w:spacing w:after="60"/>
                    <w:rPr>
                      <w:rFonts w:eastAsia="楷体_GB2312" w:cs="Calibri"/>
                      <w:w w:val="70"/>
                      <w:sz w:val="20"/>
                      <w:szCs w:val="20"/>
                    </w:rPr>
                  </w:pPr>
                  <w:r>
                    <w:rPr>
                      <w:rFonts w:eastAsia="楷体_GB2312" w:cs="Calibri"/>
                      <w:w w:val="70"/>
                      <w:sz w:val="20"/>
                      <w:szCs w:val="20"/>
                    </w:rPr>
                    <w:t>本文件所载信息和观点已被编译或源自可靠来源，但</w:t>
                  </w:r>
                  <w:r>
                    <w:rPr>
                      <w:rFonts w:hint="eastAsia" w:eastAsia="楷体_GB2312" w:cs="Calibri"/>
                      <w:w w:val="70"/>
                      <w:sz w:val="20"/>
                      <w:szCs w:val="20"/>
                      <w:lang w:eastAsia="zh-CN"/>
                    </w:rPr>
                    <w:t>华福国际</w:t>
                  </w:r>
                  <w:r>
                    <w:rPr>
                      <w:rFonts w:eastAsia="楷体_GB2312" w:cs="Calibri"/>
                      <w:w w:val="70"/>
                      <w:sz w:val="20"/>
                      <w:szCs w:val="20"/>
                    </w:rPr>
                    <w:t>或任何其他属于</w:t>
                  </w:r>
                  <w:r>
                    <w:rPr>
                      <w:rFonts w:hint="eastAsia" w:eastAsia="楷体_GB2312" w:cs="Calibri"/>
                      <w:w w:val="70"/>
                      <w:sz w:val="20"/>
                      <w:szCs w:val="20"/>
                      <w:lang w:eastAsia="zh-CN"/>
                    </w:rPr>
                    <w:t>华福</w:t>
                  </w:r>
                  <w:r>
                    <w:rPr>
                      <w:rFonts w:eastAsia="楷体_GB2312" w:cs="Calibri"/>
                      <w:w w:val="70"/>
                      <w:sz w:val="20"/>
                      <w:szCs w:val="20"/>
                    </w:rPr>
                    <w:t>国际的成员对其准确性、完整性和正确性不做任何明示或暗示的声明或保证。本文件中所有观点均截至本报告日期，如有更改，恕不另行通知。本文件仅供参考使用。文件中提及的任何公司或其股票的说明并非意图展示完整的内容，本文件并非</w:t>
                  </w:r>
                  <w:r>
                    <w:rPr>
                      <w:rFonts w:eastAsia="楷体_GB2312" w:cs="Calibri"/>
                      <w:w w:val="70"/>
                      <w:sz w:val="20"/>
                      <w:szCs w:val="20"/>
                      <w:lang w:eastAsia="zh-CN"/>
                    </w:rPr>
                    <w:t>/</w:t>
                  </w:r>
                  <w:r>
                    <w:rPr>
                      <w:rFonts w:eastAsia="楷体_GB2312" w:cs="Calibri"/>
                      <w:w w:val="70"/>
                      <w:sz w:val="20"/>
                      <w:szCs w:val="20"/>
                    </w:rPr>
                    <w:t>不应被解释为对证券买卖的明示或暗示地出价或征价。在某些司法管辖区，本文件中提及的证券可能无法进行买卖。如果投资产品以投资者本国货币以外的币种进行计价，则汇率变化可能会对投资产生不利影响。过去的表现并不一定代表将来的结果。某些特定交易，包括设计金融衍生工具的，有产生重大风险的可能性，因此并不适合所有的投资者。您还应认识到本文件中的建议并非为您量身定制。分析师并未考虑到您自身的财务情况，如您的财务状况和风险偏好。因此您必须自行分析并在适用的情况下咨询自己的法律、税收、会计、金融和其他方面的专业顾问，以期在投资之前评估该项建议是否适合于您。若由于使用本文件所载的材料而产生任何直接或间接的损失，</w:t>
                  </w:r>
                  <w:r>
                    <w:rPr>
                      <w:rFonts w:hint="eastAsia" w:eastAsia="楷体_GB2312" w:cs="Calibri"/>
                      <w:w w:val="70"/>
                      <w:sz w:val="20"/>
                      <w:szCs w:val="20"/>
                      <w:lang w:eastAsia="zh-CN"/>
                    </w:rPr>
                    <w:t>华福国际</w:t>
                  </w:r>
                  <w:r>
                    <w:rPr>
                      <w:rFonts w:eastAsia="楷体_GB2312" w:cs="Calibri"/>
                      <w:w w:val="70"/>
                      <w:sz w:val="20"/>
                      <w:szCs w:val="20"/>
                    </w:rPr>
                    <w:t xml:space="preserve">及其董事、雇员或代理人对此均不承担任何责任。 </w:t>
                  </w:r>
                </w:p>
                <w:p w14:paraId="1E55DFD2">
                  <w:pPr>
                    <w:pStyle w:val="44"/>
                    <w:spacing w:after="60"/>
                    <w:rPr>
                      <w:rFonts w:eastAsia="楷体_GB2312" w:cs="Calibri"/>
                      <w:w w:val="70"/>
                      <w:sz w:val="20"/>
                      <w:szCs w:val="20"/>
                    </w:rPr>
                  </w:pPr>
                  <w:r>
                    <w:rPr>
                      <w:rFonts w:eastAsia="楷体_GB2312" w:cs="Calibri"/>
                      <w:w w:val="70"/>
                      <w:sz w:val="20"/>
                      <w:szCs w:val="20"/>
                    </w:rPr>
                    <w:t>除对本文内容承担责任的分析师除外，</w:t>
                  </w:r>
                  <w:r>
                    <w:rPr>
                      <w:rFonts w:hint="eastAsia" w:eastAsia="楷体_GB2312" w:cs="Calibri"/>
                      <w:w w:val="70"/>
                      <w:sz w:val="20"/>
                      <w:szCs w:val="20"/>
                      <w:lang w:eastAsia="zh-CN"/>
                    </w:rPr>
                    <w:t>华福国际</w:t>
                  </w:r>
                  <w:r>
                    <w:rPr>
                      <w:rFonts w:eastAsia="楷体_GB2312" w:cs="Calibri"/>
                      <w:w w:val="70"/>
                      <w:sz w:val="20"/>
                      <w:szCs w:val="20"/>
                    </w:rPr>
                    <w:t>及我们的关联公司、高级管理人员、董事和雇员，均可不时作为</w:t>
                  </w:r>
                  <w:r>
                    <w:rPr>
                      <w:rFonts w:eastAsia="楷体_GB2312" w:cs="Calibri"/>
                      <w:w w:val="70"/>
                      <w:sz w:val="20"/>
                      <w:szCs w:val="20"/>
                      <w:lang w:eastAsia="zh-CN"/>
                    </w:rPr>
                    <w:t>主事人</w:t>
                  </w:r>
                  <w:r>
                    <w:rPr>
                      <w:rFonts w:eastAsia="楷体_GB2312" w:cs="Calibri"/>
                      <w:w w:val="70"/>
                      <w:sz w:val="20"/>
                      <w:szCs w:val="20"/>
                    </w:rPr>
                    <w:t>就本文件所述的任何证券或衍生品持有长仓或短仓以及进行买卖。</w:t>
                  </w:r>
                  <w:r>
                    <w:rPr>
                      <w:rFonts w:hint="eastAsia" w:eastAsia="楷体_GB2312" w:cs="Calibri"/>
                      <w:w w:val="70"/>
                      <w:sz w:val="20"/>
                      <w:szCs w:val="20"/>
                      <w:lang w:eastAsia="zh-CN"/>
                    </w:rPr>
                    <w:t>华福国际</w:t>
                  </w:r>
                  <w:r>
                    <w:rPr>
                      <w:rFonts w:eastAsia="楷体_GB2312" w:cs="Calibri"/>
                      <w:w w:val="70"/>
                      <w:sz w:val="20"/>
                      <w:szCs w:val="20"/>
                    </w:rPr>
                    <w:t>的销售员、交易员和其他专业人士均可向</w:t>
                  </w:r>
                  <w:r>
                    <w:rPr>
                      <w:rFonts w:hint="eastAsia" w:eastAsia="楷体_GB2312" w:cs="Calibri"/>
                      <w:w w:val="70"/>
                      <w:sz w:val="20"/>
                      <w:szCs w:val="20"/>
                      <w:lang w:eastAsia="zh-CN"/>
                    </w:rPr>
                    <w:t>华福国际</w:t>
                  </w:r>
                  <w:r>
                    <w:rPr>
                      <w:rFonts w:eastAsia="楷体_GB2312" w:cs="Calibri"/>
                      <w:w w:val="70"/>
                      <w:sz w:val="20"/>
                      <w:szCs w:val="20"/>
                    </w:rPr>
                    <w:t>的相关客户和公司提供与本文件所述意见相反的口头或书面市场评论意见或交易策略</w:t>
                  </w:r>
                  <w:r>
                    <w:rPr>
                      <w:rFonts w:hint="eastAsia" w:eastAsia="楷体_GB2312" w:cs="Calibri"/>
                      <w:w w:val="70"/>
                      <w:sz w:val="20"/>
                      <w:szCs w:val="20"/>
                      <w:lang w:eastAsia="zh-CN"/>
                    </w:rPr>
                    <w:t>。华福国际</w:t>
                  </w:r>
                  <w:r>
                    <w:rPr>
                      <w:rFonts w:eastAsia="楷体_GB2312" w:cs="Calibri"/>
                      <w:w w:val="70"/>
                      <w:sz w:val="20"/>
                      <w:szCs w:val="20"/>
                    </w:rPr>
                    <w:t>可做出与本文件所述建议或意见不一致的投资决策。但</w:t>
                  </w:r>
                  <w:r>
                    <w:rPr>
                      <w:rFonts w:hint="eastAsia" w:eastAsia="楷体_GB2312" w:cs="Calibri"/>
                      <w:w w:val="70"/>
                      <w:sz w:val="20"/>
                      <w:szCs w:val="20"/>
                      <w:lang w:eastAsia="zh-CN"/>
                    </w:rPr>
                    <w:t>华福国际</w:t>
                  </w:r>
                  <w:r>
                    <w:rPr>
                      <w:rFonts w:eastAsia="楷体_GB2312" w:cs="Calibri"/>
                      <w:w w:val="70"/>
                      <w:sz w:val="20"/>
                      <w:szCs w:val="20"/>
                    </w:rPr>
                    <w:t>没有义务来确保本文件的收件人了解到该等交易</w:t>
                  </w:r>
                  <w:r>
                    <w:rPr>
                      <w:rFonts w:eastAsia="楷体_GB2312" w:cs="Calibri"/>
                      <w:w w:val="70"/>
                      <w:sz w:val="20"/>
                      <w:szCs w:val="20"/>
                      <w:lang w:eastAsia="zh-CN"/>
                    </w:rPr>
                    <w:t>决定、</w:t>
                  </w:r>
                  <w:r>
                    <w:rPr>
                      <w:rFonts w:eastAsia="楷体_GB2312" w:cs="Calibri"/>
                      <w:w w:val="70"/>
                      <w:sz w:val="20"/>
                      <w:szCs w:val="20"/>
                    </w:rPr>
                    <w:t>思路或建议。</w:t>
                  </w:r>
                </w:p>
                <w:p w14:paraId="5F7841A5">
                  <w:pPr>
                    <w:pStyle w:val="44"/>
                    <w:spacing w:after="60"/>
                    <w:rPr>
                      <w:rFonts w:eastAsia="楷体_GB2312" w:cs="Calibri"/>
                      <w:snapToGrid/>
                      <w:w w:val="70"/>
                      <w:sz w:val="20"/>
                      <w:szCs w:val="20"/>
                    </w:rPr>
                  </w:pPr>
                  <w:r>
                    <w:rPr>
                      <w:rFonts w:eastAsia="楷体_GB2312" w:cs="Calibri"/>
                      <w:snapToGrid/>
                      <w:w w:val="70"/>
                      <w:sz w:val="20"/>
                      <w:szCs w:val="20"/>
                    </w:rPr>
                    <w:t>请访问</w:t>
                  </w:r>
                  <w:r>
                    <w:rPr>
                      <w:rFonts w:hint="eastAsia" w:eastAsia="楷体_GB2312" w:cs="Calibri"/>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网站</w:t>
                  </w:r>
                  <w:r>
                    <w:rPr>
                      <w:rFonts w:eastAsia="楷体_GB2312" w:cs="Calibri"/>
                      <w:snapToGrid/>
                      <w:w w:val="70"/>
                      <w:sz w:val="20"/>
                      <w:szCs w:val="20"/>
                      <w:lang w:eastAsia="zh-CN"/>
                    </w:rPr>
                    <w:t xml:space="preserve"> </w:t>
                  </w:r>
                  <w:r>
                    <w:fldChar w:fldCharType="begin"/>
                  </w:r>
                  <w:r>
                    <w:instrText xml:space="preserve"> HYPERLINK "http://www.hfisec.com.hk" </w:instrText>
                  </w:r>
                  <w:r>
                    <w:fldChar w:fldCharType="separate"/>
                  </w:r>
                  <w:r>
                    <w:rPr>
                      <w:rStyle w:val="32"/>
                      <w:rFonts w:eastAsia="楷体_GB2312" w:cs="Calibri"/>
                      <w:snapToGrid/>
                      <w:w w:val="70"/>
                      <w:sz w:val="20"/>
                      <w:szCs w:val="20"/>
                      <w:lang w:eastAsia="zh-CN"/>
                    </w:rPr>
                    <w:t>www.hfisec.com.hk</w:t>
                  </w:r>
                  <w:r>
                    <w:rPr>
                      <w:rStyle w:val="32"/>
                      <w:rFonts w:eastAsia="楷体_GB2312" w:cs="Calibri"/>
                      <w:snapToGrid/>
                      <w:w w:val="70"/>
                      <w:sz w:val="20"/>
                      <w:szCs w:val="20"/>
                      <w:lang w:eastAsia="zh-CN"/>
                    </w:rPr>
                    <w:fldChar w:fldCharType="end"/>
                  </w:r>
                  <w:r>
                    <w:rPr>
                      <w:rFonts w:eastAsia="楷体_GB2312" w:cs="Calibri"/>
                      <w:snapToGrid/>
                      <w:w w:val="70"/>
                      <w:sz w:val="20"/>
                      <w:szCs w:val="20"/>
                      <w:lang w:eastAsia="zh-CN"/>
                    </w:rPr>
                    <w:t xml:space="preserve"> </w:t>
                  </w:r>
                  <w:r>
                    <w:rPr>
                      <w:rFonts w:eastAsia="楷体_GB2312" w:cs="Calibri"/>
                      <w:snapToGrid/>
                      <w:w w:val="70"/>
                      <w:sz w:val="20"/>
                      <w:szCs w:val="20"/>
                    </w:rPr>
                    <w:t>，查阅更多有关</w:t>
                  </w:r>
                  <w:r>
                    <w:rPr>
                      <w:rFonts w:hint="eastAsia" w:eastAsia="楷体_GB2312" w:cs="Calibri"/>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为预防和避免利益冲突设立的组织和行政安排的内容信息。</w:t>
                  </w:r>
                </w:p>
                <w:p w14:paraId="237B4649">
                  <w:pPr>
                    <w:pStyle w:val="44"/>
                    <w:spacing w:after="40"/>
                    <w:rPr>
                      <w:rFonts w:eastAsia="楷体_GB2312" w:cs="Calibri"/>
                      <w:b/>
                      <w:bCs/>
                      <w:w w:val="70"/>
                      <w:sz w:val="20"/>
                      <w:szCs w:val="20"/>
                    </w:rPr>
                  </w:pPr>
                  <w:r>
                    <w:rPr>
                      <w:rFonts w:eastAsia="楷体_GB2312" w:cs="Calibri"/>
                      <w:b/>
                      <w:bCs/>
                      <w:w w:val="70"/>
                      <w:sz w:val="20"/>
                      <w:szCs w:val="20"/>
                    </w:rPr>
                    <w:t>IMPORTANT DISCLAIMER</w:t>
                  </w:r>
                </w:p>
                <w:p w14:paraId="4B443536">
                  <w:pPr>
                    <w:pStyle w:val="44"/>
                    <w:spacing w:after="40"/>
                    <w:rPr>
                      <w:rFonts w:eastAsia="楷体_GB2312" w:cs="Calibri"/>
                      <w:w w:val="70"/>
                      <w:sz w:val="20"/>
                      <w:szCs w:val="20"/>
                    </w:rPr>
                  </w:pPr>
                  <w:r>
                    <w:rPr>
                      <w:rFonts w:eastAsia="楷体_GB2312" w:cs="Calibri"/>
                      <w:w w:val="70"/>
                      <w:sz w:val="20"/>
                      <w:szCs w:val="20"/>
                    </w:rPr>
                    <w:t xml:space="preserve">The research report is issued by </w:t>
                  </w:r>
                  <w:r>
                    <w:rPr>
                      <w:rFonts w:hint="eastAsia" w:eastAsia="楷体_GB2312" w:cs="Calibri"/>
                      <w:w w:val="70"/>
                      <w:sz w:val="20"/>
                      <w:szCs w:val="20"/>
                      <w:lang w:eastAsia="zh-CN"/>
                    </w:rPr>
                    <w:t>HuaFu</w:t>
                  </w:r>
                  <w:r>
                    <w:rPr>
                      <w:rFonts w:eastAsia="楷体_GB2312" w:cs="Calibri"/>
                      <w:w w:val="70"/>
                      <w:sz w:val="20"/>
                      <w:szCs w:val="20"/>
                    </w:rPr>
                    <w:t xml:space="preserve"> International</w:t>
                  </w:r>
                  <w:r>
                    <w:rPr>
                      <w:rFonts w:hint="eastAsia" w:eastAsia="楷体_GB2312" w:cs="Calibri"/>
                      <w:w w:val="70"/>
                      <w:sz w:val="20"/>
                      <w:szCs w:val="20"/>
                      <w:lang w:eastAsia="zh-CN"/>
                    </w:rPr>
                    <w:t xml:space="preserve">, </w:t>
                  </w:r>
                  <w:r>
                    <w:rPr>
                      <w:rFonts w:eastAsia="楷体_GB2312" w:cs="Calibri"/>
                      <w:w w:val="70"/>
                      <w:sz w:val="20"/>
                      <w:szCs w:val="20"/>
                    </w:rPr>
                    <w:t>a licensed corporation to carry on Type 4 regulated activity (advising on securities) for the purpose of the Securities and Futures Ordinance (Cap. 571)</w:t>
                  </w:r>
                  <w:r>
                    <w:rPr>
                      <w:rFonts w:eastAsia="楷体_GB2312" w:cs="Calibri"/>
                      <w:w w:val="70"/>
                      <w:sz w:val="20"/>
                      <w:szCs w:val="20"/>
                      <w:lang w:eastAsia="zh-HK"/>
                    </w:rPr>
                    <w:t xml:space="preserve"> of Hong Kong</w:t>
                  </w:r>
                  <w:r>
                    <w:rPr>
                      <w:rFonts w:eastAsia="楷体_GB2312" w:cs="Calibri"/>
                      <w:w w:val="70"/>
                      <w:sz w:val="20"/>
                      <w:szCs w:val="20"/>
                    </w:rPr>
                    <w:t>.</w:t>
                  </w:r>
                </w:p>
                <w:p w14:paraId="12BA3887">
                  <w:pPr>
                    <w:pStyle w:val="44"/>
                    <w:spacing w:after="40"/>
                    <w:rPr>
                      <w:rFonts w:eastAsia="楷体_GB2312" w:cs="Calibri"/>
                      <w:w w:val="70"/>
                      <w:sz w:val="20"/>
                      <w:szCs w:val="20"/>
                    </w:rPr>
                  </w:pPr>
                  <w:r>
                    <w:rPr>
                      <w:rFonts w:eastAsia="楷体_GB2312" w:cs="Calibri"/>
                      <w:w w:val="70"/>
                      <w:sz w:val="20"/>
                      <w:szCs w:val="20"/>
                    </w:rPr>
                    <w:t xml:space="preserve">The information and opinions contained in this research report have been compiled or arrived at from sources believed to be reliable and in good faith but no representation or warranty, express or implied, is made by </w:t>
                  </w:r>
                  <w:r>
                    <w:rPr>
                      <w:rFonts w:hint="eastAsia" w:eastAsia="楷体_GB2312" w:cs="Calibri"/>
                      <w:w w:val="70"/>
                      <w:sz w:val="20"/>
                      <w:szCs w:val="20"/>
                      <w:lang w:eastAsia="zh-CN"/>
                    </w:rPr>
                    <w:t>HuaFu International</w:t>
                  </w:r>
                  <w:r>
                    <w:rPr>
                      <w:rFonts w:eastAsia="楷体_GB2312" w:cs="Calibri"/>
                      <w:w w:val="70"/>
                      <w:sz w:val="20"/>
                      <w:szCs w:val="20"/>
                    </w:rPr>
                    <w:t xml:space="preserve"> or any other </w:t>
                  </w:r>
                  <w:r>
                    <w:rPr>
                      <w:rFonts w:hint="eastAsia" w:eastAsia="楷体_GB2312" w:cs="Calibri"/>
                      <w:w w:val="70"/>
                      <w:sz w:val="20"/>
                      <w:szCs w:val="20"/>
                      <w:lang w:eastAsia="zh-CN"/>
                    </w:rPr>
                    <w:t xml:space="preserve">related </w:t>
                  </w:r>
                  <w:r>
                    <w:rPr>
                      <w:rFonts w:eastAsia="楷体_GB2312" w:cs="Calibri"/>
                      <w:w w:val="70"/>
                      <w:sz w:val="20"/>
                      <w:szCs w:val="20"/>
                    </w:rPr>
                    <w:t>members</w:t>
                  </w:r>
                  <w:r>
                    <w:rPr>
                      <w:rFonts w:hint="eastAsia" w:eastAsia="楷体_GB2312" w:cs="Calibri"/>
                      <w:w w:val="70"/>
                      <w:sz w:val="20"/>
                      <w:szCs w:val="20"/>
                      <w:lang w:eastAsia="zh-CN"/>
                    </w:rPr>
                    <w:t xml:space="preserve"> </w:t>
                  </w:r>
                  <w:r>
                    <w:rPr>
                      <w:rFonts w:eastAsia="楷体_GB2312" w:cs="Calibri"/>
                      <w:w w:val="70"/>
                      <w:sz w:val="20"/>
                      <w:szCs w:val="20"/>
                    </w:rPr>
                    <w:t xml:space="preserve">from which this research report may be received, as to their accuracy, completeness or correctness. All opinions expressed herein are as of the date of this research report and are subject to change without notice. This research report is for information purpose only. Descriptions of any companies or their securities mentioned herein are not intended to be complete and this research report is not, and should not be construed expressly or impliedly as, an offer to buy or sell securities. The securities referred to in this research report may not be eligible for purchase or sale in some jurisdictions. If an investment product is denominated in a currency other than an investor's home currency, a change in exchange rates may adversely affect the investment. Past performance is not necessarily indicative of future results. Certain transactions, including those involving derivatives, give rise to substantial risk and are not suitable for all investors. You should also bear in mind that recommendations in this research report are not tailor-made for you. The analyst has not taken into account your unique financial circumstances, such as your financial situation and risk appetite. You must, therefore, analyze and should, where applicable, consult your own legal, tax, accounting, financial and other professional advisers to evaluate whether the recommendations suits you before investment. Neither </w:t>
                  </w:r>
                  <w:r>
                    <w:rPr>
                      <w:rFonts w:hint="eastAsia" w:eastAsia="楷体_GB2312" w:cs="Calibri"/>
                      <w:w w:val="70"/>
                      <w:sz w:val="20"/>
                      <w:szCs w:val="20"/>
                      <w:lang w:eastAsia="zh-CN"/>
                    </w:rPr>
                    <w:t>HuaFu International</w:t>
                  </w:r>
                  <w:r>
                    <w:rPr>
                      <w:rFonts w:eastAsia="楷体_GB2312" w:cs="Calibri"/>
                      <w:w w:val="70"/>
                      <w:sz w:val="20"/>
                      <w:szCs w:val="20"/>
                    </w:rPr>
                    <w:t xml:space="preserve"> nor any of its directors, employees or agents accepts any liability whatsoever for any direct or consequential loss arising from any use of the materials contained in this research report. </w:t>
                  </w:r>
                </w:p>
                <w:p w14:paraId="0D1759B4">
                  <w:pPr>
                    <w:pStyle w:val="44"/>
                    <w:spacing w:after="40"/>
                    <w:rPr>
                      <w:rFonts w:eastAsia="楷体_GB2312" w:cs="Calibri"/>
                      <w:w w:val="70"/>
                      <w:sz w:val="20"/>
                      <w:szCs w:val="20"/>
                    </w:rPr>
                  </w:pPr>
                  <w:r>
                    <w:rPr>
                      <w:rFonts w:hint="eastAsia" w:eastAsia="楷体_GB2312" w:cs="Calibri"/>
                      <w:w w:val="70"/>
                      <w:sz w:val="20"/>
                      <w:szCs w:val="20"/>
                      <w:lang w:eastAsia="zh-CN"/>
                    </w:rPr>
                    <w:t>HuaFu International</w:t>
                  </w:r>
                  <w:r>
                    <w:rPr>
                      <w:rFonts w:eastAsia="楷体_GB2312" w:cs="Calibri"/>
                      <w:w w:val="70"/>
                      <w:sz w:val="20"/>
                      <w:szCs w:val="20"/>
                    </w:rPr>
                    <w:t xml:space="preserve"> and </w:t>
                  </w:r>
                  <w:r>
                    <w:rPr>
                      <w:rFonts w:hint="eastAsia" w:eastAsia="楷体_GB2312" w:cs="Calibri"/>
                      <w:w w:val="70"/>
                      <w:sz w:val="20"/>
                      <w:szCs w:val="20"/>
                      <w:lang w:eastAsia="zh-CN"/>
                    </w:rPr>
                    <w:t>its</w:t>
                  </w:r>
                  <w:r>
                    <w:rPr>
                      <w:rFonts w:eastAsia="楷体_GB2312" w:cs="Calibri"/>
                      <w:w w:val="70"/>
                      <w:sz w:val="20"/>
                      <w:szCs w:val="20"/>
                    </w:rPr>
                    <w:t xml:space="preserve"> affiliates, officers, directors, and employees, excluding the analysts responsible for the content of this document, will from time to time have long or short positions in, act as principal in, and buy or sell, the securities or derivatives, if any, referred to in this research report. Sales, traders, and other professionals of </w:t>
                  </w:r>
                  <w:r>
                    <w:rPr>
                      <w:rFonts w:hint="eastAsia" w:eastAsia="楷体_GB2312" w:cs="Calibri"/>
                      <w:w w:val="70"/>
                      <w:sz w:val="20"/>
                      <w:szCs w:val="20"/>
                      <w:lang w:eastAsia="zh-CN"/>
                    </w:rPr>
                    <w:t xml:space="preserve">HuaFu International </w:t>
                  </w:r>
                  <w:r>
                    <w:rPr>
                      <w:rFonts w:eastAsia="楷体_GB2312" w:cs="Calibri"/>
                      <w:w w:val="70"/>
                      <w:sz w:val="20"/>
                      <w:szCs w:val="20"/>
                    </w:rPr>
                    <w:t xml:space="preserve">may provide oral or written market commentary or trading strategies to the relevant clients and the companies within </w:t>
                  </w:r>
                  <w:r>
                    <w:rPr>
                      <w:rFonts w:hint="eastAsia" w:eastAsia="楷体_GB2312" w:cs="Calibri"/>
                      <w:w w:val="70"/>
                      <w:sz w:val="20"/>
                      <w:szCs w:val="20"/>
                      <w:lang w:eastAsia="zh-CN"/>
                    </w:rPr>
                    <w:t>HuaFu International</w:t>
                  </w:r>
                  <w:r>
                    <w:rPr>
                      <w:rFonts w:eastAsia="楷体_GB2312" w:cs="Calibri"/>
                      <w:w w:val="70"/>
                      <w:sz w:val="20"/>
                      <w:szCs w:val="20"/>
                    </w:rPr>
                    <w:t xml:space="preserve"> that reflect opinions that are contrary to the opinions expressed in this research report. </w:t>
                  </w:r>
                  <w:r>
                    <w:rPr>
                      <w:rFonts w:hint="eastAsia" w:eastAsia="楷体_GB2312" w:cs="Calibri"/>
                      <w:w w:val="70"/>
                      <w:sz w:val="20"/>
                      <w:szCs w:val="20"/>
                      <w:lang w:eastAsia="zh-CN"/>
                    </w:rPr>
                    <w:t>HuaFu Internatioal</w:t>
                  </w:r>
                  <w:r>
                    <w:rPr>
                      <w:rFonts w:eastAsia="楷体_GB2312" w:cs="Calibri"/>
                      <w:w w:val="70"/>
                      <w:sz w:val="20"/>
                      <w:szCs w:val="20"/>
                    </w:rPr>
                    <w:t xml:space="preserve"> may make investment decisions that are inconsistent with the recommendations or views expressed in this research report. </w:t>
                  </w:r>
                  <w:r>
                    <w:rPr>
                      <w:rFonts w:hint="eastAsia" w:eastAsia="楷体_GB2312" w:cs="Calibri"/>
                      <w:w w:val="70"/>
                      <w:sz w:val="20"/>
                      <w:szCs w:val="20"/>
                      <w:lang w:eastAsia="zh-CN"/>
                    </w:rPr>
                    <w:t xml:space="preserve">HuaFu International </w:t>
                  </w:r>
                  <w:r>
                    <w:rPr>
                      <w:rFonts w:eastAsia="楷体_GB2312" w:cs="Calibri"/>
                      <w:w w:val="70"/>
                      <w:sz w:val="20"/>
                      <w:szCs w:val="20"/>
                    </w:rPr>
                    <w:t>is under no obligation to ensure that such other trading decisions, ideas or recommendations are brought to the attention of any recipient of this research report.</w:t>
                  </w:r>
                </w:p>
                <w:p w14:paraId="53D90CE1">
                  <w:pPr>
                    <w:pStyle w:val="44"/>
                    <w:spacing w:after="40"/>
                    <w:rPr>
                      <w:rFonts w:eastAsia="楷体_GB2312" w:cs="Calibri"/>
                      <w:bCs/>
                      <w:w w:val="70"/>
                      <w:sz w:val="20"/>
                      <w:szCs w:val="20"/>
                    </w:rPr>
                  </w:pPr>
                  <w:r>
                    <w:rPr>
                      <w:rFonts w:eastAsia="楷体_GB2312" w:cs="Calibri"/>
                      <w:bCs/>
                      <w:w w:val="70"/>
                      <w:sz w:val="20"/>
                      <w:szCs w:val="20"/>
                    </w:rPr>
                    <w:t xml:space="preserve">Please refer to </w:t>
                  </w:r>
                  <w:r>
                    <w:rPr>
                      <w:rFonts w:hint="eastAsia" w:eastAsia="楷体_GB2312" w:cs="Calibri"/>
                      <w:bCs/>
                      <w:w w:val="70"/>
                      <w:sz w:val="20"/>
                      <w:szCs w:val="20"/>
                      <w:lang w:eastAsia="zh-CN"/>
                    </w:rPr>
                    <w:t>HuaFu International</w:t>
                  </w:r>
                  <w:r>
                    <w:rPr>
                      <w:rFonts w:eastAsia="楷体_GB2312" w:cs="Calibri"/>
                      <w:bCs/>
                      <w:w w:val="70"/>
                      <w:sz w:val="20"/>
                      <w:szCs w:val="20"/>
                      <w:lang w:eastAsia="zh-CN"/>
                    </w:rPr>
                    <w:t>’</w:t>
                  </w:r>
                  <w:r>
                    <w:rPr>
                      <w:rFonts w:hint="eastAsia" w:eastAsia="楷体_GB2312" w:cs="Calibri"/>
                      <w:bCs/>
                      <w:w w:val="70"/>
                      <w:sz w:val="20"/>
                      <w:szCs w:val="20"/>
                      <w:lang w:eastAsia="zh-CN"/>
                    </w:rPr>
                    <w:t xml:space="preserve">s </w:t>
                  </w:r>
                  <w:r>
                    <w:rPr>
                      <w:rFonts w:eastAsia="楷体_GB2312" w:cs="Calibri"/>
                      <w:bCs/>
                      <w:w w:val="70"/>
                      <w:sz w:val="20"/>
                      <w:szCs w:val="20"/>
                    </w:rPr>
                    <w:t xml:space="preserve">website </w:t>
                  </w:r>
                  <w:r>
                    <w:fldChar w:fldCharType="begin"/>
                  </w:r>
                  <w:r>
                    <w:instrText xml:space="preserve"> HYPERLINK "http://www.hfisec.com.hk" </w:instrText>
                  </w:r>
                  <w:r>
                    <w:fldChar w:fldCharType="separate"/>
                  </w:r>
                  <w:r>
                    <w:rPr>
                      <w:rStyle w:val="32"/>
                      <w:rFonts w:eastAsia="楷体_GB2312" w:cs="Calibri"/>
                      <w:bCs/>
                      <w:w w:val="70"/>
                      <w:sz w:val="20"/>
                      <w:szCs w:val="20"/>
                    </w:rPr>
                    <w:t>www.hfisec.com.hk</w:t>
                  </w:r>
                  <w:r>
                    <w:rPr>
                      <w:rStyle w:val="32"/>
                      <w:rFonts w:eastAsia="楷体_GB2312" w:cs="Calibri"/>
                      <w:bCs/>
                      <w:w w:val="70"/>
                      <w:sz w:val="20"/>
                      <w:szCs w:val="20"/>
                    </w:rPr>
                    <w:fldChar w:fldCharType="end"/>
                  </w:r>
                  <w:r>
                    <w:rPr>
                      <w:rFonts w:eastAsia="楷体_GB2312" w:cs="Calibri"/>
                      <w:w w:val="70"/>
                      <w:sz w:val="20"/>
                      <w:szCs w:val="20"/>
                    </w:rPr>
                    <w:t xml:space="preserve"> </w:t>
                  </w:r>
                  <w:r>
                    <w:rPr>
                      <w:rFonts w:eastAsia="楷体_GB2312" w:cs="Calibri"/>
                      <w:bCs/>
                      <w:w w:val="70"/>
                      <w:sz w:val="20"/>
                      <w:szCs w:val="20"/>
                    </w:rPr>
                    <w:t xml:space="preserve">for further </w:t>
                  </w:r>
                  <w:r>
                    <w:rPr>
                      <w:rFonts w:eastAsia="楷体_GB2312" w:cs="Calibri"/>
                      <w:w w:val="70"/>
                      <w:sz w:val="20"/>
                      <w:szCs w:val="20"/>
                    </w:rPr>
                    <w:t>information</w:t>
                  </w:r>
                  <w:r>
                    <w:rPr>
                      <w:rFonts w:eastAsia="楷体_GB2312" w:cs="Calibri"/>
                      <w:bCs/>
                      <w:w w:val="70"/>
                      <w:sz w:val="20"/>
                      <w:szCs w:val="20"/>
                    </w:rPr>
                    <w:t xml:space="preserve"> on </w:t>
                  </w:r>
                  <w:r>
                    <w:rPr>
                      <w:rFonts w:hint="eastAsia" w:eastAsia="楷体_GB2312" w:cs="Calibri"/>
                      <w:bCs/>
                      <w:w w:val="70"/>
                      <w:sz w:val="20"/>
                      <w:szCs w:val="20"/>
                      <w:lang w:eastAsia="zh-CN"/>
                    </w:rPr>
                    <w:t>HuaFu International</w:t>
                  </w:r>
                  <w:r>
                    <w:rPr>
                      <w:rFonts w:eastAsia="楷体_GB2312" w:cs="Calibri"/>
                      <w:bCs/>
                      <w:w w:val="70"/>
                      <w:sz w:val="20"/>
                      <w:szCs w:val="20"/>
                      <w:lang w:eastAsia="zh-CN"/>
                    </w:rPr>
                    <w:t>’</w:t>
                  </w:r>
                  <w:r>
                    <w:rPr>
                      <w:rFonts w:hint="eastAsia" w:eastAsia="楷体_GB2312" w:cs="Calibri"/>
                      <w:bCs/>
                      <w:w w:val="70"/>
                      <w:sz w:val="20"/>
                      <w:szCs w:val="20"/>
                      <w:lang w:eastAsia="zh-CN"/>
                    </w:rPr>
                    <w:t xml:space="preserve">s </w:t>
                  </w:r>
                  <w:r>
                    <w:rPr>
                      <w:rFonts w:eastAsia="楷体_GB2312" w:cs="Calibri"/>
                      <w:bCs/>
                      <w:w w:val="70"/>
                      <w:sz w:val="20"/>
                      <w:szCs w:val="20"/>
                    </w:rPr>
                    <w:t>organizational and administrative arrangements set up for the prevention and avoidance of conflicts of interest with respect to Research.</w:t>
                  </w:r>
                </w:p>
                <w:p w14:paraId="48D0004F">
                  <w:pPr>
                    <w:pStyle w:val="44"/>
                    <w:spacing w:after="60"/>
                    <w:rPr>
                      <w:rFonts w:eastAsia="楷体_GB2312" w:cs="Calibri"/>
                      <w:b/>
                      <w:w w:val="70"/>
                      <w:sz w:val="20"/>
                      <w:szCs w:val="20"/>
                    </w:rPr>
                  </w:pPr>
                </w:p>
              </w:tc>
            </w:tr>
            <w:tr w14:paraId="08CBA4F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59ABC2BE">
                  <w:pPr>
                    <w:pStyle w:val="44"/>
                    <w:spacing w:after="60"/>
                    <w:rPr>
                      <w:rFonts w:eastAsia="楷体_GB2312" w:cs="Calibri"/>
                      <w:b/>
                      <w:snapToGrid/>
                      <w:w w:val="70"/>
                      <w:sz w:val="20"/>
                      <w:szCs w:val="20"/>
                    </w:rPr>
                  </w:pPr>
                  <w:r>
                    <w:rPr>
                      <w:rFonts w:eastAsia="楷体_GB2312" w:cs="Calibri"/>
                      <w:b/>
                      <w:snapToGrid/>
                      <w:w w:val="70"/>
                      <w:sz w:val="20"/>
                      <w:szCs w:val="20"/>
                    </w:rPr>
                    <w:t>分发和地区通知：</w:t>
                  </w:r>
                </w:p>
                <w:p w14:paraId="2D5AD242">
                  <w:pPr>
                    <w:pStyle w:val="44"/>
                    <w:spacing w:after="60"/>
                    <w:rPr>
                      <w:rFonts w:eastAsia="楷体_GB2312" w:cs="Calibri"/>
                      <w:snapToGrid/>
                      <w:w w:val="70"/>
                      <w:sz w:val="20"/>
                      <w:szCs w:val="20"/>
                    </w:rPr>
                  </w:pPr>
                  <w:r>
                    <w:rPr>
                      <w:rFonts w:eastAsia="楷体_GB2312" w:cs="Calibri"/>
                      <w:snapToGrid/>
                      <w:w w:val="70"/>
                      <w:sz w:val="20"/>
                      <w:szCs w:val="20"/>
                    </w:rPr>
                    <w:t>除非下文另有规定，否则任何希望讨论本报告或者就本项研究中讨论的任何证券进行任何交易的收件人均应联系其所在国家或地区的</w:t>
                  </w:r>
                  <w:r>
                    <w:rPr>
                      <w:rFonts w:hint="eastAsia" w:eastAsia="楷体_GB2312" w:cs="Calibri"/>
                      <w:snapToGrid/>
                      <w:w w:val="70"/>
                      <w:sz w:val="20"/>
                      <w:szCs w:val="20"/>
                      <w:lang w:eastAsia="zh-CN"/>
                    </w:rPr>
                    <w:t>华福</w:t>
                  </w:r>
                  <w:r>
                    <w:rPr>
                      <w:rFonts w:eastAsia="楷体_GB2312" w:cs="Calibri"/>
                      <w:snapToGrid/>
                      <w:w w:val="70"/>
                      <w:sz w:val="20"/>
                      <w:szCs w:val="20"/>
                    </w:rPr>
                    <w:t xml:space="preserve">国际销售人员。  </w:t>
                  </w:r>
                </w:p>
                <w:p w14:paraId="104102A6">
                  <w:pPr>
                    <w:pStyle w:val="44"/>
                    <w:spacing w:after="60"/>
                    <w:rPr>
                      <w:rFonts w:eastAsia="楷体_GB2312" w:cs="Calibri"/>
                      <w:snapToGrid/>
                      <w:w w:val="70"/>
                      <w:sz w:val="20"/>
                      <w:szCs w:val="20"/>
                    </w:rPr>
                  </w:pPr>
                  <w:r>
                    <w:rPr>
                      <w:rFonts w:eastAsia="楷体_GB2312" w:cs="Calibri"/>
                      <w:b/>
                      <w:snapToGrid/>
                      <w:w w:val="70"/>
                      <w:sz w:val="20"/>
                      <w:szCs w:val="20"/>
                    </w:rPr>
                    <w:t>香港投资者的通知事项：</w:t>
                  </w:r>
                  <w:r>
                    <w:rPr>
                      <w:rFonts w:hint="eastAsia" w:eastAsia="楷体_GB2312" w:cs="Calibri"/>
                      <w:bCs/>
                      <w:snapToGrid/>
                      <w:w w:val="70"/>
                      <w:sz w:val="20"/>
                      <w:szCs w:val="20"/>
                      <w:lang w:eastAsia="zh-CN"/>
                    </w:rPr>
                    <w:t>华福</w:t>
                  </w:r>
                  <w:r>
                    <w:rPr>
                      <w:rFonts w:eastAsia="楷体_GB2312" w:cs="Calibri"/>
                      <w:snapToGrid/>
                      <w:w w:val="70"/>
                      <w:sz w:val="20"/>
                      <w:szCs w:val="20"/>
                    </w:rPr>
                    <w:t>国际负责分发该研究报告，</w:t>
                  </w:r>
                  <w:r>
                    <w:rPr>
                      <w:rFonts w:hint="eastAsia" w:eastAsia="楷体_GB2312" w:cs="Calibri"/>
                      <w:snapToGrid/>
                      <w:w w:val="70"/>
                      <w:sz w:val="20"/>
                      <w:szCs w:val="20"/>
                      <w:lang w:eastAsia="zh-CN"/>
                    </w:rPr>
                    <w:t>华福国际</w:t>
                  </w:r>
                  <w:r>
                    <w:rPr>
                      <w:rFonts w:eastAsia="楷体_GB2312" w:cs="Calibri"/>
                      <w:snapToGrid/>
                      <w:w w:val="70"/>
                      <w:sz w:val="20"/>
                      <w:szCs w:val="20"/>
                      <w:lang w:eastAsia="zh-CN"/>
                    </w:rPr>
                    <w:t>是</w:t>
                  </w:r>
                  <w:r>
                    <w:rPr>
                      <w:rFonts w:eastAsia="楷体_GB2312" w:cs="Calibri"/>
                      <w:snapToGrid/>
                      <w:w w:val="70"/>
                      <w:sz w:val="20"/>
                      <w:szCs w:val="20"/>
                    </w:rPr>
                    <w:t>在香港有权实施第</w:t>
                  </w:r>
                  <w:r>
                    <w:rPr>
                      <w:rFonts w:eastAsia="楷体_GB2312" w:cs="Calibri"/>
                      <w:snapToGrid/>
                      <w:w w:val="70"/>
                      <w:sz w:val="20"/>
                      <w:szCs w:val="20"/>
                      <w:lang w:eastAsia="zh-CN"/>
                    </w:rPr>
                    <w:t>1</w:t>
                  </w:r>
                  <w:r>
                    <w:rPr>
                      <w:rFonts w:eastAsia="楷体_GB2312" w:cs="Calibri"/>
                      <w:snapToGrid/>
                      <w:w w:val="70"/>
                      <w:sz w:val="20"/>
                      <w:szCs w:val="20"/>
                    </w:rPr>
                    <w:t>类受规管活动（从事证券交易）的持牌公司。该研究报告并不构成《证券及期货条例》</w:t>
                  </w:r>
                  <w:r>
                    <w:rPr>
                      <w:rFonts w:eastAsia="楷体_GB2312" w:cs="Calibri"/>
                      <w:w w:val="70"/>
                      <w:sz w:val="20"/>
                      <w:szCs w:val="20"/>
                    </w:rPr>
                    <w:t>（</w:t>
                  </w:r>
                  <w:r>
                    <w:rPr>
                      <w:rFonts w:eastAsia="楷体_GB2312" w:cs="Calibri"/>
                      <w:snapToGrid/>
                      <w:w w:val="70"/>
                      <w:sz w:val="20"/>
                      <w:szCs w:val="20"/>
                    </w:rPr>
                    <w:t>香港法例第</w:t>
                  </w:r>
                  <w:r>
                    <w:rPr>
                      <w:rFonts w:eastAsia="楷体_GB2312" w:cs="Calibri"/>
                      <w:snapToGrid/>
                      <w:w w:val="70"/>
                      <w:sz w:val="20"/>
                      <w:szCs w:val="20"/>
                      <w:lang w:eastAsia="zh-CN"/>
                    </w:rPr>
                    <w:t>571</w:t>
                  </w:r>
                  <w:r>
                    <w:rPr>
                      <w:rFonts w:eastAsia="楷体_GB2312" w:cs="Calibri"/>
                      <w:snapToGrid/>
                      <w:w w:val="70"/>
                      <w:sz w:val="20"/>
                      <w:szCs w:val="20"/>
                    </w:rPr>
                    <w:t>章</w:t>
                  </w:r>
                  <w:r>
                    <w:rPr>
                      <w:rFonts w:eastAsia="楷体_GB2312" w:cs="Calibri"/>
                      <w:w w:val="70"/>
                      <w:sz w:val="20"/>
                      <w:szCs w:val="20"/>
                    </w:rPr>
                    <w:t>）（</w:t>
                  </w:r>
                  <w:r>
                    <w:rPr>
                      <w:rFonts w:eastAsia="楷体_GB2312" w:cs="Calibri"/>
                      <w:snapToGrid/>
                      <w:w w:val="70"/>
                      <w:sz w:val="20"/>
                      <w:szCs w:val="20"/>
                    </w:rPr>
                    <w:t>以下简称“</w:t>
                  </w:r>
                  <w:r>
                    <w:rPr>
                      <w:rFonts w:eastAsia="楷体_GB2312" w:cs="Calibri"/>
                      <w:snapToGrid/>
                      <w:w w:val="70"/>
                      <w:sz w:val="20"/>
                      <w:szCs w:val="20"/>
                      <w:lang w:eastAsia="zh-CN"/>
                    </w:rPr>
                    <w:t>SFO”</w:t>
                  </w:r>
                  <w:r>
                    <w:rPr>
                      <w:rFonts w:eastAsia="楷体_GB2312" w:cs="Calibri"/>
                      <w:w w:val="70"/>
                      <w:sz w:val="20"/>
                      <w:szCs w:val="20"/>
                    </w:rPr>
                    <w:t>）</w:t>
                  </w:r>
                  <w:r>
                    <w:rPr>
                      <w:rFonts w:eastAsia="楷体_GB2312" w:cs="Calibri"/>
                      <w:snapToGrid/>
                      <w:w w:val="70"/>
                      <w:sz w:val="20"/>
                      <w:szCs w:val="20"/>
                    </w:rPr>
                    <w:t>所界定的要约邀请，证券要约或公众要约。本研究报告仅提供给</w:t>
                  </w:r>
                  <w:r>
                    <w:rPr>
                      <w:rFonts w:eastAsia="楷体_GB2312" w:cs="Calibri"/>
                      <w:snapToGrid/>
                      <w:w w:val="70"/>
                      <w:sz w:val="20"/>
                      <w:szCs w:val="20"/>
                      <w:lang w:eastAsia="zh-CN"/>
                    </w:rPr>
                    <w:t>SFO</w:t>
                  </w:r>
                  <w:r>
                    <w:rPr>
                      <w:rFonts w:eastAsia="楷体_GB2312" w:cs="Calibri"/>
                      <w:snapToGrid/>
                      <w:w w:val="70"/>
                      <w:sz w:val="20"/>
                      <w:szCs w:val="20"/>
                    </w:rPr>
                    <w:t>所界定的“专业投资者”。本研究报告未经过证券及期货事务监察委员会的审查。您不应仅根据本研究报告中所载的信息做出投资决定。本研究报告的收件人就研究报告中产生或与之相关的任何事宜请联系</w:t>
                  </w:r>
                  <w:r>
                    <w:rPr>
                      <w:rFonts w:hint="eastAsia" w:eastAsia="楷体_GB2312" w:cs="Calibri"/>
                      <w:snapToGrid/>
                      <w:w w:val="70"/>
                      <w:sz w:val="20"/>
                      <w:szCs w:val="20"/>
                      <w:lang w:eastAsia="zh-CN"/>
                    </w:rPr>
                    <w:t>华福国际</w:t>
                  </w:r>
                  <w:r>
                    <w:rPr>
                      <w:rFonts w:eastAsia="楷体_GB2312" w:cs="Calibri"/>
                      <w:snapToGrid/>
                      <w:w w:val="70"/>
                      <w:sz w:val="20"/>
                      <w:szCs w:val="20"/>
                    </w:rPr>
                    <w:t>销售人员。</w:t>
                  </w:r>
                </w:p>
                <w:p w14:paraId="290F5786">
                  <w:pPr>
                    <w:pStyle w:val="44"/>
                    <w:spacing w:after="40"/>
                    <w:rPr>
                      <w:rFonts w:eastAsia="楷体_GB2312" w:cs="Calibri"/>
                      <w:b/>
                      <w:bCs/>
                      <w:w w:val="70"/>
                      <w:sz w:val="20"/>
                      <w:szCs w:val="20"/>
                    </w:rPr>
                  </w:pPr>
                  <w:r>
                    <w:rPr>
                      <w:rFonts w:eastAsia="楷体_GB2312" w:cs="Calibri"/>
                      <w:b/>
                      <w:bCs/>
                      <w:w w:val="70"/>
                      <w:sz w:val="20"/>
                      <w:szCs w:val="20"/>
                    </w:rPr>
                    <w:t>DISTRIBUTION AND REGIONAL NOTICES</w:t>
                  </w:r>
                </w:p>
                <w:p w14:paraId="4C9D7284">
                  <w:pPr>
                    <w:pStyle w:val="44"/>
                    <w:spacing w:after="40"/>
                    <w:rPr>
                      <w:rFonts w:eastAsia="楷体_GB2312" w:cs="Calibri"/>
                      <w:w w:val="70"/>
                      <w:sz w:val="20"/>
                      <w:szCs w:val="20"/>
                    </w:rPr>
                  </w:pPr>
                  <w:r>
                    <w:rPr>
                      <w:rFonts w:eastAsia="楷体_GB2312" w:cs="Calibri"/>
                      <w:w w:val="70"/>
                      <w:sz w:val="20"/>
                      <w:szCs w:val="20"/>
                    </w:rPr>
                    <w:t xml:space="preserve">Except as otherwise indicated below, any Recipient wishing to discuss this research report or effect any transaction in any security discussed in </w:t>
                  </w:r>
                  <w:r>
                    <w:rPr>
                      <w:rFonts w:hint="eastAsia" w:eastAsia="楷体_GB2312" w:cs="Calibri"/>
                      <w:w w:val="70"/>
                      <w:sz w:val="20"/>
                      <w:szCs w:val="20"/>
                      <w:lang w:eastAsia="zh-CN"/>
                    </w:rPr>
                    <w:t>HuaFu International</w:t>
                  </w:r>
                  <w:r>
                    <w:rPr>
                      <w:rFonts w:eastAsia="楷体_GB2312" w:cs="Calibri"/>
                      <w:w w:val="70"/>
                      <w:sz w:val="20"/>
                      <w:szCs w:val="20"/>
                    </w:rPr>
                    <w:t xml:space="preserve">’s research should contact the </w:t>
                  </w:r>
                  <w:r>
                    <w:rPr>
                      <w:rFonts w:hint="eastAsia" w:eastAsia="楷体_GB2312" w:cs="Calibri"/>
                      <w:w w:val="70"/>
                      <w:sz w:val="20"/>
                      <w:szCs w:val="20"/>
                      <w:lang w:eastAsia="zh-CN"/>
                    </w:rPr>
                    <w:t xml:space="preserve">HuaFu </w:t>
                  </w:r>
                  <w:r>
                    <w:rPr>
                      <w:rFonts w:eastAsia="楷体_GB2312" w:cs="Calibri"/>
                      <w:w w:val="70"/>
                      <w:sz w:val="20"/>
                      <w:szCs w:val="20"/>
                    </w:rPr>
                    <w:t xml:space="preserve">International salesperson in their own country or region.  </w:t>
                  </w:r>
                </w:p>
                <w:p w14:paraId="4F3F0CB1">
                  <w:pPr>
                    <w:pStyle w:val="44"/>
                    <w:spacing w:after="40"/>
                    <w:rPr>
                      <w:rFonts w:eastAsia="楷体_GB2312" w:cs="Calibri"/>
                      <w:w w:val="70"/>
                      <w:sz w:val="20"/>
                      <w:szCs w:val="20"/>
                    </w:rPr>
                  </w:pPr>
                  <w:r>
                    <w:rPr>
                      <w:rFonts w:eastAsia="楷体_GB2312" w:cs="Calibri"/>
                      <w:b/>
                      <w:bCs/>
                      <w:w w:val="70"/>
                      <w:sz w:val="20"/>
                      <w:szCs w:val="20"/>
                    </w:rPr>
                    <w:t xml:space="preserve">Notice to Hong Kong investors: </w:t>
                  </w:r>
                  <w:r>
                    <w:rPr>
                      <w:rFonts w:eastAsia="楷体_GB2312" w:cs="Calibri"/>
                      <w:w w:val="70"/>
                      <w:sz w:val="20"/>
                      <w:szCs w:val="20"/>
                    </w:rPr>
                    <w:t xml:space="preserve">The research report is distributed by </w:t>
                  </w:r>
                  <w:r>
                    <w:rPr>
                      <w:rFonts w:hint="eastAsia" w:eastAsia="楷体_GB2312" w:cs="Calibri"/>
                      <w:w w:val="70"/>
                      <w:sz w:val="20"/>
                      <w:szCs w:val="20"/>
                      <w:lang w:eastAsia="zh-CN"/>
                    </w:rPr>
                    <w:t>HuaFu</w:t>
                  </w:r>
                  <w:r>
                    <w:rPr>
                      <w:rFonts w:eastAsia="楷体_GB2312" w:cs="Calibri"/>
                      <w:w w:val="70"/>
                      <w:sz w:val="20"/>
                      <w:szCs w:val="20"/>
                    </w:rPr>
                    <w:t xml:space="preserve"> International, which is a licensed corporation to carry on Type 1 regulated activity (dealing in securities) in Hong Kong. This research report does not constitute a solicitation or an offer of securities or an invitation to the public within the meaning of the SFO. This research report is only to be circulated to "Professional Investors" as defined in the SFO. This research report has not been reviewed by the Securities and Futures Commission. You should not make investment decisions solely on the basis of the information contained in this research report. Recipients of this research report are to contact </w:t>
                  </w:r>
                  <w:r>
                    <w:rPr>
                      <w:rFonts w:hint="eastAsia" w:eastAsia="楷体_GB2312" w:cs="Calibri"/>
                      <w:w w:val="70"/>
                      <w:sz w:val="20"/>
                      <w:szCs w:val="20"/>
                      <w:lang w:eastAsia="zh-CN"/>
                    </w:rPr>
                    <w:t>HuaFu International</w:t>
                  </w:r>
                  <w:r>
                    <w:rPr>
                      <w:rFonts w:eastAsia="楷体_GB2312" w:cs="Calibri"/>
                      <w:w w:val="70"/>
                      <w:sz w:val="20"/>
                      <w:szCs w:val="20"/>
                    </w:rPr>
                    <w:t xml:space="preserve"> salespersons in respect of any matters arising from, or in connection with, the research report.</w:t>
                  </w:r>
                </w:p>
                <w:p w14:paraId="40D6BADE">
                  <w:pPr>
                    <w:pStyle w:val="44"/>
                    <w:spacing w:after="60"/>
                    <w:rPr>
                      <w:rFonts w:eastAsia="楷体_GB2312" w:cs="Calibri"/>
                      <w:b/>
                      <w:w w:val="70"/>
                      <w:sz w:val="20"/>
                      <w:szCs w:val="20"/>
                    </w:rPr>
                  </w:pPr>
                </w:p>
              </w:tc>
            </w:tr>
            <w:tr w14:paraId="78749E6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0783D100">
                  <w:pPr>
                    <w:pStyle w:val="44"/>
                    <w:spacing w:after="60"/>
                    <w:rPr>
                      <w:rFonts w:eastAsia="楷体_GB2312" w:cs="Calibri"/>
                      <w:w w:val="70"/>
                      <w:sz w:val="20"/>
                      <w:szCs w:val="20"/>
                    </w:rPr>
                  </w:pPr>
                  <w:r>
                    <w:rPr>
                      <w:rFonts w:eastAsia="楷体_GB2312" w:cs="Calibri"/>
                      <w:b/>
                      <w:w w:val="70"/>
                      <w:sz w:val="20"/>
                      <w:szCs w:val="20"/>
                    </w:rPr>
                    <w:t>中华人民共和国的通知事项：</w:t>
                  </w:r>
                  <w:r>
                    <w:rPr>
                      <w:rFonts w:eastAsia="楷体_GB2312" w:cs="Calibri"/>
                      <w:w w:val="70"/>
                      <w:sz w:val="20"/>
                      <w:szCs w:val="20"/>
                    </w:rPr>
                    <w:t>在中华人民共和国</w:t>
                  </w:r>
                  <w:r>
                    <w:rPr>
                      <w:rFonts w:eastAsia="楷体_GB2312" w:cs="Calibri"/>
                      <w:snapToGrid/>
                      <w:w w:val="70"/>
                      <w:sz w:val="20"/>
                      <w:szCs w:val="20"/>
                    </w:rPr>
                    <w:t>（</w:t>
                  </w:r>
                  <w:r>
                    <w:rPr>
                      <w:rFonts w:eastAsia="楷体_GB2312" w:cs="Calibri"/>
                      <w:w w:val="70"/>
                      <w:sz w:val="20"/>
                      <w:szCs w:val="20"/>
                    </w:rPr>
                    <w:t>下称“中国”，就本报告目的而言，不包括香港特别行政区、澳门特别行政区和台湾）只有根据适用的中国法律法规而收到该材料的人员方可使用该材料。并且根据相关法律法规，该材料中的信息并不构成“在中国从事生产、经营活动”。本文件在中国并不构成相关证券的公共发售或认购。无论根据法律规定或其他任何规定，在取得中国政府所有的批准或许可之前，任何法人或自然人均不得直接或间接地购买本材料中的任何证券或任何实益权益。接收本文件的人员须遵守上述限制性规定。</w:t>
                  </w:r>
                </w:p>
                <w:p w14:paraId="66F5B4DB">
                  <w:pPr>
                    <w:pStyle w:val="44"/>
                    <w:spacing w:after="60"/>
                    <w:rPr>
                      <w:rFonts w:eastAsia="楷体_GB2312" w:cs="Calibri"/>
                      <w:w w:val="70"/>
                      <w:sz w:val="20"/>
                      <w:szCs w:val="20"/>
                    </w:rPr>
                  </w:pPr>
                  <w:r>
                    <w:rPr>
                      <w:rFonts w:eastAsia="楷体_GB2312" w:cs="Calibri"/>
                      <w:w w:val="70"/>
                      <w:sz w:val="20"/>
                      <w:szCs w:val="20"/>
                    </w:rPr>
                    <w:t>本项研究仅供收件人使用，未经</w:t>
                  </w:r>
                  <w:r>
                    <w:rPr>
                      <w:rFonts w:hint="eastAsia" w:eastAsia="楷体_GB2312" w:cs="Calibri"/>
                      <w:w w:val="70"/>
                      <w:sz w:val="20"/>
                      <w:szCs w:val="20"/>
                      <w:lang w:eastAsia="zh-CN"/>
                    </w:rPr>
                    <w:t>华福</w:t>
                  </w:r>
                  <w:r>
                    <w:rPr>
                      <w:rFonts w:eastAsia="楷体_GB2312" w:cs="Calibri"/>
                      <w:w w:val="70"/>
                      <w:sz w:val="20"/>
                      <w:szCs w:val="20"/>
                    </w:rPr>
                    <w:t>国际的书面同意不得予以复制和再次分发。</w:t>
                  </w:r>
                </w:p>
                <w:p w14:paraId="7B2816D0">
                  <w:pPr>
                    <w:pStyle w:val="44"/>
                    <w:rPr>
                      <w:rFonts w:eastAsia="楷体_GB2312" w:cs="Calibri"/>
                      <w:w w:val="70"/>
                      <w:sz w:val="20"/>
                      <w:szCs w:val="20"/>
                    </w:rPr>
                  </w:pPr>
                  <w:r>
                    <w:rPr>
                      <w:rFonts w:eastAsia="楷体_GB2312" w:cs="Calibri"/>
                      <w:w w:val="70"/>
                      <w:sz w:val="20"/>
                      <w:szCs w:val="20"/>
                    </w:rPr>
                    <w:t>版权所有：</w:t>
                  </w:r>
                  <w:r>
                    <w:rPr>
                      <w:rFonts w:hint="eastAsia" w:eastAsia="楷体_GB2312" w:cs="Calibri"/>
                      <w:w w:val="70"/>
                      <w:sz w:val="20"/>
                      <w:szCs w:val="20"/>
                      <w:lang w:eastAsia="zh-CN"/>
                    </w:rPr>
                    <w:t>华福</w:t>
                  </w:r>
                  <w:r>
                    <w:rPr>
                      <w:rFonts w:eastAsia="楷体_GB2312" w:cs="Calibri"/>
                      <w:w w:val="70"/>
                      <w:sz w:val="20"/>
                      <w:szCs w:val="20"/>
                    </w:rPr>
                    <w:t>国际</w:t>
                  </w:r>
                  <w:r>
                    <w:rPr>
                      <w:rFonts w:hint="eastAsia" w:eastAsia="楷体_GB2312" w:cs="Calibri"/>
                      <w:w w:val="70"/>
                      <w:sz w:val="20"/>
                      <w:szCs w:val="20"/>
                      <w:lang w:eastAsia="zh-CN"/>
                    </w:rPr>
                    <w:t>2025</w:t>
                  </w:r>
                  <w:r>
                    <w:rPr>
                      <w:rFonts w:eastAsia="楷体_GB2312" w:cs="Calibri"/>
                      <w:w w:val="70"/>
                      <w:sz w:val="20"/>
                      <w:szCs w:val="20"/>
                    </w:rPr>
                    <w:t>年。保留所有权利。</w:t>
                  </w:r>
                </w:p>
                <w:p w14:paraId="4C0020EC">
                  <w:pPr>
                    <w:pStyle w:val="44"/>
                    <w:spacing w:after="120"/>
                    <w:rPr>
                      <w:rFonts w:eastAsia="楷体_GB2312" w:cs="Calibri"/>
                      <w:w w:val="70"/>
                      <w:sz w:val="20"/>
                      <w:szCs w:val="20"/>
                    </w:rPr>
                  </w:pPr>
                  <w:r>
                    <w:rPr>
                      <w:rFonts w:eastAsia="楷体_GB2312" w:cs="Calibri"/>
                      <w:b/>
                      <w:w w:val="70"/>
                      <w:sz w:val="20"/>
                      <w:szCs w:val="20"/>
                    </w:rPr>
                    <w:t>People’s Republic of China (PRC):</w:t>
                  </w:r>
                  <w:r>
                    <w:rPr>
                      <w:rFonts w:eastAsia="楷体_GB2312" w:cs="Calibri"/>
                      <w:w w:val="70"/>
                      <w:sz w:val="20"/>
                      <w:szCs w:val="20"/>
                    </w:rPr>
                    <w:t xml:space="preserve"> In the PRC, the research report is directed for the sole use of those who receive the research report in accordance with the applicable PRC laws and regulations. Further, the information on the research report does not constitute "production and business activities in the PRC" under relevant PRC laws. This research report does not constitute a public offer of the security, whether by sale or subscription, in the PRC. Further, no legal or natural persons of the PRC may directly or indirectly purchase any of the security or any beneficial interest therein without obtaining all prior PRC government approvals or licenses that are required, whether statutorily or otherwise. Persons who come into possession of this research are required to observe these restrictions.</w:t>
                  </w:r>
                </w:p>
                <w:p w14:paraId="3BFBE536">
                  <w:pPr>
                    <w:pStyle w:val="44"/>
                    <w:spacing w:after="120"/>
                    <w:rPr>
                      <w:rFonts w:eastAsia="楷体_GB2312" w:cs="Calibri"/>
                      <w:w w:val="70"/>
                      <w:sz w:val="20"/>
                      <w:szCs w:val="20"/>
                    </w:rPr>
                  </w:pPr>
                  <w:r>
                    <w:rPr>
                      <w:rFonts w:eastAsia="楷体_GB2312" w:cs="Calibri"/>
                      <w:w w:val="70"/>
                      <w:sz w:val="20"/>
                      <w:szCs w:val="20"/>
                    </w:rPr>
                    <w:t xml:space="preserve">This research report is intended for the recipients only and may not be reproduced or redistributed without the written consent of an authorized signatory of </w:t>
                  </w:r>
                  <w:r>
                    <w:rPr>
                      <w:rFonts w:hint="eastAsia" w:eastAsia="楷体_GB2312" w:cs="Calibri"/>
                      <w:w w:val="70"/>
                      <w:sz w:val="20"/>
                      <w:szCs w:val="20"/>
                      <w:lang w:eastAsia="zh-CN"/>
                    </w:rPr>
                    <w:t>HuaFu International</w:t>
                  </w:r>
                  <w:r>
                    <w:rPr>
                      <w:rFonts w:eastAsia="楷体_GB2312" w:cs="Calibri"/>
                      <w:w w:val="70"/>
                      <w:sz w:val="20"/>
                      <w:szCs w:val="20"/>
                    </w:rPr>
                    <w:t>.</w:t>
                  </w:r>
                </w:p>
                <w:p w14:paraId="49951C89">
                  <w:pPr>
                    <w:pStyle w:val="44"/>
                    <w:spacing w:after="60"/>
                    <w:rPr>
                      <w:rFonts w:eastAsia="楷体_GB2312" w:cs="Calibri"/>
                      <w:b/>
                      <w:w w:val="70"/>
                      <w:sz w:val="20"/>
                      <w:szCs w:val="20"/>
                    </w:rPr>
                  </w:pPr>
                  <w:r>
                    <w:rPr>
                      <w:rFonts w:eastAsia="楷体_GB2312" w:cs="Calibri"/>
                      <w:w w:val="70"/>
                      <w:sz w:val="20"/>
                      <w:szCs w:val="20"/>
                    </w:rPr>
                    <w:t xml:space="preserve">Copyright: </w:t>
                  </w:r>
                  <w:r>
                    <w:rPr>
                      <w:rFonts w:hint="eastAsia" w:eastAsia="楷体_GB2312" w:cs="Calibri"/>
                      <w:w w:val="70"/>
                      <w:sz w:val="20"/>
                      <w:szCs w:val="20"/>
                      <w:lang w:eastAsia="zh-CN"/>
                    </w:rPr>
                    <w:t>HuaFu</w:t>
                  </w:r>
                  <w:r>
                    <w:rPr>
                      <w:rFonts w:eastAsia="楷体_GB2312" w:cs="Calibri"/>
                      <w:w w:val="70"/>
                      <w:sz w:val="20"/>
                      <w:szCs w:val="20"/>
                    </w:rPr>
                    <w:t xml:space="preserve"> International </w:t>
                  </w:r>
                  <w:r>
                    <w:rPr>
                      <w:rFonts w:hint="eastAsia" w:eastAsia="楷体_GB2312" w:cs="Calibri"/>
                      <w:w w:val="70"/>
                      <w:sz w:val="20"/>
                      <w:szCs w:val="20"/>
                      <w:lang w:eastAsia="zh-CN"/>
                    </w:rPr>
                    <w:t>2025</w:t>
                  </w:r>
                  <w:r>
                    <w:rPr>
                      <w:rFonts w:eastAsia="楷体_GB2312" w:cs="Calibri"/>
                      <w:w w:val="70"/>
                      <w:sz w:val="20"/>
                      <w:szCs w:val="20"/>
                    </w:rPr>
                    <w:t>. All rights reserved</w:t>
                  </w:r>
                </w:p>
              </w:tc>
            </w:tr>
            <w:tr w14:paraId="26E4900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2CED4E60">
                  <w:pPr>
                    <w:pStyle w:val="44"/>
                    <w:spacing w:after="60"/>
                    <w:rPr>
                      <w:rFonts w:eastAsia="楷体_GB2312" w:cs="Calibri"/>
                      <w:b/>
                      <w:w w:val="70"/>
                      <w:sz w:val="20"/>
                      <w:szCs w:val="20"/>
                    </w:rPr>
                  </w:pPr>
                </w:p>
              </w:tc>
            </w:tr>
            <w:tr w14:paraId="273EF57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nil"/>
                  </w:tcBorders>
                </w:tcPr>
                <w:p w14:paraId="2975CCCF">
                  <w:pPr>
                    <w:pStyle w:val="44"/>
                    <w:spacing w:after="60"/>
                    <w:rPr>
                      <w:rFonts w:eastAsia="楷体_GB2312" w:cs="Calibri"/>
                      <w:b/>
                      <w:w w:val="70"/>
                      <w:sz w:val="20"/>
                      <w:szCs w:val="20"/>
                      <w:lang w:eastAsia="zh-CN"/>
                    </w:rPr>
                  </w:pPr>
                </w:p>
              </w:tc>
            </w:tr>
          </w:tbl>
          <w:p w14:paraId="35F91341">
            <w:pPr>
              <w:pStyle w:val="81"/>
              <w:rPr>
                <w:rFonts w:hint="default" w:ascii="Calibri" w:hAnsi="Calibri" w:eastAsia="楷体_GB2312" w:cs="Calibri"/>
                <w:sz w:val="16"/>
              </w:rPr>
            </w:pPr>
          </w:p>
          <w:p w14:paraId="012A7504">
            <w:pPr>
              <w:rPr>
                <w:rFonts w:hint="default" w:ascii="Calibri" w:hAnsi="Calibri" w:eastAsia="楷体_GB2312" w:cs="Calibri"/>
                <w:lang w:val="en-US"/>
              </w:rPr>
            </w:pPr>
          </w:p>
        </w:tc>
      </w:tr>
      <w:tr w14:paraId="5D719BC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848" w:hRule="atLeast"/>
        </w:trPr>
        <w:tc>
          <w:tcPr>
            <w:tcW w:w="11252" w:type="dxa"/>
          </w:tcPr>
          <w:p w14:paraId="7D60ABAC">
            <w:pPr>
              <w:pStyle w:val="44"/>
              <w:spacing w:line="100" w:lineRule="exact"/>
              <w:rPr>
                <w:rFonts w:hint="default" w:ascii="Calibri" w:hAnsi="Calibri" w:eastAsia="楷体_GB2312" w:cs="Calibri"/>
                <w:b/>
                <w:bCs/>
                <w:w w:val="70"/>
                <w:sz w:val="22"/>
                <w:szCs w:val="22"/>
              </w:rPr>
            </w:pPr>
          </w:p>
          <w:tbl>
            <w:tblPr>
              <w:tblStyle w:val="27"/>
              <w:tblW w:w="0" w:type="auto"/>
              <w:tblCaption w:val="[Table_RecommendationChart]"/>
              <w:tblDescription w:val="表格隐藏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96"/>
            </w:tblGrid>
            <w:tr w14:paraId="1DF1C0E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199" w:type="dxa"/>
                </w:tcPr>
                <w:p w14:paraId="4ADA61B2">
                  <w:pPr>
                    <w:pStyle w:val="44"/>
                    <w:rPr>
                      <w:rFonts w:hint="default" w:ascii="Calibri" w:hAnsi="Calibri" w:eastAsia="楷体_GB2312" w:cs="Calibri"/>
                      <w:b/>
                      <w:color w:val="FFFFFF" w:themeColor="background1"/>
                      <w:w w:val="70"/>
                      <w:sz w:val="20"/>
                      <w:szCs w:val="20"/>
                      <w:lang w:eastAsia="zh-CN"/>
                      <w14:textFill>
                        <w14:solidFill>
                          <w14:schemeClr w14:val="bg1"/>
                        </w14:solidFill>
                      </w14:textFill>
                    </w:rPr>
                  </w:pPr>
                  <w:r>
                    <w:rPr>
                      <w:rFonts w:hint="default" w:ascii="Calibri" w:hAnsi="Calibri" w:eastAsia="楷体_GB2312" w:cs="Calibri"/>
                      <w:b/>
                      <w:color w:val="FFFFFF" w:themeColor="background1"/>
                      <w:w w:val="70"/>
                      <w:sz w:val="20"/>
                      <w:szCs w:val="20"/>
                      <w:lang w:eastAsia="zh-CN"/>
                      <w14:textFill>
                        <w14:solidFill>
                          <w14:schemeClr w14:val="bg1"/>
                        </w14:solidFill>
                      </w14:textFill>
                    </w:rPr>
                    <w:t>[Table_RecommendationChart]</w:t>
                  </w:r>
                </w:p>
              </w:tc>
            </w:tr>
            <w:tr w14:paraId="3E5014C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199" w:type="dxa"/>
                </w:tcPr>
                <w:p w14:paraId="68CBAEF8">
                  <w:pPr>
                    <w:pStyle w:val="44"/>
                    <w:rPr>
                      <w:rFonts w:hint="default" w:ascii="Calibri" w:hAnsi="Calibri" w:eastAsia="楷体_GB2312" w:cs="Calibri"/>
                      <w:lang w:eastAsia="zh-CN"/>
                    </w:rPr>
                  </w:pPr>
                </w:p>
              </w:tc>
            </w:tr>
            <w:tr w14:paraId="3FB2A41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199" w:type="dxa"/>
                </w:tcPr>
                <w:p w14:paraId="11FD864B">
                  <w:pPr>
                    <w:pStyle w:val="44"/>
                    <w:rPr>
                      <w:rFonts w:hint="default" w:ascii="Calibri" w:hAnsi="Calibri" w:eastAsia="楷体_GB2312" w:cs="Calibri"/>
                      <w:b/>
                      <w:w w:val="70"/>
                      <w:sz w:val="20"/>
                      <w:szCs w:val="20"/>
                    </w:rPr>
                  </w:pPr>
                </w:p>
              </w:tc>
            </w:tr>
            <w:tr w14:paraId="0A03464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199" w:type="dxa"/>
                </w:tcPr>
                <w:p w14:paraId="18624741">
                  <w:pPr>
                    <w:pStyle w:val="44"/>
                    <w:rPr>
                      <w:rFonts w:hint="default" w:ascii="Calibri" w:hAnsi="Calibri" w:eastAsia="楷体_GB2312" w:cs="Calibri"/>
                      <w:b/>
                      <w:w w:val="70"/>
                      <w:sz w:val="20"/>
                      <w:szCs w:val="20"/>
                    </w:rPr>
                  </w:pPr>
                </w:p>
              </w:tc>
            </w:tr>
          </w:tbl>
          <w:p w14:paraId="67FBA4C5">
            <w:pPr>
              <w:pStyle w:val="44"/>
              <w:spacing w:after="60"/>
              <w:rPr>
                <w:rFonts w:hint="default" w:ascii="Calibri" w:hAnsi="Calibri" w:eastAsia="楷体_GB2312" w:cs="Calibri"/>
                <w:b/>
                <w:bCs/>
                <w:w w:val="70"/>
                <w:sz w:val="22"/>
                <w:szCs w:val="22"/>
              </w:rPr>
            </w:pPr>
          </w:p>
        </w:tc>
      </w:tr>
    </w:tbl>
    <w:p w14:paraId="2574A92B">
      <w:pPr>
        <w:pStyle w:val="81"/>
        <w:rPr>
          <w:rFonts w:hint="default" w:ascii="Calibri" w:hAnsi="Calibri" w:eastAsia="楷体_GB2312" w:cs="Calibri"/>
          <w:w w:val="70"/>
          <w:sz w:val="20"/>
          <w:szCs w:val="20"/>
          <w:lang w:val="en-GB"/>
        </w:rPr>
      </w:pPr>
    </w:p>
    <w:p w14:paraId="408B6766">
      <w:pPr>
        <w:pStyle w:val="81"/>
        <w:rPr>
          <w:rFonts w:hint="default" w:ascii="Calibri" w:hAnsi="Calibri" w:eastAsia="楷体_GB2312" w:cs="Calibri"/>
          <w:lang w:val="en-GB"/>
        </w:rPr>
      </w:pPr>
    </w:p>
    <w:sectPr>
      <w:headerReference r:id="rId12" w:type="first"/>
      <w:footerReference r:id="rId14" w:type="first"/>
      <w:headerReference r:id="rId11" w:type="default"/>
      <w:footerReference r:id="rId13" w:type="default"/>
      <w:pgSz w:w="11909" w:h="16834"/>
      <w:pgMar w:top="1077" w:right="567" w:bottom="1021" w:left="329" w:header="720" w:footer="1156"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0000010" w:usb3="00000000" w:csb0="4002009F" w:csb1="DFD70000"/>
  </w:font>
  <w:font w:name="Yu Gothic UI">
    <w:panose1 w:val="020B0500000000000000"/>
    <w:charset w:val="80"/>
    <w:family w:val="auto"/>
    <w:pitch w:val="default"/>
    <w:sig w:usb0="E00002FF" w:usb1="2AC7FDFF" w:usb2="00000016" w:usb3="00000000" w:csb0="2002009F" w:csb1="00000000"/>
  </w:font>
  <w:font w:name="Cambria">
    <w:panose1 w:val="02040503050406030204"/>
    <w:charset w:val="00"/>
    <w:family w:val="roman"/>
    <w:pitch w:val="default"/>
    <w:sig w:usb0="E00006FF" w:usb1="420024FF" w:usb2="02000000" w:usb3="00000000" w:csb0="2000019F" w:csb1="00000000"/>
  </w:font>
  <w:font w:name="楷体_GB2312">
    <w:panose1 w:val="02010609030101010101"/>
    <w:charset w:val="86"/>
    <w:family w:val="modern"/>
    <w:pitch w:val="default"/>
    <w:sig w:usb0="00000001" w:usb1="080E0000" w:usb2="00000000" w:usb3="00000000" w:csb0="00040000" w:csb1="00000000"/>
  </w:font>
  <w:font w:name="汉仪楷体简">
    <w:altName w:val="微软雅黑"/>
    <w:panose1 w:val="00000000000000000000"/>
    <w:charset w:val="86"/>
    <w:family w:val="modern"/>
    <w:pitch w:val="default"/>
    <w:sig w:usb0="00000000" w:usb1="00000000" w:usb2="00000002" w:usb3="00000000" w:csb0="00040000" w:csb1="00000000"/>
  </w:font>
  <w:font w:name="微软雅黑">
    <w:panose1 w:val="020B0503020204020204"/>
    <w:charset w:val="86"/>
    <w:family w:val="swiss"/>
    <w:pitch w:val="default"/>
    <w:sig w:usb0="80000287" w:usb1="2ACF3C50" w:usb2="00000016" w:usb3="00000000" w:csb0="0004001F" w:csb1="00000000"/>
  </w:font>
  <w:font w:name="汉仪大黑简">
    <w:altName w:val="微软雅黑"/>
    <w:panose1 w:val="00000000000000000000"/>
    <w:charset w:val="86"/>
    <w:family w:val="roman"/>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Wingdings 3">
    <w:panose1 w:val="05040102010807070707"/>
    <w:charset w:val="02"/>
    <w:family w:val="roman"/>
    <w:pitch w:val="default"/>
    <w:sig w:usb0="00000000" w:usb1="00000000" w:usb2="00000000" w:usb3="00000000" w:csb0="80000000" w:csb1="00000000"/>
  </w:font>
  <w:font w:name="PMingLiU">
    <w:altName w:val="PMingLiU-ExtB"/>
    <w:panose1 w:val="02020500000000000000"/>
    <w:charset w:val="88"/>
    <w:family w:val="roma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MS Gothic">
    <w:panose1 w:val="020B0609070205080204"/>
    <w:charset w:val="80"/>
    <w:family w:val="modern"/>
    <w:pitch w:val="default"/>
    <w:sig w:usb0="E00002FF" w:usb1="6AC7FDFB" w:usb2="08000012" w:usb3="00000000" w:csb0="4002009F" w:csb1="DFD7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BDBE4C">
    <w:pPr>
      <w:pStyle w:val="42"/>
    </w:pPr>
    <w:r>
      <w:rPr>
        <w:lang w:eastAsia="zh-CN"/>
      </w:rPr>
      <mc:AlternateContent>
        <mc:Choice Requires="wps">
          <w:drawing>
            <wp:anchor distT="0" distB="0" distL="114300" distR="114300" simplePos="0" relativeHeight="251662336" behindDoc="0" locked="1" layoutInCell="1" allowOverlap="1">
              <wp:simplePos x="0" y="0"/>
              <wp:positionH relativeFrom="column">
                <wp:posOffset>-441325</wp:posOffset>
              </wp:positionH>
              <wp:positionV relativeFrom="page">
                <wp:posOffset>9845040</wp:posOffset>
              </wp:positionV>
              <wp:extent cx="7376160" cy="807720"/>
              <wp:effectExtent l="0" t="0" r="15240" b="11430"/>
              <wp:wrapNone/>
              <wp:docPr id="20" name="Text Box 281"/>
              <wp:cNvGraphicFramePr/>
              <a:graphic xmlns:a="http://schemas.openxmlformats.org/drawingml/2006/main">
                <a:graphicData uri="http://schemas.microsoft.com/office/word/2010/wordprocessingShape">
                  <wps:wsp>
                    <wps:cNvSpPr txBox="1">
                      <a:spLocks noChangeArrowheads="1"/>
                    </wps:cNvSpPr>
                    <wps:spPr bwMode="auto">
                      <a:xfrm>
                        <a:off x="0" y="0"/>
                        <a:ext cx="7376160" cy="807720"/>
                      </a:xfrm>
                      <a:prstGeom prst="rect">
                        <a:avLst/>
                      </a:prstGeom>
                      <a:noFill/>
                      <a:ln>
                        <a:noFill/>
                      </a:ln>
                    </wps:spPr>
                    <wps:txbx>
                      <w:txbxContent>
                        <w:tbl>
                          <w:tblPr>
                            <w:tblStyle w:val="27"/>
                            <w:tblW w:w="0" w:type="auto"/>
                            <w:tblCaption w:val="[Table_yejiao1]"/>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583"/>
                          </w:tblGrid>
                          <w:tr w14:paraId="08809F3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14:paraId="77F28C25">
                                <w:pPr>
                                  <w:pStyle w:val="59"/>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64772FB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14:paraId="29E37B35">
                                <w:pPr>
                                  <w:pStyle w:val="59"/>
                                  <w:rPr>
                                    <w:rFonts w:cs="Calibri"/>
                                    <w:b w:val="0"/>
                                    <w:sz w:val="21"/>
                                    <w:szCs w:val="21"/>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130417B1">
                          <w:pPr>
                            <w:pStyle w:val="59"/>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 id="Text Box 281" o:spid="_x0000_s1026" o:spt="202" type="#_x0000_t202" style="position:absolute;left:0pt;margin-left:-34.75pt;margin-top:775.2pt;height:63.6pt;width:580.8pt;mso-position-vertical-relative:page;z-index:251662336;mso-width-relative:page;mso-height-relative:page;" filled="f" stroked="f" coordsize="21600,21600" o:gfxdata="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exclB9wAAAAOAQAADwAAAAAAAAABACAAAAAiAAAAZHJzL2Rv&#10;d25yZXYueG1sUEsBAhQAFAAAAAgAh07iQNFGDl/9AQAABwQAAA4AAAAAAAAAAQAgAAAAKwEAAGRy&#10;cy9lMm9Eb2MueG1sUEsFBgAAAAAGAAYAWQEAAJoFAAAAAA==&#10;">
              <v:fill on="f" focussize="0,0"/>
              <v:stroke on="f"/>
              <v:imagedata o:title=""/>
              <o:lock v:ext="edit" aspectratio="f"/>
              <v:textbox inset="0mm,0mm,0mm,0mm">
                <w:txbxContent>
                  <w:tbl>
                    <w:tblPr>
                      <w:tblStyle w:val="27"/>
                      <w:tblW w:w="0" w:type="auto"/>
                      <w:tblCaption w:val="[Table_yejiao1]"/>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583"/>
                    </w:tblGrid>
                    <w:tr w14:paraId="08809F3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14:paraId="77F28C25">
                          <w:pPr>
                            <w:pStyle w:val="59"/>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64772FB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14:paraId="29E37B35">
                          <w:pPr>
                            <w:pStyle w:val="59"/>
                            <w:rPr>
                              <w:rFonts w:cs="Calibri"/>
                              <w:b w:val="0"/>
                              <w:sz w:val="21"/>
                              <w:szCs w:val="21"/>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130417B1">
                    <w:pPr>
                      <w:pStyle w:val="59"/>
                      <w:rPr>
                        <w:rFonts w:eastAsia="楷体_GB2312" w:cs="Calibri"/>
                        <w:b w:val="0"/>
                        <w:sz w:val="21"/>
                        <w:szCs w:val="21"/>
                      </w:rPr>
                    </w:pPr>
                  </w:p>
                </w:txbxContent>
              </v:textbox>
              <w10:anchorlock/>
            </v:shape>
          </w:pict>
        </mc:Fallback>
      </mc:AlternateContent>
    </w:r>
    <w:r>
      <w:rPr>
        <w:lang w:eastAsia="zh-CN"/>
      </w:rPr>
      <mc:AlternateContent>
        <mc:Choice Requires="wps">
          <w:drawing>
            <wp:anchor distT="0" distB="0" distL="114300" distR="114300" simplePos="0" relativeHeight="251660288" behindDoc="0" locked="0" layoutInCell="1" allowOverlap="1">
              <wp:simplePos x="0" y="0"/>
              <wp:positionH relativeFrom="page">
                <wp:posOffset>85090</wp:posOffset>
              </wp:positionH>
              <wp:positionV relativeFrom="page">
                <wp:posOffset>9789160</wp:posOffset>
              </wp:positionV>
              <wp:extent cx="7404100" cy="50165"/>
              <wp:effectExtent l="0" t="0" r="6350" b="6985"/>
              <wp:wrapNone/>
              <wp:docPr id="15" name="Text Box 73"/>
              <wp:cNvGraphicFramePr/>
              <a:graphic xmlns:a="http://schemas.openxmlformats.org/drawingml/2006/main">
                <a:graphicData uri="http://schemas.microsoft.com/office/word/2010/wordprocessingShape">
                  <wps:wsp>
                    <wps:cNvSpPr txBox="1">
                      <a:spLocks noChangeArrowheads="1"/>
                    </wps:cNvSpPr>
                    <wps:spPr bwMode="auto">
                      <a:xfrm>
                        <a:off x="0" y="0"/>
                        <a:ext cx="7404100" cy="50165"/>
                      </a:xfrm>
                      <a:prstGeom prst="rect">
                        <a:avLst/>
                      </a:prstGeom>
                      <a:solidFill>
                        <a:srgbClr val="005BAC"/>
                      </a:solidFill>
                      <a:ln>
                        <a:noFill/>
                      </a:ln>
                    </wps:spPr>
                    <wps:txbx>
                      <w:txbxContent>
                        <w:p w14:paraId="20170C33">
                          <w:pPr>
                            <w:ind w:left="-180"/>
                          </w:pPr>
                        </w:p>
                      </w:txbxContent>
                    </wps:txbx>
                    <wps:bodyPr rot="0" vert="horz" wrap="square" lIns="91440" tIns="45720" rIns="91440" bIns="45720" anchor="t" anchorCtr="0" upright="1">
                      <a:noAutofit/>
                    </wps:bodyPr>
                  </wps:wsp>
                </a:graphicData>
              </a:graphic>
            </wp:anchor>
          </w:drawing>
        </mc:Choice>
        <mc:Fallback>
          <w:pict>
            <v:shape id="Text Box 73" o:spid="_x0000_s1026" o:spt="202" type="#_x0000_t202" style="position:absolute;left:0pt;margin-left:6.7pt;margin-top:770.8pt;height:3.95pt;width:583pt;mso-position-horizontal-relative:page;mso-position-vertical-relative:page;z-index:251660288;mso-width-relative:page;mso-height-relative:page;" fillcolor="#005BAC" filled="t" stroked="f" coordsize="21600,21600" o:gfxdata="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uMjSbtoA&#10;AAANAQAADwAAAAAAAAABACAAAAAiAAAAZHJzL2Rvd25yZXYueG1sUEsBAhQAFAAAAAgAh07iQI7t&#10;BuodAgAAPgQAAA4AAAAAAAAAAQAgAAAAKQEAAGRycy9lMm9Eb2MueG1sUEsFBgAAAAAGAAYAWQEA&#10;ALgFAAAAAA==&#10;">
              <v:fill on="t" focussize="0,0"/>
              <v:stroke on="f"/>
              <v:imagedata o:title=""/>
              <o:lock v:ext="edit" aspectratio="f"/>
              <v:textbox>
                <w:txbxContent>
                  <w:p w14:paraId="20170C33">
                    <w:pPr>
                      <w:ind w:left="-180"/>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FB8495">
    <w:pPr>
      <w:pStyle w:val="1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A3A150">
    <w:pPr>
      <w:pStyle w:val="1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6"/>
      <w:tblpPr w:vertAnchor="page" w:horzAnchor="page" w:tblpX="347" w:tblpY="15481"/>
      <w:tblOverlap w:val="never"/>
      <w:tblW w:w="107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1"/>
    </w:tblGrid>
    <w:tr w14:paraId="32CC5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721" w:type="dxa"/>
          <w:tcBorders>
            <w:top w:val="nil"/>
            <w:left w:val="nil"/>
            <w:bottom w:val="nil"/>
            <w:right w:val="nil"/>
          </w:tcBorders>
          <w:vAlign w:val="center"/>
        </w:tcPr>
        <w:p w14:paraId="3C0F5212">
          <w:pPr>
            <w:pStyle w:val="49"/>
            <w:framePr w:wrap="auto" w:vAnchor="margin" w:hAnchor="text" w:xAlign="left" w:yAlign="inline"/>
          </w:pPr>
          <w:r>
            <w:fldChar w:fldCharType="begin"/>
          </w:r>
          <w:r>
            <w:instrText xml:space="preserve"> DATE  \@ "d MMM yyyy"  \* MERGEFORMAT </w:instrText>
          </w:r>
          <w:r>
            <w:fldChar w:fldCharType="separate"/>
          </w:r>
          <w:r>
            <w:t>13 Feb 2026</w:t>
          </w:r>
          <w:r>
            <w:fldChar w:fldCharType="end"/>
          </w:r>
          <w:r>
            <w:tab/>
          </w:r>
          <w:r>
            <w:fldChar w:fldCharType="begin"/>
          </w:r>
          <w:r>
            <w:instrText xml:space="preserve"> PAGE </w:instrText>
          </w:r>
          <w:r>
            <w:fldChar w:fldCharType="separate"/>
          </w:r>
          <w:r>
            <w:t>2</w:t>
          </w:r>
          <w:r>
            <w:fldChar w:fldCharType="end"/>
          </w:r>
        </w:p>
      </w:tc>
    </w:tr>
  </w:tbl>
  <w:p w14:paraId="640399F1">
    <w:pPr>
      <w:pStyle w:val="42"/>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ACC7E">
    <w:pPr>
      <w:pStyle w:val="42"/>
      <w:spacing w:line="20" w:lineRule="exact"/>
    </w:pPr>
  </w:p>
  <w:tbl>
    <w:tblPr>
      <w:tblStyle w:val="26"/>
      <w:tblpPr w:vertAnchor="page" w:horzAnchor="page" w:tblpX="347" w:tblpY="15481"/>
      <w:tblOverlap w:val="never"/>
      <w:tblW w:w="107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1"/>
    </w:tblGrid>
    <w:tr w14:paraId="334B8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721" w:type="dxa"/>
          <w:tcBorders>
            <w:top w:val="nil"/>
            <w:left w:val="nil"/>
            <w:bottom w:val="nil"/>
            <w:right w:val="nil"/>
          </w:tcBorders>
          <w:vAlign w:val="center"/>
        </w:tcPr>
        <w:p w14:paraId="58FD50E4">
          <w:pPr>
            <w:pStyle w:val="49"/>
            <w:framePr w:wrap="auto" w:vAnchor="margin" w:hAnchor="text" w:xAlign="left" w:yAlign="inline"/>
          </w:pPr>
          <w:r>
            <w:tab/>
          </w:r>
          <w:r>
            <w:fldChar w:fldCharType="begin"/>
          </w:r>
          <w:r>
            <w:instrText xml:space="preserve"> PAGE </w:instrText>
          </w:r>
          <w:r>
            <w:fldChar w:fldCharType="separate"/>
          </w:r>
          <w:r>
            <w:t>4</w:t>
          </w:r>
          <w:r>
            <w:fldChar w:fldCharType="end"/>
          </w:r>
        </w:p>
      </w:tc>
    </w:tr>
  </w:tbl>
  <w:p w14:paraId="795338EA">
    <w:pPr>
      <w:pStyle w:val="42"/>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863B66">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D28EB1">
    <w:pPr>
      <w:pStyle w:val="42"/>
    </w:pPr>
  </w:p>
  <w:p w14:paraId="38B9C519"/>
  <w:p w14:paraId="0E25AB26">
    <w:pPr>
      <w:jc w:val="right"/>
    </w:pPr>
    <w:r>
      <w:rPr>
        <w:snapToGrid/>
      </w:rPr>
      <w:drawing>
        <wp:anchor distT="0" distB="0" distL="114300" distR="114300" simplePos="0" relativeHeight="251664384" behindDoc="0" locked="0" layoutInCell="1" allowOverlap="1">
          <wp:simplePos x="0" y="0"/>
          <wp:positionH relativeFrom="margin">
            <wp:align>right</wp:align>
          </wp:positionH>
          <wp:positionV relativeFrom="paragraph">
            <wp:posOffset>71120</wp:posOffset>
          </wp:positionV>
          <wp:extent cx="1925955" cy="651510"/>
          <wp:effectExtent l="0" t="0" r="0" b="0"/>
          <wp:wrapNone/>
          <wp:docPr id="1012953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53970"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26000" cy="651600"/>
                  </a:xfrm>
                  <a:prstGeom prst="rect">
                    <a:avLst/>
                  </a:prstGeom>
                </pic:spPr>
              </pic:pic>
            </a:graphicData>
          </a:graphic>
        </wp:anchor>
      </w:drawing>
    </w:r>
    <w:r>
      <w:rPr>
        <w:lang w:val="en-US" w:eastAsia="zh-CN"/>
      </w:rPr>
      <mc:AlternateContent>
        <mc:Choice Requires="wps">
          <w:drawing>
            <wp:anchor distT="0" distB="0" distL="114300" distR="114300" simplePos="0" relativeHeight="251663360" behindDoc="0" locked="0" layoutInCell="1" allowOverlap="1">
              <wp:simplePos x="0" y="0"/>
              <wp:positionH relativeFrom="column">
                <wp:posOffset>343535</wp:posOffset>
              </wp:positionH>
              <wp:positionV relativeFrom="paragraph">
                <wp:posOffset>2223135</wp:posOffset>
              </wp:positionV>
              <wp:extent cx="2291715" cy="289560"/>
              <wp:effectExtent l="0" t="0" r="0" b="0"/>
              <wp:wrapNone/>
              <wp:docPr id="30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291715" cy="289560"/>
                      </a:xfrm>
                      <a:prstGeom prst="rect">
                        <a:avLst/>
                      </a:prstGeom>
                      <a:noFill/>
                      <a:ln w="9525">
                        <a:noFill/>
                        <a:miter lim="800000"/>
                      </a:ln>
                    </wps:spPr>
                    <wps:txbx>
                      <w:txbxContent>
                        <w:tbl>
                          <w:tblPr>
                            <w:tblStyle w:val="27"/>
                            <w:tblW w:w="0" w:type="auto"/>
                            <w:tblCaption w:val="[Table_yemei1]"/>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322"/>
                          </w:tblGrid>
                          <w:tr w14:paraId="0F0A3A9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3322" w:type="dxa"/>
                              </w:tcPr>
                              <w:p w14:paraId="663FA6EE">
                                <w:pPr>
                                  <w:rPr>
                                    <w:rFonts w:eastAsia="楷体_GB2312"/>
                                    <w:color w:val="FF0000"/>
                                    <w:sz w:val="20"/>
                                    <w:szCs w:val="20"/>
                                  </w:rPr>
                                </w:pPr>
                                <w:r>
                                  <w:rPr>
                                    <w:rFonts w:eastAsia="楷体_GB2312"/>
                                    <w:color w:val="FFFFFF" w:themeColor="background1"/>
                                    <w:sz w:val="20"/>
                                    <w:szCs w:val="20"/>
                                    <w14:textFill>
                                      <w14:solidFill>
                                        <w14:schemeClr w14:val="bg1"/>
                                      </w14:solidFill>
                                    </w14:textFill>
                                  </w:rPr>
                                  <w:t>[Table_yemei1]</w:t>
                                </w:r>
                              </w:p>
                            </w:tc>
                          </w:tr>
                          <w:tr w14:paraId="703CCCC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322" w:type="dxa"/>
                              </w:tcPr>
                              <w:p w14:paraId="6F4AFCFB">
                                <w:pPr>
                                  <w:rPr>
                                    <w:color w:val="23558C"/>
                                    <w:sz w:val="20"/>
                                    <w:szCs w:val="20"/>
                                  </w:rPr>
                                </w:pPr>
                                <w:r>
                                  <w:rPr>
                                    <w:rFonts w:hint="eastAsia" w:eastAsia="楷体_GB2312"/>
                                    <w:color w:val="23558C"/>
                                    <w:sz w:val="20"/>
                                    <w:szCs w:val="20"/>
                                    <w:lang w:eastAsia="zh-CN"/>
                                  </w:rPr>
                                  <w:t>热点速评</w:t>
                                </w:r>
                                <w:r>
                                  <w:rPr>
                                    <w:rFonts w:eastAsia="楷体_GB2312"/>
                                    <w:color w:val="23558C"/>
                                    <w:sz w:val="20"/>
                                    <w:szCs w:val="20"/>
                                    <w:lang w:eastAsia="zh-CN"/>
                                  </w:rPr>
                                  <w:t>Flash Analysis</w:t>
                                </w:r>
                              </w:p>
                            </w:tc>
                          </w:tr>
                        </w:tbl>
                        <w:p w14:paraId="590A1BC9">
                          <w:pPr>
                            <w:spacing w:line="40" w:lineRule="exact"/>
                            <w:rPr>
                              <w:rFonts w:eastAsia="楷体_GB2312"/>
                              <w:color w:val="23558C"/>
                              <w:sz w:val="10"/>
                              <w:szCs w:val="10"/>
                              <w:lang w:eastAsia="zh-CN"/>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27.05pt;margin-top:175.05pt;height:22.8pt;width:180.45pt;z-index:251663360;mso-width-relative:page;mso-height-relative:page;" filled="f" stroked="f" coordsize="21600,21600" o:gfxdata="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1lHhFtcAAAAKAQAADwAAAAAAAAABACAAAAAiAAAAZHJzL2Rvd25yZXYueG1sUEsBAhQAFAAAAAgA&#10;h07iQEQ8CgsmAgAAKwQAAA4AAAAAAAAAAQAgAAAAJgEAAGRycy9lMm9Eb2MueG1sUEsFBgAAAAAG&#10;AAYAWQEAAL4FAAAAAA==&#10;">
              <v:fill on="f" focussize="0,0"/>
              <v:stroke on="f" miterlimit="8" joinstyle="miter"/>
              <v:imagedata o:title=""/>
              <o:lock v:ext="edit" aspectratio="f"/>
              <v:textbox>
                <w:txbxContent>
                  <w:tbl>
                    <w:tblPr>
                      <w:tblStyle w:val="27"/>
                      <w:tblW w:w="0" w:type="auto"/>
                      <w:tblCaption w:val="[Table_yemei1]"/>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322"/>
                    </w:tblGrid>
                    <w:tr w14:paraId="0F0A3A9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23" w:hRule="exact"/>
                      </w:trPr>
                      <w:tc>
                        <w:tcPr>
                          <w:tcW w:w="3322" w:type="dxa"/>
                        </w:tcPr>
                        <w:p w14:paraId="663FA6EE">
                          <w:pPr>
                            <w:rPr>
                              <w:rFonts w:eastAsia="楷体_GB2312"/>
                              <w:color w:val="FF0000"/>
                              <w:sz w:val="20"/>
                              <w:szCs w:val="20"/>
                            </w:rPr>
                          </w:pPr>
                          <w:r>
                            <w:rPr>
                              <w:rFonts w:eastAsia="楷体_GB2312"/>
                              <w:color w:val="FFFFFF" w:themeColor="background1"/>
                              <w:sz w:val="20"/>
                              <w:szCs w:val="20"/>
                              <w14:textFill>
                                <w14:solidFill>
                                  <w14:schemeClr w14:val="bg1"/>
                                </w14:solidFill>
                              </w14:textFill>
                            </w:rPr>
                            <w:t>[Table_yemei1]</w:t>
                          </w:r>
                        </w:p>
                      </w:tc>
                    </w:tr>
                    <w:tr w14:paraId="703CCCC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322" w:type="dxa"/>
                        </w:tcPr>
                        <w:p w14:paraId="6F4AFCFB">
                          <w:pPr>
                            <w:rPr>
                              <w:color w:val="23558C"/>
                              <w:sz w:val="20"/>
                              <w:szCs w:val="20"/>
                            </w:rPr>
                          </w:pPr>
                          <w:r>
                            <w:rPr>
                              <w:rFonts w:hint="eastAsia" w:eastAsia="楷体_GB2312"/>
                              <w:color w:val="23558C"/>
                              <w:sz w:val="20"/>
                              <w:szCs w:val="20"/>
                              <w:lang w:eastAsia="zh-CN"/>
                            </w:rPr>
                            <w:t>热点速评</w:t>
                          </w:r>
                          <w:r>
                            <w:rPr>
                              <w:rFonts w:eastAsia="楷体_GB2312"/>
                              <w:color w:val="23558C"/>
                              <w:sz w:val="20"/>
                              <w:szCs w:val="20"/>
                              <w:lang w:eastAsia="zh-CN"/>
                            </w:rPr>
                            <w:t>Flash Analysis</w:t>
                          </w:r>
                        </w:p>
                      </w:tc>
                    </w:tr>
                  </w:tbl>
                  <w:p w14:paraId="590A1BC9">
                    <w:pPr>
                      <w:spacing w:line="40" w:lineRule="exact"/>
                      <w:rPr>
                        <w:rFonts w:eastAsia="楷体_GB2312"/>
                        <w:color w:val="23558C"/>
                        <w:sz w:val="10"/>
                        <w:szCs w:val="10"/>
                        <w:lang w:eastAsia="zh-CN"/>
                      </w:rPr>
                    </w:pPr>
                  </w:p>
                </w:txbxContent>
              </v:textbox>
            </v:shape>
          </w:pict>
        </mc:Fallback>
      </mc:AlternateContent>
    </w:r>
    <w:r>
      <w:rPr>
        <w:lang w:val="en-US" w:eastAsia="zh-CN"/>
      </w:rPr>
      <w:drawing>
        <wp:anchor distT="0" distB="0" distL="114300" distR="114300" simplePos="0" relativeHeight="251661312" behindDoc="1" locked="0" layoutInCell="1" allowOverlap="1">
          <wp:simplePos x="0" y="0"/>
          <wp:positionH relativeFrom="column">
            <wp:posOffset>-60960</wp:posOffset>
          </wp:positionH>
          <wp:positionV relativeFrom="paragraph">
            <wp:posOffset>2253615</wp:posOffset>
          </wp:positionV>
          <wp:extent cx="360045" cy="179705"/>
          <wp:effectExtent l="0" t="0" r="2540" b="0"/>
          <wp:wrapNone/>
          <wp:docPr id="3" name="图片 3"/>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2" cstate="print">
                    <a:extLst>
                      <a:ext uri="{28A0092B-C50C-407E-A947-70E740481C1C}">
                        <a14:useLocalDpi xmlns:a14="http://schemas.microsoft.com/office/drawing/2010/main" val="0"/>
                      </a:ext>
                    </a:extLst>
                  </a:blip>
                  <a:stretch>
                    <a:fillRect/>
                  </a:stretch>
                </pic:blipFill>
                <pic:spPr>
                  <a:xfrm>
                    <a:off x="0" y="0"/>
                    <a:ext cx="360000" cy="18000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36BACC">
    <w:pPr>
      <w:pStyle w:val="1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0EF7D0">
    <w:pPr>
      <w:pStyle w:val="1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7"/>
      <w:tblW w:w="10632" w:type="dxa"/>
      <w:tblCaption w:val="[Table_header1]"/>
      <w:tblInd w:w="108"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10632"/>
    </w:tblGrid>
    <w:tr w14:paraId="070F35B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10632" w:type="dxa"/>
        </w:tcPr>
        <w:p w14:paraId="592BF97E">
          <w:pPr>
            <w:pStyle w:val="42"/>
            <w:rPr>
              <w:color w:val="FF0000"/>
              <w:lang w:val="en-GB"/>
            </w:rPr>
          </w:pPr>
          <w:r>
            <w:rPr>
              <w:color w:val="FFFFFF" w:themeColor="background1"/>
              <w:lang w:val="en-GB"/>
              <w14:textFill>
                <w14:solidFill>
                  <w14:schemeClr w14:val="bg1"/>
                </w14:solidFill>
              </w14:textFill>
            </w:rPr>
            <w:t>[Table_header1]</w:t>
          </w:r>
        </w:p>
      </w:tc>
    </w:tr>
    <w:tr w14:paraId="387CC1B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0632" w:type="dxa"/>
        </w:tcPr>
        <w:p w14:paraId="6D8C3FE9">
          <w:pPr>
            <w:pStyle w:val="42"/>
            <w:wordWrap w:val="0"/>
            <w:jc w:val="right"/>
            <w:rPr>
              <w:rFonts w:eastAsia="楷体_GB2312" w:cs="Calibri"/>
              <w:sz w:val="24"/>
              <w:lang w:val="en-GB"/>
            </w:rPr>
          </w:pPr>
          <w:r>
            <w:rPr>
              <w:rFonts w:hint="default" w:eastAsia="楷体_GB2312" w:cs="Calibri"/>
              <w:b/>
              <w:color w:val="005BAC"/>
              <w:sz w:val="24"/>
              <w:szCs w:val="24"/>
              <w:lang w:eastAsia="zh-CN"/>
            </w:rPr>
            <w:t>全球先进制造与能源Global Advanced Manufacturing and Energy</w:t>
          </w:r>
        </w:p>
      </w:tc>
    </w:tr>
  </w:tbl>
  <w:p w14:paraId="65CF8786">
    <w:pPr>
      <w:pStyle w:val="42"/>
      <w:rPr>
        <w:lang w:val="en-GB"/>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C22F7E">
    <w:pPr>
      <w:pStyle w:val="42"/>
      <w:spacing w:line="36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2C16D9">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D5C08A"/>
    <w:multiLevelType w:val="singleLevel"/>
    <w:tmpl w:val="E2D5C08A"/>
    <w:lvl w:ilvl="0" w:tentative="0">
      <w:start w:val="3"/>
      <w:numFmt w:val="decimal"/>
      <w:suff w:val="nothing"/>
      <w:lvlText w:val="%1）"/>
      <w:lvlJc w:val="left"/>
      <w:rPr>
        <w:rFonts w:hint="default"/>
        <w:b/>
        <w:bCs/>
      </w:rPr>
    </w:lvl>
  </w:abstractNum>
  <w:abstractNum w:abstractNumId="1">
    <w:nsid w:val="02634AC8"/>
    <w:multiLevelType w:val="multilevel"/>
    <w:tmpl w:val="02634AC8"/>
    <w:lvl w:ilvl="0" w:tentative="0">
      <w:start w:val="1"/>
      <w:numFmt w:val="bullet"/>
      <w:pStyle w:val="138"/>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
    <w:nsid w:val="03935DA5"/>
    <w:multiLevelType w:val="multilevel"/>
    <w:tmpl w:val="03935DA5"/>
    <w:lvl w:ilvl="0" w:tentative="0">
      <w:start w:val="1"/>
      <w:numFmt w:val="bullet"/>
      <w:pStyle w:val="46"/>
      <w:lvlText w:val=""/>
      <w:lvlJc w:val="left"/>
      <w:pPr>
        <w:ind w:left="720" w:hanging="360"/>
      </w:pPr>
      <w:rPr>
        <w:rFonts w:hint="default" w:ascii="Wingdings" w:hAnsi="Wingdings"/>
        <w:b w:val="0"/>
        <w:i w:val="0"/>
        <w:color w:val="3333AD"/>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04C657F7"/>
    <w:multiLevelType w:val="multilevel"/>
    <w:tmpl w:val="04C657F7"/>
    <w:lvl w:ilvl="0" w:tentative="0">
      <w:start w:val="1"/>
      <w:numFmt w:val="decimal"/>
      <w:lvlText w:val="%1."/>
      <w:lvlJc w:val="left"/>
      <w:pPr>
        <w:tabs>
          <w:tab w:val="left" w:pos="425"/>
        </w:tabs>
        <w:ind w:left="425" w:hanging="425"/>
      </w:pPr>
      <w:rPr>
        <w:rFonts w:hint="eastAsia"/>
      </w:rPr>
    </w:lvl>
    <w:lvl w:ilvl="1" w:tentative="0">
      <w:start w:val="1"/>
      <w:numFmt w:val="decimal"/>
      <w:lvlText w:val="%1.%2."/>
      <w:lvlJc w:val="left"/>
      <w:pPr>
        <w:tabs>
          <w:tab w:val="left" w:pos="567"/>
        </w:tabs>
        <w:ind w:left="567" w:hanging="567"/>
      </w:pPr>
      <w:rPr>
        <w:rFonts w:hint="default" w:ascii="Times New Roman" w:hAnsi="Times New Roman"/>
      </w:rPr>
    </w:lvl>
    <w:lvl w:ilvl="2" w:tentative="0">
      <w:start w:val="1"/>
      <w:numFmt w:val="decimal"/>
      <w:lvlText w:val="%1.%2.%3."/>
      <w:lvlJc w:val="left"/>
      <w:pPr>
        <w:tabs>
          <w:tab w:val="left" w:pos="709"/>
        </w:tabs>
        <w:ind w:left="709" w:hanging="709"/>
      </w:pPr>
      <w:rPr>
        <w:rFonts w:hint="eastAsia"/>
      </w:rPr>
    </w:lvl>
    <w:lvl w:ilvl="3" w:tentative="0">
      <w:start w:val="1"/>
      <w:numFmt w:val="decimal"/>
      <w:pStyle w:val="5"/>
      <w:lvlText w:val="%1.%2.%3.%4."/>
      <w:lvlJc w:val="left"/>
      <w:pPr>
        <w:tabs>
          <w:tab w:val="left" w:pos="3911"/>
        </w:tabs>
        <w:ind w:left="391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4">
    <w:nsid w:val="11F1731E"/>
    <w:multiLevelType w:val="multilevel"/>
    <w:tmpl w:val="11F1731E"/>
    <w:lvl w:ilvl="0" w:tentative="0">
      <w:start w:val="1"/>
      <w:numFmt w:val="decimal"/>
      <w:lvlText w:val="（%1）"/>
      <w:lvlJc w:val="left"/>
      <w:pPr>
        <w:ind w:left="3920" w:hanging="720"/>
      </w:pPr>
      <w:rPr>
        <w:rFonts w:hint="default"/>
      </w:rPr>
    </w:lvl>
    <w:lvl w:ilvl="1" w:tentative="0">
      <w:start w:val="1"/>
      <w:numFmt w:val="lowerLetter"/>
      <w:lvlText w:val="%2)"/>
      <w:lvlJc w:val="left"/>
      <w:pPr>
        <w:ind w:left="4080" w:hanging="440"/>
      </w:pPr>
    </w:lvl>
    <w:lvl w:ilvl="2" w:tentative="0">
      <w:start w:val="1"/>
      <w:numFmt w:val="lowerRoman"/>
      <w:lvlText w:val="%3."/>
      <w:lvlJc w:val="right"/>
      <w:pPr>
        <w:ind w:left="4520" w:hanging="440"/>
      </w:pPr>
    </w:lvl>
    <w:lvl w:ilvl="3" w:tentative="0">
      <w:start w:val="1"/>
      <w:numFmt w:val="decimal"/>
      <w:lvlText w:val="%4."/>
      <w:lvlJc w:val="left"/>
      <w:pPr>
        <w:ind w:left="4960" w:hanging="440"/>
      </w:pPr>
    </w:lvl>
    <w:lvl w:ilvl="4" w:tentative="0">
      <w:start w:val="1"/>
      <w:numFmt w:val="lowerLetter"/>
      <w:lvlText w:val="%5)"/>
      <w:lvlJc w:val="left"/>
      <w:pPr>
        <w:ind w:left="5400" w:hanging="440"/>
      </w:pPr>
    </w:lvl>
    <w:lvl w:ilvl="5" w:tentative="0">
      <w:start w:val="1"/>
      <w:numFmt w:val="lowerRoman"/>
      <w:lvlText w:val="%6."/>
      <w:lvlJc w:val="right"/>
      <w:pPr>
        <w:ind w:left="5840" w:hanging="440"/>
      </w:pPr>
    </w:lvl>
    <w:lvl w:ilvl="6" w:tentative="0">
      <w:start w:val="1"/>
      <w:numFmt w:val="decimal"/>
      <w:lvlText w:val="%7."/>
      <w:lvlJc w:val="left"/>
      <w:pPr>
        <w:ind w:left="6280" w:hanging="440"/>
      </w:pPr>
    </w:lvl>
    <w:lvl w:ilvl="7" w:tentative="0">
      <w:start w:val="1"/>
      <w:numFmt w:val="lowerLetter"/>
      <w:lvlText w:val="%8)"/>
      <w:lvlJc w:val="left"/>
      <w:pPr>
        <w:ind w:left="6720" w:hanging="440"/>
      </w:pPr>
    </w:lvl>
    <w:lvl w:ilvl="8" w:tentative="0">
      <w:start w:val="1"/>
      <w:numFmt w:val="lowerRoman"/>
      <w:lvlText w:val="%9."/>
      <w:lvlJc w:val="right"/>
      <w:pPr>
        <w:ind w:left="7160" w:hanging="440"/>
      </w:pPr>
    </w:lvl>
  </w:abstractNum>
  <w:abstractNum w:abstractNumId="5">
    <w:nsid w:val="238731C4"/>
    <w:multiLevelType w:val="multilevel"/>
    <w:tmpl w:val="238731C4"/>
    <w:lvl w:ilvl="0" w:tentative="0">
      <w:start w:val="1"/>
      <w:numFmt w:val="upperRoman"/>
      <w:pStyle w:val="87"/>
      <w:lvlText w:val="PART %1:"/>
      <w:lvlJc w:val="left"/>
      <w:pPr>
        <w:ind w:left="720" w:hanging="360"/>
      </w:pPr>
      <w:rPr>
        <w:rFonts w:hint="eastAsia"/>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331A2D25"/>
    <w:multiLevelType w:val="multilevel"/>
    <w:tmpl w:val="331A2D25"/>
    <w:lvl w:ilvl="0" w:tentative="0">
      <w:start w:val="1"/>
      <w:numFmt w:val="bullet"/>
      <w:pStyle w:val="68"/>
      <w:lvlText w:val=""/>
      <w:lvlJc w:val="left"/>
      <w:pPr>
        <w:ind w:left="720" w:hanging="360"/>
      </w:pPr>
      <w:rPr>
        <w:rFonts w:hint="default" w:ascii="Wingdings" w:hAnsi="Wingdings"/>
        <w:b w:val="0"/>
        <w:i w:val="0"/>
        <w:color w:val="A5879B"/>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38A55B35"/>
    <w:multiLevelType w:val="multilevel"/>
    <w:tmpl w:val="38A55B35"/>
    <w:lvl w:ilvl="0" w:tentative="0">
      <w:start w:val="1"/>
      <w:numFmt w:val="bullet"/>
      <w:pStyle w:val="92"/>
      <w:lvlText w:val=""/>
      <w:lvlJc w:val="left"/>
      <w:pPr>
        <w:ind w:left="480" w:hanging="480"/>
      </w:pPr>
      <w:rPr>
        <w:rFonts w:hint="default" w:ascii="Symbol" w:hAnsi="Symbol"/>
        <w:b/>
        <w:color w:val="23558C"/>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8">
    <w:nsid w:val="41772804"/>
    <w:multiLevelType w:val="multilevel"/>
    <w:tmpl w:val="41772804"/>
    <w:lvl w:ilvl="0" w:tentative="0">
      <w:start w:val="1"/>
      <w:numFmt w:val="bullet"/>
      <w:pStyle w:val="67"/>
      <w:lvlText w:val=""/>
      <w:lvlJc w:val="left"/>
      <w:pPr>
        <w:ind w:left="720" w:hanging="360"/>
      </w:pPr>
      <w:rPr>
        <w:rFonts w:hint="default" w:ascii="Wingdings" w:hAnsi="Wingdings"/>
        <w:b w:val="0"/>
        <w:i w:val="0"/>
        <w:color w:val="99CCFF"/>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41EA01BD"/>
    <w:multiLevelType w:val="multilevel"/>
    <w:tmpl w:val="41EA01BD"/>
    <w:lvl w:ilvl="0" w:tentative="0">
      <w:start w:val="1"/>
      <w:numFmt w:val="bullet"/>
      <w:pStyle w:val="84"/>
      <w:lvlText w:val=""/>
      <w:lvlJc w:val="left"/>
      <w:pPr>
        <w:ind w:left="720" w:hanging="360"/>
      </w:pPr>
      <w:rPr>
        <w:rFonts w:hint="default" w:ascii="Wingdings 3" w:hAnsi="Wingdings 3"/>
        <w:sz w:val="2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479321DC"/>
    <w:multiLevelType w:val="multilevel"/>
    <w:tmpl w:val="479321DC"/>
    <w:lvl w:ilvl="0" w:tentative="0">
      <w:start w:val="1"/>
      <w:numFmt w:val="bullet"/>
      <w:pStyle w:val="39"/>
      <w:lvlText w:val=""/>
      <w:lvlJc w:val="left"/>
      <w:pPr>
        <w:ind w:left="720" w:hanging="360"/>
      </w:pPr>
      <w:rPr>
        <w:rFonts w:hint="default" w:ascii="Wingdings 3" w:hAnsi="Wingdings 3"/>
        <w:sz w:val="2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48B20CCA"/>
    <w:multiLevelType w:val="multilevel"/>
    <w:tmpl w:val="48B20CCA"/>
    <w:lvl w:ilvl="0" w:tentative="0">
      <w:start w:val="1"/>
      <w:numFmt w:val="decimal"/>
      <w:lvlText w:val="%1）"/>
      <w:lvlJc w:val="left"/>
      <w:pPr>
        <w:ind w:left="3560" w:hanging="360"/>
      </w:pPr>
      <w:rPr>
        <w:rFonts w:hint="default"/>
      </w:rPr>
    </w:lvl>
    <w:lvl w:ilvl="1" w:tentative="0">
      <w:start w:val="1"/>
      <w:numFmt w:val="lowerLetter"/>
      <w:lvlText w:val="%2)"/>
      <w:lvlJc w:val="left"/>
      <w:pPr>
        <w:ind w:left="4080" w:hanging="440"/>
      </w:pPr>
    </w:lvl>
    <w:lvl w:ilvl="2" w:tentative="0">
      <w:start w:val="1"/>
      <w:numFmt w:val="lowerRoman"/>
      <w:lvlText w:val="%3."/>
      <w:lvlJc w:val="right"/>
      <w:pPr>
        <w:ind w:left="4520" w:hanging="440"/>
      </w:pPr>
    </w:lvl>
    <w:lvl w:ilvl="3" w:tentative="0">
      <w:start w:val="1"/>
      <w:numFmt w:val="decimal"/>
      <w:lvlText w:val="%4."/>
      <w:lvlJc w:val="left"/>
      <w:pPr>
        <w:ind w:left="4960" w:hanging="440"/>
      </w:pPr>
    </w:lvl>
    <w:lvl w:ilvl="4" w:tentative="0">
      <w:start w:val="1"/>
      <w:numFmt w:val="lowerLetter"/>
      <w:lvlText w:val="%5)"/>
      <w:lvlJc w:val="left"/>
      <w:pPr>
        <w:ind w:left="5400" w:hanging="440"/>
      </w:pPr>
    </w:lvl>
    <w:lvl w:ilvl="5" w:tentative="0">
      <w:start w:val="1"/>
      <w:numFmt w:val="lowerRoman"/>
      <w:lvlText w:val="%6."/>
      <w:lvlJc w:val="right"/>
      <w:pPr>
        <w:ind w:left="5840" w:hanging="440"/>
      </w:pPr>
    </w:lvl>
    <w:lvl w:ilvl="6" w:tentative="0">
      <w:start w:val="1"/>
      <w:numFmt w:val="decimal"/>
      <w:lvlText w:val="%7."/>
      <w:lvlJc w:val="left"/>
      <w:pPr>
        <w:ind w:left="6280" w:hanging="440"/>
      </w:pPr>
    </w:lvl>
    <w:lvl w:ilvl="7" w:tentative="0">
      <w:start w:val="1"/>
      <w:numFmt w:val="lowerLetter"/>
      <w:lvlText w:val="%8)"/>
      <w:lvlJc w:val="left"/>
      <w:pPr>
        <w:ind w:left="6720" w:hanging="440"/>
      </w:pPr>
    </w:lvl>
    <w:lvl w:ilvl="8" w:tentative="0">
      <w:start w:val="1"/>
      <w:numFmt w:val="lowerRoman"/>
      <w:lvlText w:val="%9."/>
      <w:lvlJc w:val="right"/>
      <w:pPr>
        <w:ind w:left="7160" w:hanging="440"/>
      </w:pPr>
    </w:lvl>
  </w:abstractNum>
  <w:abstractNum w:abstractNumId="12">
    <w:nsid w:val="662B5102"/>
    <w:multiLevelType w:val="multilevel"/>
    <w:tmpl w:val="662B5102"/>
    <w:lvl w:ilvl="0" w:tentative="0">
      <w:start w:val="1"/>
      <w:numFmt w:val="bullet"/>
      <w:pStyle w:val="93"/>
      <w:lvlText w:val=""/>
      <w:lvlJc w:val="left"/>
      <w:pPr>
        <w:ind w:left="280" w:hanging="280"/>
      </w:pPr>
      <w:rPr>
        <w:rFonts w:hint="default" w:ascii="Symbol" w:hAnsi="Symbol"/>
        <w:b/>
        <w:color w:val="23558C"/>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13">
    <w:nsid w:val="6B531506"/>
    <w:multiLevelType w:val="multilevel"/>
    <w:tmpl w:val="6B531506"/>
    <w:lvl w:ilvl="0" w:tentative="0">
      <w:start w:val="1"/>
      <w:numFmt w:val="upperRoman"/>
      <w:pStyle w:val="99"/>
      <w:lvlText w:val="PART %1."/>
      <w:lvlJc w:val="left"/>
      <w:pPr>
        <w:ind w:left="480" w:hanging="480"/>
      </w:pPr>
      <w:rPr>
        <w:rFonts w:hint="eastAsia"/>
      </w:rPr>
    </w:lvl>
    <w:lvl w:ilvl="1" w:tentative="0">
      <w:start w:val="1"/>
      <w:numFmt w:val="ideographTraditional"/>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ideographTraditional"/>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ideographTraditional"/>
      <w:lvlText w:val="%8、"/>
      <w:lvlJc w:val="left"/>
      <w:pPr>
        <w:ind w:left="3840" w:hanging="480"/>
      </w:pPr>
    </w:lvl>
    <w:lvl w:ilvl="8" w:tentative="0">
      <w:start w:val="1"/>
      <w:numFmt w:val="lowerRoman"/>
      <w:lvlText w:val="%9."/>
      <w:lvlJc w:val="right"/>
      <w:pPr>
        <w:ind w:left="4320" w:hanging="480"/>
      </w:pPr>
    </w:lvl>
  </w:abstractNum>
  <w:abstractNum w:abstractNumId="14">
    <w:nsid w:val="6C4E34EC"/>
    <w:multiLevelType w:val="multilevel"/>
    <w:tmpl w:val="6C4E34EC"/>
    <w:lvl w:ilvl="0" w:tentative="0">
      <w:start w:val="1"/>
      <w:numFmt w:val="bullet"/>
      <w:pStyle w:val="66"/>
      <w:lvlText w:val=""/>
      <w:lvlJc w:val="left"/>
      <w:pPr>
        <w:ind w:left="720" w:hanging="360"/>
      </w:pPr>
      <w:rPr>
        <w:rFonts w:hint="default" w:ascii="Wingdings" w:hAnsi="Wingdings"/>
        <w:b w:val="0"/>
        <w:i w:val="0"/>
        <w:color w:val="86C091"/>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10"/>
  </w:num>
  <w:num w:numId="3">
    <w:abstractNumId w:val="2"/>
  </w:num>
  <w:num w:numId="4">
    <w:abstractNumId w:val="14"/>
  </w:num>
  <w:num w:numId="5">
    <w:abstractNumId w:val="8"/>
  </w:num>
  <w:num w:numId="6">
    <w:abstractNumId w:val="6"/>
  </w:num>
  <w:num w:numId="7">
    <w:abstractNumId w:val="9"/>
  </w:num>
  <w:num w:numId="8">
    <w:abstractNumId w:val="5"/>
  </w:num>
  <w:num w:numId="9">
    <w:abstractNumId w:val="7"/>
  </w:num>
  <w:num w:numId="10">
    <w:abstractNumId w:val="12"/>
  </w:num>
  <w:num w:numId="11">
    <w:abstractNumId w:val="13"/>
  </w:num>
  <w:num w:numId="12">
    <w:abstractNumId w:val="1"/>
  </w:num>
  <w:num w:numId="13">
    <w:abstractNumId w:val="0"/>
  </w:num>
  <w:num w:numId="14">
    <w:abstractNumId w:val="4"/>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B01" w:allStyles="1" w:customStyles="0" w:latentStyles="0" w:stylesInUse="0" w:headingStyles="0" w:numberingStyles="0" w:tableStyles="0" w:directFormattingOnRuns="1" w:directFormattingOnParagraphs="1" w:directFormattingOnNumbering="0" w:directFormattingOnTables="1" w:clearFormatting="1" w:top3HeadingStyles="1" w:visibleStyles="0" w:alternateStyleNames="0"/>
  <w:attachedTemplate r:id="rId1"/>
  <w:documentProtection w:enforcement="0"/>
  <w:defaultTabStop w:val="400"/>
  <w:drawingGridHorizontalSpacing w:val="80"/>
  <w:drawingGridVerticalSpacing w:val="20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PWAFVersion" w:val="5.0"/>
    <w:docVar w:name="EFAAccountID" w:val="1010"/>
    <w:docVar w:name="EFAAnnMonth" w:val="12"/>
    <w:docVar w:name="EFAAnnualise" w:val="False"/>
    <w:docVar w:name="EFAAuthorEmails" w:val="andy.cy.so@htisec.com"/>
    <w:docVar w:name="EFAAuthorIDs" w:val="2081"/>
    <w:docVar w:name="EFAAuthorNames" w:val="Andy So, CFA"/>
    <w:docVar w:name="EFAComputerName" w:val="DESKTOP-RSKMA3J"/>
    <w:docVar w:name="EFACorpID" w:val="-1"/>
    <w:docVar w:name="EFADefaultPriceDate" w:val="True"/>
    <w:docVar w:name="EFADevData" w:val="False"/>
    <w:docVar w:name="EFADisclaimerHiddenTextStyle" w:val="EFADisclaimerHiddenText"/>
    <w:docVar w:name="EFADisclaimerTextStyle" w:val="EFADisclaimerText"/>
    <w:docVar w:name="EFADocID" w:val="38659"/>
    <w:docVar w:name="EFADocTemplateVer" w:val="HaiTong"/>
    <w:docVar w:name="EFAExcelVersion" w:val="14"/>
    <w:docVar w:name="EFAFirstIntOffset" w:val="1"/>
    <w:docVar w:name="EFAGUID" w:val="A0D1E583-EDD7-40CD-ACA9-CF552EE34C59"/>
    <w:docVar w:name="EFAIntEndYear" w:val="0"/>
    <w:docVar w:name="EFAIntPeriodNumber" w:val="0"/>
    <w:docVar w:name="EFAIntStartYear" w:val="0"/>
    <w:docVar w:name="EFALanguageID" w:val="2057"/>
    <w:docVar w:name="EFALastRefreshDate" w:val="20190728 11:52:34"/>
    <w:docVar w:name="EFALogonSvr" w:val="\\DESKTOP-RSKMA3J"/>
    <w:docVar w:name="EFAMarket" w:val="HK"/>
    <w:docVar w:name="EFAOperatingSys" w:val="Windows_NT"/>
    <w:docVar w:name="EFAPageCount" w:val="14"/>
    <w:docVar w:name="EFAPriceDate" w:val="20190727 00:00:00"/>
    <w:docVar w:name="EFASecurityIndex" w:val="0"/>
    <w:docVar w:name="EFAStartYear" w:val="0"/>
    <w:docVar w:name="EFATemplate" w:val="Macro note - HTI.dotx"/>
    <w:docVar w:name="EFATemplateID" w:val="203"/>
    <w:docVar w:name="EFAUnits" w:val="Use Default"/>
    <w:docVar w:name="EFAUseIntTables" w:val="False"/>
    <w:docVar w:name="EFAUserID" w:val="2100"/>
    <w:docVar w:name="EFAUserName" w:val="Nicolas Wang"/>
    <w:docVar w:name="EFAUsrDomain" w:val="DESKTOP-RSKMA3J"/>
    <w:docVar w:name="EFAWinUserName" w:val="zhoulinhong"/>
    <w:docVar w:name="EFAWordVersion" w:val="14"/>
  </w:docVars>
  <w:rsids>
    <w:rsidRoot w:val="00B006B9"/>
    <w:rsid w:val="0000020F"/>
    <w:rsid w:val="00000236"/>
    <w:rsid w:val="0000097F"/>
    <w:rsid w:val="00001979"/>
    <w:rsid w:val="000019ED"/>
    <w:rsid w:val="00001A27"/>
    <w:rsid w:val="00001C0E"/>
    <w:rsid w:val="0000224B"/>
    <w:rsid w:val="00002DDC"/>
    <w:rsid w:val="00003E75"/>
    <w:rsid w:val="00004BAA"/>
    <w:rsid w:val="00004FB5"/>
    <w:rsid w:val="0000558A"/>
    <w:rsid w:val="000063F1"/>
    <w:rsid w:val="0000732D"/>
    <w:rsid w:val="00010774"/>
    <w:rsid w:val="0001184F"/>
    <w:rsid w:val="00013043"/>
    <w:rsid w:val="000130D9"/>
    <w:rsid w:val="00013244"/>
    <w:rsid w:val="00014086"/>
    <w:rsid w:val="000146CB"/>
    <w:rsid w:val="00014976"/>
    <w:rsid w:val="000171D2"/>
    <w:rsid w:val="000201AE"/>
    <w:rsid w:val="00020B7A"/>
    <w:rsid w:val="00021DAC"/>
    <w:rsid w:val="00021DD0"/>
    <w:rsid w:val="00022C11"/>
    <w:rsid w:val="00023367"/>
    <w:rsid w:val="00024F59"/>
    <w:rsid w:val="0002500A"/>
    <w:rsid w:val="00025E71"/>
    <w:rsid w:val="00025F59"/>
    <w:rsid w:val="00026DCC"/>
    <w:rsid w:val="00027183"/>
    <w:rsid w:val="000275CC"/>
    <w:rsid w:val="00027FEF"/>
    <w:rsid w:val="0003028B"/>
    <w:rsid w:val="00032B31"/>
    <w:rsid w:val="000334F3"/>
    <w:rsid w:val="000336AF"/>
    <w:rsid w:val="00033DF7"/>
    <w:rsid w:val="000347D5"/>
    <w:rsid w:val="00034B8E"/>
    <w:rsid w:val="00035535"/>
    <w:rsid w:val="00035E45"/>
    <w:rsid w:val="0003686B"/>
    <w:rsid w:val="00040734"/>
    <w:rsid w:val="00041387"/>
    <w:rsid w:val="00041A6F"/>
    <w:rsid w:val="0004283E"/>
    <w:rsid w:val="00043062"/>
    <w:rsid w:val="00043657"/>
    <w:rsid w:val="0004549E"/>
    <w:rsid w:val="00047D52"/>
    <w:rsid w:val="000516AD"/>
    <w:rsid w:val="00051EC9"/>
    <w:rsid w:val="00052838"/>
    <w:rsid w:val="00052DCF"/>
    <w:rsid w:val="00053BBB"/>
    <w:rsid w:val="00054224"/>
    <w:rsid w:val="00054451"/>
    <w:rsid w:val="00055381"/>
    <w:rsid w:val="000575A3"/>
    <w:rsid w:val="00057779"/>
    <w:rsid w:val="000640E9"/>
    <w:rsid w:val="00065200"/>
    <w:rsid w:val="000700E0"/>
    <w:rsid w:val="00070B53"/>
    <w:rsid w:val="00070F15"/>
    <w:rsid w:val="000729AF"/>
    <w:rsid w:val="0007309A"/>
    <w:rsid w:val="00073BEB"/>
    <w:rsid w:val="000749C7"/>
    <w:rsid w:val="00075B0A"/>
    <w:rsid w:val="00077BA0"/>
    <w:rsid w:val="00080296"/>
    <w:rsid w:val="000810B3"/>
    <w:rsid w:val="00084B49"/>
    <w:rsid w:val="000860EA"/>
    <w:rsid w:val="00086E96"/>
    <w:rsid w:val="00090800"/>
    <w:rsid w:val="00091895"/>
    <w:rsid w:val="000920C4"/>
    <w:rsid w:val="000924C1"/>
    <w:rsid w:val="00094A4C"/>
    <w:rsid w:val="00094FAC"/>
    <w:rsid w:val="000950FF"/>
    <w:rsid w:val="00095F8B"/>
    <w:rsid w:val="00096909"/>
    <w:rsid w:val="00096986"/>
    <w:rsid w:val="00096A8E"/>
    <w:rsid w:val="00096FC5"/>
    <w:rsid w:val="000974BE"/>
    <w:rsid w:val="00097FD4"/>
    <w:rsid w:val="000A0550"/>
    <w:rsid w:val="000A23D4"/>
    <w:rsid w:val="000A2C9D"/>
    <w:rsid w:val="000A30E9"/>
    <w:rsid w:val="000A461B"/>
    <w:rsid w:val="000A6794"/>
    <w:rsid w:val="000A726A"/>
    <w:rsid w:val="000B13C1"/>
    <w:rsid w:val="000B18D6"/>
    <w:rsid w:val="000B2336"/>
    <w:rsid w:val="000B465C"/>
    <w:rsid w:val="000B792D"/>
    <w:rsid w:val="000B7DE2"/>
    <w:rsid w:val="000C02F6"/>
    <w:rsid w:val="000C1F65"/>
    <w:rsid w:val="000C2B68"/>
    <w:rsid w:val="000C2E9E"/>
    <w:rsid w:val="000C39D2"/>
    <w:rsid w:val="000C3D03"/>
    <w:rsid w:val="000C3D77"/>
    <w:rsid w:val="000C4852"/>
    <w:rsid w:val="000C627B"/>
    <w:rsid w:val="000C77D8"/>
    <w:rsid w:val="000C7E1A"/>
    <w:rsid w:val="000D1903"/>
    <w:rsid w:val="000D19B0"/>
    <w:rsid w:val="000D1A3C"/>
    <w:rsid w:val="000E0A01"/>
    <w:rsid w:val="000E1FB8"/>
    <w:rsid w:val="000E35E3"/>
    <w:rsid w:val="000E3E8B"/>
    <w:rsid w:val="000E5287"/>
    <w:rsid w:val="000E664D"/>
    <w:rsid w:val="000E6BA6"/>
    <w:rsid w:val="000F098D"/>
    <w:rsid w:val="000F2165"/>
    <w:rsid w:val="000F2174"/>
    <w:rsid w:val="000F2DBB"/>
    <w:rsid w:val="000F2EEE"/>
    <w:rsid w:val="000F3079"/>
    <w:rsid w:val="000F344B"/>
    <w:rsid w:val="000F3823"/>
    <w:rsid w:val="000F3A9C"/>
    <w:rsid w:val="000F4524"/>
    <w:rsid w:val="000F4B02"/>
    <w:rsid w:val="000F4E66"/>
    <w:rsid w:val="000F4EF6"/>
    <w:rsid w:val="000F58C6"/>
    <w:rsid w:val="000F58F4"/>
    <w:rsid w:val="000F5BDB"/>
    <w:rsid w:val="000F6139"/>
    <w:rsid w:val="000F626D"/>
    <w:rsid w:val="000F6823"/>
    <w:rsid w:val="00100684"/>
    <w:rsid w:val="001009C1"/>
    <w:rsid w:val="00100F5F"/>
    <w:rsid w:val="001029E6"/>
    <w:rsid w:val="00103CDB"/>
    <w:rsid w:val="001059C9"/>
    <w:rsid w:val="0010656E"/>
    <w:rsid w:val="00106DF2"/>
    <w:rsid w:val="00110533"/>
    <w:rsid w:val="00110B26"/>
    <w:rsid w:val="00110FF3"/>
    <w:rsid w:val="00113DC0"/>
    <w:rsid w:val="00114755"/>
    <w:rsid w:val="001154B0"/>
    <w:rsid w:val="0011588A"/>
    <w:rsid w:val="001164AF"/>
    <w:rsid w:val="00116626"/>
    <w:rsid w:val="00117571"/>
    <w:rsid w:val="00117C9F"/>
    <w:rsid w:val="001207E4"/>
    <w:rsid w:val="00120A7B"/>
    <w:rsid w:val="0012100A"/>
    <w:rsid w:val="00123AC1"/>
    <w:rsid w:val="0012412A"/>
    <w:rsid w:val="00124271"/>
    <w:rsid w:val="0012686A"/>
    <w:rsid w:val="00126871"/>
    <w:rsid w:val="00127CD0"/>
    <w:rsid w:val="00130BC2"/>
    <w:rsid w:val="001311FC"/>
    <w:rsid w:val="001326E1"/>
    <w:rsid w:val="0013302A"/>
    <w:rsid w:val="00133D86"/>
    <w:rsid w:val="001345B6"/>
    <w:rsid w:val="00135A41"/>
    <w:rsid w:val="00137678"/>
    <w:rsid w:val="001434AA"/>
    <w:rsid w:val="00145B09"/>
    <w:rsid w:val="00145E14"/>
    <w:rsid w:val="0014788D"/>
    <w:rsid w:val="00147C4A"/>
    <w:rsid w:val="00147D4C"/>
    <w:rsid w:val="00147D9D"/>
    <w:rsid w:val="00150630"/>
    <w:rsid w:val="00150CA3"/>
    <w:rsid w:val="00151197"/>
    <w:rsid w:val="001513EB"/>
    <w:rsid w:val="0015270C"/>
    <w:rsid w:val="00152755"/>
    <w:rsid w:val="001529C2"/>
    <w:rsid w:val="00152A74"/>
    <w:rsid w:val="00153A16"/>
    <w:rsid w:val="00153A6A"/>
    <w:rsid w:val="00153CD1"/>
    <w:rsid w:val="00153D09"/>
    <w:rsid w:val="00155466"/>
    <w:rsid w:val="001565F2"/>
    <w:rsid w:val="00156799"/>
    <w:rsid w:val="001576B2"/>
    <w:rsid w:val="00160306"/>
    <w:rsid w:val="0016407E"/>
    <w:rsid w:val="00164CA4"/>
    <w:rsid w:val="00165FE3"/>
    <w:rsid w:val="001669C8"/>
    <w:rsid w:val="00166E15"/>
    <w:rsid w:val="00167695"/>
    <w:rsid w:val="00170C3B"/>
    <w:rsid w:val="00170DCB"/>
    <w:rsid w:val="001721EC"/>
    <w:rsid w:val="001763B0"/>
    <w:rsid w:val="001771D0"/>
    <w:rsid w:val="001807CA"/>
    <w:rsid w:val="00181893"/>
    <w:rsid w:val="00182B36"/>
    <w:rsid w:val="0018583D"/>
    <w:rsid w:val="00185B06"/>
    <w:rsid w:val="001872F4"/>
    <w:rsid w:val="001875FC"/>
    <w:rsid w:val="00191469"/>
    <w:rsid w:val="001922CB"/>
    <w:rsid w:val="0019345E"/>
    <w:rsid w:val="0019383A"/>
    <w:rsid w:val="00194662"/>
    <w:rsid w:val="00195C32"/>
    <w:rsid w:val="00197CAF"/>
    <w:rsid w:val="001A1911"/>
    <w:rsid w:val="001A2C85"/>
    <w:rsid w:val="001A3692"/>
    <w:rsid w:val="001A4F63"/>
    <w:rsid w:val="001A563D"/>
    <w:rsid w:val="001A571E"/>
    <w:rsid w:val="001A6C17"/>
    <w:rsid w:val="001A7AE5"/>
    <w:rsid w:val="001B0473"/>
    <w:rsid w:val="001B0E69"/>
    <w:rsid w:val="001B1F03"/>
    <w:rsid w:val="001B27A0"/>
    <w:rsid w:val="001B2F6F"/>
    <w:rsid w:val="001B3090"/>
    <w:rsid w:val="001B31CA"/>
    <w:rsid w:val="001B3D32"/>
    <w:rsid w:val="001B3E45"/>
    <w:rsid w:val="001B45FD"/>
    <w:rsid w:val="001B77D2"/>
    <w:rsid w:val="001C020B"/>
    <w:rsid w:val="001C105A"/>
    <w:rsid w:val="001C20AC"/>
    <w:rsid w:val="001C2549"/>
    <w:rsid w:val="001C3243"/>
    <w:rsid w:val="001C3BF9"/>
    <w:rsid w:val="001C3C78"/>
    <w:rsid w:val="001C577A"/>
    <w:rsid w:val="001C5D7B"/>
    <w:rsid w:val="001C62E1"/>
    <w:rsid w:val="001C637C"/>
    <w:rsid w:val="001C7FED"/>
    <w:rsid w:val="001D00D0"/>
    <w:rsid w:val="001D2DEF"/>
    <w:rsid w:val="001D345B"/>
    <w:rsid w:val="001D4C97"/>
    <w:rsid w:val="001D58D6"/>
    <w:rsid w:val="001D663F"/>
    <w:rsid w:val="001D6B4F"/>
    <w:rsid w:val="001D6F5B"/>
    <w:rsid w:val="001D7F4E"/>
    <w:rsid w:val="001E04EA"/>
    <w:rsid w:val="001E0900"/>
    <w:rsid w:val="001E4AE1"/>
    <w:rsid w:val="001E4BA2"/>
    <w:rsid w:val="001E59E2"/>
    <w:rsid w:val="001E60AA"/>
    <w:rsid w:val="001E6C6E"/>
    <w:rsid w:val="001E7BEF"/>
    <w:rsid w:val="001E7FF3"/>
    <w:rsid w:val="001F0651"/>
    <w:rsid w:val="001F1906"/>
    <w:rsid w:val="001F1C59"/>
    <w:rsid w:val="001F3F20"/>
    <w:rsid w:val="001F4135"/>
    <w:rsid w:val="001F5572"/>
    <w:rsid w:val="001F5A51"/>
    <w:rsid w:val="001F75AC"/>
    <w:rsid w:val="00200B71"/>
    <w:rsid w:val="00201113"/>
    <w:rsid w:val="00201302"/>
    <w:rsid w:val="002017C5"/>
    <w:rsid w:val="0020268B"/>
    <w:rsid w:val="00203E93"/>
    <w:rsid w:val="00205F60"/>
    <w:rsid w:val="0020724C"/>
    <w:rsid w:val="00210A0C"/>
    <w:rsid w:val="0021325D"/>
    <w:rsid w:val="00214810"/>
    <w:rsid w:val="00214CA6"/>
    <w:rsid w:val="00215AB9"/>
    <w:rsid w:val="00215D4D"/>
    <w:rsid w:val="002179B7"/>
    <w:rsid w:val="0022007B"/>
    <w:rsid w:val="002207F6"/>
    <w:rsid w:val="00221CAF"/>
    <w:rsid w:val="00221D28"/>
    <w:rsid w:val="002229E1"/>
    <w:rsid w:val="0022396B"/>
    <w:rsid w:val="00225267"/>
    <w:rsid w:val="00225ADD"/>
    <w:rsid w:val="00226246"/>
    <w:rsid w:val="00227B8A"/>
    <w:rsid w:val="00227E8E"/>
    <w:rsid w:val="0023015F"/>
    <w:rsid w:val="002323DB"/>
    <w:rsid w:val="002333C1"/>
    <w:rsid w:val="002334CD"/>
    <w:rsid w:val="00237463"/>
    <w:rsid w:val="002408B0"/>
    <w:rsid w:val="002409CB"/>
    <w:rsid w:val="00240D3A"/>
    <w:rsid w:val="00240FE3"/>
    <w:rsid w:val="0024314C"/>
    <w:rsid w:val="00243985"/>
    <w:rsid w:val="00243BC1"/>
    <w:rsid w:val="00244462"/>
    <w:rsid w:val="00247965"/>
    <w:rsid w:val="00247BCD"/>
    <w:rsid w:val="002501F5"/>
    <w:rsid w:val="00250E07"/>
    <w:rsid w:val="0025139A"/>
    <w:rsid w:val="00251EC5"/>
    <w:rsid w:val="00253320"/>
    <w:rsid w:val="00253D92"/>
    <w:rsid w:val="0025406B"/>
    <w:rsid w:val="00255E22"/>
    <w:rsid w:val="00256095"/>
    <w:rsid w:val="002562BC"/>
    <w:rsid w:val="002567B0"/>
    <w:rsid w:val="00257AC0"/>
    <w:rsid w:val="00257F10"/>
    <w:rsid w:val="00261434"/>
    <w:rsid w:val="002617C7"/>
    <w:rsid w:val="00262A58"/>
    <w:rsid w:val="00262C21"/>
    <w:rsid w:val="0026432E"/>
    <w:rsid w:val="00264B84"/>
    <w:rsid w:val="002666AC"/>
    <w:rsid w:val="00267EFE"/>
    <w:rsid w:val="00273FB3"/>
    <w:rsid w:val="00274E8C"/>
    <w:rsid w:val="00275A6D"/>
    <w:rsid w:val="00275B79"/>
    <w:rsid w:val="00275FBC"/>
    <w:rsid w:val="00276A7D"/>
    <w:rsid w:val="002772E9"/>
    <w:rsid w:val="002777FE"/>
    <w:rsid w:val="00280FB4"/>
    <w:rsid w:val="002817A0"/>
    <w:rsid w:val="00281946"/>
    <w:rsid w:val="0028248E"/>
    <w:rsid w:val="00282B2F"/>
    <w:rsid w:val="00282B6C"/>
    <w:rsid w:val="002833B6"/>
    <w:rsid w:val="002843D0"/>
    <w:rsid w:val="002846D0"/>
    <w:rsid w:val="00284BE9"/>
    <w:rsid w:val="00285753"/>
    <w:rsid w:val="00286353"/>
    <w:rsid w:val="00286E37"/>
    <w:rsid w:val="002870CD"/>
    <w:rsid w:val="00290715"/>
    <w:rsid w:val="00293E45"/>
    <w:rsid w:val="00296000"/>
    <w:rsid w:val="00296930"/>
    <w:rsid w:val="002969CE"/>
    <w:rsid w:val="00297780"/>
    <w:rsid w:val="00297C2B"/>
    <w:rsid w:val="00297EF5"/>
    <w:rsid w:val="002A0BCF"/>
    <w:rsid w:val="002A0FF7"/>
    <w:rsid w:val="002A1AF8"/>
    <w:rsid w:val="002A20F7"/>
    <w:rsid w:val="002A2A17"/>
    <w:rsid w:val="002A2EB2"/>
    <w:rsid w:val="002A30AA"/>
    <w:rsid w:val="002A3710"/>
    <w:rsid w:val="002A3E5A"/>
    <w:rsid w:val="002A5BD9"/>
    <w:rsid w:val="002A7BB7"/>
    <w:rsid w:val="002B03B4"/>
    <w:rsid w:val="002B15B5"/>
    <w:rsid w:val="002B1747"/>
    <w:rsid w:val="002B1CC9"/>
    <w:rsid w:val="002B2C18"/>
    <w:rsid w:val="002B3B08"/>
    <w:rsid w:val="002B40A7"/>
    <w:rsid w:val="002B4AC7"/>
    <w:rsid w:val="002B516B"/>
    <w:rsid w:val="002B6571"/>
    <w:rsid w:val="002B68AF"/>
    <w:rsid w:val="002B709B"/>
    <w:rsid w:val="002C07D1"/>
    <w:rsid w:val="002C0CCE"/>
    <w:rsid w:val="002C0D89"/>
    <w:rsid w:val="002C2D27"/>
    <w:rsid w:val="002C3E56"/>
    <w:rsid w:val="002C4E72"/>
    <w:rsid w:val="002C51E2"/>
    <w:rsid w:val="002C5BFC"/>
    <w:rsid w:val="002C6FAE"/>
    <w:rsid w:val="002D1C70"/>
    <w:rsid w:val="002D2336"/>
    <w:rsid w:val="002D2431"/>
    <w:rsid w:val="002D4A31"/>
    <w:rsid w:val="002D524C"/>
    <w:rsid w:val="002D761C"/>
    <w:rsid w:val="002D78E2"/>
    <w:rsid w:val="002D7CB8"/>
    <w:rsid w:val="002E0E93"/>
    <w:rsid w:val="002E29EA"/>
    <w:rsid w:val="002E2D7C"/>
    <w:rsid w:val="002E400B"/>
    <w:rsid w:val="002E4090"/>
    <w:rsid w:val="002E4D19"/>
    <w:rsid w:val="002E53C1"/>
    <w:rsid w:val="002E6704"/>
    <w:rsid w:val="002E6900"/>
    <w:rsid w:val="002F09F8"/>
    <w:rsid w:val="002F0EEC"/>
    <w:rsid w:val="002F1534"/>
    <w:rsid w:val="002F3F48"/>
    <w:rsid w:val="002F437F"/>
    <w:rsid w:val="002F65E1"/>
    <w:rsid w:val="0030077C"/>
    <w:rsid w:val="003007A4"/>
    <w:rsid w:val="0030101D"/>
    <w:rsid w:val="003015C5"/>
    <w:rsid w:val="0030327A"/>
    <w:rsid w:val="00304467"/>
    <w:rsid w:val="00304E2E"/>
    <w:rsid w:val="003104B3"/>
    <w:rsid w:val="003137DC"/>
    <w:rsid w:val="003142B9"/>
    <w:rsid w:val="003170E4"/>
    <w:rsid w:val="00317AD1"/>
    <w:rsid w:val="003200D1"/>
    <w:rsid w:val="00320995"/>
    <w:rsid w:val="00320FC6"/>
    <w:rsid w:val="003226E3"/>
    <w:rsid w:val="0032349C"/>
    <w:rsid w:val="003246B4"/>
    <w:rsid w:val="003248CF"/>
    <w:rsid w:val="0032665B"/>
    <w:rsid w:val="0032754A"/>
    <w:rsid w:val="0033051D"/>
    <w:rsid w:val="0033069E"/>
    <w:rsid w:val="0033080E"/>
    <w:rsid w:val="00330915"/>
    <w:rsid w:val="00330EE9"/>
    <w:rsid w:val="0033109E"/>
    <w:rsid w:val="00331A3F"/>
    <w:rsid w:val="0033253A"/>
    <w:rsid w:val="0033260F"/>
    <w:rsid w:val="00332816"/>
    <w:rsid w:val="00332B39"/>
    <w:rsid w:val="00333D24"/>
    <w:rsid w:val="00334FEB"/>
    <w:rsid w:val="003353E1"/>
    <w:rsid w:val="00335FB1"/>
    <w:rsid w:val="00336395"/>
    <w:rsid w:val="00337886"/>
    <w:rsid w:val="00337CD7"/>
    <w:rsid w:val="003408AF"/>
    <w:rsid w:val="003418D2"/>
    <w:rsid w:val="00342E7B"/>
    <w:rsid w:val="0034304F"/>
    <w:rsid w:val="00343447"/>
    <w:rsid w:val="00343583"/>
    <w:rsid w:val="00344135"/>
    <w:rsid w:val="00346D6E"/>
    <w:rsid w:val="00347720"/>
    <w:rsid w:val="0035072E"/>
    <w:rsid w:val="003514ED"/>
    <w:rsid w:val="003516DE"/>
    <w:rsid w:val="003519F8"/>
    <w:rsid w:val="00352D75"/>
    <w:rsid w:val="003533A0"/>
    <w:rsid w:val="00353500"/>
    <w:rsid w:val="0035369E"/>
    <w:rsid w:val="00353FA6"/>
    <w:rsid w:val="00356FAA"/>
    <w:rsid w:val="00357B9C"/>
    <w:rsid w:val="00360383"/>
    <w:rsid w:val="00360BD6"/>
    <w:rsid w:val="00360E3F"/>
    <w:rsid w:val="00363BD9"/>
    <w:rsid w:val="00364B54"/>
    <w:rsid w:val="00365E9C"/>
    <w:rsid w:val="00366288"/>
    <w:rsid w:val="00366310"/>
    <w:rsid w:val="00366ED6"/>
    <w:rsid w:val="003677DE"/>
    <w:rsid w:val="00372B4C"/>
    <w:rsid w:val="00373624"/>
    <w:rsid w:val="00373BBC"/>
    <w:rsid w:val="003747D4"/>
    <w:rsid w:val="00375270"/>
    <w:rsid w:val="00375A75"/>
    <w:rsid w:val="00375F8D"/>
    <w:rsid w:val="003807D7"/>
    <w:rsid w:val="0038264E"/>
    <w:rsid w:val="003827A2"/>
    <w:rsid w:val="00382E5B"/>
    <w:rsid w:val="00383DC8"/>
    <w:rsid w:val="003856F2"/>
    <w:rsid w:val="00385A0D"/>
    <w:rsid w:val="0038635C"/>
    <w:rsid w:val="00386CC7"/>
    <w:rsid w:val="00387C20"/>
    <w:rsid w:val="003902FB"/>
    <w:rsid w:val="00392793"/>
    <w:rsid w:val="00393CDF"/>
    <w:rsid w:val="003946A4"/>
    <w:rsid w:val="0039579D"/>
    <w:rsid w:val="00396480"/>
    <w:rsid w:val="003965D7"/>
    <w:rsid w:val="00397950"/>
    <w:rsid w:val="00397E5D"/>
    <w:rsid w:val="003A019D"/>
    <w:rsid w:val="003A0567"/>
    <w:rsid w:val="003A0765"/>
    <w:rsid w:val="003A16B2"/>
    <w:rsid w:val="003A3982"/>
    <w:rsid w:val="003A5479"/>
    <w:rsid w:val="003A5A36"/>
    <w:rsid w:val="003A61BB"/>
    <w:rsid w:val="003A6201"/>
    <w:rsid w:val="003A6448"/>
    <w:rsid w:val="003A76FD"/>
    <w:rsid w:val="003A7A6B"/>
    <w:rsid w:val="003A7FED"/>
    <w:rsid w:val="003B0274"/>
    <w:rsid w:val="003B05D3"/>
    <w:rsid w:val="003B3DFE"/>
    <w:rsid w:val="003B3E37"/>
    <w:rsid w:val="003B42E0"/>
    <w:rsid w:val="003B509D"/>
    <w:rsid w:val="003B69AF"/>
    <w:rsid w:val="003B78FD"/>
    <w:rsid w:val="003B7A01"/>
    <w:rsid w:val="003C2B67"/>
    <w:rsid w:val="003C3701"/>
    <w:rsid w:val="003C3ED1"/>
    <w:rsid w:val="003C50EE"/>
    <w:rsid w:val="003C635C"/>
    <w:rsid w:val="003C6529"/>
    <w:rsid w:val="003C704F"/>
    <w:rsid w:val="003D0442"/>
    <w:rsid w:val="003D0A11"/>
    <w:rsid w:val="003D0FF4"/>
    <w:rsid w:val="003D1349"/>
    <w:rsid w:val="003D2FBC"/>
    <w:rsid w:val="003D5B68"/>
    <w:rsid w:val="003D60E8"/>
    <w:rsid w:val="003E1544"/>
    <w:rsid w:val="003E1742"/>
    <w:rsid w:val="003E1947"/>
    <w:rsid w:val="003E20CF"/>
    <w:rsid w:val="003E46AE"/>
    <w:rsid w:val="003E6A30"/>
    <w:rsid w:val="003E70FD"/>
    <w:rsid w:val="003E7202"/>
    <w:rsid w:val="003E7E4D"/>
    <w:rsid w:val="003F0606"/>
    <w:rsid w:val="003F0B9B"/>
    <w:rsid w:val="003F3133"/>
    <w:rsid w:val="003F3890"/>
    <w:rsid w:val="003F3B50"/>
    <w:rsid w:val="003F3D61"/>
    <w:rsid w:val="003F471A"/>
    <w:rsid w:val="003F6107"/>
    <w:rsid w:val="003F6324"/>
    <w:rsid w:val="00401A4E"/>
    <w:rsid w:val="00401B4F"/>
    <w:rsid w:val="00402599"/>
    <w:rsid w:val="00402B6F"/>
    <w:rsid w:val="00402DAC"/>
    <w:rsid w:val="004040BC"/>
    <w:rsid w:val="00407691"/>
    <w:rsid w:val="00410565"/>
    <w:rsid w:val="00411712"/>
    <w:rsid w:val="00411FBC"/>
    <w:rsid w:val="0041212F"/>
    <w:rsid w:val="0041231B"/>
    <w:rsid w:val="004128B0"/>
    <w:rsid w:val="00415733"/>
    <w:rsid w:val="00420FFA"/>
    <w:rsid w:val="00424051"/>
    <w:rsid w:val="00424323"/>
    <w:rsid w:val="00425738"/>
    <w:rsid w:val="00425799"/>
    <w:rsid w:val="004268E2"/>
    <w:rsid w:val="00426E9A"/>
    <w:rsid w:val="00426F97"/>
    <w:rsid w:val="0043142D"/>
    <w:rsid w:val="004317E7"/>
    <w:rsid w:val="00432736"/>
    <w:rsid w:val="0043381E"/>
    <w:rsid w:val="00436E43"/>
    <w:rsid w:val="00437AE7"/>
    <w:rsid w:val="00437C5D"/>
    <w:rsid w:val="004401E6"/>
    <w:rsid w:val="004419D5"/>
    <w:rsid w:val="00442011"/>
    <w:rsid w:val="004427CF"/>
    <w:rsid w:val="004455BA"/>
    <w:rsid w:val="004459F7"/>
    <w:rsid w:val="00445B35"/>
    <w:rsid w:val="00446E1E"/>
    <w:rsid w:val="00447892"/>
    <w:rsid w:val="00447F55"/>
    <w:rsid w:val="00451B81"/>
    <w:rsid w:val="00451D9F"/>
    <w:rsid w:val="004522CB"/>
    <w:rsid w:val="00453AA2"/>
    <w:rsid w:val="00454315"/>
    <w:rsid w:val="0045656D"/>
    <w:rsid w:val="004614F7"/>
    <w:rsid w:val="0046476B"/>
    <w:rsid w:val="00465CDD"/>
    <w:rsid w:val="00465F11"/>
    <w:rsid w:val="00465F7C"/>
    <w:rsid w:val="00466070"/>
    <w:rsid w:val="00471BD4"/>
    <w:rsid w:val="00471D17"/>
    <w:rsid w:val="00476676"/>
    <w:rsid w:val="00477B76"/>
    <w:rsid w:val="0048066D"/>
    <w:rsid w:val="00480CEB"/>
    <w:rsid w:val="00482B8A"/>
    <w:rsid w:val="00482E33"/>
    <w:rsid w:val="00483D89"/>
    <w:rsid w:val="00484733"/>
    <w:rsid w:val="004858DE"/>
    <w:rsid w:val="00486709"/>
    <w:rsid w:val="00487D32"/>
    <w:rsid w:val="00490D07"/>
    <w:rsid w:val="00491C58"/>
    <w:rsid w:val="004921D5"/>
    <w:rsid w:val="00493228"/>
    <w:rsid w:val="00493ED4"/>
    <w:rsid w:val="004957E9"/>
    <w:rsid w:val="00496F1D"/>
    <w:rsid w:val="004974F4"/>
    <w:rsid w:val="004A16A4"/>
    <w:rsid w:val="004A41E3"/>
    <w:rsid w:val="004A5616"/>
    <w:rsid w:val="004A5666"/>
    <w:rsid w:val="004A58D1"/>
    <w:rsid w:val="004A69D0"/>
    <w:rsid w:val="004A7634"/>
    <w:rsid w:val="004B0D20"/>
    <w:rsid w:val="004B1788"/>
    <w:rsid w:val="004B1AB5"/>
    <w:rsid w:val="004B2AB5"/>
    <w:rsid w:val="004B3CEA"/>
    <w:rsid w:val="004B4238"/>
    <w:rsid w:val="004B6529"/>
    <w:rsid w:val="004B7BB5"/>
    <w:rsid w:val="004C095C"/>
    <w:rsid w:val="004C349E"/>
    <w:rsid w:val="004C4436"/>
    <w:rsid w:val="004C4CA4"/>
    <w:rsid w:val="004C581E"/>
    <w:rsid w:val="004C5D85"/>
    <w:rsid w:val="004C6485"/>
    <w:rsid w:val="004C6B74"/>
    <w:rsid w:val="004D04E2"/>
    <w:rsid w:val="004D07D7"/>
    <w:rsid w:val="004D0B93"/>
    <w:rsid w:val="004D11C3"/>
    <w:rsid w:val="004D179A"/>
    <w:rsid w:val="004D2B04"/>
    <w:rsid w:val="004D3BD5"/>
    <w:rsid w:val="004D414B"/>
    <w:rsid w:val="004D7E88"/>
    <w:rsid w:val="004E1DBE"/>
    <w:rsid w:val="004E2483"/>
    <w:rsid w:val="004E24CF"/>
    <w:rsid w:val="004E42A4"/>
    <w:rsid w:val="004E44EA"/>
    <w:rsid w:val="004E503B"/>
    <w:rsid w:val="004E5961"/>
    <w:rsid w:val="004E6DFD"/>
    <w:rsid w:val="004F01A1"/>
    <w:rsid w:val="004F045F"/>
    <w:rsid w:val="004F10EF"/>
    <w:rsid w:val="004F240C"/>
    <w:rsid w:val="004F2539"/>
    <w:rsid w:val="004F43A8"/>
    <w:rsid w:val="004F4D03"/>
    <w:rsid w:val="004F54F7"/>
    <w:rsid w:val="004F68C4"/>
    <w:rsid w:val="00501811"/>
    <w:rsid w:val="0050337A"/>
    <w:rsid w:val="00504579"/>
    <w:rsid w:val="0050661D"/>
    <w:rsid w:val="00506C1E"/>
    <w:rsid w:val="00507CBE"/>
    <w:rsid w:val="00510770"/>
    <w:rsid w:val="005121D1"/>
    <w:rsid w:val="00512B60"/>
    <w:rsid w:val="00514459"/>
    <w:rsid w:val="0051447F"/>
    <w:rsid w:val="005162B9"/>
    <w:rsid w:val="00516335"/>
    <w:rsid w:val="005168A7"/>
    <w:rsid w:val="0051783A"/>
    <w:rsid w:val="005208AE"/>
    <w:rsid w:val="00521943"/>
    <w:rsid w:val="0052229B"/>
    <w:rsid w:val="005232E3"/>
    <w:rsid w:val="00526866"/>
    <w:rsid w:val="005345BE"/>
    <w:rsid w:val="00535196"/>
    <w:rsid w:val="00535B57"/>
    <w:rsid w:val="00535FC6"/>
    <w:rsid w:val="00537FCA"/>
    <w:rsid w:val="00540A1F"/>
    <w:rsid w:val="00540E1E"/>
    <w:rsid w:val="00541053"/>
    <w:rsid w:val="00541FF6"/>
    <w:rsid w:val="00543C68"/>
    <w:rsid w:val="00546269"/>
    <w:rsid w:val="00546EDD"/>
    <w:rsid w:val="005470AD"/>
    <w:rsid w:val="00547190"/>
    <w:rsid w:val="00547212"/>
    <w:rsid w:val="00550819"/>
    <w:rsid w:val="00551E3D"/>
    <w:rsid w:val="00552ABB"/>
    <w:rsid w:val="00552EA0"/>
    <w:rsid w:val="00553786"/>
    <w:rsid w:val="0055395D"/>
    <w:rsid w:val="00553ED4"/>
    <w:rsid w:val="00554097"/>
    <w:rsid w:val="00554174"/>
    <w:rsid w:val="005554D3"/>
    <w:rsid w:val="00555A69"/>
    <w:rsid w:val="00556102"/>
    <w:rsid w:val="0055730F"/>
    <w:rsid w:val="00560063"/>
    <w:rsid w:val="005600C6"/>
    <w:rsid w:val="00561FC9"/>
    <w:rsid w:val="00564CBC"/>
    <w:rsid w:val="0056504D"/>
    <w:rsid w:val="005654CF"/>
    <w:rsid w:val="005706CD"/>
    <w:rsid w:val="00570BC4"/>
    <w:rsid w:val="00570D9C"/>
    <w:rsid w:val="00570E72"/>
    <w:rsid w:val="00570EC0"/>
    <w:rsid w:val="00571862"/>
    <w:rsid w:val="00571CB9"/>
    <w:rsid w:val="00573577"/>
    <w:rsid w:val="0057520F"/>
    <w:rsid w:val="005779C2"/>
    <w:rsid w:val="00580930"/>
    <w:rsid w:val="00580CF8"/>
    <w:rsid w:val="0058321A"/>
    <w:rsid w:val="00584671"/>
    <w:rsid w:val="005854F9"/>
    <w:rsid w:val="00585ECA"/>
    <w:rsid w:val="0058688D"/>
    <w:rsid w:val="00586ED1"/>
    <w:rsid w:val="00587EA1"/>
    <w:rsid w:val="00590E48"/>
    <w:rsid w:val="00591701"/>
    <w:rsid w:val="00591B49"/>
    <w:rsid w:val="0059391C"/>
    <w:rsid w:val="00594CC3"/>
    <w:rsid w:val="00596D1A"/>
    <w:rsid w:val="0059729D"/>
    <w:rsid w:val="00597D00"/>
    <w:rsid w:val="005A1166"/>
    <w:rsid w:val="005A16E9"/>
    <w:rsid w:val="005A171B"/>
    <w:rsid w:val="005A1749"/>
    <w:rsid w:val="005A1AE3"/>
    <w:rsid w:val="005A1ECE"/>
    <w:rsid w:val="005A4568"/>
    <w:rsid w:val="005A6BC2"/>
    <w:rsid w:val="005A70A6"/>
    <w:rsid w:val="005A77B9"/>
    <w:rsid w:val="005B0456"/>
    <w:rsid w:val="005B0707"/>
    <w:rsid w:val="005B0BAC"/>
    <w:rsid w:val="005B174E"/>
    <w:rsid w:val="005B2D1A"/>
    <w:rsid w:val="005B403B"/>
    <w:rsid w:val="005B4BA6"/>
    <w:rsid w:val="005B5EA9"/>
    <w:rsid w:val="005B63F0"/>
    <w:rsid w:val="005B6506"/>
    <w:rsid w:val="005B6591"/>
    <w:rsid w:val="005C04B0"/>
    <w:rsid w:val="005C1540"/>
    <w:rsid w:val="005C18C3"/>
    <w:rsid w:val="005C1CF1"/>
    <w:rsid w:val="005C31A9"/>
    <w:rsid w:val="005C4930"/>
    <w:rsid w:val="005C4CDC"/>
    <w:rsid w:val="005C61D7"/>
    <w:rsid w:val="005C6F27"/>
    <w:rsid w:val="005D054C"/>
    <w:rsid w:val="005D27B4"/>
    <w:rsid w:val="005D419C"/>
    <w:rsid w:val="005D53CD"/>
    <w:rsid w:val="005D5E45"/>
    <w:rsid w:val="005D6BB5"/>
    <w:rsid w:val="005E2F8C"/>
    <w:rsid w:val="005E322A"/>
    <w:rsid w:val="005E3B8F"/>
    <w:rsid w:val="005E3F8F"/>
    <w:rsid w:val="005E420F"/>
    <w:rsid w:val="005E46DB"/>
    <w:rsid w:val="005E665B"/>
    <w:rsid w:val="005E699B"/>
    <w:rsid w:val="005F1C13"/>
    <w:rsid w:val="005F204A"/>
    <w:rsid w:val="005F2F76"/>
    <w:rsid w:val="005F33EE"/>
    <w:rsid w:val="005F3BA0"/>
    <w:rsid w:val="005F4C10"/>
    <w:rsid w:val="005F5414"/>
    <w:rsid w:val="005F59A7"/>
    <w:rsid w:val="005F5CBE"/>
    <w:rsid w:val="005F6E38"/>
    <w:rsid w:val="0060090A"/>
    <w:rsid w:val="00600D92"/>
    <w:rsid w:val="00600DB7"/>
    <w:rsid w:val="00601EA2"/>
    <w:rsid w:val="00602D99"/>
    <w:rsid w:val="00602DD5"/>
    <w:rsid w:val="006037B8"/>
    <w:rsid w:val="00603F0D"/>
    <w:rsid w:val="00604EA4"/>
    <w:rsid w:val="0060511B"/>
    <w:rsid w:val="0060590D"/>
    <w:rsid w:val="0060756F"/>
    <w:rsid w:val="00607E41"/>
    <w:rsid w:val="006103E2"/>
    <w:rsid w:val="0061378B"/>
    <w:rsid w:val="00613888"/>
    <w:rsid w:val="00613A82"/>
    <w:rsid w:val="00616808"/>
    <w:rsid w:val="006203C0"/>
    <w:rsid w:val="00620A28"/>
    <w:rsid w:val="00620A80"/>
    <w:rsid w:val="00621E59"/>
    <w:rsid w:val="00622772"/>
    <w:rsid w:val="0062285F"/>
    <w:rsid w:val="006229CA"/>
    <w:rsid w:val="006234FF"/>
    <w:rsid w:val="00624FCF"/>
    <w:rsid w:val="00625A26"/>
    <w:rsid w:val="006260CE"/>
    <w:rsid w:val="006260F8"/>
    <w:rsid w:val="0063008E"/>
    <w:rsid w:val="00630818"/>
    <w:rsid w:val="0063311F"/>
    <w:rsid w:val="00633456"/>
    <w:rsid w:val="00633C40"/>
    <w:rsid w:val="00634861"/>
    <w:rsid w:val="00634A29"/>
    <w:rsid w:val="00634D33"/>
    <w:rsid w:val="00634E90"/>
    <w:rsid w:val="00635858"/>
    <w:rsid w:val="00636FAA"/>
    <w:rsid w:val="00636FEA"/>
    <w:rsid w:val="0063744B"/>
    <w:rsid w:val="00637601"/>
    <w:rsid w:val="00637824"/>
    <w:rsid w:val="00640F23"/>
    <w:rsid w:val="00641930"/>
    <w:rsid w:val="00641BC0"/>
    <w:rsid w:val="00643125"/>
    <w:rsid w:val="00644D44"/>
    <w:rsid w:val="00647178"/>
    <w:rsid w:val="0064748B"/>
    <w:rsid w:val="00647698"/>
    <w:rsid w:val="00647E4C"/>
    <w:rsid w:val="00647E9E"/>
    <w:rsid w:val="0065015C"/>
    <w:rsid w:val="00651357"/>
    <w:rsid w:val="00654941"/>
    <w:rsid w:val="006554AB"/>
    <w:rsid w:val="00656A25"/>
    <w:rsid w:val="00657881"/>
    <w:rsid w:val="00657A98"/>
    <w:rsid w:val="0066094D"/>
    <w:rsid w:val="006627A7"/>
    <w:rsid w:val="00665B6E"/>
    <w:rsid w:val="00665CA9"/>
    <w:rsid w:val="00666BD8"/>
    <w:rsid w:val="006671B2"/>
    <w:rsid w:val="006700EB"/>
    <w:rsid w:val="00670489"/>
    <w:rsid w:val="00671B9B"/>
    <w:rsid w:val="006726FB"/>
    <w:rsid w:val="0067272A"/>
    <w:rsid w:val="00672D5A"/>
    <w:rsid w:val="006754D5"/>
    <w:rsid w:val="00675F54"/>
    <w:rsid w:val="00676DE9"/>
    <w:rsid w:val="006772FC"/>
    <w:rsid w:val="00680135"/>
    <w:rsid w:val="0068066B"/>
    <w:rsid w:val="00681037"/>
    <w:rsid w:val="006819DE"/>
    <w:rsid w:val="00682641"/>
    <w:rsid w:val="006832EE"/>
    <w:rsid w:val="00683475"/>
    <w:rsid w:val="00683A2A"/>
    <w:rsid w:val="00683D44"/>
    <w:rsid w:val="00683E9C"/>
    <w:rsid w:val="0068626B"/>
    <w:rsid w:val="00687E1E"/>
    <w:rsid w:val="0069079A"/>
    <w:rsid w:val="00690DED"/>
    <w:rsid w:val="0069142C"/>
    <w:rsid w:val="00692771"/>
    <w:rsid w:val="006939A2"/>
    <w:rsid w:val="00694022"/>
    <w:rsid w:val="00695726"/>
    <w:rsid w:val="006962D7"/>
    <w:rsid w:val="006A091F"/>
    <w:rsid w:val="006A3270"/>
    <w:rsid w:val="006A4D7D"/>
    <w:rsid w:val="006A5DC7"/>
    <w:rsid w:val="006A63C1"/>
    <w:rsid w:val="006A654F"/>
    <w:rsid w:val="006A6A56"/>
    <w:rsid w:val="006A7843"/>
    <w:rsid w:val="006A78F5"/>
    <w:rsid w:val="006B0DB1"/>
    <w:rsid w:val="006B11A7"/>
    <w:rsid w:val="006B1CF6"/>
    <w:rsid w:val="006B1F33"/>
    <w:rsid w:val="006B276F"/>
    <w:rsid w:val="006B5712"/>
    <w:rsid w:val="006B59B3"/>
    <w:rsid w:val="006B5F1F"/>
    <w:rsid w:val="006B62B1"/>
    <w:rsid w:val="006B677D"/>
    <w:rsid w:val="006B72FC"/>
    <w:rsid w:val="006B746D"/>
    <w:rsid w:val="006B797F"/>
    <w:rsid w:val="006C05F9"/>
    <w:rsid w:val="006C09B8"/>
    <w:rsid w:val="006C1052"/>
    <w:rsid w:val="006C2C62"/>
    <w:rsid w:val="006C319B"/>
    <w:rsid w:val="006C34CB"/>
    <w:rsid w:val="006C4687"/>
    <w:rsid w:val="006C5C78"/>
    <w:rsid w:val="006C61E6"/>
    <w:rsid w:val="006C7548"/>
    <w:rsid w:val="006C78AD"/>
    <w:rsid w:val="006D14C1"/>
    <w:rsid w:val="006D14EC"/>
    <w:rsid w:val="006D1E8A"/>
    <w:rsid w:val="006D3905"/>
    <w:rsid w:val="006D3D1D"/>
    <w:rsid w:val="006D3F3A"/>
    <w:rsid w:val="006D56D4"/>
    <w:rsid w:val="006D709B"/>
    <w:rsid w:val="006D7950"/>
    <w:rsid w:val="006D797C"/>
    <w:rsid w:val="006E0668"/>
    <w:rsid w:val="006E0FB2"/>
    <w:rsid w:val="006E3C9A"/>
    <w:rsid w:val="006E4225"/>
    <w:rsid w:val="006E4752"/>
    <w:rsid w:val="006E4B44"/>
    <w:rsid w:val="006E6710"/>
    <w:rsid w:val="006E6A4C"/>
    <w:rsid w:val="006E6C49"/>
    <w:rsid w:val="006E6FA6"/>
    <w:rsid w:val="006E746C"/>
    <w:rsid w:val="006F4323"/>
    <w:rsid w:val="006F5B75"/>
    <w:rsid w:val="006F7F16"/>
    <w:rsid w:val="00700FFC"/>
    <w:rsid w:val="007014EB"/>
    <w:rsid w:val="00701859"/>
    <w:rsid w:val="00701FA5"/>
    <w:rsid w:val="0070263D"/>
    <w:rsid w:val="00702F23"/>
    <w:rsid w:val="0070326F"/>
    <w:rsid w:val="00703F83"/>
    <w:rsid w:val="007056D7"/>
    <w:rsid w:val="00705EB0"/>
    <w:rsid w:val="00706C26"/>
    <w:rsid w:val="00706EC1"/>
    <w:rsid w:val="00707768"/>
    <w:rsid w:val="00710759"/>
    <w:rsid w:val="00710F76"/>
    <w:rsid w:val="00712178"/>
    <w:rsid w:val="0071239E"/>
    <w:rsid w:val="00712606"/>
    <w:rsid w:val="007133D1"/>
    <w:rsid w:val="00714ABF"/>
    <w:rsid w:val="00715528"/>
    <w:rsid w:val="00716363"/>
    <w:rsid w:val="00717115"/>
    <w:rsid w:val="0072046F"/>
    <w:rsid w:val="007207EC"/>
    <w:rsid w:val="0072126C"/>
    <w:rsid w:val="007224DE"/>
    <w:rsid w:val="007234E6"/>
    <w:rsid w:val="00726DA5"/>
    <w:rsid w:val="00730428"/>
    <w:rsid w:val="00731B12"/>
    <w:rsid w:val="00731D6D"/>
    <w:rsid w:val="00732258"/>
    <w:rsid w:val="00733A7D"/>
    <w:rsid w:val="007344D3"/>
    <w:rsid w:val="00735B26"/>
    <w:rsid w:val="0073669C"/>
    <w:rsid w:val="0073677A"/>
    <w:rsid w:val="007371D7"/>
    <w:rsid w:val="0073771D"/>
    <w:rsid w:val="007402BF"/>
    <w:rsid w:val="007405CD"/>
    <w:rsid w:val="007408FD"/>
    <w:rsid w:val="00740E08"/>
    <w:rsid w:val="007414B7"/>
    <w:rsid w:val="00741671"/>
    <w:rsid w:val="00741E18"/>
    <w:rsid w:val="00745155"/>
    <w:rsid w:val="00745FDB"/>
    <w:rsid w:val="00746511"/>
    <w:rsid w:val="00750797"/>
    <w:rsid w:val="007509E8"/>
    <w:rsid w:val="0075187E"/>
    <w:rsid w:val="00752269"/>
    <w:rsid w:val="00752480"/>
    <w:rsid w:val="00752ED0"/>
    <w:rsid w:val="0075313B"/>
    <w:rsid w:val="00753930"/>
    <w:rsid w:val="00753B92"/>
    <w:rsid w:val="0075418A"/>
    <w:rsid w:val="00756CCA"/>
    <w:rsid w:val="0076152D"/>
    <w:rsid w:val="00761FB9"/>
    <w:rsid w:val="007632A8"/>
    <w:rsid w:val="007635F6"/>
    <w:rsid w:val="00764320"/>
    <w:rsid w:val="00764F27"/>
    <w:rsid w:val="00765210"/>
    <w:rsid w:val="00765F03"/>
    <w:rsid w:val="00765F9E"/>
    <w:rsid w:val="00766973"/>
    <w:rsid w:val="0076715E"/>
    <w:rsid w:val="0077482E"/>
    <w:rsid w:val="0077501D"/>
    <w:rsid w:val="00775636"/>
    <w:rsid w:val="00776FDA"/>
    <w:rsid w:val="00781411"/>
    <w:rsid w:val="00781690"/>
    <w:rsid w:val="00783043"/>
    <w:rsid w:val="0078393B"/>
    <w:rsid w:val="007849F9"/>
    <w:rsid w:val="00784ACD"/>
    <w:rsid w:val="00784C5B"/>
    <w:rsid w:val="00784F28"/>
    <w:rsid w:val="0078589A"/>
    <w:rsid w:val="00785D74"/>
    <w:rsid w:val="0078790B"/>
    <w:rsid w:val="00787B46"/>
    <w:rsid w:val="00787E95"/>
    <w:rsid w:val="00791E51"/>
    <w:rsid w:val="007928DE"/>
    <w:rsid w:val="00792CE3"/>
    <w:rsid w:val="007938EA"/>
    <w:rsid w:val="00793AD5"/>
    <w:rsid w:val="00795A24"/>
    <w:rsid w:val="00795AC2"/>
    <w:rsid w:val="00795D4C"/>
    <w:rsid w:val="00796FE4"/>
    <w:rsid w:val="007A03CF"/>
    <w:rsid w:val="007A0AE0"/>
    <w:rsid w:val="007A0C8E"/>
    <w:rsid w:val="007A0ED1"/>
    <w:rsid w:val="007A385B"/>
    <w:rsid w:val="007A42AA"/>
    <w:rsid w:val="007A4335"/>
    <w:rsid w:val="007A5035"/>
    <w:rsid w:val="007A6C47"/>
    <w:rsid w:val="007B14F2"/>
    <w:rsid w:val="007B49B6"/>
    <w:rsid w:val="007B6782"/>
    <w:rsid w:val="007B6957"/>
    <w:rsid w:val="007B7581"/>
    <w:rsid w:val="007B7A7A"/>
    <w:rsid w:val="007C06C1"/>
    <w:rsid w:val="007C070F"/>
    <w:rsid w:val="007C180E"/>
    <w:rsid w:val="007C1812"/>
    <w:rsid w:val="007C1AF4"/>
    <w:rsid w:val="007C29E7"/>
    <w:rsid w:val="007C49CD"/>
    <w:rsid w:val="007C4B87"/>
    <w:rsid w:val="007C56ED"/>
    <w:rsid w:val="007C60BE"/>
    <w:rsid w:val="007C60F0"/>
    <w:rsid w:val="007C75E7"/>
    <w:rsid w:val="007D0947"/>
    <w:rsid w:val="007D0B3A"/>
    <w:rsid w:val="007D20BA"/>
    <w:rsid w:val="007D3B05"/>
    <w:rsid w:val="007D5851"/>
    <w:rsid w:val="007D64F5"/>
    <w:rsid w:val="007D6A4B"/>
    <w:rsid w:val="007D6FBB"/>
    <w:rsid w:val="007D71D0"/>
    <w:rsid w:val="007D7F76"/>
    <w:rsid w:val="007D7FF3"/>
    <w:rsid w:val="007E0534"/>
    <w:rsid w:val="007E0753"/>
    <w:rsid w:val="007E26E2"/>
    <w:rsid w:val="007E3865"/>
    <w:rsid w:val="007E3C27"/>
    <w:rsid w:val="007E429C"/>
    <w:rsid w:val="007E49E1"/>
    <w:rsid w:val="007E744F"/>
    <w:rsid w:val="007E7869"/>
    <w:rsid w:val="007E7F70"/>
    <w:rsid w:val="007F17DD"/>
    <w:rsid w:val="007F239F"/>
    <w:rsid w:val="007F25B0"/>
    <w:rsid w:val="007F276A"/>
    <w:rsid w:val="007F2DA7"/>
    <w:rsid w:val="007F4DC9"/>
    <w:rsid w:val="007F6648"/>
    <w:rsid w:val="007F706B"/>
    <w:rsid w:val="007F79AC"/>
    <w:rsid w:val="008003F4"/>
    <w:rsid w:val="00800589"/>
    <w:rsid w:val="008011EA"/>
    <w:rsid w:val="00802223"/>
    <w:rsid w:val="00802793"/>
    <w:rsid w:val="008029D0"/>
    <w:rsid w:val="00804BE0"/>
    <w:rsid w:val="0080519A"/>
    <w:rsid w:val="00805ED6"/>
    <w:rsid w:val="00806538"/>
    <w:rsid w:val="00806D1E"/>
    <w:rsid w:val="00810151"/>
    <w:rsid w:val="008102A6"/>
    <w:rsid w:val="0081109E"/>
    <w:rsid w:val="00811498"/>
    <w:rsid w:val="00811534"/>
    <w:rsid w:val="00811597"/>
    <w:rsid w:val="00811A5B"/>
    <w:rsid w:val="008120F8"/>
    <w:rsid w:val="008124F4"/>
    <w:rsid w:val="00815141"/>
    <w:rsid w:val="008157EC"/>
    <w:rsid w:val="0081608B"/>
    <w:rsid w:val="00816811"/>
    <w:rsid w:val="00816CE0"/>
    <w:rsid w:val="008205E9"/>
    <w:rsid w:val="00821304"/>
    <w:rsid w:val="00823286"/>
    <w:rsid w:val="0082334C"/>
    <w:rsid w:val="00823B5C"/>
    <w:rsid w:val="008259DF"/>
    <w:rsid w:val="00825F4A"/>
    <w:rsid w:val="00826CA7"/>
    <w:rsid w:val="008271D6"/>
    <w:rsid w:val="00827430"/>
    <w:rsid w:val="008276D2"/>
    <w:rsid w:val="00830CAF"/>
    <w:rsid w:val="00831529"/>
    <w:rsid w:val="00833019"/>
    <w:rsid w:val="008336DD"/>
    <w:rsid w:val="00833FF4"/>
    <w:rsid w:val="00834875"/>
    <w:rsid w:val="008352A7"/>
    <w:rsid w:val="00836421"/>
    <w:rsid w:val="00836F18"/>
    <w:rsid w:val="00837129"/>
    <w:rsid w:val="008372A1"/>
    <w:rsid w:val="00837B3D"/>
    <w:rsid w:val="008433DF"/>
    <w:rsid w:val="008442F5"/>
    <w:rsid w:val="0084438E"/>
    <w:rsid w:val="00844992"/>
    <w:rsid w:val="00844EDE"/>
    <w:rsid w:val="0084555C"/>
    <w:rsid w:val="008472D0"/>
    <w:rsid w:val="0085064A"/>
    <w:rsid w:val="00850BF8"/>
    <w:rsid w:val="00851C99"/>
    <w:rsid w:val="00851FD3"/>
    <w:rsid w:val="00852341"/>
    <w:rsid w:val="00852D66"/>
    <w:rsid w:val="00855A34"/>
    <w:rsid w:val="0085641F"/>
    <w:rsid w:val="008613BF"/>
    <w:rsid w:val="00861A3A"/>
    <w:rsid w:val="00861E51"/>
    <w:rsid w:val="0086276F"/>
    <w:rsid w:val="00862E13"/>
    <w:rsid w:val="00863349"/>
    <w:rsid w:val="00863DAF"/>
    <w:rsid w:val="0086487A"/>
    <w:rsid w:val="00864B11"/>
    <w:rsid w:val="00864B81"/>
    <w:rsid w:val="0086689F"/>
    <w:rsid w:val="00870F1C"/>
    <w:rsid w:val="0087310F"/>
    <w:rsid w:val="00873693"/>
    <w:rsid w:val="00874319"/>
    <w:rsid w:val="00874D24"/>
    <w:rsid w:val="00875335"/>
    <w:rsid w:val="008760E1"/>
    <w:rsid w:val="00877C59"/>
    <w:rsid w:val="008801BA"/>
    <w:rsid w:val="008806D4"/>
    <w:rsid w:val="0088093C"/>
    <w:rsid w:val="00880A4E"/>
    <w:rsid w:val="00881B0F"/>
    <w:rsid w:val="00881B5D"/>
    <w:rsid w:val="0088398F"/>
    <w:rsid w:val="00883CEC"/>
    <w:rsid w:val="008849C6"/>
    <w:rsid w:val="00886B9B"/>
    <w:rsid w:val="00887950"/>
    <w:rsid w:val="00887955"/>
    <w:rsid w:val="00890CDB"/>
    <w:rsid w:val="00891FDB"/>
    <w:rsid w:val="008920E3"/>
    <w:rsid w:val="00892D3F"/>
    <w:rsid w:val="00893041"/>
    <w:rsid w:val="00895031"/>
    <w:rsid w:val="00895E8A"/>
    <w:rsid w:val="00897D5C"/>
    <w:rsid w:val="008A053A"/>
    <w:rsid w:val="008A1623"/>
    <w:rsid w:val="008A3ED4"/>
    <w:rsid w:val="008A4555"/>
    <w:rsid w:val="008A5B6E"/>
    <w:rsid w:val="008A6029"/>
    <w:rsid w:val="008A6FC2"/>
    <w:rsid w:val="008B07CC"/>
    <w:rsid w:val="008B0DBE"/>
    <w:rsid w:val="008B156A"/>
    <w:rsid w:val="008B1576"/>
    <w:rsid w:val="008B25C0"/>
    <w:rsid w:val="008B272B"/>
    <w:rsid w:val="008B3093"/>
    <w:rsid w:val="008B3BC9"/>
    <w:rsid w:val="008B462F"/>
    <w:rsid w:val="008B6ED2"/>
    <w:rsid w:val="008C034F"/>
    <w:rsid w:val="008C0421"/>
    <w:rsid w:val="008C130F"/>
    <w:rsid w:val="008C13D7"/>
    <w:rsid w:val="008C198F"/>
    <w:rsid w:val="008C4022"/>
    <w:rsid w:val="008C55B9"/>
    <w:rsid w:val="008C7E04"/>
    <w:rsid w:val="008D00A2"/>
    <w:rsid w:val="008D00B7"/>
    <w:rsid w:val="008D046B"/>
    <w:rsid w:val="008D04A2"/>
    <w:rsid w:val="008D1C72"/>
    <w:rsid w:val="008D2B18"/>
    <w:rsid w:val="008D360C"/>
    <w:rsid w:val="008D479D"/>
    <w:rsid w:val="008D5CBB"/>
    <w:rsid w:val="008D6ABE"/>
    <w:rsid w:val="008E02C4"/>
    <w:rsid w:val="008E0A2E"/>
    <w:rsid w:val="008E1B77"/>
    <w:rsid w:val="008E2F9B"/>
    <w:rsid w:val="008E3170"/>
    <w:rsid w:val="008E33C0"/>
    <w:rsid w:val="008E3C50"/>
    <w:rsid w:val="008E4920"/>
    <w:rsid w:val="008E5F12"/>
    <w:rsid w:val="008E5F49"/>
    <w:rsid w:val="008F0D41"/>
    <w:rsid w:val="008F11D8"/>
    <w:rsid w:val="008F1B58"/>
    <w:rsid w:val="008F2B0C"/>
    <w:rsid w:val="008F52E0"/>
    <w:rsid w:val="008F56EE"/>
    <w:rsid w:val="008F6392"/>
    <w:rsid w:val="008F63A9"/>
    <w:rsid w:val="008F6ADC"/>
    <w:rsid w:val="008F6EE5"/>
    <w:rsid w:val="009004AA"/>
    <w:rsid w:val="00900647"/>
    <w:rsid w:val="00900F7A"/>
    <w:rsid w:val="009013F5"/>
    <w:rsid w:val="00904623"/>
    <w:rsid w:val="009049C8"/>
    <w:rsid w:val="0090788B"/>
    <w:rsid w:val="009117F0"/>
    <w:rsid w:val="00912B3D"/>
    <w:rsid w:val="0091317C"/>
    <w:rsid w:val="00913433"/>
    <w:rsid w:val="00913F76"/>
    <w:rsid w:val="0091421D"/>
    <w:rsid w:val="009143F7"/>
    <w:rsid w:val="00914EE9"/>
    <w:rsid w:val="00915DDC"/>
    <w:rsid w:val="009160D7"/>
    <w:rsid w:val="00920C04"/>
    <w:rsid w:val="0092240B"/>
    <w:rsid w:val="00922908"/>
    <w:rsid w:val="00922BEA"/>
    <w:rsid w:val="00923797"/>
    <w:rsid w:val="00924F38"/>
    <w:rsid w:val="00927DBB"/>
    <w:rsid w:val="00930445"/>
    <w:rsid w:val="009311CE"/>
    <w:rsid w:val="00932222"/>
    <w:rsid w:val="00932DC8"/>
    <w:rsid w:val="00932DE9"/>
    <w:rsid w:val="00934232"/>
    <w:rsid w:val="00934D58"/>
    <w:rsid w:val="00934EB1"/>
    <w:rsid w:val="00934FDB"/>
    <w:rsid w:val="00935283"/>
    <w:rsid w:val="009352A6"/>
    <w:rsid w:val="009358D9"/>
    <w:rsid w:val="00935F05"/>
    <w:rsid w:val="00937073"/>
    <w:rsid w:val="009411B9"/>
    <w:rsid w:val="00944DC6"/>
    <w:rsid w:val="009468BF"/>
    <w:rsid w:val="0094759D"/>
    <w:rsid w:val="009476DE"/>
    <w:rsid w:val="00954096"/>
    <w:rsid w:val="00955101"/>
    <w:rsid w:val="009552BF"/>
    <w:rsid w:val="009557B6"/>
    <w:rsid w:val="0095597C"/>
    <w:rsid w:val="009566AB"/>
    <w:rsid w:val="00956744"/>
    <w:rsid w:val="00957131"/>
    <w:rsid w:val="00960B97"/>
    <w:rsid w:val="00962ADE"/>
    <w:rsid w:val="00963062"/>
    <w:rsid w:val="00963506"/>
    <w:rsid w:val="00963963"/>
    <w:rsid w:val="009642A3"/>
    <w:rsid w:val="00967118"/>
    <w:rsid w:val="00967931"/>
    <w:rsid w:val="0097094C"/>
    <w:rsid w:val="00972CE0"/>
    <w:rsid w:val="009731D6"/>
    <w:rsid w:val="0097356D"/>
    <w:rsid w:val="009735D2"/>
    <w:rsid w:val="009736D7"/>
    <w:rsid w:val="00974333"/>
    <w:rsid w:val="009743DE"/>
    <w:rsid w:val="0097633E"/>
    <w:rsid w:val="0097686A"/>
    <w:rsid w:val="009772F1"/>
    <w:rsid w:val="00977FEE"/>
    <w:rsid w:val="009801CE"/>
    <w:rsid w:val="009812AA"/>
    <w:rsid w:val="00981726"/>
    <w:rsid w:val="00981943"/>
    <w:rsid w:val="00982EFE"/>
    <w:rsid w:val="00984EDD"/>
    <w:rsid w:val="0098612C"/>
    <w:rsid w:val="009864DF"/>
    <w:rsid w:val="0098686E"/>
    <w:rsid w:val="00986907"/>
    <w:rsid w:val="0099085E"/>
    <w:rsid w:val="00990BF0"/>
    <w:rsid w:val="0099480C"/>
    <w:rsid w:val="00994A9A"/>
    <w:rsid w:val="00995D4D"/>
    <w:rsid w:val="00995E92"/>
    <w:rsid w:val="00996AAC"/>
    <w:rsid w:val="009970F9"/>
    <w:rsid w:val="0099780E"/>
    <w:rsid w:val="009A03A3"/>
    <w:rsid w:val="009A4935"/>
    <w:rsid w:val="009A4E27"/>
    <w:rsid w:val="009A5625"/>
    <w:rsid w:val="009A6A61"/>
    <w:rsid w:val="009B19B4"/>
    <w:rsid w:val="009B1E6D"/>
    <w:rsid w:val="009B30B8"/>
    <w:rsid w:val="009B614A"/>
    <w:rsid w:val="009B6BCE"/>
    <w:rsid w:val="009B7610"/>
    <w:rsid w:val="009C35E1"/>
    <w:rsid w:val="009C3ACD"/>
    <w:rsid w:val="009C5224"/>
    <w:rsid w:val="009C5D54"/>
    <w:rsid w:val="009C63CD"/>
    <w:rsid w:val="009C76B8"/>
    <w:rsid w:val="009D0597"/>
    <w:rsid w:val="009D16A8"/>
    <w:rsid w:val="009D2A8F"/>
    <w:rsid w:val="009D3F59"/>
    <w:rsid w:val="009D4CB6"/>
    <w:rsid w:val="009D6000"/>
    <w:rsid w:val="009D71D0"/>
    <w:rsid w:val="009D7291"/>
    <w:rsid w:val="009D7F09"/>
    <w:rsid w:val="009E0380"/>
    <w:rsid w:val="009E11AD"/>
    <w:rsid w:val="009E250E"/>
    <w:rsid w:val="009E2B8F"/>
    <w:rsid w:val="009E38A0"/>
    <w:rsid w:val="009E3F27"/>
    <w:rsid w:val="009E40CD"/>
    <w:rsid w:val="009E5144"/>
    <w:rsid w:val="009E7854"/>
    <w:rsid w:val="009F2B81"/>
    <w:rsid w:val="009F3412"/>
    <w:rsid w:val="009F399F"/>
    <w:rsid w:val="009F41E5"/>
    <w:rsid w:val="009F4B84"/>
    <w:rsid w:val="009F5B76"/>
    <w:rsid w:val="009F5E85"/>
    <w:rsid w:val="009F62BD"/>
    <w:rsid w:val="009F667A"/>
    <w:rsid w:val="009F68EE"/>
    <w:rsid w:val="00A0269F"/>
    <w:rsid w:val="00A029B0"/>
    <w:rsid w:val="00A0555E"/>
    <w:rsid w:val="00A0603A"/>
    <w:rsid w:val="00A077C5"/>
    <w:rsid w:val="00A07E9F"/>
    <w:rsid w:val="00A108FA"/>
    <w:rsid w:val="00A109FF"/>
    <w:rsid w:val="00A1275A"/>
    <w:rsid w:val="00A12B20"/>
    <w:rsid w:val="00A13DED"/>
    <w:rsid w:val="00A15467"/>
    <w:rsid w:val="00A15859"/>
    <w:rsid w:val="00A167A3"/>
    <w:rsid w:val="00A16E45"/>
    <w:rsid w:val="00A220A2"/>
    <w:rsid w:val="00A23AB7"/>
    <w:rsid w:val="00A24EC6"/>
    <w:rsid w:val="00A25D98"/>
    <w:rsid w:val="00A30D22"/>
    <w:rsid w:val="00A32571"/>
    <w:rsid w:val="00A35C44"/>
    <w:rsid w:val="00A36AC4"/>
    <w:rsid w:val="00A37F08"/>
    <w:rsid w:val="00A40F4A"/>
    <w:rsid w:val="00A41855"/>
    <w:rsid w:val="00A42474"/>
    <w:rsid w:val="00A43113"/>
    <w:rsid w:val="00A43A56"/>
    <w:rsid w:val="00A469B1"/>
    <w:rsid w:val="00A46BAE"/>
    <w:rsid w:val="00A47406"/>
    <w:rsid w:val="00A474ED"/>
    <w:rsid w:val="00A47AD1"/>
    <w:rsid w:val="00A502C7"/>
    <w:rsid w:val="00A5101E"/>
    <w:rsid w:val="00A518E4"/>
    <w:rsid w:val="00A54E3C"/>
    <w:rsid w:val="00A55D34"/>
    <w:rsid w:val="00A56331"/>
    <w:rsid w:val="00A56429"/>
    <w:rsid w:val="00A5693F"/>
    <w:rsid w:val="00A57BB5"/>
    <w:rsid w:val="00A610CE"/>
    <w:rsid w:val="00A630C4"/>
    <w:rsid w:val="00A63499"/>
    <w:rsid w:val="00A6535D"/>
    <w:rsid w:val="00A6698E"/>
    <w:rsid w:val="00A66C44"/>
    <w:rsid w:val="00A702A0"/>
    <w:rsid w:val="00A70D62"/>
    <w:rsid w:val="00A7204F"/>
    <w:rsid w:val="00A728B6"/>
    <w:rsid w:val="00A748D2"/>
    <w:rsid w:val="00A76340"/>
    <w:rsid w:val="00A766C3"/>
    <w:rsid w:val="00A769FE"/>
    <w:rsid w:val="00A7717F"/>
    <w:rsid w:val="00A77BAE"/>
    <w:rsid w:val="00A80990"/>
    <w:rsid w:val="00A80E75"/>
    <w:rsid w:val="00A81DF9"/>
    <w:rsid w:val="00A832FB"/>
    <w:rsid w:val="00A83BC7"/>
    <w:rsid w:val="00A84238"/>
    <w:rsid w:val="00A861EE"/>
    <w:rsid w:val="00A8751B"/>
    <w:rsid w:val="00A875A2"/>
    <w:rsid w:val="00A93235"/>
    <w:rsid w:val="00A96347"/>
    <w:rsid w:val="00A97E9A"/>
    <w:rsid w:val="00AA04F0"/>
    <w:rsid w:val="00AA3A64"/>
    <w:rsid w:val="00AA6479"/>
    <w:rsid w:val="00AB0A54"/>
    <w:rsid w:val="00AB14A9"/>
    <w:rsid w:val="00AB2AB5"/>
    <w:rsid w:val="00AB337B"/>
    <w:rsid w:val="00AB6B96"/>
    <w:rsid w:val="00AB7470"/>
    <w:rsid w:val="00AB7AA7"/>
    <w:rsid w:val="00AC0E4C"/>
    <w:rsid w:val="00AC11C4"/>
    <w:rsid w:val="00AC133B"/>
    <w:rsid w:val="00AC1564"/>
    <w:rsid w:val="00AC1818"/>
    <w:rsid w:val="00AC227D"/>
    <w:rsid w:val="00AC2CDC"/>
    <w:rsid w:val="00AC3F0A"/>
    <w:rsid w:val="00AC5182"/>
    <w:rsid w:val="00AC590D"/>
    <w:rsid w:val="00AC5D5D"/>
    <w:rsid w:val="00AC6E35"/>
    <w:rsid w:val="00AC796C"/>
    <w:rsid w:val="00AC7BD2"/>
    <w:rsid w:val="00AD0245"/>
    <w:rsid w:val="00AD04F0"/>
    <w:rsid w:val="00AD1581"/>
    <w:rsid w:val="00AD1DE8"/>
    <w:rsid w:val="00AD24B4"/>
    <w:rsid w:val="00AD2734"/>
    <w:rsid w:val="00AD2D06"/>
    <w:rsid w:val="00AD3520"/>
    <w:rsid w:val="00AD3BBC"/>
    <w:rsid w:val="00AD6253"/>
    <w:rsid w:val="00AD6310"/>
    <w:rsid w:val="00AD7F41"/>
    <w:rsid w:val="00AE1D91"/>
    <w:rsid w:val="00AE3992"/>
    <w:rsid w:val="00AE56D3"/>
    <w:rsid w:val="00AE5BE3"/>
    <w:rsid w:val="00AE6CAB"/>
    <w:rsid w:val="00AE6EDE"/>
    <w:rsid w:val="00AE70BF"/>
    <w:rsid w:val="00AE77DF"/>
    <w:rsid w:val="00AF009B"/>
    <w:rsid w:val="00AF18E4"/>
    <w:rsid w:val="00AF219E"/>
    <w:rsid w:val="00AF2696"/>
    <w:rsid w:val="00AF2AD8"/>
    <w:rsid w:val="00AF38E9"/>
    <w:rsid w:val="00AF3A97"/>
    <w:rsid w:val="00AF4FDD"/>
    <w:rsid w:val="00AF608F"/>
    <w:rsid w:val="00AF6F59"/>
    <w:rsid w:val="00B0053A"/>
    <w:rsid w:val="00B006B9"/>
    <w:rsid w:val="00B00EE7"/>
    <w:rsid w:val="00B01140"/>
    <w:rsid w:val="00B02045"/>
    <w:rsid w:val="00B04931"/>
    <w:rsid w:val="00B051F8"/>
    <w:rsid w:val="00B0667C"/>
    <w:rsid w:val="00B06B06"/>
    <w:rsid w:val="00B07984"/>
    <w:rsid w:val="00B107CE"/>
    <w:rsid w:val="00B118EB"/>
    <w:rsid w:val="00B126F7"/>
    <w:rsid w:val="00B13DF4"/>
    <w:rsid w:val="00B15A48"/>
    <w:rsid w:val="00B16DBE"/>
    <w:rsid w:val="00B17B0D"/>
    <w:rsid w:val="00B20715"/>
    <w:rsid w:val="00B21427"/>
    <w:rsid w:val="00B22CD8"/>
    <w:rsid w:val="00B22E62"/>
    <w:rsid w:val="00B24A34"/>
    <w:rsid w:val="00B25BB7"/>
    <w:rsid w:val="00B26CC0"/>
    <w:rsid w:val="00B26E58"/>
    <w:rsid w:val="00B315FB"/>
    <w:rsid w:val="00B33824"/>
    <w:rsid w:val="00B341BA"/>
    <w:rsid w:val="00B342BA"/>
    <w:rsid w:val="00B342FA"/>
    <w:rsid w:val="00B37006"/>
    <w:rsid w:val="00B40C36"/>
    <w:rsid w:val="00B42732"/>
    <w:rsid w:val="00B43126"/>
    <w:rsid w:val="00B43723"/>
    <w:rsid w:val="00B4508B"/>
    <w:rsid w:val="00B45322"/>
    <w:rsid w:val="00B4661E"/>
    <w:rsid w:val="00B46C01"/>
    <w:rsid w:val="00B47A38"/>
    <w:rsid w:val="00B5065C"/>
    <w:rsid w:val="00B516D4"/>
    <w:rsid w:val="00B51B91"/>
    <w:rsid w:val="00B51CF1"/>
    <w:rsid w:val="00B52274"/>
    <w:rsid w:val="00B53150"/>
    <w:rsid w:val="00B554CA"/>
    <w:rsid w:val="00B556DA"/>
    <w:rsid w:val="00B561AB"/>
    <w:rsid w:val="00B56359"/>
    <w:rsid w:val="00B56B85"/>
    <w:rsid w:val="00B56E8B"/>
    <w:rsid w:val="00B60541"/>
    <w:rsid w:val="00B6066B"/>
    <w:rsid w:val="00B61A7B"/>
    <w:rsid w:val="00B63D00"/>
    <w:rsid w:val="00B646F2"/>
    <w:rsid w:val="00B64F5F"/>
    <w:rsid w:val="00B677AF"/>
    <w:rsid w:val="00B70836"/>
    <w:rsid w:val="00B724A6"/>
    <w:rsid w:val="00B72AEA"/>
    <w:rsid w:val="00B73D63"/>
    <w:rsid w:val="00B740DB"/>
    <w:rsid w:val="00B75C2D"/>
    <w:rsid w:val="00B76378"/>
    <w:rsid w:val="00B76523"/>
    <w:rsid w:val="00B779A3"/>
    <w:rsid w:val="00B77B9A"/>
    <w:rsid w:val="00B77DF3"/>
    <w:rsid w:val="00B8145D"/>
    <w:rsid w:val="00B821C4"/>
    <w:rsid w:val="00B82347"/>
    <w:rsid w:val="00B826A6"/>
    <w:rsid w:val="00B83A29"/>
    <w:rsid w:val="00B83BD6"/>
    <w:rsid w:val="00B84E01"/>
    <w:rsid w:val="00B8757A"/>
    <w:rsid w:val="00B90DE5"/>
    <w:rsid w:val="00B939FD"/>
    <w:rsid w:val="00B952DD"/>
    <w:rsid w:val="00B9593D"/>
    <w:rsid w:val="00B96024"/>
    <w:rsid w:val="00B96E45"/>
    <w:rsid w:val="00B9729F"/>
    <w:rsid w:val="00BA006E"/>
    <w:rsid w:val="00BA110C"/>
    <w:rsid w:val="00BA23F7"/>
    <w:rsid w:val="00BA3DFB"/>
    <w:rsid w:val="00BA4DAF"/>
    <w:rsid w:val="00BA53AB"/>
    <w:rsid w:val="00BA5875"/>
    <w:rsid w:val="00BA59FB"/>
    <w:rsid w:val="00BA746F"/>
    <w:rsid w:val="00BA7ADC"/>
    <w:rsid w:val="00BB15C0"/>
    <w:rsid w:val="00BB1AB3"/>
    <w:rsid w:val="00BB3511"/>
    <w:rsid w:val="00BB3653"/>
    <w:rsid w:val="00BB3D1F"/>
    <w:rsid w:val="00BB50EF"/>
    <w:rsid w:val="00BB547C"/>
    <w:rsid w:val="00BB5CDE"/>
    <w:rsid w:val="00BB663A"/>
    <w:rsid w:val="00BC03A0"/>
    <w:rsid w:val="00BC0901"/>
    <w:rsid w:val="00BC0BE9"/>
    <w:rsid w:val="00BC1B2A"/>
    <w:rsid w:val="00BC278D"/>
    <w:rsid w:val="00BC2F60"/>
    <w:rsid w:val="00BC3DF7"/>
    <w:rsid w:val="00BC3FF0"/>
    <w:rsid w:val="00BC4E3A"/>
    <w:rsid w:val="00BC55E1"/>
    <w:rsid w:val="00BC5879"/>
    <w:rsid w:val="00BC5E68"/>
    <w:rsid w:val="00BC5FA2"/>
    <w:rsid w:val="00BC726E"/>
    <w:rsid w:val="00BD0140"/>
    <w:rsid w:val="00BD19BF"/>
    <w:rsid w:val="00BD444B"/>
    <w:rsid w:val="00BD45A1"/>
    <w:rsid w:val="00BD4933"/>
    <w:rsid w:val="00BD5EE3"/>
    <w:rsid w:val="00BD7907"/>
    <w:rsid w:val="00BE0730"/>
    <w:rsid w:val="00BE1986"/>
    <w:rsid w:val="00BE211C"/>
    <w:rsid w:val="00BE3047"/>
    <w:rsid w:val="00BE38C9"/>
    <w:rsid w:val="00BE42FB"/>
    <w:rsid w:val="00BE5756"/>
    <w:rsid w:val="00BE657A"/>
    <w:rsid w:val="00BE6F02"/>
    <w:rsid w:val="00BF2D5C"/>
    <w:rsid w:val="00BF3C85"/>
    <w:rsid w:val="00BF425F"/>
    <w:rsid w:val="00BF668F"/>
    <w:rsid w:val="00BF6B22"/>
    <w:rsid w:val="00C03C87"/>
    <w:rsid w:val="00C04A80"/>
    <w:rsid w:val="00C05571"/>
    <w:rsid w:val="00C06235"/>
    <w:rsid w:val="00C07480"/>
    <w:rsid w:val="00C07E3A"/>
    <w:rsid w:val="00C10DF4"/>
    <w:rsid w:val="00C1119D"/>
    <w:rsid w:val="00C11BC3"/>
    <w:rsid w:val="00C11BEE"/>
    <w:rsid w:val="00C12446"/>
    <w:rsid w:val="00C134C5"/>
    <w:rsid w:val="00C13584"/>
    <w:rsid w:val="00C13919"/>
    <w:rsid w:val="00C139EE"/>
    <w:rsid w:val="00C13CE0"/>
    <w:rsid w:val="00C145D4"/>
    <w:rsid w:val="00C150CB"/>
    <w:rsid w:val="00C16FF4"/>
    <w:rsid w:val="00C20CEA"/>
    <w:rsid w:val="00C217A5"/>
    <w:rsid w:val="00C22B4F"/>
    <w:rsid w:val="00C23BAD"/>
    <w:rsid w:val="00C24702"/>
    <w:rsid w:val="00C247B9"/>
    <w:rsid w:val="00C24833"/>
    <w:rsid w:val="00C256EE"/>
    <w:rsid w:val="00C25700"/>
    <w:rsid w:val="00C26927"/>
    <w:rsid w:val="00C27899"/>
    <w:rsid w:val="00C300AC"/>
    <w:rsid w:val="00C30EF4"/>
    <w:rsid w:val="00C31FD3"/>
    <w:rsid w:val="00C324DA"/>
    <w:rsid w:val="00C33D63"/>
    <w:rsid w:val="00C402B6"/>
    <w:rsid w:val="00C4087E"/>
    <w:rsid w:val="00C40F41"/>
    <w:rsid w:val="00C41B0C"/>
    <w:rsid w:val="00C430F8"/>
    <w:rsid w:val="00C439E9"/>
    <w:rsid w:val="00C4424F"/>
    <w:rsid w:val="00C46B02"/>
    <w:rsid w:val="00C47A39"/>
    <w:rsid w:val="00C47D60"/>
    <w:rsid w:val="00C47D70"/>
    <w:rsid w:val="00C50235"/>
    <w:rsid w:val="00C52B39"/>
    <w:rsid w:val="00C53C26"/>
    <w:rsid w:val="00C547B7"/>
    <w:rsid w:val="00C54B6B"/>
    <w:rsid w:val="00C55164"/>
    <w:rsid w:val="00C55C55"/>
    <w:rsid w:val="00C55E58"/>
    <w:rsid w:val="00C56346"/>
    <w:rsid w:val="00C57013"/>
    <w:rsid w:val="00C57F58"/>
    <w:rsid w:val="00C62DCD"/>
    <w:rsid w:val="00C63719"/>
    <w:rsid w:val="00C63AB1"/>
    <w:rsid w:val="00C64010"/>
    <w:rsid w:val="00C64242"/>
    <w:rsid w:val="00C64815"/>
    <w:rsid w:val="00C6550C"/>
    <w:rsid w:val="00C66182"/>
    <w:rsid w:val="00C6630B"/>
    <w:rsid w:val="00C6664A"/>
    <w:rsid w:val="00C675B7"/>
    <w:rsid w:val="00C676E5"/>
    <w:rsid w:val="00C70D01"/>
    <w:rsid w:val="00C7112A"/>
    <w:rsid w:val="00C71718"/>
    <w:rsid w:val="00C71904"/>
    <w:rsid w:val="00C720DE"/>
    <w:rsid w:val="00C72546"/>
    <w:rsid w:val="00C73688"/>
    <w:rsid w:val="00C746A5"/>
    <w:rsid w:val="00C74745"/>
    <w:rsid w:val="00C75573"/>
    <w:rsid w:val="00C75704"/>
    <w:rsid w:val="00C7574E"/>
    <w:rsid w:val="00C75ADD"/>
    <w:rsid w:val="00C81010"/>
    <w:rsid w:val="00C819A6"/>
    <w:rsid w:val="00C81A01"/>
    <w:rsid w:val="00C82085"/>
    <w:rsid w:val="00C823F2"/>
    <w:rsid w:val="00C8347C"/>
    <w:rsid w:val="00C8383F"/>
    <w:rsid w:val="00C839DC"/>
    <w:rsid w:val="00C842FE"/>
    <w:rsid w:val="00C845EB"/>
    <w:rsid w:val="00C8641D"/>
    <w:rsid w:val="00C866C6"/>
    <w:rsid w:val="00C86A89"/>
    <w:rsid w:val="00C86F65"/>
    <w:rsid w:val="00C9093D"/>
    <w:rsid w:val="00C91F21"/>
    <w:rsid w:val="00C93A4E"/>
    <w:rsid w:val="00C94A7B"/>
    <w:rsid w:val="00C95A9C"/>
    <w:rsid w:val="00CA2B69"/>
    <w:rsid w:val="00CA332A"/>
    <w:rsid w:val="00CA3591"/>
    <w:rsid w:val="00CA3A94"/>
    <w:rsid w:val="00CA3E00"/>
    <w:rsid w:val="00CA684F"/>
    <w:rsid w:val="00CA7E34"/>
    <w:rsid w:val="00CB1204"/>
    <w:rsid w:val="00CB218A"/>
    <w:rsid w:val="00CB2CC0"/>
    <w:rsid w:val="00CB2DFD"/>
    <w:rsid w:val="00CB344D"/>
    <w:rsid w:val="00CB514A"/>
    <w:rsid w:val="00CB73B5"/>
    <w:rsid w:val="00CB76EF"/>
    <w:rsid w:val="00CC046B"/>
    <w:rsid w:val="00CC22A7"/>
    <w:rsid w:val="00CC274D"/>
    <w:rsid w:val="00CC31E2"/>
    <w:rsid w:val="00CC5170"/>
    <w:rsid w:val="00CC5EDE"/>
    <w:rsid w:val="00CC6182"/>
    <w:rsid w:val="00CC6DD5"/>
    <w:rsid w:val="00CC7992"/>
    <w:rsid w:val="00CD0F83"/>
    <w:rsid w:val="00CD1F57"/>
    <w:rsid w:val="00CD24EB"/>
    <w:rsid w:val="00CD451A"/>
    <w:rsid w:val="00CD52B2"/>
    <w:rsid w:val="00CD554B"/>
    <w:rsid w:val="00CD5B8F"/>
    <w:rsid w:val="00CD6E99"/>
    <w:rsid w:val="00CE05C9"/>
    <w:rsid w:val="00CE0ED0"/>
    <w:rsid w:val="00CE1DA5"/>
    <w:rsid w:val="00CE2B6B"/>
    <w:rsid w:val="00CE2C2E"/>
    <w:rsid w:val="00CE3183"/>
    <w:rsid w:val="00CE35FC"/>
    <w:rsid w:val="00CE47AB"/>
    <w:rsid w:val="00CE539F"/>
    <w:rsid w:val="00CE55D8"/>
    <w:rsid w:val="00CE5783"/>
    <w:rsid w:val="00CE5E93"/>
    <w:rsid w:val="00CE61F4"/>
    <w:rsid w:val="00CF0592"/>
    <w:rsid w:val="00CF15BC"/>
    <w:rsid w:val="00CF15F2"/>
    <w:rsid w:val="00CF16D6"/>
    <w:rsid w:val="00CF18BE"/>
    <w:rsid w:val="00CF199B"/>
    <w:rsid w:val="00CF277D"/>
    <w:rsid w:val="00CF3B96"/>
    <w:rsid w:val="00CF59C9"/>
    <w:rsid w:val="00CF5E5C"/>
    <w:rsid w:val="00D03123"/>
    <w:rsid w:val="00D033EA"/>
    <w:rsid w:val="00D037DA"/>
    <w:rsid w:val="00D03987"/>
    <w:rsid w:val="00D03DA8"/>
    <w:rsid w:val="00D04B94"/>
    <w:rsid w:val="00D04CB7"/>
    <w:rsid w:val="00D06043"/>
    <w:rsid w:val="00D12D8B"/>
    <w:rsid w:val="00D136E5"/>
    <w:rsid w:val="00D148F1"/>
    <w:rsid w:val="00D149E0"/>
    <w:rsid w:val="00D151FF"/>
    <w:rsid w:val="00D15962"/>
    <w:rsid w:val="00D15F89"/>
    <w:rsid w:val="00D16F8F"/>
    <w:rsid w:val="00D172DA"/>
    <w:rsid w:val="00D1781A"/>
    <w:rsid w:val="00D21943"/>
    <w:rsid w:val="00D222D3"/>
    <w:rsid w:val="00D22F72"/>
    <w:rsid w:val="00D231D5"/>
    <w:rsid w:val="00D2493A"/>
    <w:rsid w:val="00D24A86"/>
    <w:rsid w:val="00D24E76"/>
    <w:rsid w:val="00D24F4A"/>
    <w:rsid w:val="00D272C3"/>
    <w:rsid w:val="00D27520"/>
    <w:rsid w:val="00D31565"/>
    <w:rsid w:val="00D31645"/>
    <w:rsid w:val="00D3443F"/>
    <w:rsid w:val="00D34687"/>
    <w:rsid w:val="00D34911"/>
    <w:rsid w:val="00D36541"/>
    <w:rsid w:val="00D366F4"/>
    <w:rsid w:val="00D36D40"/>
    <w:rsid w:val="00D37962"/>
    <w:rsid w:val="00D40C87"/>
    <w:rsid w:val="00D40EDC"/>
    <w:rsid w:val="00D410EF"/>
    <w:rsid w:val="00D4270C"/>
    <w:rsid w:val="00D42972"/>
    <w:rsid w:val="00D450F3"/>
    <w:rsid w:val="00D45610"/>
    <w:rsid w:val="00D45E85"/>
    <w:rsid w:val="00D46012"/>
    <w:rsid w:val="00D46484"/>
    <w:rsid w:val="00D46F34"/>
    <w:rsid w:val="00D507B7"/>
    <w:rsid w:val="00D51093"/>
    <w:rsid w:val="00D51A51"/>
    <w:rsid w:val="00D52894"/>
    <w:rsid w:val="00D54C4A"/>
    <w:rsid w:val="00D56236"/>
    <w:rsid w:val="00D563AE"/>
    <w:rsid w:val="00D57D4F"/>
    <w:rsid w:val="00D57DB7"/>
    <w:rsid w:val="00D60FAC"/>
    <w:rsid w:val="00D61312"/>
    <w:rsid w:val="00D61D31"/>
    <w:rsid w:val="00D6265D"/>
    <w:rsid w:val="00D63A1D"/>
    <w:rsid w:val="00D649CF"/>
    <w:rsid w:val="00D64FB1"/>
    <w:rsid w:val="00D6637C"/>
    <w:rsid w:val="00D67436"/>
    <w:rsid w:val="00D70B3A"/>
    <w:rsid w:val="00D71850"/>
    <w:rsid w:val="00D731EE"/>
    <w:rsid w:val="00D734D0"/>
    <w:rsid w:val="00D74513"/>
    <w:rsid w:val="00D74B98"/>
    <w:rsid w:val="00D761C2"/>
    <w:rsid w:val="00D764BC"/>
    <w:rsid w:val="00D769B4"/>
    <w:rsid w:val="00D76BDD"/>
    <w:rsid w:val="00D81068"/>
    <w:rsid w:val="00D811F9"/>
    <w:rsid w:val="00D8128D"/>
    <w:rsid w:val="00D82A41"/>
    <w:rsid w:val="00D83134"/>
    <w:rsid w:val="00D840B6"/>
    <w:rsid w:val="00D840BE"/>
    <w:rsid w:val="00D8525F"/>
    <w:rsid w:val="00D856C9"/>
    <w:rsid w:val="00D85E50"/>
    <w:rsid w:val="00D875F3"/>
    <w:rsid w:val="00D87829"/>
    <w:rsid w:val="00D90C06"/>
    <w:rsid w:val="00D91250"/>
    <w:rsid w:val="00D92E24"/>
    <w:rsid w:val="00D93FAE"/>
    <w:rsid w:val="00D94043"/>
    <w:rsid w:val="00D95AA6"/>
    <w:rsid w:val="00D95BBB"/>
    <w:rsid w:val="00D95DA2"/>
    <w:rsid w:val="00D9634B"/>
    <w:rsid w:val="00D974BE"/>
    <w:rsid w:val="00DA0556"/>
    <w:rsid w:val="00DA0E1F"/>
    <w:rsid w:val="00DA0E91"/>
    <w:rsid w:val="00DA2ED0"/>
    <w:rsid w:val="00DA5795"/>
    <w:rsid w:val="00DA63A1"/>
    <w:rsid w:val="00DA6755"/>
    <w:rsid w:val="00DA6AE3"/>
    <w:rsid w:val="00DA6D39"/>
    <w:rsid w:val="00DA72A4"/>
    <w:rsid w:val="00DB0086"/>
    <w:rsid w:val="00DB05C0"/>
    <w:rsid w:val="00DB0846"/>
    <w:rsid w:val="00DB1945"/>
    <w:rsid w:val="00DB1A45"/>
    <w:rsid w:val="00DB39CD"/>
    <w:rsid w:val="00DB42A5"/>
    <w:rsid w:val="00DB4566"/>
    <w:rsid w:val="00DB4CA5"/>
    <w:rsid w:val="00DB5579"/>
    <w:rsid w:val="00DB582C"/>
    <w:rsid w:val="00DB6247"/>
    <w:rsid w:val="00DB7B99"/>
    <w:rsid w:val="00DC0526"/>
    <w:rsid w:val="00DC05CD"/>
    <w:rsid w:val="00DC15AA"/>
    <w:rsid w:val="00DC16A9"/>
    <w:rsid w:val="00DC1B4A"/>
    <w:rsid w:val="00DC26F3"/>
    <w:rsid w:val="00DC2833"/>
    <w:rsid w:val="00DC3031"/>
    <w:rsid w:val="00DC42BD"/>
    <w:rsid w:val="00DC53B9"/>
    <w:rsid w:val="00DC54D4"/>
    <w:rsid w:val="00DC5D39"/>
    <w:rsid w:val="00DC6DA6"/>
    <w:rsid w:val="00DC6F1D"/>
    <w:rsid w:val="00DC72BA"/>
    <w:rsid w:val="00DC7749"/>
    <w:rsid w:val="00DC790A"/>
    <w:rsid w:val="00DC7C03"/>
    <w:rsid w:val="00DD012A"/>
    <w:rsid w:val="00DD0630"/>
    <w:rsid w:val="00DD2540"/>
    <w:rsid w:val="00DD2DF9"/>
    <w:rsid w:val="00DD61C1"/>
    <w:rsid w:val="00DD65CD"/>
    <w:rsid w:val="00DE0A1B"/>
    <w:rsid w:val="00DE109D"/>
    <w:rsid w:val="00DE1D00"/>
    <w:rsid w:val="00DE2114"/>
    <w:rsid w:val="00DE2151"/>
    <w:rsid w:val="00DE2A5D"/>
    <w:rsid w:val="00DE5966"/>
    <w:rsid w:val="00DF053D"/>
    <w:rsid w:val="00DF1E1E"/>
    <w:rsid w:val="00DF45F7"/>
    <w:rsid w:val="00DF5B27"/>
    <w:rsid w:val="00DF5E62"/>
    <w:rsid w:val="00DF62EB"/>
    <w:rsid w:val="00E00B1A"/>
    <w:rsid w:val="00E00BB5"/>
    <w:rsid w:val="00E02523"/>
    <w:rsid w:val="00E026BA"/>
    <w:rsid w:val="00E03417"/>
    <w:rsid w:val="00E03B14"/>
    <w:rsid w:val="00E04368"/>
    <w:rsid w:val="00E044E3"/>
    <w:rsid w:val="00E047B3"/>
    <w:rsid w:val="00E060F9"/>
    <w:rsid w:val="00E075B9"/>
    <w:rsid w:val="00E105AC"/>
    <w:rsid w:val="00E112D0"/>
    <w:rsid w:val="00E1258A"/>
    <w:rsid w:val="00E12D6F"/>
    <w:rsid w:val="00E130B4"/>
    <w:rsid w:val="00E13356"/>
    <w:rsid w:val="00E13B5E"/>
    <w:rsid w:val="00E13BAE"/>
    <w:rsid w:val="00E13CF8"/>
    <w:rsid w:val="00E13E4E"/>
    <w:rsid w:val="00E13F06"/>
    <w:rsid w:val="00E14465"/>
    <w:rsid w:val="00E14935"/>
    <w:rsid w:val="00E21913"/>
    <w:rsid w:val="00E2231A"/>
    <w:rsid w:val="00E22407"/>
    <w:rsid w:val="00E23031"/>
    <w:rsid w:val="00E23901"/>
    <w:rsid w:val="00E24FF2"/>
    <w:rsid w:val="00E30523"/>
    <w:rsid w:val="00E3076A"/>
    <w:rsid w:val="00E3141A"/>
    <w:rsid w:val="00E31B7A"/>
    <w:rsid w:val="00E3267C"/>
    <w:rsid w:val="00E33385"/>
    <w:rsid w:val="00E3347D"/>
    <w:rsid w:val="00E34219"/>
    <w:rsid w:val="00E34981"/>
    <w:rsid w:val="00E3525D"/>
    <w:rsid w:val="00E35902"/>
    <w:rsid w:val="00E36A82"/>
    <w:rsid w:val="00E36E68"/>
    <w:rsid w:val="00E37B9D"/>
    <w:rsid w:val="00E40D18"/>
    <w:rsid w:val="00E43AD4"/>
    <w:rsid w:val="00E44494"/>
    <w:rsid w:val="00E44E7C"/>
    <w:rsid w:val="00E4525B"/>
    <w:rsid w:val="00E46939"/>
    <w:rsid w:val="00E476A3"/>
    <w:rsid w:val="00E51172"/>
    <w:rsid w:val="00E51AD3"/>
    <w:rsid w:val="00E51E14"/>
    <w:rsid w:val="00E528A5"/>
    <w:rsid w:val="00E55C6C"/>
    <w:rsid w:val="00E56D4D"/>
    <w:rsid w:val="00E60005"/>
    <w:rsid w:val="00E60F0A"/>
    <w:rsid w:val="00E663FB"/>
    <w:rsid w:val="00E6700A"/>
    <w:rsid w:val="00E71FF3"/>
    <w:rsid w:val="00E73423"/>
    <w:rsid w:val="00E73754"/>
    <w:rsid w:val="00E74672"/>
    <w:rsid w:val="00E74E8C"/>
    <w:rsid w:val="00E7566C"/>
    <w:rsid w:val="00E75E13"/>
    <w:rsid w:val="00E76521"/>
    <w:rsid w:val="00E7663C"/>
    <w:rsid w:val="00E772D4"/>
    <w:rsid w:val="00E77F4C"/>
    <w:rsid w:val="00E80493"/>
    <w:rsid w:val="00E806C6"/>
    <w:rsid w:val="00E8208F"/>
    <w:rsid w:val="00E82255"/>
    <w:rsid w:val="00E82757"/>
    <w:rsid w:val="00E85DE8"/>
    <w:rsid w:val="00E85E6C"/>
    <w:rsid w:val="00E912F1"/>
    <w:rsid w:val="00E91320"/>
    <w:rsid w:val="00E919C6"/>
    <w:rsid w:val="00E924E8"/>
    <w:rsid w:val="00E96EB7"/>
    <w:rsid w:val="00E97D80"/>
    <w:rsid w:val="00EA0E02"/>
    <w:rsid w:val="00EA1C8E"/>
    <w:rsid w:val="00EA2950"/>
    <w:rsid w:val="00EA2CD4"/>
    <w:rsid w:val="00EA30F0"/>
    <w:rsid w:val="00EA39AF"/>
    <w:rsid w:val="00EA439C"/>
    <w:rsid w:val="00EA6802"/>
    <w:rsid w:val="00EA69AA"/>
    <w:rsid w:val="00EA6A11"/>
    <w:rsid w:val="00EA6C77"/>
    <w:rsid w:val="00EB02B4"/>
    <w:rsid w:val="00EB12CA"/>
    <w:rsid w:val="00EB22F0"/>
    <w:rsid w:val="00EB259D"/>
    <w:rsid w:val="00EB2B2D"/>
    <w:rsid w:val="00EB2E83"/>
    <w:rsid w:val="00EB40ED"/>
    <w:rsid w:val="00EB422B"/>
    <w:rsid w:val="00EB56CD"/>
    <w:rsid w:val="00EB5EB0"/>
    <w:rsid w:val="00EB671E"/>
    <w:rsid w:val="00EB7131"/>
    <w:rsid w:val="00EB75F1"/>
    <w:rsid w:val="00EC0627"/>
    <w:rsid w:val="00EC08E6"/>
    <w:rsid w:val="00EC0BC9"/>
    <w:rsid w:val="00EC10D0"/>
    <w:rsid w:val="00EC3AD3"/>
    <w:rsid w:val="00EC4DE6"/>
    <w:rsid w:val="00EC5F94"/>
    <w:rsid w:val="00EC61CF"/>
    <w:rsid w:val="00EC7B38"/>
    <w:rsid w:val="00EC7BDB"/>
    <w:rsid w:val="00EC7C78"/>
    <w:rsid w:val="00ED00C4"/>
    <w:rsid w:val="00ED224C"/>
    <w:rsid w:val="00ED2B5D"/>
    <w:rsid w:val="00ED4501"/>
    <w:rsid w:val="00ED48C9"/>
    <w:rsid w:val="00ED51D9"/>
    <w:rsid w:val="00ED6D16"/>
    <w:rsid w:val="00ED7773"/>
    <w:rsid w:val="00ED7950"/>
    <w:rsid w:val="00EE1978"/>
    <w:rsid w:val="00EE2014"/>
    <w:rsid w:val="00EE2781"/>
    <w:rsid w:val="00EE2CDE"/>
    <w:rsid w:val="00EE3A25"/>
    <w:rsid w:val="00EE3A3D"/>
    <w:rsid w:val="00EE3DD7"/>
    <w:rsid w:val="00EE5CCC"/>
    <w:rsid w:val="00EE72DF"/>
    <w:rsid w:val="00EE7B1A"/>
    <w:rsid w:val="00EF18CB"/>
    <w:rsid w:val="00EF235D"/>
    <w:rsid w:val="00EF23AF"/>
    <w:rsid w:val="00EF25F7"/>
    <w:rsid w:val="00EF2E9C"/>
    <w:rsid w:val="00EF3182"/>
    <w:rsid w:val="00EF3C31"/>
    <w:rsid w:val="00EF5927"/>
    <w:rsid w:val="00EF6176"/>
    <w:rsid w:val="00EF7D8F"/>
    <w:rsid w:val="00F00043"/>
    <w:rsid w:val="00F0032C"/>
    <w:rsid w:val="00F00C33"/>
    <w:rsid w:val="00F01184"/>
    <w:rsid w:val="00F01234"/>
    <w:rsid w:val="00F02424"/>
    <w:rsid w:val="00F02C9B"/>
    <w:rsid w:val="00F03A18"/>
    <w:rsid w:val="00F044F5"/>
    <w:rsid w:val="00F0497A"/>
    <w:rsid w:val="00F04BD6"/>
    <w:rsid w:val="00F053DC"/>
    <w:rsid w:val="00F05948"/>
    <w:rsid w:val="00F102AD"/>
    <w:rsid w:val="00F1092C"/>
    <w:rsid w:val="00F10A55"/>
    <w:rsid w:val="00F1179A"/>
    <w:rsid w:val="00F1180A"/>
    <w:rsid w:val="00F120C8"/>
    <w:rsid w:val="00F123CA"/>
    <w:rsid w:val="00F12549"/>
    <w:rsid w:val="00F12723"/>
    <w:rsid w:val="00F12E46"/>
    <w:rsid w:val="00F133F1"/>
    <w:rsid w:val="00F13A83"/>
    <w:rsid w:val="00F1524B"/>
    <w:rsid w:val="00F169DB"/>
    <w:rsid w:val="00F170B0"/>
    <w:rsid w:val="00F1772A"/>
    <w:rsid w:val="00F218A0"/>
    <w:rsid w:val="00F21EBF"/>
    <w:rsid w:val="00F21F0F"/>
    <w:rsid w:val="00F23F12"/>
    <w:rsid w:val="00F252D3"/>
    <w:rsid w:val="00F256D1"/>
    <w:rsid w:val="00F27459"/>
    <w:rsid w:val="00F27705"/>
    <w:rsid w:val="00F30CC0"/>
    <w:rsid w:val="00F32BFD"/>
    <w:rsid w:val="00F32FA8"/>
    <w:rsid w:val="00F33E79"/>
    <w:rsid w:val="00F344EE"/>
    <w:rsid w:val="00F34EAD"/>
    <w:rsid w:val="00F353D2"/>
    <w:rsid w:val="00F363B2"/>
    <w:rsid w:val="00F4208D"/>
    <w:rsid w:val="00F42E84"/>
    <w:rsid w:val="00F44026"/>
    <w:rsid w:val="00F45B43"/>
    <w:rsid w:val="00F4678A"/>
    <w:rsid w:val="00F46A7D"/>
    <w:rsid w:val="00F5054D"/>
    <w:rsid w:val="00F51153"/>
    <w:rsid w:val="00F53669"/>
    <w:rsid w:val="00F54B1C"/>
    <w:rsid w:val="00F55DEA"/>
    <w:rsid w:val="00F56C7C"/>
    <w:rsid w:val="00F57666"/>
    <w:rsid w:val="00F60267"/>
    <w:rsid w:val="00F60304"/>
    <w:rsid w:val="00F604A0"/>
    <w:rsid w:val="00F61248"/>
    <w:rsid w:val="00F64195"/>
    <w:rsid w:val="00F65C6C"/>
    <w:rsid w:val="00F65EAD"/>
    <w:rsid w:val="00F66B4E"/>
    <w:rsid w:val="00F67EED"/>
    <w:rsid w:val="00F70294"/>
    <w:rsid w:val="00F7075E"/>
    <w:rsid w:val="00F7089C"/>
    <w:rsid w:val="00F70ED2"/>
    <w:rsid w:val="00F712E4"/>
    <w:rsid w:val="00F715EB"/>
    <w:rsid w:val="00F71DFF"/>
    <w:rsid w:val="00F7264F"/>
    <w:rsid w:val="00F73412"/>
    <w:rsid w:val="00F737C8"/>
    <w:rsid w:val="00F776F8"/>
    <w:rsid w:val="00F77FCE"/>
    <w:rsid w:val="00F81D07"/>
    <w:rsid w:val="00F821DB"/>
    <w:rsid w:val="00F83579"/>
    <w:rsid w:val="00F85263"/>
    <w:rsid w:val="00F85772"/>
    <w:rsid w:val="00F85F67"/>
    <w:rsid w:val="00F86C95"/>
    <w:rsid w:val="00F8706F"/>
    <w:rsid w:val="00F90448"/>
    <w:rsid w:val="00F90D29"/>
    <w:rsid w:val="00F917FF"/>
    <w:rsid w:val="00F93A03"/>
    <w:rsid w:val="00F94D99"/>
    <w:rsid w:val="00F94E89"/>
    <w:rsid w:val="00F95308"/>
    <w:rsid w:val="00FA0819"/>
    <w:rsid w:val="00FA1BC0"/>
    <w:rsid w:val="00FA2298"/>
    <w:rsid w:val="00FA2786"/>
    <w:rsid w:val="00FA2DAD"/>
    <w:rsid w:val="00FA41CF"/>
    <w:rsid w:val="00FA440B"/>
    <w:rsid w:val="00FA5F67"/>
    <w:rsid w:val="00FA5FF1"/>
    <w:rsid w:val="00FA64B9"/>
    <w:rsid w:val="00FA6557"/>
    <w:rsid w:val="00FA6D4D"/>
    <w:rsid w:val="00FA705E"/>
    <w:rsid w:val="00FA73CC"/>
    <w:rsid w:val="00FB0362"/>
    <w:rsid w:val="00FB052F"/>
    <w:rsid w:val="00FB132D"/>
    <w:rsid w:val="00FB1BC9"/>
    <w:rsid w:val="00FB1FEE"/>
    <w:rsid w:val="00FB27C0"/>
    <w:rsid w:val="00FB4401"/>
    <w:rsid w:val="00FB5AA2"/>
    <w:rsid w:val="00FB7A30"/>
    <w:rsid w:val="00FC0073"/>
    <w:rsid w:val="00FC0BF9"/>
    <w:rsid w:val="00FC435B"/>
    <w:rsid w:val="00FC474F"/>
    <w:rsid w:val="00FC5466"/>
    <w:rsid w:val="00FC54F6"/>
    <w:rsid w:val="00FC5E3E"/>
    <w:rsid w:val="00FC628B"/>
    <w:rsid w:val="00FC6339"/>
    <w:rsid w:val="00FC7DA5"/>
    <w:rsid w:val="00FC7E91"/>
    <w:rsid w:val="00FD0780"/>
    <w:rsid w:val="00FD0E83"/>
    <w:rsid w:val="00FD2B5C"/>
    <w:rsid w:val="00FD3120"/>
    <w:rsid w:val="00FD3B9C"/>
    <w:rsid w:val="00FD4102"/>
    <w:rsid w:val="00FD6993"/>
    <w:rsid w:val="00FD6A65"/>
    <w:rsid w:val="00FD7A36"/>
    <w:rsid w:val="00FE0E28"/>
    <w:rsid w:val="00FE0E49"/>
    <w:rsid w:val="00FE0EA2"/>
    <w:rsid w:val="00FE443A"/>
    <w:rsid w:val="00FE4954"/>
    <w:rsid w:val="00FE4B61"/>
    <w:rsid w:val="00FE4BBD"/>
    <w:rsid w:val="00FE5FB5"/>
    <w:rsid w:val="00FE61E2"/>
    <w:rsid w:val="00FE6A57"/>
    <w:rsid w:val="00FE77E4"/>
    <w:rsid w:val="00FF01C2"/>
    <w:rsid w:val="00FF1124"/>
    <w:rsid w:val="00FF22EF"/>
    <w:rsid w:val="00FF2B31"/>
    <w:rsid w:val="00FF35D4"/>
    <w:rsid w:val="00FF55FD"/>
    <w:rsid w:val="00FF5CC4"/>
    <w:rsid w:val="00FF6BF5"/>
    <w:rsid w:val="00FF7280"/>
    <w:rsid w:val="03D66BA6"/>
    <w:rsid w:val="0E0A401C"/>
    <w:rsid w:val="11FD58A0"/>
    <w:rsid w:val="152476E5"/>
    <w:rsid w:val="156B5856"/>
    <w:rsid w:val="17E7195A"/>
    <w:rsid w:val="193C4CB6"/>
    <w:rsid w:val="20362250"/>
    <w:rsid w:val="2D216218"/>
    <w:rsid w:val="307849BD"/>
    <w:rsid w:val="30FA5A3A"/>
    <w:rsid w:val="35E978AA"/>
    <w:rsid w:val="3D001756"/>
    <w:rsid w:val="41E579D9"/>
    <w:rsid w:val="4BB72AB2"/>
    <w:rsid w:val="4D0B5C4E"/>
    <w:rsid w:val="52491E8D"/>
    <w:rsid w:val="57281E1C"/>
    <w:rsid w:val="607E751E"/>
    <w:rsid w:val="63F61AE1"/>
    <w:rsid w:val="65B2419B"/>
    <w:rsid w:val="67A42616"/>
    <w:rsid w:val="68CC1793"/>
    <w:rsid w:val="6ABD123E"/>
    <w:rsid w:val="6F5054C9"/>
    <w:rsid w:val="72326CC5"/>
    <w:rsid w:val="78613BAF"/>
    <w:rsid w:val="7A717F49"/>
    <w:rsid w:val="7BC90EC6"/>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qFormat="1" w:unhideWhenUsed="0" w:uiPriority="99" w:semiHidden="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MS Mincho" w:cs="Times New Roman"/>
      <w:snapToGrid w:val="0"/>
      <w:sz w:val="16"/>
      <w:szCs w:val="16"/>
      <w:lang w:val="en-GB" w:eastAsia="ja-JP" w:bidi="ar-SA"/>
    </w:rPr>
  </w:style>
  <w:style w:type="paragraph" w:styleId="2">
    <w:name w:val="heading 1"/>
    <w:basedOn w:val="1"/>
    <w:next w:val="1"/>
    <w:link w:val="123"/>
    <w:qFormat/>
    <w:uiPriority w:val="0"/>
    <w:pPr>
      <w:keepNext/>
      <w:spacing w:before="240" w:after="60"/>
      <w:outlineLvl w:val="0"/>
    </w:pPr>
    <w:rPr>
      <w:rFonts w:cs="Arial"/>
      <w:b/>
      <w:bCs/>
      <w:kern w:val="32"/>
      <w:sz w:val="24"/>
      <w:szCs w:val="32"/>
    </w:rPr>
  </w:style>
  <w:style w:type="paragraph" w:styleId="3">
    <w:name w:val="heading 2"/>
    <w:basedOn w:val="1"/>
    <w:next w:val="1"/>
    <w:link w:val="156"/>
    <w:qFormat/>
    <w:uiPriority w:val="0"/>
    <w:pPr>
      <w:keepNext/>
      <w:spacing w:before="120" w:after="60"/>
      <w:outlineLvl w:val="1"/>
    </w:pPr>
    <w:rPr>
      <w:rFonts w:cs="Arial"/>
      <w:b/>
      <w:bCs/>
      <w:iCs/>
      <w:sz w:val="20"/>
      <w:szCs w:val="28"/>
    </w:rPr>
  </w:style>
  <w:style w:type="paragraph" w:styleId="4">
    <w:name w:val="heading 3"/>
    <w:basedOn w:val="1"/>
    <w:next w:val="1"/>
    <w:link w:val="140"/>
    <w:qFormat/>
    <w:uiPriority w:val="0"/>
    <w:pPr>
      <w:keepNext/>
      <w:spacing w:before="60" w:after="60"/>
      <w:outlineLvl w:val="2"/>
    </w:pPr>
    <w:rPr>
      <w:rFonts w:cs="Arial"/>
      <w:b/>
      <w:bCs/>
      <w:szCs w:val="26"/>
    </w:rPr>
  </w:style>
  <w:style w:type="paragraph" w:styleId="5">
    <w:name w:val="heading 4"/>
    <w:basedOn w:val="1"/>
    <w:next w:val="1"/>
    <w:link w:val="124"/>
    <w:qFormat/>
    <w:uiPriority w:val="0"/>
    <w:pPr>
      <w:keepNext/>
      <w:keepLines/>
      <w:widowControl w:val="0"/>
      <w:numPr>
        <w:ilvl w:val="3"/>
        <w:numId w:val="1"/>
      </w:numPr>
      <w:spacing w:before="280" w:after="290" w:line="376" w:lineRule="auto"/>
      <w:jc w:val="both"/>
      <w:outlineLvl w:val="3"/>
    </w:pPr>
    <w:rPr>
      <w:rFonts w:ascii="Cambria" w:hAnsi="Cambria" w:eastAsia="宋体"/>
      <w:b/>
      <w:bCs/>
      <w:snapToGrid/>
      <w:kern w:val="2"/>
      <w:sz w:val="28"/>
      <w:szCs w:val="28"/>
      <w:lang w:val="zh-CN" w:eastAsia="zh-CN"/>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widowControl w:val="0"/>
      <w:spacing w:beforeLines="50" w:line="288" w:lineRule="auto"/>
      <w:ind w:left="1199" w:leftChars="1199" w:firstLine="200" w:firstLineChars="200"/>
      <w:jc w:val="both"/>
    </w:pPr>
    <w:rPr>
      <w:rFonts w:ascii="Times New Roman" w:hAnsi="Times New Roman" w:eastAsia="楷体_GB2312"/>
      <w:snapToGrid/>
      <w:kern w:val="2"/>
      <w:sz w:val="21"/>
      <w:szCs w:val="20"/>
      <w:lang w:val="en-US" w:eastAsia="zh-CN"/>
    </w:rPr>
  </w:style>
  <w:style w:type="paragraph" w:styleId="7">
    <w:name w:val="caption"/>
    <w:basedOn w:val="1"/>
    <w:next w:val="1"/>
    <w:qFormat/>
    <w:uiPriority w:val="0"/>
    <w:pPr>
      <w:widowControl w:val="0"/>
      <w:spacing w:before="120" w:line="300" w:lineRule="auto"/>
      <w:ind w:left="2520" w:leftChars="1200"/>
      <w:jc w:val="center"/>
    </w:pPr>
    <w:rPr>
      <w:rFonts w:ascii="楷体_GB2312" w:hAnsi="Arial" w:eastAsia="楷体_GB2312" w:cs="Arial"/>
      <w:b/>
      <w:bCs/>
      <w:snapToGrid/>
      <w:kern w:val="2"/>
      <w:sz w:val="20"/>
      <w:szCs w:val="20"/>
      <w:lang w:val="en-US" w:eastAsia="zh-CN"/>
    </w:rPr>
  </w:style>
  <w:style w:type="paragraph" w:styleId="8">
    <w:name w:val="annotation text"/>
    <w:basedOn w:val="1"/>
    <w:link w:val="136"/>
    <w:qFormat/>
    <w:uiPriority w:val="0"/>
    <w:pPr>
      <w:widowControl w:val="0"/>
    </w:pPr>
    <w:rPr>
      <w:rFonts w:ascii="Times New Roman" w:hAnsi="Times New Roman" w:eastAsia="宋体"/>
      <w:snapToGrid/>
      <w:kern w:val="2"/>
      <w:sz w:val="21"/>
      <w:szCs w:val="24"/>
      <w:lang w:val="zh-CN" w:eastAsia="zh-CN"/>
    </w:rPr>
  </w:style>
  <w:style w:type="paragraph" w:styleId="9">
    <w:name w:val="Body Text 3"/>
    <w:basedOn w:val="1"/>
    <w:link w:val="128"/>
    <w:qFormat/>
    <w:uiPriority w:val="0"/>
    <w:pPr>
      <w:widowControl w:val="0"/>
      <w:jc w:val="both"/>
    </w:pPr>
    <w:rPr>
      <w:rFonts w:ascii="汉仪楷体简" w:hAnsi="Times New Roman" w:eastAsia="汉仪楷体简"/>
      <w:snapToGrid/>
      <w:color w:val="000000"/>
      <w:sz w:val="18"/>
      <w:lang w:val="en-US" w:eastAsia="zh-CN"/>
    </w:rPr>
  </w:style>
  <w:style w:type="paragraph" w:styleId="10">
    <w:name w:val="Body Text"/>
    <w:basedOn w:val="1"/>
    <w:link w:val="125"/>
    <w:qFormat/>
    <w:uiPriority w:val="0"/>
    <w:pPr>
      <w:widowControl w:val="0"/>
      <w:tabs>
        <w:tab w:val="left" w:pos="3045"/>
      </w:tabs>
      <w:ind w:right="7159" w:rightChars="3409"/>
      <w:jc w:val="both"/>
    </w:pPr>
    <w:rPr>
      <w:rFonts w:ascii="Times New Roman" w:hAnsi="Times New Roman" w:eastAsia="宋体"/>
      <w:snapToGrid/>
      <w:kern w:val="2"/>
      <w:sz w:val="21"/>
      <w:szCs w:val="24"/>
      <w:lang w:val="en-US" w:eastAsia="zh-CN"/>
    </w:rPr>
  </w:style>
  <w:style w:type="paragraph" w:styleId="11">
    <w:name w:val="Body Text Indent"/>
    <w:basedOn w:val="1"/>
    <w:link w:val="126"/>
    <w:qFormat/>
    <w:uiPriority w:val="0"/>
    <w:pPr>
      <w:widowControl w:val="0"/>
      <w:ind w:left="3150" w:leftChars="1500"/>
      <w:jc w:val="both"/>
    </w:pPr>
    <w:rPr>
      <w:rFonts w:ascii="汉仪楷体简" w:hAnsi="Times New Roman" w:eastAsia="汉仪楷体简"/>
      <w:snapToGrid/>
      <w:color w:val="000000"/>
      <w:sz w:val="18"/>
      <w:lang w:val="en-US" w:eastAsia="zh-CN"/>
    </w:rPr>
  </w:style>
  <w:style w:type="paragraph" w:styleId="12">
    <w:name w:val="Block Text"/>
    <w:basedOn w:val="1"/>
    <w:qFormat/>
    <w:uiPriority w:val="0"/>
    <w:pPr>
      <w:widowControl w:val="0"/>
      <w:ind w:left="3261" w:leftChars="1553" w:right="55" w:rightChars="26" w:firstLine="1"/>
    </w:pPr>
    <w:rPr>
      <w:rFonts w:ascii="Times New Roman" w:hAnsi="Times New Roman" w:eastAsia="汉仪大黑简"/>
      <w:snapToGrid/>
      <w:color w:val="000000"/>
      <w:kern w:val="2"/>
      <w:sz w:val="18"/>
      <w:szCs w:val="24"/>
      <w:lang w:val="en-US" w:eastAsia="zh-CN"/>
    </w:rPr>
  </w:style>
  <w:style w:type="paragraph" w:styleId="13">
    <w:name w:val="toc 3"/>
    <w:basedOn w:val="1"/>
    <w:next w:val="1"/>
    <w:qFormat/>
    <w:uiPriority w:val="39"/>
    <w:pPr>
      <w:widowControl w:val="0"/>
      <w:tabs>
        <w:tab w:val="left" w:pos="3150"/>
        <w:tab w:val="right" w:leader="dot" w:pos="10537"/>
      </w:tabs>
      <w:spacing w:line="440" w:lineRule="exact"/>
      <w:ind w:left="1700" w:leftChars="1700"/>
      <w:jc w:val="both"/>
    </w:pPr>
    <w:rPr>
      <w:rFonts w:ascii="Arial" w:hAnsi="Arial" w:eastAsia="楷体_GB2312"/>
      <w:snapToGrid/>
      <w:kern w:val="2"/>
      <w:sz w:val="20"/>
      <w:szCs w:val="24"/>
      <w:lang w:val="en-US" w:eastAsia="zh-CN"/>
    </w:rPr>
  </w:style>
  <w:style w:type="paragraph" w:styleId="14">
    <w:name w:val="Date"/>
    <w:basedOn w:val="1"/>
    <w:next w:val="1"/>
    <w:link w:val="131"/>
    <w:qFormat/>
    <w:uiPriority w:val="0"/>
    <w:pPr>
      <w:widowControl w:val="0"/>
      <w:autoSpaceDE w:val="0"/>
      <w:autoSpaceDN w:val="0"/>
      <w:adjustRightInd w:val="0"/>
      <w:jc w:val="both"/>
      <w:textAlignment w:val="baseline"/>
    </w:pPr>
    <w:rPr>
      <w:rFonts w:ascii="宋体" w:hAnsi="Times New Roman" w:eastAsia="宋体"/>
      <w:snapToGrid/>
      <w:kern w:val="2"/>
      <w:sz w:val="28"/>
      <w:szCs w:val="20"/>
      <w:lang w:val="en-US" w:eastAsia="zh-CN"/>
    </w:rPr>
  </w:style>
  <w:style w:type="paragraph" w:styleId="15">
    <w:name w:val="Body Text Indent 2"/>
    <w:basedOn w:val="1"/>
    <w:link w:val="129"/>
    <w:qFormat/>
    <w:uiPriority w:val="0"/>
    <w:pPr>
      <w:widowControl w:val="0"/>
      <w:autoSpaceDE w:val="0"/>
      <w:autoSpaceDN w:val="0"/>
      <w:adjustRightInd w:val="0"/>
      <w:ind w:left="2520" w:leftChars="1200" w:firstLine="360" w:firstLineChars="150"/>
    </w:pPr>
    <w:rPr>
      <w:rFonts w:ascii="楷体_GB2312" w:hAnsi="Times New Roman" w:eastAsia="楷体_GB2312"/>
      <w:snapToGrid/>
      <w:sz w:val="24"/>
      <w:szCs w:val="24"/>
      <w:lang w:val="en-US" w:eastAsia="zh-CN"/>
    </w:rPr>
  </w:style>
  <w:style w:type="paragraph" w:styleId="16">
    <w:name w:val="Balloon Text"/>
    <w:basedOn w:val="1"/>
    <w:link w:val="34"/>
    <w:qFormat/>
    <w:uiPriority w:val="0"/>
    <w:rPr>
      <w:rFonts w:ascii="Tahoma" w:hAnsi="Tahoma" w:cs="Tahoma"/>
    </w:rPr>
  </w:style>
  <w:style w:type="paragraph" w:styleId="17">
    <w:name w:val="footer"/>
    <w:basedOn w:val="1"/>
    <w:qFormat/>
    <w:uiPriority w:val="0"/>
    <w:pPr>
      <w:tabs>
        <w:tab w:val="center" w:pos="4419"/>
        <w:tab w:val="right" w:pos="8838"/>
      </w:tabs>
    </w:pPr>
  </w:style>
  <w:style w:type="paragraph" w:styleId="18">
    <w:name w:val="header"/>
    <w:basedOn w:val="1"/>
    <w:qFormat/>
    <w:uiPriority w:val="0"/>
    <w:pPr>
      <w:tabs>
        <w:tab w:val="center" w:pos="4419"/>
        <w:tab w:val="right" w:pos="8838"/>
      </w:tabs>
    </w:pPr>
  </w:style>
  <w:style w:type="paragraph" w:styleId="19">
    <w:name w:val="toc 1"/>
    <w:basedOn w:val="1"/>
    <w:next w:val="1"/>
    <w:qFormat/>
    <w:uiPriority w:val="39"/>
    <w:pPr>
      <w:widowControl w:val="0"/>
      <w:tabs>
        <w:tab w:val="left" w:pos="2835"/>
        <w:tab w:val="left" w:pos="3325"/>
        <w:tab w:val="right" w:leader="dot" w:pos="10537"/>
      </w:tabs>
      <w:overflowPunct w:val="0"/>
      <w:spacing w:line="440" w:lineRule="exact"/>
      <w:ind w:left="1300" w:leftChars="1300"/>
      <w:jc w:val="both"/>
    </w:pPr>
    <w:rPr>
      <w:rFonts w:ascii="Arial" w:hAnsi="Arial" w:eastAsia="楷体_GB2312"/>
      <w:snapToGrid/>
      <w:kern w:val="2"/>
      <w:sz w:val="21"/>
      <w:szCs w:val="24"/>
      <w:lang w:val="en-US" w:eastAsia="zh-CN"/>
    </w:rPr>
  </w:style>
  <w:style w:type="paragraph" w:styleId="20">
    <w:name w:val="Body Text Indent 3"/>
    <w:basedOn w:val="1"/>
    <w:link w:val="130"/>
    <w:qFormat/>
    <w:uiPriority w:val="0"/>
    <w:pPr>
      <w:framePr w:hSpace="180" w:wrap="around" w:vAnchor="text" w:hAnchor="text" w:xAlign="right" w:y="1"/>
      <w:suppressOverlap/>
      <w:widowControl w:val="0"/>
      <w:spacing w:line="320" w:lineRule="exact"/>
      <w:ind w:left="50" w:leftChars="24" w:firstLine="485" w:firstLineChars="202"/>
      <w:jc w:val="both"/>
    </w:pPr>
    <w:rPr>
      <w:rFonts w:ascii="楷体_GB2312" w:hAnsi="Times New Roman" w:eastAsia="楷体_GB2312"/>
      <w:snapToGrid/>
      <w:color w:val="000000"/>
      <w:kern w:val="2"/>
      <w:sz w:val="24"/>
      <w:szCs w:val="24"/>
      <w:lang w:val="en-US" w:eastAsia="zh-CN"/>
    </w:rPr>
  </w:style>
  <w:style w:type="paragraph" w:styleId="21">
    <w:name w:val="table of figures"/>
    <w:basedOn w:val="1"/>
    <w:next w:val="1"/>
    <w:qFormat/>
    <w:uiPriority w:val="99"/>
    <w:pPr>
      <w:widowControl w:val="0"/>
      <w:spacing w:line="440" w:lineRule="exact"/>
      <w:ind w:left="1300" w:leftChars="1300"/>
    </w:pPr>
    <w:rPr>
      <w:rFonts w:ascii="Arial" w:hAnsi="Arial" w:eastAsia="楷体_GB2312"/>
      <w:snapToGrid/>
      <w:kern w:val="2"/>
      <w:sz w:val="20"/>
      <w:szCs w:val="24"/>
      <w:lang w:val="en-US" w:eastAsia="zh-CN"/>
    </w:rPr>
  </w:style>
  <w:style w:type="paragraph" w:styleId="22">
    <w:name w:val="toc 2"/>
    <w:basedOn w:val="1"/>
    <w:next w:val="1"/>
    <w:qFormat/>
    <w:uiPriority w:val="39"/>
    <w:pPr>
      <w:widowControl w:val="0"/>
      <w:tabs>
        <w:tab w:val="left" w:pos="2835"/>
        <w:tab w:val="right" w:leader="dot" w:pos="10500"/>
      </w:tabs>
      <w:overflowPunct w:val="0"/>
      <w:spacing w:line="440" w:lineRule="exact"/>
      <w:ind w:left="1500" w:leftChars="1500"/>
      <w:jc w:val="both"/>
    </w:pPr>
    <w:rPr>
      <w:rFonts w:ascii="Arial" w:hAnsi="Arial" w:eastAsia="楷体_GB2312"/>
      <w:snapToGrid/>
      <w:kern w:val="2"/>
      <w:sz w:val="20"/>
      <w:szCs w:val="24"/>
      <w:lang w:val="en-US" w:eastAsia="zh-CN"/>
    </w:rPr>
  </w:style>
  <w:style w:type="paragraph" w:styleId="23">
    <w:name w:val="Body Text 2"/>
    <w:basedOn w:val="1"/>
    <w:link w:val="127"/>
    <w:qFormat/>
    <w:uiPriority w:val="0"/>
    <w:pPr>
      <w:widowControl w:val="0"/>
      <w:jc w:val="both"/>
    </w:pPr>
    <w:rPr>
      <w:rFonts w:ascii="Times New Roman" w:hAnsi="Times New Roman" w:eastAsia="汉仪楷体简"/>
      <w:snapToGrid/>
      <w:sz w:val="18"/>
      <w:szCs w:val="24"/>
      <w:lang w:val="en-US" w:eastAsia="zh-CN"/>
    </w:rPr>
  </w:style>
  <w:style w:type="paragraph" w:styleId="24">
    <w:name w:val="Normal (Web)"/>
    <w:basedOn w:val="1"/>
    <w:qFormat/>
    <w:uiPriority w:val="0"/>
    <w:pPr>
      <w:spacing w:before="100" w:beforeAutospacing="1" w:after="100" w:afterAutospacing="1"/>
    </w:pPr>
    <w:rPr>
      <w:rFonts w:ascii="宋体" w:hAnsi="宋体" w:eastAsia="宋体" w:cs="宋体"/>
      <w:snapToGrid/>
      <w:sz w:val="24"/>
      <w:szCs w:val="24"/>
      <w:lang w:val="en-US" w:eastAsia="zh-CN"/>
    </w:rPr>
  </w:style>
  <w:style w:type="paragraph" w:styleId="25">
    <w:name w:val="annotation subject"/>
    <w:basedOn w:val="8"/>
    <w:next w:val="8"/>
    <w:link w:val="137"/>
    <w:qFormat/>
    <w:uiPriority w:val="0"/>
    <w:rPr>
      <w:b/>
      <w:bCs/>
    </w:rPr>
  </w:style>
  <w:style w:type="table" w:styleId="27">
    <w:name w:val="Table Grid"/>
    <w:basedOn w:val="2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qFormat/>
    <w:uiPriority w:val="0"/>
    <w:rPr>
      <w:b/>
      <w:bCs/>
    </w:rPr>
  </w:style>
  <w:style w:type="character" w:styleId="30">
    <w:name w:val="page number"/>
    <w:basedOn w:val="28"/>
    <w:qFormat/>
    <w:uiPriority w:val="0"/>
  </w:style>
  <w:style w:type="character" w:styleId="31">
    <w:name w:val="FollowedHyperlink"/>
    <w:qFormat/>
    <w:uiPriority w:val="0"/>
    <w:rPr>
      <w:color w:val="800080"/>
      <w:u w:val="single"/>
    </w:rPr>
  </w:style>
  <w:style w:type="character" w:styleId="32">
    <w:name w:val="Hyperlink"/>
    <w:basedOn w:val="28"/>
    <w:qFormat/>
    <w:uiPriority w:val="99"/>
    <w:rPr>
      <w:color w:val="0000FF"/>
      <w:u w:val="single"/>
    </w:rPr>
  </w:style>
  <w:style w:type="character" w:styleId="33">
    <w:name w:val="annotation reference"/>
    <w:qFormat/>
    <w:uiPriority w:val="0"/>
    <w:rPr>
      <w:sz w:val="21"/>
      <w:szCs w:val="21"/>
    </w:rPr>
  </w:style>
  <w:style w:type="character" w:customStyle="1" w:styleId="34">
    <w:name w:val="批注框文本 字符"/>
    <w:basedOn w:val="28"/>
    <w:link w:val="16"/>
    <w:qFormat/>
    <w:uiPriority w:val="0"/>
    <w:rPr>
      <w:rFonts w:ascii="Tahoma" w:hAnsi="Tahoma" w:cs="Tahoma"/>
      <w:lang w:eastAsia="ja-JP"/>
    </w:rPr>
  </w:style>
  <w:style w:type="paragraph" w:customStyle="1" w:styleId="35">
    <w:name w:val="EFAFPCompanyName"/>
    <w:next w:val="36"/>
    <w:qFormat/>
    <w:uiPriority w:val="0"/>
    <w:pPr>
      <w:framePr w:w="10858" w:h="1920" w:hRule="exact" w:wrap="around" w:vAnchor="page" w:hAnchor="page" w:x="341" w:y="1107" w:anchorLock="1"/>
      <w:adjustRightInd w:val="0"/>
      <w:snapToGrid w:val="0"/>
    </w:pPr>
    <w:rPr>
      <w:rFonts w:ascii="Calibri" w:hAnsi="Calibri" w:eastAsia="MS Mincho" w:cs="Times New Roman"/>
      <w:b/>
      <w:snapToGrid w:val="0"/>
      <w:sz w:val="36"/>
      <w:szCs w:val="40"/>
      <w:lang w:val="en-US" w:eastAsia="ja-JP" w:bidi="ar-SA"/>
    </w:rPr>
  </w:style>
  <w:style w:type="paragraph" w:customStyle="1" w:styleId="36">
    <w:name w:val="Style EFAFPFrameText_11.5pt + Right"/>
    <w:basedOn w:val="37"/>
    <w:qFormat/>
    <w:uiPriority w:val="0"/>
    <w:pPr>
      <w:framePr w:wrap="around"/>
      <w:jc w:val="right"/>
    </w:pPr>
    <w:rPr>
      <w:bCs/>
      <w:szCs w:val="20"/>
    </w:rPr>
  </w:style>
  <w:style w:type="paragraph" w:customStyle="1" w:styleId="37">
    <w:name w:val="EFAFPFrameText_11.5pt"/>
    <w:basedOn w:val="38"/>
    <w:qFormat/>
    <w:uiPriority w:val="0"/>
    <w:pPr>
      <w:framePr w:h="1520" w:hRule="exact" w:wrap="around" w:x="357" w:y="1072"/>
    </w:pPr>
    <w:rPr>
      <w:color w:val="23558C"/>
    </w:rPr>
  </w:style>
  <w:style w:type="paragraph" w:customStyle="1" w:styleId="38">
    <w:name w:val="EFAFPCompanyInfo"/>
    <w:basedOn w:val="1"/>
    <w:qFormat/>
    <w:uiPriority w:val="0"/>
    <w:pPr>
      <w:framePr w:w="10858" w:h="1920" w:hRule="exact" w:wrap="around" w:vAnchor="page" w:hAnchor="page" w:x="341" w:y="1107" w:anchorLock="1"/>
      <w:adjustRightInd w:val="0"/>
      <w:snapToGrid w:val="0"/>
    </w:pPr>
    <w:rPr>
      <w:b/>
      <w:sz w:val="24"/>
    </w:rPr>
  </w:style>
  <w:style w:type="paragraph" w:customStyle="1" w:styleId="39">
    <w:name w:val="EFABullet"/>
    <w:basedOn w:val="40"/>
    <w:qFormat/>
    <w:uiPriority w:val="0"/>
    <w:pPr>
      <w:numPr>
        <w:ilvl w:val="0"/>
        <w:numId w:val="2"/>
      </w:numPr>
      <w:tabs>
        <w:tab w:val="left" w:pos="480"/>
      </w:tabs>
      <w:ind w:left="192" w:firstLine="0"/>
    </w:pPr>
  </w:style>
  <w:style w:type="paragraph" w:customStyle="1" w:styleId="40">
    <w:name w:val="EFABodyText"/>
    <w:link w:val="56"/>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41">
    <w:name w:val="EFAButton"/>
    <w:basedOn w:val="42"/>
    <w:qFormat/>
    <w:uiPriority w:val="0"/>
    <w:rPr>
      <w:b/>
    </w:rPr>
  </w:style>
  <w:style w:type="paragraph" w:customStyle="1" w:styleId="42">
    <w:name w:val="EFANormal"/>
    <w:link w:val="55"/>
    <w:qFormat/>
    <w:uiPriority w:val="0"/>
    <w:pPr>
      <w:widowControl w:val="0"/>
      <w:adjustRightInd w:val="0"/>
      <w:snapToGrid w:val="0"/>
    </w:pPr>
    <w:rPr>
      <w:rFonts w:ascii="Calibri" w:hAnsi="Calibri" w:eastAsia="MS Mincho" w:cs="Times New Roman"/>
      <w:snapToGrid w:val="0"/>
      <w:sz w:val="16"/>
      <w:szCs w:val="16"/>
      <w:lang w:val="en-US" w:eastAsia="ja-JP" w:bidi="ar-SA"/>
    </w:rPr>
  </w:style>
  <w:style w:type="paragraph" w:customStyle="1" w:styleId="43">
    <w:name w:val="Style EFAFPFrameText_11.5pt_Right"/>
    <w:basedOn w:val="37"/>
    <w:qFormat/>
    <w:uiPriority w:val="0"/>
    <w:pPr>
      <w:framePr w:wrap="around"/>
      <w:jc w:val="right"/>
    </w:pPr>
    <w:rPr>
      <w:bCs/>
      <w:szCs w:val="20"/>
    </w:rPr>
  </w:style>
  <w:style w:type="paragraph" w:customStyle="1" w:styleId="44">
    <w:name w:val="EFADisclaimerText"/>
    <w:basedOn w:val="42"/>
    <w:link w:val="112"/>
    <w:qFormat/>
    <w:uiPriority w:val="99"/>
    <w:pPr>
      <w:jc w:val="both"/>
    </w:pPr>
  </w:style>
  <w:style w:type="paragraph" w:styleId="45">
    <w:name w:val="List Paragraph"/>
    <w:basedOn w:val="1"/>
    <w:qFormat/>
    <w:uiPriority w:val="34"/>
    <w:pPr>
      <w:ind w:left="720"/>
      <w:contextualSpacing/>
    </w:pPr>
  </w:style>
  <w:style w:type="paragraph" w:customStyle="1" w:styleId="46">
    <w:name w:val="EFABullet_Red"/>
    <w:basedOn w:val="47"/>
    <w:qFormat/>
    <w:uiPriority w:val="0"/>
    <w:pPr>
      <w:numPr>
        <w:ilvl w:val="0"/>
        <w:numId w:val="3"/>
      </w:numPr>
      <w:tabs>
        <w:tab w:val="left" w:pos="481"/>
      </w:tabs>
    </w:pPr>
  </w:style>
  <w:style w:type="paragraph" w:customStyle="1" w:styleId="47">
    <w:name w:val="EFAFP_BodyText"/>
    <w:link w:val="57"/>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48">
    <w:name w:val="EFA2ndPageHeader"/>
    <w:basedOn w:val="42"/>
    <w:qFormat/>
    <w:uiPriority w:val="0"/>
    <w:pPr>
      <w:spacing w:before="40" w:after="40"/>
      <w:jc w:val="right"/>
    </w:pPr>
    <w:rPr>
      <w:color w:val="FF0000"/>
      <w:sz w:val="24"/>
    </w:rPr>
  </w:style>
  <w:style w:type="paragraph" w:customStyle="1" w:styleId="49">
    <w:name w:val="EFAPageFooter"/>
    <w:basedOn w:val="42"/>
    <w:qFormat/>
    <w:uiPriority w:val="0"/>
    <w:pPr>
      <w:framePr w:wrap="around" w:vAnchor="page" w:hAnchor="page" w:x="347" w:y="15481"/>
      <w:suppressOverlap/>
      <w:tabs>
        <w:tab w:val="center" w:pos="5165"/>
      </w:tabs>
    </w:pPr>
    <w:rPr>
      <w:b/>
      <w:sz w:val="20"/>
      <w:szCs w:val="20"/>
    </w:rPr>
  </w:style>
  <w:style w:type="paragraph" w:customStyle="1" w:styleId="50">
    <w:name w:val="EFAPageHeader"/>
    <w:basedOn w:val="42"/>
    <w:qFormat/>
    <w:uiPriority w:val="0"/>
    <w:pPr>
      <w:tabs>
        <w:tab w:val="right" w:pos="10692"/>
      </w:tabs>
      <w:spacing w:before="40" w:after="40"/>
    </w:pPr>
    <w:rPr>
      <w:b/>
      <w:bCs/>
      <w:color w:val="005BAC"/>
      <w:sz w:val="24"/>
    </w:rPr>
  </w:style>
  <w:style w:type="paragraph" w:customStyle="1" w:styleId="51">
    <w:name w:val="EFAHiddenBookmark"/>
    <w:basedOn w:val="1"/>
    <w:link w:val="52"/>
    <w:qFormat/>
    <w:uiPriority w:val="99"/>
    <w:pPr>
      <w:adjustRightInd w:val="0"/>
      <w:snapToGrid w:val="0"/>
      <w:spacing w:after="40" w:line="180" w:lineRule="exact"/>
    </w:pPr>
    <w:rPr>
      <w:rFonts w:ascii="Arial" w:hAnsi="Arial" w:eastAsia="Times New Roman"/>
      <w:vanish/>
      <w:kern w:val="2"/>
      <w:sz w:val="14"/>
      <w:szCs w:val="19"/>
      <w:lang w:eastAsia="en-US"/>
    </w:rPr>
  </w:style>
  <w:style w:type="character" w:customStyle="1" w:styleId="52">
    <w:name w:val="EFAHiddenBookmark Char"/>
    <w:link w:val="51"/>
    <w:qFormat/>
    <w:uiPriority w:val="99"/>
    <w:rPr>
      <w:rFonts w:ascii="Arial" w:hAnsi="Arial" w:eastAsia="Times New Roman"/>
      <w:vanish/>
      <w:kern w:val="2"/>
      <w:sz w:val="14"/>
      <w:szCs w:val="19"/>
      <w:lang w:val="en-GB" w:eastAsia="en-US"/>
    </w:rPr>
  </w:style>
  <w:style w:type="paragraph" w:customStyle="1" w:styleId="53">
    <w:name w:val="EFAPoweredByEFA"/>
    <w:link w:val="54"/>
    <w:qFormat/>
    <w:uiPriority w:val="0"/>
    <w:pPr>
      <w:widowControl w:val="0"/>
      <w:tabs>
        <w:tab w:val="right" w:pos="6490"/>
      </w:tabs>
      <w:adjustRightInd w:val="0"/>
      <w:snapToGrid w:val="0"/>
      <w:ind w:left="-4186"/>
    </w:pPr>
    <w:rPr>
      <w:rFonts w:ascii="Arial" w:hAnsi="Arial" w:eastAsia="PMingLiU" w:cs="Times New Roman"/>
      <w:snapToGrid w:val="0"/>
      <w:color w:val="5A5A5A"/>
      <w:sz w:val="9"/>
      <w:szCs w:val="9"/>
      <w:lang w:val="en-US" w:eastAsia="zh-TW" w:bidi="ar-SA"/>
    </w:rPr>
  </w:style>
  <w:style w:type="character" w:customStyle="1" w:styleId="54">
    <w:name w:val="EFAPoweredByEFA Char"/>
    <w:link w:val="53"/>
    <w:qFormat/>
    <w:uiPriority w:val="0"/>
    <w:rPr>
      <w:rFonts w:ascii="Arial" w:hAnsi="Arial" w:eastAsia="PMingLiU"/>
      <w:color w:val="5A5A5A"/>
      <w:sz w:val="9"/>
      <w:szCs w:val="9"/>
      <w:lang w:eastAsia="zh-TW"/>
    </w:rPr>
  </w:style>
  <w:style w:type="character" w:customStyle="1" w:styleId="55">
    <w:name w:val="EFANormal Char"/>
    <w:basedOn w:val="28"/>
    <w:link w:val="42"/>
    <w:qFormat/>
    <w:uiPriority w:val="0"/>
    <w:rPr>
      <w:lang w:eastAsia="ja-JP"/>
    </w:rPr>
  </w:style>
  <w:style w:type="character" w:customStyle="1" w:styleId="56">
    <w:name w:val="EFABodyText Char"/>
    <w:basedOn w:val="28"/>
    <w:link w:val="40"/>
    <w:qFormat/>
    <w:uiPriority w:val="0"/>
    <w:rPr>
      <w:sz w:val="20"/>
      <w:lang w:eastAsia="ja-JP"/>
    </w:rPr>
  </w:style>
  <w:style w:type="character" w:customStyle="1" w:styleId="57">
    <w:name w:val="EFAFP_BodyText Char"/>
    <w:basedOn w:val="28"/>
    <w:link w:val="47"/>
    <w:qFormat/>
    <w:uiPriority w:val="0"/>
    <w:rPr>
      <w:sz w:val="20"/>
      <w:lang w:eastAsia="ja-JP"/>
    </w:rPr>
  </w:style>
  <w:style w:type="paragraph" w:customStyle="1" w:styleId="58">
    <w:name w:val="EFAFPTag"/>
    <w:basedOn w:val="42"/>
    <w:qFormat/>
    <w:uiPriority w:val="0"/>
    <w:pPr>
      <w:jc w:val="center"/>
    </w:pPr>
    <w:rPr>
      <w:b/>
    </w:rPr>
  </w:style>
  <w:style w:type="paragraph" w:customStyle="1" w:styleId="59">
    <w:name w:val="EFAFPFooter"/>
    <w:basedOn w:val="42"/>
    <w:qFormat/>
    <w:uiPriority w:val="0"/>
    <w:pPr>
      <w:tabs>
        <w:tab w:val="right" w:pos="10679"/>
      </w:tabs>
      <w:autoSpaceDE w:val="0"/>
      <w:autoSpaceDN w:val="0"/>
      <w:jc w:val="both"/>
    </w:pPr>
    <w:rPr>
      <w:rFonts w:cs="Arial"/>
      <w:b/>
      <w:sz w:val="14"/>
    </w:rPr>
  </w:style>
  <w:style w:type="character" w:customStyle="1" w:styleId="60">
    <w:name w:val="EFACharGrey"/>
    <w:qFormat/>
    <w:uiPriority w:val="1"/>
    <w:rPr>
      <w:color w:val="808080"/>
    </w:rPr>
  </w:style>
  <w:style w:type="paragraph" w:customStyle="1" w:styleId="61">
    <w:name w:val="EFAFPColFrameText_Left2"/>
    <w:link w:val="80"/>
    <w:qFormat/>
    <w:uiPriority w:val="0"/>
    <w:pPr>
      <w:framePr w:w="3045" w:h="12804" w:hRule="exact" w:hSpace="180" w:wrap="around" w:vAnchor="page" w:hAnchor="page" w:x="340" w:y="2765" w:anchorLock="1"/>
      <w:adjustRightInd w:val="0"/>
      <w:snapToGrid w:val="0"/>
    </w:pPr>
    <w:rPr>
      <w:rFonts w:ascii="Calibri" w:hAnsi="Calibri" w:eastAsia="MS Mincho" w:cs="Times New Roman"/>
      <w:snapToGrid w:val="0"/>
      <w:sz w:val="14"/>
      <w:szCs w:val="14"/>
      <w:lang w:val="en-US" w:eastAsia="zh-CN" w:bidi="ar-SA"/>
    </w:rPr>
  </w:style>
  <w:style w:type="character" w:customStyle="1" w:styleId="62">
    <w:name w:val="EFACharBold"/>
    <w:basedOn w:val="28"/>
    <w:qFormat/>
    <w:uiPriority w:val="1"/>
    <w:rPr>
      <w:b/>
    </w:rPr>
  </w:style>
  <w:style w:type="paragraph" w:customStyle="1" w:styleId="63">
    <w:name w:val="EFAFPColFrame_AnalystName2"/>
    <w:basedOn w:val="61"/>
    <w:link w:val="101"/>
    <w:qFormat/>
    <w:uiPriority w:val="0"/>
    <w:pPr>
      <w:framePr w:wrap="around"/>
    </w:pPr>
    <w:rPr>
      <w:b/>
      <w:sz w:val="16"/>
    </w:rPr>
  </w:style>
  <w:style w:type="paragraph" w:customStyle="1" w:styleId="64">
    <w:name w:val="EFAFP_Source"/>
    <w:basedOn w:val="42"/>
    <w:qFormat/>
    <w:uiPriority w:val="0"/>
    <w:rPr>
      <w:sz w:val="12"/>
      <w:szCs w:val="12"/>
    </w:rPr>
  </w:style>
  <w:style w:type="paragraph" w:customStyle="1" w:styleId="65">
    <w:name w:val="EFAFP_Abstract"/>
    <w:qFormat/>
    <w:uiPriority w:val="0"/>
    <w:rPr>
      <w:rFonts w:ascii="Calibri" w:hAnsi="Calibri" w:eastAsia="MS Mincho" w:cs="Times New Roman"/>
      <w:snapToGrid w:val="0"/>
      <w:sz w:val="18"/>
      <w:szCs w:val="16"/>
      <w:lang w:val="en-US" w:eastAsia="ja-JP" w:bidi="ar-SA"/>
    </w:rPr>
  </w:style>
  <w:style w:type="paragraph" w:customStyle="1" w:styleId="66">
    <w:name w:val="EFABullet_Green"/>
    <w:basedOn w:val="47"/>
    <w:qFormat/>
    <w:uiPriority w:val="0"/>
    <w:pPr>
      <w:numPr>
        <w:ilvl w:val="0"/>
        <w:numId w:val="4"/>
      </w:numPr>
      <w:tabs>
        <w:tab w:val="left" w:pos="468"/>
      </w:tabs>
    </w:pPr>
  </w:style>
  <w:style w:type="paragraph" w:customStyle="1" w:styleId="67">
    <w:name w:val="EFABullet_Blue"/>
    <w:basedOn w:val="47"/>
    <w:qFormat/>
    <w:uiPriority w:val="0"/>
    <w:pPr>
      <w:numPr>
        <w:ilvl w:val="0"/>
        <w:numId w:val="5"/>
      </w:numPr>
      <w:tabs>
        <w:tab w:val="left" w:pos="468"/>
      </w:tabs>
    </w:pPr>
  </w:style>
  <w:style w:type="paragraph" w:customStyle="1" w:styleId="68">
    <w:name w:val="EFABullet_Yellow"/>
    <w:basedOn w:val="47"/>
    <w:qFormat/>
    <w:uiPriority w:val="0"/>
    <w:pPr>
      <w:numPr>
        <w:ilvl w:val="0"/>
        <w:numId w:val="6"/>
      </w:numPr>
      <w:tabs>
        <w:tab w:val="left" w:pos="468"/>
      </w:tabs>
    </w:pPr>
  </w:style>
  <w:style w:type="paragraph" w:customStyle="1" w:styleId="69">
    <w:name w:val="EFASource"/>
    <w:basedOn w:val="40"/>
    <w:qFormat/>
    <w:uiPriority w:val="0"/>
    <w:rPr>
      <w:sz w:val="12"/>
      <w:szCs w:val="14"/>
    </w:rPr>
  </w:style>
  <w:style w:type="paragraph" w:customStyle="1" w:styleId="70">
    <w:name w:val="EFAHeading"/>
    <w:basedOn w:val="1"/>
    <w:next w:val="40"/>
    <w:qFormat/>
    <w:uiPriority w:val="0"/>
    <w:pPr>
      <w:widowControl w:val="0"/>
      <w:adjustRightInd w:val="0"/>
      <w:snapToGrid w:val="0"/>
    </w:pPr>
    <w:rPr>
      <w:b/>
      <w:color w:val="000000"/>
      <w:kern w:val="28"/>
      <w:sz w:val="24"/>
    </w:rPr>
  </w:style>
  <w:style w:type="paragraph" w:customStyle="1" w:styleId="71">
    <w:name w:val="EFADisclaimerHeading"/>
    <w:basedOn w:val="44"/>
    <w:next w:val="44"/>
    <w:qFormat/>
    <w:uiPriority w:val="99"/>
    <w:rPr>
      <w:b/>
    </w:rPr>
  </w:style>
  <w:style w:type="paragraph" w:customStyle="1" w:styleId="72">
    <w:name w:val="EFADisclaimerHeading2"/>
    <w:basedOn w:val="44"/>
    <w:next w:val="44"/>
    <w:qFormat/>
    <w:uiPriority w:val="0"/>
    <w:rPr>
      <w:b/>
      <w:sz w:val="20"/>
      <w:szCs w:val="20"/>
    </w:rPr>
  </w:style>
  <w:style w:type="paragraph" w:customStyle="1" w:styleId="73">
    <w:name w:val="EFADisclaimerHeading3"/>
    <w:basedOn w:val="44"/>
    <w:qFormat/>
    <w:uiPriority w:val="0"/>
    <w:rPr>
      <w:b/>
      <w:sz w:val="18"/>
      <w:szCs w:val="18"/>
    </w:rPr>
  </w:style>
  <w:style w:type="paragraph" w:customStyle="1" w:styleId="74">
    <w:name w:val="EFASideComment"/>
    <w:basedOn w:val="40"/>
    <w:qFormat/>
    <w:uiPriority w:val="0"/>
    <w:pPr>
      <w:framePr w:w="2980" w:hSpace="180" w:wrap="around" w:vAnchor="text" w:hAnchor="text" w:x="-3250" w:y="160"/>
    </w:pPr>
  </w:style>
  <w:style w:type="character" w:customStyle="1" w:styleId="75">
    <w:name w:val="EFACharBold_and_AllCap"/>
    <w:qFormat/>
    <w:uiPriority w:val="1"/>
    <w:rPr>
      <w:b/>
      <w:caps/>
    </w:rPr>
  </w:style>
  <w:style w:type="paragraph" w:customStyle="1" w:styleId="76">
    <w:name w:val="__Table_Normal"/>
    <w:basedOn w:val="1"/>
    <w:link w:val="77"/>
    <w:qFormat/>
    <w:uiPriority w:val="0"/>
    <w:rPr>
      <w:snapToGrid/>
      <w:color w:val="000000"/>
      <w:kern w:val="28"/>
    </w:rPr>
  </w:style>
  <w:style w:type="character" w:customStyle="1" w:styleId="77">
    <w:name w:val="__Table_Normal Char"/>
    <w:basedOn w:val="28"/>
    <w:link w:val="76"/>
    <w:qFormat/>
    <w:uiPriority w:val="0"/>
    <w:rPr>
      <w:snapToGrid/>
      <w:color w:val="000000"/>
      <w:kern w:val="28"/>
      <w:lang w:eastAsia="ja-JP"/>
    </w:rPr>
  </w:style>
  <w:style w:type="paragraph" w:customStyle="1" w:styleId="78">
    <w:name w:val="Front pg Tbl left just 7 pt"/>
    <w:basedOn w:val="1"/>
    <w:link w:val="79"/>
    <w:qFormat/>
    <w:uiPriority w:val="0"/>
    <w:rPr>
      <w:snapToGrid/>
      <w:sz w:val="14"/>
      <w:szCs w:val="24"/>
    </w:rPr>
  </w:style>
  <w:style w:type="character" w:customStyle="1" w:styleId="79">
    <w:name w:val="Front pg Tbl left just 7 pt Char Char"/>
    <w:basedOn w:val="28"/>
    <w:link w:val="78"/>
    <w:qFormat/>
    <w:uiPriority w:val="0"/>
    <w:rPr>
      <w:snapToGrid/>
      <w:sz w:val="14"/>
      <w:szCs w:val="24"/>
      <w:lang w:eastAsia="ja-JP"/>
    </w:rPr>
  </w:style>
  <w:style w:type="character" w:customStyle="1" w:styleId="80">
    <w:name w:val="EFAFPColFrameText_Left2 Char"/>
    <w:basedOn w:val="28"/>
    <w:link w:val="61"/>
    <w:qFormat/>
    <w:uiPriority w:val="0"/>
    <w:rPr>
      <w:sz w:val="14"/>
      <w:szCs w:val="14"/>
    </w:rPr>
  </w:style>
  <w:style w:type="paragraph" w:customStyle="1" w:styleId="81">
    <w:name w:val="EFAAnchor"/>
    <w:basedOn w:val="42"/>
    <w:qFormat/>
    <w:uiPriority w:val="0"/>
    <w:rPr>
      <w:sz w:val="4"/>
      <w:lang w:eastAsia="zh-CN"/>
    </w:rPr>
  </w:style>
  <w:style w:type="paragraph" w:customStyle="1" w:styleId="82">
    <w:name w:val="EFAReportTitle"/>
    <w:basedOn w:val="42"/>
    <w:qFormat/>
    <w:uiPriority w:val="0"/>
    <w:rPr>
      <w:b/>
      <w:sz w:val="48"/>
    </w:rPr>
  </w:style>
  <w:style w:type="paragraph" w:customStyle="1" w:styleId="83">
    <w:name w:val="EFAM_Title"/>
    <w:basedOn w:val="42"/>
    <w:qFormat/>
    <w:uiPriority w:val="0"/>
    <w:pPr>
      <w:framePr w:wrap="around" w:vAnchor="margin" w:hAnchor="text" w:xAlign="right" w:y="1"/>
      <w:suppressOverlap/>
    </w:pPr>
    <w:rPr>
      <w:b/>
      <w:sz w:val="32"/>
      <w:szCs w:val="28"/>
    </w:rPr>
  </w:style>
  <w:style w:type="paragraph" w:customStyle="1" w:styleId="84">
    <w:name w:val="EFABullet_Indent"/>
    <w:basedOn w:val="40"/>
    <w:qFormat/>
    <w:uiPriority w:val="0"/>
    <w:pPr>
      <w:numPr>
        <w:ilvl w:val="0"/>
        <w:numId w:val="7"/>
      </w:numPr>
      <w:tabs>
        <w:tab w:val="left" w:pos="240"/>
      </w:tabs>
      <w:ind w:left="240" w:hanging="240"/>
    </w:pPr>
  </w:style>
  <w:style w:type="paragraph" w:customStyle="1" w:styleId="85">
    <w:name w:val="EFAM_Abstract"/>
    <w:basedOn w:val="40"/>
    <w:next w:val="40"/>
    <w:qFormat/>
    <w:uiPriority w:val="0"/>
  </w:style>
  <w:style w:type="paragraph" w:customStyle="1" w:styleId="86">
    <w:name w:val="EFAM_Synopsis"/>
    <w:basedOn w:val="40"/>
    <w:next w:val="40"/>
    <w:qFormat/>
    <w:uiPriority w:val="0"/>
    <w:rPr>
      <w:b/>
      <w:sz w:val="24"/>
    </w:rPr>
  </w:style>
  <w:style w:type="paragraph" w:customStyle="1" w:styleId="87">
    <w:name w:val="EFAHeading1"/>
    <w:basedOn w:val="40"/>
    <w:next w:val="40"/>
    <w:qFormat/>
    <w:uiPriority w:val="0"/>
    <w:pPr>
      <w:numPr>
        <w:ilvl w:val="0"/>
        <w:numId w:val="8"/>
      </w:numPr>
      <w:tabs>
        <w:tab w:val="left" w:pos="1044"/>
      </w:tabs>
      <w:spacing w:after="60"/>
      <w:ind w:left="0" w:firstLine="0"/>
      <w:outlineLvl w:val="0"/>
    </w:pPr>
    <w:rPr>
      <w:b/>
      <w:sz w:val="24"/>
      <w:szCs w:val="24"/>
    </w:rPr>
  </w:style>
  <w:style w:type="paragraph" w:customStyle="1" w:styleId="88">
    <w:name w:val="EFAFPCol_Hdr3"/>
    <w:link w:val="90"/>
    <w:qFormat/>
    <w:uiPriority w:val="0"/>
    <w:pPr>
      <w:framePr w:w="2980" w:h="11080" w:hRule="exact" w:hSpace="180" w:wrap="around" w:vAnchor="text" w:hAnchor="page" w:x="370" w:y="1621"/>
    </w:pPr>
    <w:rPr>
      <w:rFonts w:ascii="Calibri" w:hAnsi="Calibri" w:eastAsia="MS Mincho" w:cs="Times New Roman"/>
      <w:b/>
      <w:snapToGrid w:val="0"/>
      <w:color w:val="808080"/>
      <w:sz w:val="24"/>
      <w:szCs w:val="24"/>
      <w:lang w:val="en-US" w:eastAsia="ja-JP" w:bidi="ar-SA"/>
    </w:rPr>
  </w:style>
  <w:style w:type="paragraph" w:customStyle="1" w:styleId="89">
    <w:name w:val="EFAFPReportType2"/>
    <w:link w:val="91"/>
    <w:qFormat/>
    <w:uiPriority w:val="0"/>
    <w:pPr>
      <w:framePr w:w="10858" w:h="1520" w:hRule="exact" w:wrap="around" w:vAnchor="page" w:hAnchor="page" w:x="357" w:y="1072" w:anchorLock="1"/>
      <w:adjustRightInd w:val="0"/>
      <w:snapToGrid w:val="0"/>
    </w:pPr>
    <w:rPr>
      <w:rFonts w:ascii="Calibri" w:hAnsi="Calibri" w:eastAsia="MS Mincho" w:cs="Times New Roman"/>
      <w:snapToGrid w:val="0"/>
      <w:color w:val="23558C"/>
      <w:sz w:val="44"/>
      <w:szCs w:val="44"/>
      <w:lang w:val="en-US" w:eastAsia="ja-JP" w:bidi="ar-SA"/>
    </w:rPr>
  </w:style>
  <w:style w:type="character" w:customStyle="1" w:styleId="90">
    <w:name w:val="EFAFPCol_Hdr3 Char"/>
    <w:basedOn w:val="28"/>
    <w:link w:val="88"/>
    <w:qFormat/>
    <w:uiPriority w:val="0"/>
    <w:rPr>
      <w:b/>
      <w:color w:val="808080"/>
      <w:sz w:val="24"/>
      <w:szCs w:val="24"/>
      <w:lang w:eastAsia="ja-JP"/>
    </w:rPr>
  </w:style>
  <w:style w:type="character" w:customStyle="1" w:styleId="91">
    <w:name w:val="EFAFPReportType2 Char"/>
    <w:basedOn w:val="28"/>
    <w:link w:val="89"/>
    <w:qFormat/>
    <w:uiPriority w:val="0"/>
    <w:rPr>
      <w:color w:val="23558C"/>
      <w:sz w:val="44"/>
      <w:szCs w:val="44"/>
      <w:lang w:eastAsia="ja-JP"/>
    </w:rPr>
  </w:style>
  <w:style w:type="paragraph" w:customStyle="1" w:styleId="92">
    <w:name w:val="EFAFPTitle3"/>
    <w:link w:val="95"/>
    <w:qFormat/>
    <w:uiPriority w:val="0"/>
    <w:pPr>
      <w:framePr w:wrap="around" w:vAnchor="margin" w:hAnchor="text" w:xAlign="right" w:y="1"/>
      <w:suppressOverlap/>
      <w:numPr>
        <w:ilvl w:val="0"/>
        <w:numId w:val="9"/>
      </w:numPr>
      <w:ind w:left="360" w:hanging="360"/>
    </w:pPr>
    <w:rPr>
      <w:rFonts w:ascii="Calibri" w:hAnsi="Calibri" w:eastAsia="MS Mincho" w:cs="Times New Roman"/>
      <w:b/>
      <w:snapToGrid w:val="0"/>
      <w:sz w:val="44"/>
      <w:szCs w:val="60"/>
      <w:lang w:val="en-US" w:eastAsia="ja-JP" w:bidi="ar-SA"/>
    </w:rPr>
  </w:style>
  <w:style w:type="paragraph" w:customStyle="1" w:styleId="93">
    <w:name w:val="EFAFP_Headline"/>
    <w:next w:val="94"/>
    <w:link w:val="96"/>
    <w:qFormat/>
    <w:uiPriority w:val="0"/>
    <w:pPr>
      <w:numPr>
        <w:ilvl w:val="0"/>
        <w:numId w:val="10"/>
      </w:numPr>
      <w:adjustRightInd w:val="0"/>
      <w:snapToGrid w:val="0"/>
    </w:pPr>
    <w:rPr>
      <w:rFonts w:ascii="Calibri" w:hAnsi="Calibri" w:eastAsia="Times New Roman" w:cs="Times New Roman"/>
      <w:b/>
      <w:bCs/>
      <w:color w:val="23558C"/>
      <w:kern w:val="28"/>
      <w:sz w:val="28"/>
      <w:lang w:val="en-US" w:eastAsia="ja-JP" w:bidi="ar-SA"/>
    </w:rPr>
  </w:style>
  <w:style w:type="paragraph" w:customStyle="1" w:styleId="94">
    <w:name w:val="EFAFP_BodyText2"/>
    <w:link w:val="97"/>
    <w:qFormat/>
    <w:uiPriority w:val="0"/>
    <w:pPr>
      <w:adjustRightInd w:val="0"/>
      <w:snapToGrid w:val="0"/>
      <w:spacing w:after="120"/>
      <w:jc w:val="both"/>
    </w:pPr>
    <w:rPr>
      <w:rFonts w:ascii="Calibri" w:hAnsi="Calibri" w:eastAsia="Times New Roman" w:cs="PMingLiU"/>
      <w:sz w:val="22"/>
      <w:lang w:val="en-US" w:eastAsia="ja-JP" w:bidi="ar-SA"/>
    </w:rPr>
  </w:style>
  <w:style w:type="character" w:customStyle="1" w:styleId="95">
    <w:name w:val="EFAFPTitle3 Char"/>
    <w:basedOn w:val="28"/>
    <w:link w:val="92"/>
    <w:qFormat/>
    <w:uiPriority w:val="0"/>
    <w:rPr>
      <w:b/>
      <w:sz w:val="44"/>
      <w:szCs w:val="60"/>
      <w:lang w:eastAsia="ja-JP"/>
    </w:rPr>
  </w:style>
  <w:style w:type="character" w:customStyle="1" w:styleId="96">
    <w:name w:val="EFAFP_Headline Char"/>
    <w:basedOn w:val="28"/>
    <w:link w:val="93"/>
    <w:qFormat/>
    <w:uiPriority w:val="0"/>
    <w:rPr>
      <w:rFonts w:eastAsia="Times New Roman"/>
      <w:b/>
      <w:bCs/>
      <w:snapToGrid/>
      <w:color w:val="23558C"/>
      <w:kern w:val="28"/>
      <w:sz w:val="28"/>
      <w:szCs w:val="20"/>
      <w:lang w:eastAsia="ja-JP"/>
    </w:rPr>
  </w:style>
  <w:style w:type="character" w:customStyle="1" w:styleId="97">
    <w:name w:val="EFAFP_BodyText2 Char"/>
    <w:basedOn w:val="28"/>
    <w:link w:val="94"/>
    <w:qFormat/>
    <w:uiPriority w:val="0"/>
    <w:rPr>
      <w:rFonts w:eastAsia="Times New Roman" w:cs="PMingLiU"/>
      <w:snapToGrid/>
      <w:sz w:val="22"/>
      <w:szCs w:val="20"/>
      <w:lang w:eastAsia="ja-JP"/>
    </w:rPr>
  </w:style>
  <w:style w:type="character" w:customStyle="1" w:styleId="98">
    <w:name w:val="EFABlueChar"/>
    <w:qFormat/>
    <w:uiPriority w:val="1"/>
    <w:rPr>
      <w:b/>
      <w:color w:val="23508C"/>
    </w:rPr>
  </w:style>
  <w:style w:type="paragraph" w:customStyle="1" w:styleId="99">
    <w:name w:val="EFAHeading5"/>
    <w:next w:val="40"/>
    <w:qFormat/>
    <w:uiPriority w:val="0"/>
    <w:pPr>
      <w:numPr>
        <w:ilvl w:val="0"/>
        <w:numId w:val="11"/>
      </w:numPr>
      <w:adjustRightInd w:val="0"/>
      <w:snapToGrid w:val="0"/>
      <w:ind w:left="972" w:hanging="972"/>
      <w:outlineLvl w:val="0"/>
    </w:pPr>
    <w:rPr>
      <w:rFonts w:ascii="Calibri" w:hAnsi="Calibri" w:eastAsia="MS Mincho" w:cs="Times New Roman"/>
      <w:b/>
      <w:bCs/>
      <w:snapToGrid w:val="0"/>
      <w:color w:val="23558C"/>
      <w:sz w:val="24"/>
      <w:szCs w:val="24"/>
      <w:lang w:val="en-US" w:eastAsia="ja-JP" w:bidi="ar-SA"/>
    </w:rPr>
  </w:style>
  <w:style w:type="paragraph" w:customStyle="1" w:styleId="100">
    <w:name w:val="EFAMacroTitle"/>
    <w:basedOn w:val="88"/>
    <w:qFormat/>
    <w:uiPriority w:val="0"/>
    <w:pPr>
      <w:framePr w:wrap="around"/>
    </w:pPr>
  </w:style>
  <w:style w:type="character" w:customStyle="1" w:styleId="101">
    <w:name w:val="EFAFPColFrame_AnalystName2 Char"/>
    <w:basedOn w:val="80"/>
    <w:link w:val="63"/>
    <w:qFormat/>
    <w:uiPriority w:val="0"/>
    <w:rPr>
      <w:b/>
      <w:sz w:val="14"/>
      <w:szCs w:val="14"/>
    </w:rPr>
  </w:style>
  <w:style w:type="paragraph" w:customStyle="1" w:styleId="102">
    <w:name w:val="EFAFPTitle"/>
    <w:link w:val="103"/>
    <w:qFormat/>
    <w:uiPriority w:val="0"/>
    <w:pPr>
      <w:framePr w:wrap="around" w:vAnchor="margin" w:hAnchor="text" w:xAlign="right" w:y="1"/>
      <w:suppressOverlap/>
      <w:tabs>
        <w:tab w:val="left" w:pos="240"/>
      </w:tabs>
      <w:ind w:left="240" w:right="220"/>
    </w:pPr>
    <w:rPr>
      <w:rFonts w:ascii="Calibri" w:hAnsi="Calibri" w:eastAsia="MS Mincho" w:cs="Times New Roman"/>
      <w:b/>
      <w:snapToGrid w:val="0"/>
      <w:color w:val="FFFFFF"/>
      <w:sz w:val="32"/>
      <w:szCs w:val="32"/>
      <w:lang w:val="en-US" w:eastAsia="ja-JP" w:bidi="ar-SA"/>
    </w:rPr>
  </w:style>
  <w:style w:type="character" w:customStyle="1" w:styleId="103">
    <w:name w:val="EFAFPTitle Char"/>
    <w:basedOn w:val="28"/>
    <w:link w:val="102"/>
    <w:qFormat/>
    <w:uiPriority w:val="0"/>
    <w:rPr>
      <w:b/>
      <w:color w:val="FFFFFF"/>
      <w:sz w:val="32"/>
      <w:szCs w:val="32"/>
      <w:lang w:eastAsia="ja-JP"/>
    </w:rPr>
  </w:style>
  <w:style w:type="paragraph" w:customStyle="1" w:styleId="104">
    <w:name w:val="EFAFPReportType"/>
    <w:link w:val="105"/>
    <w:qFormat/>
    <w:uiPriority w:val="0"/>
    <w:pPr>
      <w:framePr w:w="10858" w:h="1520" w:hRule="exact" w:wrap="around" w:vAnchor="page" w:hAnchor="page" w:x="366" w:y="1071" w:anchorLock="1"/>
      <w:adjustRightInd w:val="0"/>
      <w:snapToGrid w:val="0"/>
    </w:pPr>
    <w:rPr>
      <w:rFonts w:ascii="Calibri" w:hAnsi="Calibri" w:eastAsia="MS Mincho" w:cs="Times New Roman"/>
      <w:snapToGrid w:val="0"/>
      <w:color w:val="23558C"/>
      <w:sz w:val="44"/>
      <w:szCs w:val="44"/>
      <w:lang w:val="en-US" w:eastAsia="ja-JP" w:bidi="ar-SA"/>
    </w:rPr>
  </w:style>
  <w:style w:type="character" w:customStyle="1" w:styleId="105">
    <w:name w:val="EFAFPReportType Char"/>
    <w:basedOn w:val="28"/>
    <w:link w:val="104"/>
    <w:qFormat/>
    <w:uiPriority w:val="0"/>
    <w:rPr>
      <w:color w:val="23558C"/>
      <w:sz w:val="44"/>
      <w:szCs w:val="44"/>
      <w:lang w:eastAsia="ja-JP"/>
    </w:rPr>
  </w:style>
  <w:style w:type="paragraph" w:customStyle="1" w:styleId="106">
    <w:name w:val="EFAFPHdrInfo2"/>
    <w:link w:val="107"/>
    <w:qFormat/>
    <w:uiPriority w:val="0"/>
    <w:pPr>
      <w:framePr w:wrap="auto" w:vAnchor="margin" w:hAnchor="text" w:xAlign="right" w:y="-239"/>
      <w:suppressOverlap/>
      <w:ind w:left="240"/>
    </w:pPr>
    <w:rPr>
      <w:rFonts w:ascii="Calibri" w:hAnsi="Calibri" w:eastAsia="MS Mincho" w:cs="Times New Roman"/>
      <w:snapToGrid w:val="0"/>
      <w:color w:val="000000"/>
      <w:szCs w:val="44"/>
      <w:lang w:val="en-US" w:eastAsia="ja-JP" w:bidi="ar-SA"/>
    </w:rPr>
  </w:style>
  <w:style w:type="character" w:customStyle="1" w:styleId="107">
    <w:name w:val="EFAFPHdrInfo2 Char"/>
    <w:basedOn w:val="28"/>
    <w:link w:val="106"/>
    <w:qFormat/>
    <w:uiPriority w:val="0"/>
    <w:rPr>
      <w:color w:val="000000"/>
      <w:sz w:val="20"/>
      <w:szCs w:val="44"/>
      <w:lang w:eastAsia="ja-JP"/>
    </w:rPr>
  </w:style>
  <w:style w:type="paragraph" w:customStyle="1" w:styleId="108">
    <w:name w:val="EFADisclaimerHiddenText"/>
    <w:link w:val="109"/>
    <w:qFormat/>
    <w:uiPriority w:val="0"/>
    <w:pPr>
      <w:spacing w:line="20" w:lineRule="exact"/>
    </w:pPr>
    <w:rPr>
      <w:rFonts w:ascii="Calibri" w:hAnsi="Calibri" w:eastAsia="MS Mincho" w:cs="Times New Roman"/>
      <w:snapToGrid w:val="0"/>
      <w:vanish/>
      <w:color w:val="FFFFFF"/>
      <w:sz w:val="2"/>
      <w:szCs w:val="16"/>
      <w:lang w:val="en-US" w:eastAsia="ja-JP" w:bidi="ar-SA"/>
    </w:rPr>
  </w:style>
  <w:style w:type="character" w:customStyle="1" w:styleId="109">
    <w:name w:val="EFADisclaimerHiddenText Char"/>
    <w:basedOn w:val="28"/>
    <w:link w:val="108"/>
    <w:qFormat/>
    <w:uiPriority w:val="0"/>
    <w:rPr>
      <w:vanish/>
      <w:color w:val="FFFFFF"/>
      <w:sz w:val="2"/>
      <w:lang w:eastAsia="ja-JP"/>
    </w:rPr>
  </w:style>
  <w:style w:type="paragraph" w:customStyle="1" w:styleId="110">
    <w:name w:val="EFAFPFooter2"/>
    <w:link w:val="111"/>
    <w:qFormat/>
    <w:uiPriority w:val="0"/>
    <w:pPr>
      <w:tabs>
        <w:tab w:val="right" w:pos="11544"/>
      </w:tabs>
      <w:autoSpaceDE w:val="0"/>
      <w:autoSpaceDN w:val="0"/>
      <w:adjustRightInd w:val="0"/>
      <w:snapToGrid w:val="0"/>
      <w:spacing w:line="200" w:lineRule="exact"/>
      <w:jc w:val="both"/>
    </w:pPr>
    <w:rPr>
      <w:rFonts w:ascii="Calibri" w:hAnsi="Calibri" w:eastAsia="MS Mincho" w:cs="Arial"/>
      <w:snapToGrid w:val="0"/>
      <w:sz w:val="21"/>
      <w:szCs w:val="16"/>
      <w:lang w:val="en-US" w:eastAsia="ja-JP" w:bidi="ar-SA"/>
    </w:rPr>
  </w:style>
  <w:style w:type="character" w:customStyle="1" w:styleId="111">
    <w:name w:val="EFAFPFooter2 Char"/>
    <w:basedOn w:val="28"/>
    <w:link w:val="110"/>
    <w:qFormat/>
    <w:uiPriority w:val="0"/>
    <w:rPr>
      <w:rFonts w:cs="Arial"/>
      <w:sz w:val="21"/>
      <w:lang w:eastAsia="ja-JP"/>
    </w:rPr>
  </w:style>
  <w:style w:type="character" w:customStyle="1" w:styleId="112">
    <w:name w:val="EFADisclaimerText Char"/>
    <w:basedOn w:val="28"/>
    <w:link w:val="44"/>
    <w:qFormat/>
    <w:locked/>
    <w:uiPriority w:val="99"/>
    <w:rPr>
      <w:lang w:eastAsia="ja-JP"/>
    </w:rPr>
  </w:style>
  <w:style w:type="paragraph" w:customStyle="1" w:styleId="113">
    <w:name w:val="EFAFPColFrameText_Left"/>
    <w:basedOn w:val="1"/>
    <w:link w:val="116"/>
    <w:qFormat/>
    <w:uiPriority w:val="0"/>
    <w:pPr>
      <w:framePr w:w="3045" w:h="12844" w:hRule="exact" w:hSpace="180" w:wrap="around" w:vAnchor="page" w:hAnchor="page" w:x="336" w:y="2721" w:anchorLock="1"/>
      <w:adjustRightInd w:val="0"/>
      <w:snapToGrid w:val="0"/>
    </w:pPr>
    <w:rPr>
      <w:sz w:val="14"/>
      <w:szCs w:val="14"/>
      <w:lang w:val="en-US" w:eastAsia="zh-CN"/>
    </w:rPr>
  </w:style>
  <w:style w:type="paragraph" w:customStyle="1" w:styleId="114">
    <w:name w:val="EFAFPColFrame_AnalystName"/>
    <w:basedOn w:val="113"/>
    <w:qFormat/>
    <w:uiPriority w:val="0"/>
    <w:pPr>
      <w:framePr w:wrap="around"/>
    </w:pPr>
    <w:rPr>
      <w:b/>
      <w:sz w:val="16"/>
    </w:rPr>
  </w:style>
  <w:style w:type="paragraph" w:customStyle="1" w:styleId="115">
    <w:name w:val="EFAFPColFrameText_8pt"/>
    <w:basedOn w:val="113"/>
    <w:qFormat/>
    <w:uiPriority w:val="0"/>
    <w:pPr>
      <w:framePr w:wrap="around"/>
    </w:pPr>
    <w:rPr>
      <w:sz w:val="16"/>
    </w:rPr>
  </w:style>
  <w:style w:type="character" w:customStyle="1" w:styleId="116">
    <w:name w:val="EFAFPColFrameText_Left Char"/>
    <w:basedOn w:val="28"/>
    <w:link w:val="113"/>
    <w:qFormat/>
    <w:uiPriority w:val="0"/>
    <w:rPr>
      <w:sz w:val="14"/>
      <w:szCs w:val="14"/>
    </w:rPr>
  </w:style>
  <w:style w:type="paragraph" w:customStyle="1" w:styleId="117">
    <w:name w:val="表1"/>
    <w:basedOn w:val="1"/>
    <w:link w:val="118"/>
    <w:qFormat/>
    <w:uiPriority w:val="0"/>
    <w:pPr>
      <w:widowControl w:val="0"/>
      <w:tabs>
        <w:tab w:val="left" w:pos="3819"/>
      </w:tabs>
      <w:ind w:right="55" w:rightChars="26"/>
    </w:pPr>
    <w:rPr>
      <w:rFonts w:ascii="Arial" w:hAnsi="Arial" w:eastAsia="楷体_GB2312"/>
      <w:b/>
      <w:bCs/>
      <w:snapToGrid/>
      <w:color w:val="000000"/>
      <w:kern w:val="2"/>
      <w:sz w:val="18"/>
      <w:szCs w:val="24"/>
      <w:lang w:val="zh-CN" w:eastAsia="zh-CN"/>
    </w:rPr>
  </w:style>
  <w:style w:type="character" w:customStyle="1" w:styleId="118">
    <w:name w:val="表1 Char"/>
    <w:link w:val="117"/>
    <w:qFormat/>
    <w:uiPriority w:val="0"/>
    <w:rPr>
      <w:rFonts w:ascii="Arial" w:hAnsi="Arial" w:eastAsia="楷体_GB2312"/>
      <w:b/>
      <w:bCs/>
      <w:snapToGrid/>
      <w:color w:val="000000"/>
      <w:kern w:val="2"/>
      <w:sz w:val="18"/>
      <w:szCs w:val="24"/>
      <w:lang w:val="zh-CN" w:eastAsia="zh-CN"/>
    </w:rPr>
  </w:style>
  <w:style w:type="paragraph" w:customStyle="1" w:styleId="119">
    <w:name w:val="EFABodyText(CN)"/>
    <w:link w:val="120"/>
    <w:qFormat/>
    <w:uiPriority w:val="0"/>
    <w:pPr>
      <w:widowControl w:val="0"/>
      <w:adjustRightInd w:val="0"/>
      <w:snapToGrid w:val="0"/>
    </w:pPr>
    <w:rPr>
      <w:rFonts w:ascii="Calibri" w:hAnsi="Calibri" w:eastAsia="宋体" w:cs="Times New Roman"/>
      <w:snapToGrid w:val="0"/>
      <w:szCs w:val="16"/>
      <w:lang w:val="en-US" w:eastAsia="zh-CN" w:bidi="ar-SA"/>
    </w:rPr>
  </w:style>
  <w:style w:type="character" w:customStyle="1" w:styleId="120">
    <w:name w:val="EFABodyText(CN) Char"/>
    <w:basedOn w:val="28"/>
    <w:link w:val="119"/>
    <w:qFormat/>
    <w:uiPriority w:val="0"/>
    <w:rPr>
      <w:rFonts w:eastAsia="宋体"/>
      <w:sz w:val="20"/>
    </w:rPr>
  </w:style>
  <w:style w:type="paragraph" w:customStyle="1" w:styleId="121">
    <w:name w:val="图序号"/>
    <w:basedOn w:val="1"/>
    <w:link w:val="122"/>
    <w:qFormat/>
    <w:uiPriority w:val="0"/>
    <w:pPr>
      <w:widowControl w:val="0"/>
      <w:ind w:right="55" w:rightChars="26"/>
      <w:jc w:val="both"/>
    </w:pPr>
    <w:rPr>
      <w:rFonts w:ascii="Arial" w:hAnsi="Arial" w:eastAsia="楷体_GB2312"/>
      <w:b/>
      <w:bCs/>
      <w:snapToGrid/>
      <w:color w:val="000000"/>
      <w:kern w:val="2"/>
      <w:sz w:val="18"/>
      <w:szCs w:val="18"/>
      <w:lang w:val="zh-CN" w:eastAsia="zh-CN"/>
    </w:rPr>
  </w:style>
  <w:style w:type="character" w:customStyle="1" w:styleId="122">
    <w:name w:val="图序号 字符"/>
    <w:link w:val="121"/>
    <w:qFormat/>
    <w:uiPriority w:val="0"/>
    <w:rPr>
      <w:rFonts w:ascii="Arial" w:hAnsi="Arial" w:eastAsia="楷体_GB2312"/>
      <w:b/>
      <w:bCs/>
      <w:snapToGrid/>
      <w:color w:val="000000"/>
      <w:kern w:val="2"/>
      <w:sz w:val="18"/>
      <w:szCs w:val="18"/>
      <w:lang w:val="zh-CN" w:eastAsia="zh-CN"/>
    </w:rPr>
  </w:style>
  <w:style w:type="character" w:customStyle="1" w:styleId="123">
    <w:name w:val="标题 1 字符1"/>
    <w:link w:val="2"/>
    <w:qFormat/>
    <w:uiPriority w:val="0"/>
    <w:rPr>
      <w:rFonts w:cs="Arial"/>
      <w:b/>
      <w:bCs/>
      <w:kern w:val="32"/>
      <w:sz w:val="24"/>
      <w:szCs w:val="32"/>
      <w:lang w:val="en-GB" w:eastAsia="ja-JP"/>
    </w:rPr>
  </w:style>
  <w:style w:type="character" w:customStyle="1" w:styleId="124">
    <w:name w:val="标题 4 字符"/>
    <w:basedOn w:val="28"/>
    <w:link w:val="5"/>
    <w:qFormat/>
    <w:uiPriority w:val="0"/>
    <w:rPr>
      <w:rFonts w:ascii="Cambria" w:hAnsi="Cambria" w:eastAsia="宋体"/>
      <w:b/>
      <w:bCs/>
      <w:snapToGrid/>
      <w:kern w:val="2"/>
      <w:sz w:val="28"/>
      <w:szCs w:val="28"/>
      <w:lang w:val="zh-CN" w:eastAsia="zh-CN"/>
    </w:rPr>
  </w:style>
  <w:style w:type="character" w:customStyle="1" w:styleId="125">
    <w:name w:val="正文文本 字符"/>
    <w:basedOn w:val="28"/>
    <w:link w:val="10"/>
    <w:qFormat/>
    <w:uiPriority w:val="0"/>
    <w:rPr>
      <w:rFonts w:ascii="Times New Roman" w:hAnsi="Times New Roman" w:eastAsia="宋体"/>
      <w:snapToGrid/>
      <w:kern w:val="2"/>
      <w:sz w:val="21"/>
      <w:szCs w:val="24"/>
    </w:rPr>
  </w:style>
  <w:style w:type="character" w:customStyle="1" w:styleId="126">
    <w:name w:val="正文文本缩进 字符"/>
    <w:basedOn w:val="28"/>
    <w:link w:val="11"/>
    <w:qFormat/>
    <w:uiPriority w:val="0"/>
    <w:rPr>
      <w:rFonts w:ascii="汉仪楷体简" w:hAnsi="Times New Roman" w:eastAsia="汉仪楷体简"/>
      <w:snapToGrid/>
      <w:color w:val="000000"/>
      <w:sz w:val="18"/>
    </w:rPr>
  </w:style>
  <w:style w:type="character" w:customStyle="1" w:styleId="127">
    <w:name w:val="正文文本 2 字符"/>
    <w:basedOn w:val="28"/>
    <w:link w:val="23"/>
    <w:qFormat/>
    <w:uiPriority w:val="0"/>
    <w:rPr>
      <w:rFonts w:ascii="Times New Roman" w:hAnsi="Times New Roman" w:eastAsia="汉仪楷体简"/>
      <w:snapToGrid/>
      <w:sz w:val="18"/>
      <w:szCs w:val="24"/>
    </w:rPr>
  </w:style>
  <w:style w:type="character" w:customStyle="1" w:styleId="128">
    <w:name w:val="正文文本 3 字符"/>
    <w:basedOn w:val="28"/>
    <w:link w:val="9"/>
    <w:qFormat/>
    <w:uiPriority w:val="0"/>
    <w:rPr>
      <w:rFonts w:ascii="汉仪楷体简" w:hAnsi="Times New Roman" w:eastAsia="汉仪楷体简"/>
      <w:snapToGrid/>
      <w:color w:val="000000"/>
      <w:sz w:val="18"/>
    </w:rPr>
  </w:style>
  <w:style w:type="character" w:customStyle="1" w:styleId="129">
    <w:name w:val="正文文本缩进 2 字符"/>
    <w:basedOn w:val="28"/>
    <w:link w:val="15"/>
    <w:qFormat/>
    <w:uiPriority w:val="0"/>
    <w:rPr>
      <w:rFonts w:ascii="楷体_GB2312" w:hAnsi="Times New Roman" w:eastAsia="楷体_GB2312"/>
      <w:snapToGrid/>
      <w:sz w:val="24"/>
      <w:szCs w:val="24"/>
    </w:rPr>
  </w:style>
  <w:style w:type="character" w:customStyle="1" w:styleId="130">
    <w:name w:val="正文文本缩进 3 字符"/>
    <w:basedOn w:val="28"/>
    <w:link w:val="20"/>
    <w:qFormat/>
    <w:uiPriority w:val="0"/>
    <w:rPr>
      <w:rFonts w:ascii="楷体_GB2312" w:hAnsi="Times New Roman" w:eastAsia="楷体_GB2312"/>
      <w:snapToGrid/>
      <w:color w:val="000000"/>
      <w:kern w:val="2"/>
      <w:sz w:val="24"/>
      <w:szCs w:val="24"/>
    </w:rPr>
  </w:style>
  <w:style w:type="character" w:customStyle="1" w:styleId="131">
    <w:name w:val="日期 字符"/>
    <w:basedOn w:val="28"/>
    <w:link w:val="14"/>
    <w:qFormat/>
    <w:uiPriority w:val="0"/>
    <w:rPr>
      <w:rFonts w:ascii="宋体" w:hAnsi="Times New Roman" w:eastAsia="宋体"/>
      <w:snapToGrid/>
      <w:kern w:val="2"/>
      <w:sz w:val="28"/>
      <w:szCs w:val="20"/>
    </w:rPr>
  </w:style>
  <w:style w:type="character" w:customStyle="1" w:styleId="132">
    <w:name w:val="style12"/>
    <w:basedOn w:val="28"/>
    <w:qFormat/>
    <w:uiPriority w:val="0"/>
  </w:style>
  <w:style w:type="character" w:customStyle="1" w:styleId="133">
    <w:name w:val="style13"/>
    <w:basedOn w:val="28"/>
    <w:qFormat/>
    <w:uiPriority w:val="0"/>
  </w:style>
  <w:style w:type="paragraph" w:customStyle="1" w:styleId="134">
    <w:name w:val="默认段落字体 Para Char Char Char Char Char Char 字元 Char"/>
    <w:basedOn w:val="1"/>
    <w:qFormat/>
    <w:uiPriority w:val="0"/>
    <w:pPr>
      <w:widowControl w:val="0"/>
      <w:tabs>
        <w:tab w:val="left" w:pos="840"/>
      </w:tabs>
      <w:ind w:left="840" w:hanging="360"/>
      <w:jc w:val="both"/>
    </w:pPr>
    <w:rPr>
      <w:rFonts w:ascii="Times New Roman" w:hAnsi="Times New Roman" w:eastAsia="宋体"/>
      <w:snapToGrid/>
      <w:kern w:val="2"/>
      <w:sz w:val="24"/>
      <w:szCs w:val="24"/>
      <w:lang w:val="en-US" w:eastAsia="zh-CN"/>
    </w:rPr>
  </w:style>
  <w:style w:type="paragraph" w:customStyle="1" w:styleId="135">
    <w:name w:val="二级目录"/>
    <w:basedOn w:val="12"/>
    <w:qFormat/>
    <w:uiPriority w:val="0"/>
    <w:pPr>
      <w:spacing w:before="240" w:beforeLines="100" w:after="240" w:afterLines="100" w:line="320" w:lineRule="exact"/>
      <w:ind w:left="2977" w:leftChars="0" w:right="0" w:rightChars="0" w:firstLine="0"/>
    </w:pPr>
    <w:rPr>
      <w:rFonts w:eastAsia="楷体_GB2312"/>
      <w:b/>
      <w:color w:val="000080"/>
      <w:sz w:val="24"/>
    </w:rPr>
  </w:style>
  <w:style w:type="character" w:customStyle="1" w:styleId="136">
    <w:name w:val="批注文字 字符"/>
    <w:basedOn w:val="28"/>
    <w:link w:val="8"/>
    <w:qFormat/>
    <w:uiPriority w:val="0"/>
    <w:rPr>
      <w:rFonts w:ascii="Times New Roman" w:hAnsi="Times New Roman" w:eastAsia="宋体"/>
      <w:snapToGrid/>
      <w:kern w:val="2"/>
      <w:sz w:val="21"/>
      <w:szCs w:val="24"/>
      <w:lang w:val="zh-CN" w:eastAsia="zh-CN"/>
    </w:rPr>
  </w:style>
  <w:style w:type="character" w:customStyle="1" w:styleId="137">
    <w:name w:val="批注主题 字符"/>
    <w:basedOn w:val="136"/>
    <w:link w:val="25"/>
    <w:qFormat/>
    <w:uiPriority w:val="0"/>
    <w:rPr>
      <w:rFonts w:ascii="Times New Roman" w:hAnsi="Times New Roman" w:eastAsia="宋体"/>
      <w:b/>
      <w:bCs/>
      <w:snapToGrid/>
      <w:kern w:val="2"/>
      <w:sz w:val="21"/>
      <w:szCs w:val="24"/>
      <w:lang w:val="zh-CN" w:eastAsia="zh-CN"/>
    </w:rPr>
  </w:style>
  <w:style w:type="paragraph" w:customStyle="1" w:styleId="138">
    <w:name w:val="HUS封面正文"/>
    <w:qFormat/>
    <w:uiPriority w:val="0"/>
    <w:pPr>
      <w:numPr>
        <w:ilvl w:val="0"/>
        <w:numId w:val="12"/>
      </w:numPr>
      <w:spacing w:after="120"/>
      <w:jc w:val="both"/>
    </w:pPr>
    <w:rPr>
      <w:rFonts w:ascii="Arial" w:hAnsi="Arial" w:eastAsia="楷体_GB2312" w:cs="Times New Roman"/>
      <w:kern w:val="2"/>
      <w:lang w:val="en-US" w:eastAsia="zh-CN" w:bidi="ar-SA"/>
    </w:rPr>
  </w:style>
  <w:style w:type="paragraph" w:customStyle="1" w:styleId="139">
    <w:name w:val="Default"/>
    <w:qFormat/>
    <w:uiPriority w:val="0"/>
    <w:pPr>
      <w:widowControl w:val="0"/>
      <w:autoSpaceDE w:val="0"/>
      <w:autoSpaceDN w:val="0"/>
      <w:adjustRightInd w:val="0"/>
    </w:pPr>
    <w:rPr>
      <w:rFonts w:ascii="楷体_GB2312" w:hAnsi="Times New Roman" w:eastAsia="楷体_GB2312" w:cs="楷体_GB2312"/>
      <w:color w:val="000000"/>
      <w:sz w:val="24"/>
      <w:szCs w:val="24"/>
      <w:lang w:val="en-US" w:eastAsia="zh-CN" w:bidi="ar-SA"/>
    </w:rPr>
  </w:style>
  <w:style w:type="character" w:customStyle="1" w:styleId="140">
    <w:name w:val="标题 3 字符"/>
    <w:link w:val="4"/>
    <w:qFormat/>
    <w:uiPriority w:val="0"/>
    <w:rPr>
      <w:rFonts w:cs="Arial"/>
      <w:b/>
      <w:bCs/>
      <w:szCs w:val="26"/>
      <w:lang w:val="en-GB" w:eastAsia="ja-JP"/>
    </w:rPr>
  </w:style>
  <w:style w:type="paragraph" w:customStyle="1" w:styleId="141">
    <w:name w:val="国泰君安题注"/>
    <w:basedOn w:val="1"/>
    <w:qFormat/>
    <w:uiPriority w:val="0"/>
    <w:pPr>
      <w:widowControl w:val="0"/>
      <w:jc w:val="both"/>
    </w:pPr>
    <w:rPr>
      <w:rFonts w:ascii="Times New Roman" w:hAnsi="Times New Roman" w:eastAsia="楷体_GB2312" w:cs="宋体"/>
      <w:b/>
      <w:bCs/>
      <w:snapToGrid/>
      <w:kern w:val="2"/>
      <w:sz w:val="21"/>
      <w:szCs w:val="20"/>
      <w:lang w:val="en-US" w:eastAsia="zh-CN"/>
    </w:rPr>
  </w:style>
  <w:style w:type="paragraph" w:customStyle="1" w:styleId="142">
    <w:name w:val="国泰君安报告正文"/>
    <w:basedOn w:val="1"/>
    <w:qFormat/>
    <w:uiPriority w:val="0"/>
    <w:pPr>
      <w:widowControl w:val="0"/>
      <w:jc w:val="both"/>
    </w:pPr>
    <w:rPr>
      <w:rFonts w:ascii="Times New Roman" w:hAnsi="Times New Roman" w:eastAsia="楷体_GB2312" w:cs="宋体"/>
      <w:snapToGrid/>
      <w:kern w:val="2"/>
      <w:sz w:val="21"/>
      <w:szCs w:val="20"/>
      <w:lang w:val="en-US" w:eastAsia="zh-CN"/>
    </w:rPr>
  </w:style>
  <w:style w:type="paragraph" w:customStyle="1" w:styleId="143">
    <w:name w:val="国泰君安数据来源"/>
    <w:basedOn w:val="142"/>
    <w:qFormat/>
    <w:uiPriority w:val="0"/>
    <w:rPr>
      <w:sz w:val="18"/>
    </w:rPr>
  </w:style>
  <w:style w:type="paragraph" w:customStyle="1" w:styleId="144">
    <w:name w:val="表"/>
    <w:basedOn w:val="1"/>
    <w:qFormat/>
    <w:uiPriority w:val="0"/>
    <w:pPr>
      <w:widowControl w:val="0"/>
    </w:pPr>
    <w:rPr>
      <w:rFonts w:ascii="Arial" w:hAnsi="Arial" w:eastAsia="楷体_GB2312" w:cs="宋体"/>
      <w:b/>
      <w:bCs/>
      <w:snapToGrid/>
      <w:color w:val="000000"/>
      <w:kern w:val="2"/>
      <w:sz w:val="18"/>
      <w:szCs w:val="20"/>
      <w:lang w:val="en-US" w:eastAsia="zh-CN"/>
    </w:rPr>
  </w:style>
  <w:style w:type="character" w:customStyle="1" w:styleId="145">
    <w:name w:val="标题 1 字符"/>
    <w:qFormat/>
    <w:uiPriority w:val="0"/>
    <w:rPr>
      <w:rFonts w:eastAsia="楷体_GB2312"/>
      <w:b/>
      <w:bCs/>
      <w:color w:val="000080"/>
      <w:sz w:val="30"/>
      <w:szCs w:val="24"/>
    </w:rPr>
  </w:style>
  <w:style w:type="table" w:customStyle="1" w:styleId="146">
    <w:name w:val="网格表 2 - 着色 11"/>
    <w:basedOn w:val="26"/>
    <w:qFormat/>
    <w:uiPriority w:val="47"/>
    <w:tblPr>
      <w:tblBorders>
        <w:top w:val="single" w:color="8EAADB" w:sz="2" w:space="0"/>
        <w:bottom w:val="single" w:color="8EAADB" w:sz="2" w:space="0"/>
        <w:insideH w:val="single" w:color="8EAADB" w:sz="2" w:space="0"/>
        <w:insideV w:val="single" w:color="8EAADB" w:sz="2" w:space="0"/>
      </w:tblBorders>
    </w:tblPr>
    <w:tblStylePr w:type="firstRow">
      <w:rPr>
        <w:b/>
        <w:bCs/>
      </w:rPr>
      <w:tcPr>
        <w:tcBorders>
          <w:top w:val="nil"/>
          <w:bottom w:val="single" w:color="8EAADB" w:sz="12" w:space="0"/>
          <w:insideH w:val="nil"/>
          <w:insideV w:val="nil"/>
        </w:tcBorders>
        <w:shd w:val="clear" w:color="auto" w:fill="FFFFFF"/>
      </w:tcPr>
    </w:tblStylePr>
    <w:tblStylePr w:type="lastRow">
      <w:rPr>
        <w:b/>
        <w:bCs/>
      </w:rPr>
      <w:tcPr>
        <w:tcBorders>
          <w:top w:val="double" w:color="8EAADB" w:sz="2" w:space="0"/>
          <w:bottom w:val="nil"/>
          <w:insideH w:val="nil"/>
          <w:insideV w:val="nil"/>
        </w:tcBorders>
        <w:shd w:val="clear" w:color="auto" w:fill="FFFFFF"/>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147">
    <w:name w:val="网格表 3 - 着色 31"/>
    <w:basedOn w:val="26"/>
    <w:qFormat/>
    <w:uiPriority w:val="48"/>
    <w:tblPr>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Pr>
    <w:tblStylePr w:type="firstRow">
      <w:rPr>
        <w:b/>
        <w:bCs/>
      </w:rPr>
      <w:tcPr>
        <w:tcBorders>
          <w:top w:val="nil"/>
          <w:left w:val="nil"/>
          <w:right w:val="nil"/>
          <w:insideH w:val="nil"/>
          <w:insideV w:val="nil"/>
        </w:tcBorders>
        <w:shd w:val="clear" w:color="auto" w:fill="FFFFFF"/>
      </w:tcPr>
    </w:tblStylePr>
    <w:tblStylePr w:type="lastRow">
      <w:rPr>
        <w:b/>
        <w:bCs/>
      </w:rPr>
      <w:tcPr>
        <w:tcBorders>
          <w:left w:val="nil"/>
          <w:bottom w:val="nil"/>
          <w:right w:val="nil"/>
          <w:insideH w:val="nil"/>
          <w:insideV w:val="nil"/>
        </w:tcBorders>
        <w:shd w:val="clear" w:color="auto" w:fill="FFFFFF"/>
      </w:tcPr>
    </w:tblStylePr>
    <w:tblStylePr w:type="firstCol">
      <w:pPr>
        <w:jc w:val="right"/>
      </w:pPr>
      <w:rPr>
        <w:i/>
        <w:iCs/>
      </w:rPr>
      <w:tcPr>
        <w:tcBorders>
          <w:top w:val="nil"/>
          <w:left w:val="nil"/>
          <w:bottom w:val="nil"/>
          <w:insideH w:val="nil"/>
          <w:insideV w:val="nil"/>
        </w:tcBorders>
        <w:shd w:val="clear" w:color="auto" w:fill="FFFFFF"/>
      </w:tcPr>
    </w:tblStylePr>
    <w:tblStylePr w:type="lastCol">
      <w:rPr>
        <w:i/>
        <w:iCs/>
      </w:rPr>
      <w:tcPr>
        <w:tcBorders>
          <w:top w:val="nil"/>
          <w:bottom w:val="nil"/>
          <w:right w:val="nil"/>
          <w:insideH w:val="nil"/>
          <w:insideV w:val="nil"/>
        </w:tcBorders>
        <w:shd w:val="clear" w:color="auto" w:fill="FFFFFF"/>
      </w:tcPr>
    </w:tblStylePr>
    <w:tblStylePr w:type="band1Vert">
      <w:tcPr>
        <w:shd w:val="clear" w:color="auto" w:fill="EDEDED"/>
      </w:tcPr>
    </w:tblStylePr>
    <w:tblStylePr w:type="band1Horz">
      <w:tcPr>
        <w:shd w:val="clear" w:color="auto" w:fill="EDEDED"/>
      </w:tcPr>
    </w:tblStylePr>
    <w:tblStylePr w:type="neCell">
      <w:tcPr>
        <w:tcBorders>
          <w:bottom w:val="single" w:color="C9C9C9" w:sz="4" w:space="0"/>
        </w:tcBorders>
      </w:tcPr>
    </w:tblStylePr>
    <w:tblStylePr w:type="nwCell">
      <w:tcPr>
        <w:tcBorders>
          <w:bottom w:val="single" w:color="C9C9C9" w:sz="4" w:space="0"/>
        </w:tcBorders>
      </w:tcPr>
    </w:tblStylePr>
    <w:tblStylePr w:type="seCell">
      <w:tcPr>
        <w:tcBorders>
          <w:top w:val="single" w:color="C9C9C9" w:sz="4" w:space="0"/>
        </w:tcBorders>
      </w:tcPr>
    </w:tblStylePr>
    <w:tblStylePr w:type="swCell">
      <w:tcPr>
        <w:tcBorders>
          <w:top w:val="single" w:color="C9C9C9" w:sz="4" w:space="0"/>
        </w:tcBorders>
      </w:tcPr>
    </w:tblStylePr>
  </w:style>
  <w:style w:type="table" w:customStyle="1" w:styleId="148">
    <w:name w:val="网格表 2 - 着色 51"/>
    <w:basedOn w:val="26"/>
    <w:qFormat/>
    <w:uiPriority w:val="47"/>
    <w:tblPr>
      <w:tblBorders>
        <w:top w:val="single" w:color="9CC2E5" w:sz="2" w:space="0"/>
        <w:bottom w:val="single" w:color="9CC2E5" w:sz="2" w:space="0"/>
        <w:insideH w:val="single" w:color="9CC2E5" w:sz="2" w:space="0"/>
        <w:insideV w:val="single" w:color="9CC2E5" w:sz="2" w:space="0"/>
      </w:tblBorders>
    </w:tblPr>
    <w:tblStylePr w:type="firstRow">
      <w:rPr>
        <w:b/>
        <w:bCs/>
      </w:rPr>
      <w:tcPr>
        <w:tcBorders>
          <w:top w:val="nil"/>
          <w:bottom w:val="single" w:color="9CC2E5" w:sz="12" w:space="0"/>
          <w:insideH w:val="nil"/>
          <w:insideV w:val="nil"/>
        </w:tcBorders>
        <w:shd w:val="clear" w:color="auto" w:fill="FFFFFF"/>
      </w:tcPr>
    </w:tblStylePr>
    <w:tblStylePr w:type="lastRow">
      <w:rPr>
        <w:b/>
        <w:bCs/>
      </w:rPr>
      <w:tcPr>
        <w:tcBorders>
          <w:top w:val="double" w:color="9CC2E5" w:sz="2" w:space="0"/>
          <w:bottom w:val="nil"/>
          <w:insideH w:val="nil"/>
          <w:insideV w:val="nil"/>
        </w:tcBorders>
        <w:shd w:val="clear" w:color="auto" w:fill="FFFFFF"/>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table" w:customStyle="1" w:styleId="149">
    <w:name w:val="清单表 1 浅色 - 着色 51"/>
    <w:basedOn w:val="26"/>
    <w:qFormat/>
    <w:uiPriority w:val="46"/>
    <w:tblStylePr w:type="firstRow">
      <w:rPr>
        <w:b/>
        <w:bCs/>
      </w:rPr>
      <w:tcPr>
        <w:tcBorders>
          <w:bottom w:val="single" w:color="9CC2E5" w:sz="4" w:space="0"/>
        </w:tcBorders>
      </w:tcPr>
    </w:tblStylePr>
    <w:tblStylePr w:type="lastRow">
      <w:rPr>
        <w:b/>
        <w:bCs/>
      </w:rPr>
      <w:tcPr>
        <w:tcBorders>
          <w:top w:val="single" w:color="9CC2E5" w:sz="4" w:space="0"/>
        </w:tcBorders>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paragraph" w:customStyle="1" w:styleId="150">
    <w:name w:val="EFAFPColFrameText_Right"/>
    <w:basedOn w:val="1"/>
    <w:qFormat/>
    <w:uiPriority w:val="0"/>
    <w:pPr>
      <w:framePr w:w="3045" w:h="12844" w:hRule="exact" w:hSpace="180" w:wrap="around" w:vAnchor="page" w:hAnchor="page" w:x="336" w:y="2721" w:anchorLock="1"/>
      <w:adjustRightInd w:val="0"/>
      <w:snapToGrid w:val="0"/>
      <w:jc w:val="right"/>
    </w:pPr>
    <w:rPr>
      <w:sz w:val="14"/>
      <w:szCs w:val="14"/>
      <w:lang w:val="en-US" w:eastAsia="zh-CN"/>
    </w:rPr>
  </w:style>
  <w:style w:type="paragraph" w:customStyle="1" w:styleId="151">
    <w:name w:val="EFAFPHdrInfo"/>
    <w:link w:val="152"/>
    <w:qFormat/>
    <w:uiPriority w:val="0"/>
    <w:pPr>
      <w:framePr w:wrap="around" w:vAnchor="margin" w:hAnchor="text" w:xAlign="right" w:y="1"/>
      <w:suppressOverlap/>
      <w:ind w:left="240"/>
    </w:pPr>
    <w:rPr>
      <w:rFonts w:ascii="Calibri" w:hAnsi="Calibri" w:eastAsia="MS Mincho" w:cs="Times New Roman"/>
      <w:b/>
      <w:bCs/>
      <w:snapToGrid w:val="0"/>
      <w:color w:val="000000"/>
      <w:sz w:val="32"/>
      <w:szCs w:val="32"/>
      <w:lang w:val="en-US" w:eastAsia="ja-JP" w:bidi="ar-SA"/>
    </w:rPr>
  </w:style>
  <w:style w:type="character" w:customStyle="1" w:styleId="152">
    <w:name w:val="EFAFPHdrInfo Char"/>
    <w:basedOn w:val="105"/>
    <w:link w:val="151"/>
    <w:qFormat/>
    <w:uiPriority w:val="0"/>
    <w:rPr>
      <w:b/>
      <w:bCs/>
      <w:color w:val="000000"/>
      <w:sz w:val="32"/>
      <w:szCs w:val="32"/>
      <w:lang w:eastAsia="ja-JP"/>
    </w:rPr>
  </w:style>
  <w:style w:type="paragraph" w:customStyle="1" w:styleId="153">
    <w:name w:val="EFAFPTitle6"/>
    <w:link w:val="154"/>
    <w:qFormat/>
    <w:uiPriority w:val="0"/>
    <w:rPr>
      <w:rFonts w:ascii="Calibri" w:hAnsi="Calibri" w:eastAsia="MS Mincho" w:cs="Times New Roman"/>
      <w:b/>
      <w:bCs/>
      <w:snapToGrid w:val="0"/>
      <w:color w:val="FFFFFF"/>
      <w:sz w:val="32"/>
      <w:lang w:val="en-US" w:eastAsia="ja-JP" w:bidi="ar-SA"/>
    </w:rPr>
  </w:style>
  <w:style w:type="character" w:customStyle="1" w:styleId="154">
    <w:name w:val="EFAFPTitle6 Char"/>
    <w:basedOn w:val="28"/>
    <w:link w:val="153"/>
    <w:qFormat/>
    <w:uiPriority w:val="0"/>
    <w:rPr>
      <w:b/>
      <w:bCs/>
      <w:color w:val="FFFFFF"/>
      <w:sz w:val="32"/>
      <w:szCs w:val="20"/>
      <w:lang w:eastAsia="ja-JP"/>
    </w:rPr>
  </w:style>
  <w:style w:type="character" w:customStyle="1" w:styleId="155">
    <w:name w:val="未处理的提及1"/>
    <w:basedOn w:val="28"/>
    <w:semiHidden/>
    <w:unhideWhenUsed/>
    <w:qFormat/>
    <w:uiPriority w:val="99"/>
    <w:rPr>
      <w:color w:val="605E5C"/>
      <w:shd w:val="clear" w:color="auto" w:fill="E1DFDD"/>
    </w:rPr>
  </w:style>
  <w:style w:type="character" w:customStyle="1" w:styleId="156">
    <w:name w:val="标题 2 字符"/>
    <w:basedOn w:val="28"/>
    <w:link w:val="3"/>
    <w:qFormat/>
    <w:uiPriority w:val="0"/>
    <w:rPr>
      <w:rFonts w:cs="Arial"/>
      <w:b/>
      <w:bCs/>
      <w:iCs/>
      <w:snapToGrid w:val="0"/>
      <w:szCs w:val="28"/>
      <w:lang w:val="en-GB" w:eastAsia="ja-JP"/>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2" Type="http://schemas.openxmlformats.org/officeDocument/2006/relationships/fontTable" Target="fontTable.xml"/><Relationship Id="rId71" Type="http://schemas.openxmlformats.org/officeDocument/2006/relationships/customXml" Target="../customXml/item2.xml"/><Relationship Id="rId70" Type="http://schemas.openxmlformats.org/officeDocument/2006/relationships/numbering" Target="numbering.xml"/><Relationship Id="rId7" Type="http://schemas.openxmlformats.org/officeDocument/2006/relationships/footer" Target="footer2.xml"/><Relationship Id="rId69" Type="http://schemas.openxmlformats.org/officeDocument/2006/relationships/customXml" Target="../customXml/item1.xml"/><Relationship Id="rId68" Type="http://schemas.openxmlformats.org/officeDocument/2006/relationships/chart" Target="charts/chart16.xml"/><Relationship Id="rId67" Type="http://schemas.openxmlformats.org/officeDocument/2006/relationships/chart" Target="charts/chart15.xml"/><Relationship Id="rId66" Type="http://schemas.openxmlformats.org/officeDocument/2006/relationships/chart" Target="charts/chart14.xml"/><Relationship Id="rId65" Type="http://schemas.openxmlformats.org/officeDocument/2006/relationships/chart" Target="charts/chart13.xml"/><Relationship Id="rId64" Type="http://schemas.openxmlformats.org/officeDocument/2006/relationships/chart" Target="charts/chart12.xml"/><Relationship Id="rId63" Type="http://schemas.openxmlformats.org/officeDocument/2006/relationships/chart" Target="charts/chart11.xml"/><Relationship Id="rId62" Type="http://schemas.openxmlformats.org/officeDocument/2006/relationships/chart" Target="charts/chart10.xml"/><Relationship Id="rId61" Type="http://schemas.openxmlformats.org/officeDocument/2006/relationships/chart" Target="charts/chart9.xml"/><Relationship Id="rId60" Type="http://schemas.openxmlformats.org/officeDocument/2006/relationships/chart" Target="charts/chart8.xml"/><Relationship Id="rId6" Type="http://schemas.openxmlformats.org/officeDocument/2006/relationships/footer" Target="footer1.xml"/><Relationship Id="rId59" Type="http://schemas.openxmlformats.org/officeDocument/2006/relationships/image" Target="media/image39.png"/><Relationship Id="rId58" Type="http://schemas.openxmlformats.org/officeDocument/2006/relationships/image" Target="media/image38.png"/><Relationship Id="rId57" Type="http://schemas.openxmlformats.org/officeDocument/2006/relationships/image" Target="media/image37.png"/><Relationship Id="rId56" Type="http://schemas.openxmlformats.org/officeDocument/2006/relationships/image" Target="media/image36.png"/><Relationship Id="rId55" Type="http://schemas.openxmlformats.org/officeDocument/2006/relationships/image" Target="media/image35.png"/><Relationship Id="rId54" Type="http://schemas.openxmlformats.org/officeDocument/2006/relationships/image" Target="media/image34.emf"/><Relationship Id="rId53" Type="http://schemas.openxmlformats.org/officeDocument/2006/relationships/image" Target="media/image33.png"/><Relationship Id="rId52" Type="http://schemas.openxmlformats.org/officeDocument/2006/relationships/image" Target="media/image32.png"/><Relationship Id="rId51" Type="http://schemas.openxmlformats.org/officeDocument/2006/relationships/image" Target="media/image31.jpeg"/><Relationship Id="rId50" Type="http://schemas.openxmlformats.org/officeDocument/2006/relationships/image" Target="media/image30.png"/><Relationship Id="rId5" Type="http://schemas.openxmlformats.org/officeDocument/2006/relationships/header" Target="header3.xml"/><Relationship Id="rId49" Type="http://schemas.openxmlformats.org/officeDocument/2006/relationships/image" Target="media/image29.png"/><Relationship Id="rId48" Type="http://schemas.openxmlformats.org/officeDocument/2006/relationships/image" Target="media/image28.png"/><Relationship Id="rId47" Type="http://schemas.openxmlformats.org/officeDocument/2006/relationships/image" Target="media/image27.png"/><Relationship Id="rId46" Type="http://schemas.openxmlformats.org/officeDocument/2006/relationships/image" Target="media/image26.png"/><Relationship Id="rId45" Type="http://schemas.openxmlformats.org/officeDocument/2006/relationships/image" Target="media/image25.png"/><Relationship Id="rId44" Type="http://schemas.openxmlformats.org/officeDocument/2006/relationships/image" Target="media/image24.png"/><Relationship Id="rId43" Type="http://schemas.openxmlformats.org/officeDocument/2006/relationships/image" Target="media/image23.jpeg"/><Relationship Id="rId42" Type="http://schemas.openxmlformats.org/officeDocument/2006/relationships/image" Target="media/image22.png"/><Relationship Id="rId41" Type="http://schemas.openxmlformats.org/officeDocument/2006/relationships/image" Target="media/image21.png"/><Relationship Id="rId40" Type="http://schemas.openxmlformats.org/officeDocument/2006/relationships/image" Target="media/image20.png"/><Relationship Id="rId4" Type="http://schemas.openxmlformats.org/officeDocument/2006/relationships/header" Target="header2.xml"/><Relationship Id="rId39" Type="http://schemas.openxmlformats.org/officeDocument/2006/relationships/image" Target="media/image19.png"/><Relationship Id="rId38" Type="http://schemas.openxmlformats.org/officeDocument/2006/relationships/image" Target="media/image18.png"/><Relationship Id="rId37" Type="http://schemas.openxmlformats.org/officeDocument/2006/relationships/image" Target="media/image17.png"/><Relationship Id="rId36" Type="http://schemas.openxmlformats.org/officeDocument/2006/relationships/chart" Target="charts/chart7.xml"/><Relationship Id="rId35" Type="http://schemas.openxmlformats.org/officeDocument/2006/relationships/chart" Target="charts/chart6.xml"/><Relationship Id="rId34" Type="http://schemas.openxmlformats.org/officeDocument/2006/relationships/image" Target="media/image16.png"/><Relationship Id="rId33" Type="http://schemas.openxmlformats.org/officeDocument/2006/relationships/image" Target="media/image15.png"/><Relationship Id="rId32" Type="http://schemas.openxmlformats.org/officeDocument/2006/relationships/image" Target="media/image14.png"/><Relationship Id="rId31" Type="http://schemas.openxmlformats.org/officeDocument/2006/relationships/image" Target="media/image13.png"/><Relationship Id="rId30" Type="http://schemas.openxmlformats.org/officeDocument/2006/relationships/image" Target="media/image12.png"/><Relationship Id="rId3" Type="http://schemas.openxmlformats.org/officeDocument/2006/relationships/header" Target="header1.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png"/><Relationship Id="rId26" Type="http://schemas.openxmlformats.org/officeDocument/2006/relationships/image" Target="media/image8.png"/><Relationship Id="rId25" Type="http://schemas.openxmlformats.org/officeDocument/2006/relationships/image" Target="media/image7.png"/><Relationship Id="rId24" Type="http://schemas.openxmlformats.org/officeDocument/2006/relationships/image" Target="media/image6.png"/><Relationship Id="rId23" Type="http://schemas.openxmlformats.org/officeDocument/2006/relationships/image" Target="media/image5.png"/><Relationship Id="rId22" Type="http://schemas.openxmlformats.org/officeDocument/2006/relationships/chart" Target="charts/chart5.xml"/><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chart" Target="charts/chart4.xml"/><Relationship Id="rId18" Type="http://schemas.openxmlformats.org/officeDocument/2006/relationships/chart" Target="charts/chart3.xml"/><Relationship Id="rId17" Type="http://schemas.openxmlformats.org/officeDocument/2006/relationships/chart" Target="charts/chart2.xml"/><Relationship Id="rId16" Type="http://schemas.openxmlformats.org/officeDocument/2006/relationships/chart" Target="charts/chart1.xml"/><Relationship Id="rId15" Type="http://schemas.openxmlformats.org/officeDocument/2006/relationships/theme" Target="theme/theme1.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houlinhong\AppData\Roaming\EFA\Macro%20note%20-%20HTI.dotx" TargetMode="External"/></Relationships>
</file>

<file path=word/charts/_rels/chart1.xml.rels><?xml version="1.0" encoding="UTF-8" standalone="yes"?>
<Relationships xmlns="http://schemas.openxmlformats.org/package/2006/relationships"><Relationship Id="rId3" Type="http://schemas.microsoft.com/office/2011/relationships/chartColorStyle" Target="colors7.xml"/><Relationship Id="rId2" Type="http://schemas.microsoft.com/office/2011/relationships/chartStyle" Target="style7.xml"/><Relationship Id="rId1" Type="http://schemas.openxmlformats.org/officeDocument/2006/relationships/package" Target="../embeddings/Workbook2.xlsx"/></Relationships>
</file>

<file path=word/charts/_rels/chart2.xml.rels><?xml version="1.0" encoding="UTF-8" standalone="yes"?>
<Relationships xmlns="http://schemas.openxmlformats.org/package/2006/relationships"><Relationship Id="rId3" Type="http://schemas.microsoft.com/office/2011/relationships/chartColorStyle" Target="colors8.xml"/><Relationship Id="rId2" Type="http://schemas.microsoft.com/office/2011/relationships/chartStyle" Target="style8.xml"/><Relationship Id="rId1" Type="http://schemas.openxmlformats.org/officeDocument/2006/relationships/package" Target="../embeddings/Workbook3.xlsx"/></Relationships>
</file>

<file path=word/charts/_rels/chart3.xml.rels><?xml version="1.0" encoding="UTF-8" standalone="yes"?>
<Relationships xmlns="http://schemas.openxmlformats.org/package/2006/relationships"><Relationship Id="rId3" Type="http://schemas.microsoft.com/office/2011/relationships/chartColorStyle" Target="colors9.xml"/><Relationship Id="rId2" Type="http://schemas.microsoft.com/office/2011/relationships/chartStyle" Target="style9.xml"/><Relationship Id="rId1" Type="http://schemas.openxmlformats.org/officeDocument/2006/relationships/package" Target="../embeddings/Workbook4.xlsx"/></Relationships>
</file>

<file path=word/charts/_rels/chart4.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_rels/chart5.xml.rels><?xml version="1.0" encoding="UTF-8" standalone="yes"?>
<Relationships xmlns="http://schemas.openxmlformats.org/package/2006/relationships"><Relationship Id="rId3" Type="http://schemas.microsoft.com/office/2011/relationships/chartColorStyle" Target="colors14.xml"/><Relationship Id="rId2" Type="http://schemas.microsoft.com/office/2011/relationships/chartStyle" Target="style14.xml"/><Relationship Id="rId1" Type="http://schemas.openxmlformats.org/officeDocument/2006/relationships/oleObject" Target="&#24037;&#20316;&#31807;1" TargetMode="External"/></Relationships>
</file>

<file path=word/charts/_rels/chart6.xml.rels><?xml version="1.0" encoding="UTF-8" standalone="yes"?>
<Relationships xmlns="http://schemas.openxmlformats.org/package/2006/relationships"><Relationship Id="rId3" Type="http://schemas.microsoft.com/office/2011/relationships/chartColorStyle" Target="colors10.xml"/><Relationship Id="rId2" Type="http://schemas.microsoft.com/office/2011/relationships/chartStyle" Target="style10.xml"/><Relationship Id="rId1" Type="http://schemas.openxmlformats.org/officeDocument/2006/relationships/oleObject" Target="file:///D:\HuaweiMoveData\Users\Zipline\Desktop\&#21464;&#21387;&#22120;&#20986;&#21475;&#37329;&#39069;&#21271;&#32654;&#27954;&#24403;&#26376;&#20540;&#31561;_20260213_170615.xlsx" TargetMode="External"/></Relationships>
</file>

<file path=word/charts/_rels/chart7.xml.rels><?xml version="1.0" encoding="UTF-8" standalone="yes"?>
<Relationships xmlns="http://schemas.openxmlformats.org/package/2006/relationships"><Relationship Id="rId3" Type="http://schemas.microsoft.com/office/2011/relationships/chartColorStyle" Target="colors11.xml"/><Relationship Id="rId2" Type="http://schemas.microsoft.com/office/2011/relationships/chartStyle" Target="style11.xml"/><Relationship Id="rId1" Type="http://schemas.openxmlformats.org/officeDocument/2006/relationships/oleObject" Target="&#24037;&#20316;&#31807;1" TargetMode="External"/></Relationships>
</file>

<file path=word/charts/_rels/chart8.xml.rels><?xml version="1.0" encoding="UTF-8" standalone="yes"?>
<Relationships xmlns="http://schemas.openxmlformats.org/package/2006/relationships"><Relationship Id="rId4" Type="http://schemas.microsoft.com/office/2011/relationships/chartColorStyle" Target="colors6.xml"/><Relationship Id="rId3" Type="http://schemas.microsoft.com/office/2011/relationships/chartStyle" Target="style6.xml"/><Relationship Id="rId2" Type="http://schemas.openxmlformats.org/officeDocument/2006/relationships/themeOverride" Target="../theme/themeOverride5.xml"/><Relationship Id="rId1" Type="http://schemas.openxmlformats.org/officeDocument/2006/relationships/oleObject" Target="&#24037;&#20316;&#31807;2" TargetMode="External"/></Relationships>
</file>

<file path=word/charts/_rels/chart9.xml.rels><?xml version="1.0" encoding="UTF-8" standalone="yes"?>
<Relationships xmlns="http://schemas.openxmlformats.org/package/2006/relationships"><Relationship Id="rId4" Type="http://schemas.microsoft.com/office/2011/relationships/chartColorStyle" Target="colors15.xml"/><Relationship Id="rId3" Type="http://schemas.microsoft.com/office/2011/relationships/chartStyle" Target="style15.xml"/><Relationship Id="rId2" Type="http://schemas.openxmlformats.org/officeDocument/2006/relationships/themeOverride" Target="../theme/themeOverride8.xml"/><Relationship Id="rId1" Type="http://schemas.openxmlformats.org/officeDocument/2006/relationships/oleObject" Target="&#24037;&#20316;&#31807;2" TargetMode="External"/></Relationships>
</file>

<file path=word/charts/_rels/chart10.xml.rels><?xml version="1.0" encoding="UTF-8" standalone="yes"?>
<Relationships xmlns="http://schemas.openxmlformats.org/package/2006/relationships"><Relationship Id="rId4" Type="http://schemas.microsoft.com/office/2011/relationships/chartColorStyle" Target="colors12.xml"/><Relationship Id="rId3" Type="http://schemas.microsoft.com/office/2011/relationships/chartStyle" Target="style12.xml"/><Relationship Id="rId2" Type="http://schemas.openxmlformats.org/officeDocument/2006/relationships/themeOverride" Target="../theme/themeOverride6.xml"/><Relationship Id="rId1" Type="http://schemas.openxmlformats.org/officeDocument/2006/relationships/oleObject" Target="file:///C:\Users\86151\Desktop\&#35199;&#38160;&#24213;&#31295;.xlsx" TargetMode="External"/></Relationships>
</file>

<file path=word/charts/_rels/chart11.xml.rels><?xml version="1.0" encoding="UTF-8" standalone="yes"?>
<Relationships xmlns="http://schemas.openxmlformats.org/package/2006/relationships"><Relationship Id="rId4" Type="http://schemas.microsoft.com/office/2011/relationships/chartColorStyle" Target="colors5.xml"/><Relationship Id="rId3" Type="http://schemas.microsoft.com/office/2011/relationships/chartStyle" Target="style5.xml"/><Relationship Id="rId2" Type="http://schemas.openxmlformats.org/officeDocument/2006/relationships/themeOverride" Target="../theme/themeOverride4.xml"/><Relationship Id="rId1" Type="http://schemas.openxmlformats.org/officeDocument/2006/relationships/oleObject" Target="file:///C:\Users\86151\Desktop\&#35199;&#38160;&#24213;&#31295;.xlsx" TargetMode="External"/></Relationships>
</file>

<file path=word/charts/_rels/chart12.xml.rels><?xml version="1.0" encoding="UTF-8" standalone="yes"?>
<Relationships xmlns="http://schemas.openxmlformats.org/package/2006/relationships"><Relationship Id="rId4" Type="http://schemas.microsoft.com/office/2011/relationships/chartColorStyle" Target="colors3.xml"/><Relationship Id="rId3" Type="http://schemas.microsoft.com/office/2011/relationships/chartStyle" Target="style3.xml"/><Relationship Id="rId2" Type="http://schemas.openxmlformats.org/officeDocument/2006/relationships/themeOverride" Target="../theme/themeOverride2.xml"/><Relationship Id="rId1" Type="http://schemas.openxmlformats.org/officeDocument/2006/relationships/oleObject" Target="file:///C:\Users\86151\Desktop\&#35199;&#38160;&#24213;&#31295;.xlsx" TargetMode="External"/></Relationships>
</file>

<file path=word/charts/_rels/chart13.xml.rels><?xml version="1.0" encoding="UTF-8" standalone="yes"?>
<Relationships xmlns="http://schemas.openxmlformats.org/package/2006/relationships"><Relationship Id="rId4" Type="http://schemas.microsoft.com/office/2011/relationships/chartColorStyle" Target="colors2.xml"/><Relationship Id="rId3" Type="http://schemas.microsoft.com/office/2011/relationships/chartStyle" Target="style2.xml"/><Relationship Id="rId2" Type="http://schemas.openxmlformats.org/officeDocument/2006/relationships/themeOverride" Target="../theme/themeOverride1.xml"/><Relationship Id="rId1" Type="http://schemas.openxmlformats.org/officeDocument/2006/relationships/oleObject" Target="&#24037;&#20316;&#31807;2" TargetMode="External"/></Relationships>
</file>

<file path=word/charts/_rels/chart14.xml.rels><?xml version="1.0" encoding="UTF-8" standalone="yes"?>
<Relationships xmlns="http://schemas.openxmlformats.org/package/2006/relationships"><Relationship Id="rId4" Type="http://schemas.microsoft.com/office/2011/relationships/chartColorStyle" Target="colors16.xml"/><Relationship Id="rId3" Type="http://schemas.microsoft.com/office/2011/relationships/chartStyle" Target="style16.xml"/><Relationship Id="rId2" Type="http://schemas.openxmlformats.org/officeDocument/2006/relationships/themeOverride" Target="../theme/themeOverride9.xml"/><Relationship Id="rId1" Type="http://schemas.openxmlformats.org/officeDocument/2006/relationships/oleObject" Target="&#24037;&#20316;&#31807;2" TargetMode="External"/></Relationships>
</file>

<file path=word/charts/_rels/chart15.xml.rels><?xml version="1.0" encoding="UTF-8" standalone="yes"?>
<Relationships xmlns="http://schemas.openxmlformats.org/package/2006/relationships"><Relationship Id="rId4" Type="http://schemas.microsoft.com/office/2011/relationships/chartColorStyle" Target="colors4.xml"/><Relationship Id="rId3" Type="http://schemas.microsoft.com/office/2011/relationships/chartStyle" Target="style4.xml"/><Relationship Id="rId2" Type="http://schemas.openxmlformats.org/officeDocument/2006/relationships/themeOverride" Target="../theme/themeOverride3.xml"/><Relationship Id="rId1" Type="http://schemas.openxmlformats.org/officeDocument/2006/relationships/oleObject" Target="&#24037;&#20316;&#31807;2" TargetMode="External"/></Relationships>
</file>

<file path=word/charts/_rels/chart16.xml.rels><?xml version="1.0" encoding="UTF-8" standalone="yes"?>
<Relationships xmlns="http://schemas.openxmlformats.org/package/2006/relationships"><Relationship Id="rId4" Type="http://schemas.microsoft.com/office/2011/relationships/chartColorStyle" Target="colors13.xml"/><Relationship Id="rId3" Type="http://schemas.microsoft.com/office/2011/relationships/chartStyle" Target="style13.xml"/><Relationship Id="rId2" Type="http://schemas.openxmlformats.org/officeDocument/2006/relationships/themeOverride" Target="../theme/themeOverride7.xml"/><Relationship Id="rId1" Type="http://schemas.openxmlformats.org/officeDocument/2006/relationships/oleObject" Target="&#24037;&#20316;&#31807;2"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4951271902936"/>
          <c:y val="0.0712435233160622"/>
          <c:w val="0.77483496069169"/>
          <c:h val="0.474015748031496"/>
        </c:manualLayout>
      </c:layout>
      <c:lineChart>
        <c:grouping val="standard"/>
        <c:varyColors val="0"/>
        <c:ser>
          <c:idx val="0"/>
          <c:order val="0"/>
          <c:tx>
            <c:strRef>
              <c:f>Sheet1!$B$1</c:f>
              <c:strCache>
                <c:ptCount val="1"/>
                <c:pt idx="0">
                  <c:v>标普500指数</c:v>
                </c:pt>
              </c:strCache>
            </c:strRef>
          </c:tx>
          <c:spPr>
            <a:ln w="28575" cap="rnd">
              <a:solidFill>
                <a:schemeClr val="accent1"/>
              </a:solidFill>
              <a:round/>
            </a:ln>
            <a:effectLst/>
          </c:spPr>
          <c:marker>
            <c:symbol val="none"/>
          </c:marker>
          <c:dLbls>
            <c:dLbl>
              <c:idx val="0"/>
              <c:delete val="1"/>
            </c:dLbl>
            <c:dLbl>
              <c:idx val="1"/>
              <c:delete val="1"/>
            </c:dLbl>
            <c:dLbl>
              <c:idx val="2"/>
              <c:delete val="1"/>
            </c:dLbl>
            <c:dLbl>
              <c:idx val="3"/>
              <c:delete val="1"/>
            </c:dLbl>
            <c:dLbl>
              <c:idx val="4"/>
              <c:delete val="1"/>
            </c:dLbl>
            <c:dLbl>
              <c:idx val="5"/>
              <c:delete val="1"/>
            </c:dLbl>
            <c:dLbl>
              <c:idx val="6"/>
              <c:delete val="1"/>
            </c:dLbl>
            <c:dLbl>
              <c:idx val="7"/>
              <c:delete val="1"/>
            </c:dLbl>
            <c:dLbl>
              <c:idx val="8"/>
              <c:delete val="1"/>
            </c:dLbl>
            <c:dLbl>
              <c:idx val="9"/>
              <c:delete val="1"/>
            </c:dLbl>
            <c:dLbl>
              <c:idx val="10"/>
              <c:delete val="1"/>
            </c:dLbl>
            <c:dLbl>
              <c:idx val="11"/>
              <c:delete val="1"/>
            </c:dLbl>
            <c:dLbl>
              <c:idx val="12"/>
              <c:delete val="1"/>
            </c:dLbl>
            <c:dLbl>
              <c:idx val="13"/>
              <c:delete val="1"/>
            </c:dLbl>
            <c:dLbl>
              <c:idx val="14"/>
              <c:delete val="1"/>
            </c:dLbl>
            <c:dLbl>
              <c:idx val="15"/>
              <c:delete val="1"/>
            </c:dLbl>
            <c:dLbl>
              <c:idx val="16"/>
              <c:delete val="1"/>
            </c:dLbl>
            <c:dLbl>
              <c:idx val="17"/>
              <c:delete val="1"/>
            </c:dLbl>
            <c:dLbl>
              <c:idx val="18"/>
              <c:delete val="1"/>
            </c:dLbl>
            <c:dLbl>
              <c:idx val="19"/>
              <c:delete val="1"/>
            </c:dLbl>
            <c:dLbl>
              <c:idx val="20"/>
              <c:delete val="1"/>
            </c:dLbl>
            <c:dLbl>
              <c:idx val="21"/>
              <c:delete val="1"/>
            </c:dLbl>
            <c:dLbl>
              <c:idx val="22"/>
              <c:delete val="1"/>
            </c:dLbl>
            <c:dLbl>
              <c:idx val="23"/>
              <c:delete val="1"/>
            </c:dLbl>
            <c:dLbl>
              <c:idx val="24"/>
              <c:delete val="1"/>
            </c:dLbl>
            <c:dLbl>
              <c:idx val="25"/>
              <c:delete val="1"/>
            </c:dLbl>
            <c:dLbl>
              <c:idx val="26"/>
              <c:layout>
                <c:manualLayout>
                  <c:x val="-0.035301039419494"/>
                  <c:y val="-0.0712435233160622"/>
                </c:manualLayout>
              </c:layout>
              <c:dLblPos val="r"/>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Times New Roman" panose="02020603050405020304" charset="0"/>
                    <a:ea typeface="楷体" panose="02010609060101010101" pitchFamily="3" charset="-122"/>
                    <a:cs typeface="Times New Roman" panose="02020603050405020304" charset="0"/>
                  </a:defRPr>
                </a:pPr>
              </a:p>
            </c:txPr>
            <c:dLblPos val="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Sheet1!$A$2:$A$28</c:f>
              <c:strCache>
                <c:ptCount val="27"/>
                <c:pt idx="0">
                  <c:v>2026-01-02</c:v>
                </c:pt>
                <c:pt idx="1">
                  <c:v>2026-01-05</c:v>
                </c:pt>
                <c:pt idx="2">
                  <c:v>2026-01-06</c:v>
                </c:pt>
                <c:pt idx="3">
                  <c:v>2026-01-07</c:v>
                </c:pt>
                <c:pt idx="4">
                  <c:v>2026-01-08</c:v>
                </c:pt>
                <c:pt idx="5">
                  <c:v>2026-01-09</c:v>
                </c:pt>
                <c:pt idx="6">
                  <c:v>2026-01-12</c:v>
                </c:pt>
                <c:pt idx="7">
                  <c:v>2026-01-13</c:v>
                </c:pt>
                <c:pt idx="8">
                  <c:v>2026-01-14</c:v>
                </c:pt>
                <c:pt idx="9">
                  <c:v>2026-01-15</c:v>
                </c:pt>
                <c:pt idx="10">
                  <c:v>2026-01-16</c:v>
                </c:pt>
                <c:pt idx="11">
                  <c:v>2026-01-20</c:v>
                </c:pt>
                <c:pt idx="12">
                  <c:v>2026-01-21</c:v>
                </c:pt>
                <c:pt idx="13">
                  <c:v>2026-01-22</c:v>
                </c:pt>
                <c:pt idx="14">
                  <c:v>2026-01-23</c:v>
                </c:pt>
                <c:pt idx="15">
                  <c:v>2026-01-26</c:v>
                </c:pt>
                <c:pt idx="16">
                  <c:v>2026-01-27</c:v>
                </c:pt>
                <c:pt idx="17">
                  <c:v>2026-01-28</c:v>
                </c:pt>
                <c:pt idx="18">
                  <c:v>2026-01-29</c:v>
                </c:pt>
                <c:pt idx="19">
                  <c:v>2026-01-30</c:v>
                </c:pt>
                <c:pt idx="20">
                  <c:v>2026-02-02</c:v>
                </c:pt>
                <c:pt idx="21">
                  <c:v>2026-02-03</c:v>
                </c:pt>
                <c:pt idx="22">
                  <c:v>2026-02-04</c:v>
                </c:pt>
                <c:pt idx="23">
                  <c:v>2026-02-05</c:v>
                </c:pt>
                <c:pt idx="24">
                  <c:v>2026-02-06</c:v>
                </c:pt>
                <c:pt idx="25">
                  <c:v>2026-02-09</c:v>
                </c:pt>
                <c:pt idx="26">
                  <c:v>2026-02-10</c:v>
                </c:pt>
              </c:strCache>
            </c:strRef>
          </c:cat>
          <c:val>
            <c:numRef>
              <c:f>Sheet1!$B$2:$B$28</c:f>
              <c:numCache>
                <c:formatCode>#,##0.00</c:formatCode>
                <c:ptCount val="27"/>
                <c:pt idx="0">
                  <c:v>6858.47</c:v>
                </c:pt>
                <c:pt idx="1">
                  <c:v>6902.05</c:v>
                </c:pt>
                <c:pt idx="2">
                  <c:v>6944.82</c:v>
                </c:pt>
                <c:pt idx="3">
                  <c:v>6920.93</c:v>
                </c:pt>
                <c:pt idx="4">
                  <c:v>6921.46</c:v>
                </c:pt>
                <c:pt idx="5">
                  <c:v>6966.28</c:v>
                </c:pt>
                <c:pt idx="6">
                  <c:v>6977.27</c:v>
                </c:pt>
                <c:pt idx="7">
                  <c:v>6963.74</c:v>
                </c:pt>
                <c:pt idx="8">
                  <c:v>6926.6</c:v>
                </c:pt>
                <c:pt idx="9">
                  <c:v>6944.47</c:v>
                </c:pt>
                <c:pt idx="10">
                  <c:v>6940.01</c:v>
                </c:pt>
                <c:pt idx="11">
                  <c:v>6796.86</c:v>
                </c:pt>
                <c:pt idx="12">
                  <c:v>6875.62</c:v>
                </c:pt>
                <c:pt idx="13">
                  <c:v>6913.35</c:v>
                </c:pt>
                <c:pt idx="14">
                  <c:v>6915.61</c:v>
                </c:pt>
                <c:pt idx="15">
                  <c:v>6950.23</c:v>
                </c:pt>
                <c:pt idx="16">
                  <c:v>6978.6</c:v>
                </c:pt>
                <c:pt idx="17">
                  <c:v>6978.03</c:v>
                </c:pt>
                <c:pt idx="18">
                  <c:v>6969.01</c:v>
                </c:pt>
                <c:pt idx="19">
                  <c:v>6939.03</c:v>
                </c:pt>
                <c:pt idx="20">
                  <c:v>6976.44</c:v>
                </c:pt>
                <c:pt idx="21">
                  <c:v>6917.81</c:v>
                </c:pt>
                <c:pt idx="22">
                  <c:v>6882.72</c:v>
                </c:pt>
                <c:pt idx="23">
                  <c:v>6798.4</c:v>
                </c:pt>
                <c:pt idx="24">
                  <c:v>6932.3</c:v>
                </c:pt>
                <c:pt idx="25">
                  <c:v>6964.82</c:v>
                </c:pt>
                <c:pt idx="26">
                  <c:v>6941.81</c:v>
                </c:pt>
              </c:numCache>
            </c:numRef>
          </c:val>
          <c:smooth val="0"/>
        </c:ser>
        <c:dLbls>
          <c:showLegendKey val="0"/>
          <c:showVal val="0"/>
          <c:showCatName val="0"/>
          <c:showSerName val="0"/>
          <c:showPercent val="0"/>
          <c:showBubbleSize val="0"/>
        </c:dLbls>
        <c:marker val="0"/>
        <c:smooth val="0"/>
        <c:axId val="851413455"/>
        <c:axId val="851409615"/>
      </c:lineChart>
      <c:catAx>
        <c:axId val="85141345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楷体" panose="02010609060101010101" pitchFamily="3" charset="-122"/>
                <a:cs typeface="Times New Roman" panose="02020603050405020304" charset="0"/>
              </a:defRPr>
            </a:pPr>
          </a:p>
        </c:txPr>
        <c:crossAx val="851409615"/>
        <c:crosses val="autoZero"/>
        <c:auto val="1"/>
        <c:lblAlgn val="ctr"/>
        <c:lblOffset val="100"/>
        <c:noMultiLvlLbl val="0"/>
      </c:catAx>
      <c:valAx>
        <c:axId val="851409615"/>
        <c:scaling>
          <c:orientation val="minMax"/>
          <c:max val="7200"/>
          <c:min val="6500"/>
        </c:scaling>
        <c:delete val="0"/>
        <c:axPos val="l"/>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楷体" panose="02010609060101010101" pitchFamily="3" charset="-122"/>
                <a:cs typeface="Times New Roman" panose="02020603050405020304" charset="0"/>
              </a:defRPr>
            </a:pPr>
          </a:p>
        </c:txPr>
        <c:crossAx val="851413455"/>
        <c:crosses val="autoZero"/>
        <c:crossBetween val="between"/>
        <c:majorUnit val="500"/>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楷体" panose="02010609060101010101" pitchFamily="3" charset="-122"/>
              <a:cs typeface="Times New Roman" panose="02020603050405020304" charset="0"/>
            </a:defRPr>
          </a:pPr>
        </a:p>
      </c:txPr>
    </c:legend>
    <c:plotVisOnly val="1"/>
    <c:dispBlanksAs val="gap"/>
    <c:showDLblsOverMax val="0"/>
    <c:extLst>
      <c:ext uri="{0b15fc19-7d7d-44ad-8c2d-2c3a37ce22c3}">
        <chartProps xmlns="https://web.wps.cn/et/2018/main" chartId="{e4c7c455-b542-4fab-894c-af544f1f4eda}"/>
      </c:ext>
    </c:extLst>
  </c:chart>
  <c:spPr>
    <a:noFill/>
    <a:ln w="9525" cap="flat" cmpd="sng" algn="ctr">
      <a:noFill/>
      <a:round/>
    </a:ln>
    <a:effectLst/>
  </c:spPr>
  <c:txPr>
    <a:bodyPr/>
    <a:lstStyle/>
    <a:p>
      <a:pPr>
        <a:defRPr lang="zh-CN">
          <a:latin typeface="Times New Roman" panose="02020603050405020304" charset="0"/>
          <a:ea typeface="楷体" panose="02010609060101010101" pitchFamily="3" charset="-122"/>
          <a:cs typeface="Times New Roman" panose="02020603050405020304" charset="0"/>
        </a:defRPr>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1543942992874"/>
          <c:y val="0.0744752877454299"/>
          <c:w val="0.801921152093697"/>
          <c:h val="0.509614082599865"/>
        </c:manualLayout>
      </c:layout>
      <c:lineChart>
        <c:grouping val="standard"/>
        <c:varyColors val="0"/>
        <c:ser>
          <c:idx val="0"/>
          <c:order val="0"/>
          <c:tx>
            <c:strRef>
              <c:f>Sheet1!$B$1</c:f>
              <c:strCache>
                <c:ptCount val="1"/>
                <c:pt idx="0">
                  <c:v>道琼斯指数</c:v>
                </c:pt>
              </c:strCache>
            </c:strRef>
          </c:tx>
          <c:spPr>
            <a:ln w="28575" cap="rnd">
              <a:solidFill>
                <a:schemeClr val="accent1"/>
              </a:solidFill>
              <a:round/>
            </a:ln>
            <a:effectLst/>
          </c:spPr>
          <c:marker>
            <c:symbol val="none"/>
          </c:marker>
          <c:dLbls>
            <c:dLbl>
              <c:idx val="0"/>
              <c:delete val="1"/>
            </c:dLbl>
            <c:dLbl>
              <c:idx val="1"/>
              <c:delete val="1"/>
            </c:dLbl>
            <c:dLbl>
              <c:idx val="2"/>
              <c:delete val="1"/>
            </c:dLbl>
            <c:dLbl>
              <c:idx val="3"/>
              <c:delete val="1"/>
            </c:dLbl>
            <c:dLbl>
              <c:idx val="4"/>
              <c:delete val="1"/>
            </c:dLbl>
            <c:dLbl>
              <c:idx val="5"/>
              <c:delete val="1"/>
            </c:dLbl>
            <c:dLbl>
              <c:idx val="6"/>
              <c:delete val="1"/>
            </c:dLbl>
            <c:dLbl>
              <c:idx val="7"/>
              <c:delete val="1"/>
            </c:dLbl>
            <c:dLbl>
              <c:idx val="8"/>
              <c:delete val="1"/>
            </c:dLbl>
            <c:dLbl>
              <c:idx val="9"/>
              <c:delete val="1"/>
            </c:dLbl>
            <c:dLbl>
              <c:idx val="10"/>
              <c:delete val="1"/>
            </c:dLbl>
            <c:dLbl>
              <c:idx val="11"/>
              <c:delete val="1"/>
            </c:dLbl>
            <c:dLbl>
              <c:idx val="12"/>
              <c:delete val="1"/>
            </c:dLbl>
            <c:dLbl>
              <c:idx val="13"/>
              <c:delete val="1"/>
            </c:dLbl>
            <c:dLbl>
              <c:idx val="14"/>
              <c:delete val="1"/>
            </c:dLbl>
            <c:dLbl>
              <c:idx val="15"/>
              <c:delete val="1"/>
            </c:dLbl>
            <c:dLbl>
              <c:idx val="16"/>
              <c:delete val="1"/>
            </c:dLbl>
            <c:dLbl>
              <c:idx val="17"/>
              <c:delete val="1"/>
            </c:dLbl>
            <c:dLbl>
              <c:idx val="18"/>
              <c:delete val="1"/>
            </c:dLbl>
            <c:dLbl>
              <c:idx val="19"/>
              <c:delete val="1"/>
            </c:dLbl>
            <c:dLbl>
              <c:idx val="20"/>
              <c:delete val="1"/>
            </c:dLbl>
            <c:dLbl>
              <c:idx val="21"/>
              <c:delete val="1"/>
            </c:dLbl>
            <c:dLbl>
              <c:idx val="22"/>
              <c:delete val="1"/>
            </c:dLbl>
            <c:dLbl>
              <c:idx val="23"/>
              <c:delete val="1"/>
            </c:dLbl>
            <c:dLbl>
              <c:idx val="24"/>
              <c:delete val="1"/>
            </c:dLbl>
            <c:dLbl>
              <c:idx val="25"/>
              <c:delete val="1"/>
            </c:dLbl>
            <c:dLbl>
              <c:idx val="26"/>
              <c:layout/>
              <c:dLblPos val="t"/>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楷体" panose="02010609060101010101" pitchFamily="3" charset="-122"/>
                    <a:ea typeface="楷体" panose="02010609060101010101" pitchFamily="3" charset="-122"/>
                    <a:cs typeface="楷体" panose="02010609060101010101" pitchFamily="3" charset="-122"/>
                    <a:sym typeface="楷体" panose="02010609060101010101" pitchFamily="3" charset="-122"/>
                  </a:defRPr>
                </a:pPr>
              </a:p>
            </c:txPr>
            <c:dLblPos val="r"/>
            <c:showLegendKey val="0"/>
            <c:showVal val="0"/>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Sheet1!$A$2:$A$28</c:f>
              <c:strCache>
                <c:ptCount val="27"/>
                <c:pt idx="0">
                  <c:v>2026-01-02</c:v>
                </c:pt>
                <c:pt idx="1">
                  <c:v>2026-01-05</c:v>
                </c:pt>
                <c:pt idx="2">
                  <c:v>2026-01-06</c:v>
                </c:pt>
                <c:pt idx="3">
                  <c:v>2026-01-07</c:v>
                </c:pt>
                <c:pt idx="4">
                  <c:v>2026-01-08</c:v>
                </c:pt>
                <c:pt idx="5">
                  <c:v>2026-01-09</c:v>
                </c:pt>
                <c:pt idx="6">
                  <c:v>2026-01-12</c:v>
                </c:pt>
                <c:pt idx="7">
                  <c:v>2026-01-13</c:v>
                </c:pt>
                <c:pt idx="8">
                  <c:v>2026-01-14</c:v>
                </c:pt>
                <c:pt idx="9">
                  <c:v>2026-01-15</c:v>
                </c:pt>
                <c:pt idx="10">
                  <c:v>2026-01-16</c:v>
                </c:pt>
                <c:pt idx="11">
                  <c:v>2026-01-20</c:v>
                </c:pt>
                <c:pt idx="12">
                  <c:v>2026-01-21</c:v>
                </c:pt>
                <c:pt idx="13">
                  <c:v>2026-01-22</c:v>
                </c:pt>
                <c:pt idx="14">
                  <c:v>2026-01-23</c:v>
                </c:pt>
                <c:pt idx="15">
                  <c:v>2026-01-26</c:v>
                </c:pt>
                <c:pt idx="16">
                  <c:v>2026-01-27</c:v>
                </c:pt>
                <c:pt idx="17">
                  <c:v>2026-01-28</c:v>
                </c:pt>
                <c:pt idx="18">
                  <c:v>2026-01-29</c:v>
                </c:pt>
                <c:pt idx="19">
                  <c:v>2026-01-30</c:v>
                </c:pt>
                <c:pt idx="20">
                  <c:v>2026-02-02</c:v>
                </c:pt>
                <c:pt idx="21">
                  <c:v>2026-02-03</c:v>
                </c:pt>
                <c:pt idx="22">
                  <c:v>2026-02-04</c:v>
                </c:pt>
                <c:pt idx="23">
                  <c:v>2026-02-05</c:v>
                </c:pt>
                <c:pt idx="24">
                  <c:v>2026-02-06</c:v>
                </c:pt>
                <c:pt idx="25">
                  <c:v>2026-02-09</c:v>
                </c:pt>
                <c:pt idx="26">
                  <c:v>2026-02-10</c:v>
                </c:pt>
              </c:strCache>
            </c:strRef>
          </c:cat>
          <c:val>
            <c:numRef>
              <c:f>Sheet1!$B$2:$B$28</c:f>
              <c:numCache>
                <c:formatCode>#,##0.00</c:formatCode>
                <c:ptCount val="27"/>
                <c:pt idx="0">
                  <c:v>48382.39</c:v>
                </c:pt>
                <c:pt idx="1">
                  <c:v>48977.18</c:v>
                </c:pt>
                <c:pt idx="2">
                  <c:v>49462.08</c:v>
                </c:pt>
                <c:pt idx="3">
                  <c:v>48996.08</c:v>
                </c:pt>
                <c:pt idx="4">
                  <c:v>49266.11</c:v>
                </c:pt>
                <c:pt idx="5">
                  <c:v>49504.07</c:v>
                </c:pt>
                <c:pt idx="6">
                  <c:v>49590.2</c:v>
                </c:pt>
                <c:pt idx="7">
                  <c:v>49191.99</c:v>
                </c:pt>
                <c:pt idx="8">
                  <c:v>49149.63</c:v>
                </c:pt>
                <c:pt idx="9">
                  <c:v>49442.44</c:v>
                </c:pt>
                <c:pt idx="10">
                  <c:v>49359.33</c:v>
                </c:pt>
                <c:pt idx="11">
                  <c:v>48488.59</c:v>
                </c:pt>
                <c:pt idx="12">
                  <c:v>49077.23</c:v>
                </c:pt>
                <c:pt idx="13">
                  <c:v>49384.01</c:v>
                </c:pt>
                <c:pt idx="14">
                  <c:v>49098.71</c:v>
                </c:pt>
                <c:pt idx="15">
                  <c:v>49412.4</c:v>
                </c:pt>
                <c:pt idx="16">
                  <c:v>49003.41</c:v>
                </c:pt>
                <c:pt idx="17">
                  <c:v>49015.6</c:v>
                </c:pt>
                <c:pt idx="18">
                  <c:v>49071.56</c:v>
                </c:pt>
                <c:pt idx="19">
                  <c:v>48892.47</c:v>
                </c:pt>
                <c:pt idx="20">
                  <c:v>49407.66</c:v>
                </c:pt>
                <c:pt idx="21">
                  <c:v>49240.99</c:v>
                </c:pt>
                <c:pt idx="22">
                  <c:v>49501.3</c:v>
                </c:pt>
                <c:pt idx="23">
                  <c:v>48908.72</c:v>
                </c:pt>
                <c:pt idx="24">
                  <c:v>50115.67</c:v>
                </c:pt>
                <c:pt idx="25">
                  <c:v>50135.87</c:v>
                </c:pt>
                <c:pt idx="26">
                  <c:v>50188.14</c:v>
                </c:pt>
              </c:numCache>
            </c:numRef>
          </c:val>
          <c:smooth val="0"/>
        </c:ser>
        <c:dLbls>
          <c:showLegendKey val="0"/>
          <c:showVal val="0"/>
          <c:showCatName val="0"/>
          <c:showSerName val="0"/>
          <c:showPercent val="0"/>
          <c:showBubbleSize val="0"/>
        </c:dLbls>
        <c:marker val="0"/>
        <c:smooth val="0"/>
        <c:axId val="1181505408"/>
        <c:axId val="1181530848"/>
      </c:lineChart>
      <c:catAx>
        <c:axId val="118150540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楷体" panose="02010609060101010101" pitchFamily="3" charset="-122"/>
                <a:ea typeface="楷体" panose="02010609060101010101" pitchFamily="3" charset="-122"/>
                <a:cs typeface="楷体" panose="02010609060101010101" pitchFamily="3" charset="-122"/>
                <a:sym typeface="楷体" panose="02010609060101010101" pitchFamily="3" charset="-122"/>
              </a:defRPr>
            </a:pPr>
          </a:p>
        </c:txPr>
        <c:crossAx val="1181530848"/>
        <c:crosses val="autoZero"/>
        <c:auto val="1"/>
        <c:lblAlgn val="ctr"/>
        <c:lblOffset val="100"/>
        <c:noMultiLvlLbl val="0"/>
      </c:catAx>
      <c:valAx>
        <c:axId val="1181530848"/>
        <c:scaling>
          <c:orientation val="minMax"/>
          <c:max val="50500"/>
          <c:min val="47000"/>
        </c:scaling>
        <c:delete val="0"/>
        <c:axPos val="l"/>
        <c:numFmt formatCode="#,##0_);[Red]\(#,##0\)" sourceLinked="0"/>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楷体" panose="02010609060101010101" pitchFamily="3" charset="-122"/>
                <a:ea typeface="楷体" panose="02010609060101010101" pitchFamily="3" charset="-122"/>
                <a:cs typeface="楷体" panose="02010609060101010101" pitchFamily="3" charset="-122"/>
                <a:sym typeface="楷体" panose="02010609060101010101" pitchFamily="3" charset="-122"/>
              </a:defRPr>
            </a:pPr>
          </a:p>
        </c:txPr>
        <c:crossAx val="1181505408"/>
        <c:crosses val="autoZero"/>
        <c:crossBetween val="between"/>
        <c:majorUnit val="1000"/>
      </c:valAx>
      <c:spPr>
        <a:noFill/>
        <a:ln>
          <a:noFill/>
        </a:ln>
        <a:effectLst/>
      </c:spPr>
    </c:plotArea>
    <c:legend>
      <c:legendPos val="b"/>
      <c:legendEntry>
        <c:idx val="0"/>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楷体" panose="02010609060101010101" pitchFamily="3" charset="-122"/>
                <a:ea typeface="楷体" panose="02010609060101010101" pitchFamily="3" charset="-122"/>
                <a:cs typeface="楷体" panose="02010609060101010101" pitchFamily="3" charset="-122"/>
                <a:sym typeface="楷体" panose="02010609060101010101" pitchFamily="3" charset="-122"/>
              </a:defRPr>
            </a:pPr>
          </a:p>
        </c:txPr>
      </c:legendEntry>
      <c:layout>
        <c:manualLayout>
          <c:xMode val="edge"/>
          <c:yMode val="edge"/>
          <c:x val="0.353820269200317"/>
          <c:y val="0.877115775220041"/>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楷体" panose="02010609060101010101" pitchFamily="3" charset="-122"/>
              <a:ea typeface="楷体" panose="02010609060101010101" pitchFamily="3" charset="-122"/>
              <a:cs typeface="楷体" panose="02010609060101010101" pitchFamily="3" charset="-122"/>
              <a:sym typeface="楷体" panose="02010609060101010101" pitchFamily="3" charset="-122"/>
            </a:defRPr>
          </a:pPr>
        </a:p>
      </c:txPr>
    </c:legend>
    <c:plotVisOnly val="1"/>
    <c:dispBlanksAs val="gap"/>
    <c:showDLblsOverMax val="0"/>
    <c:extLst>
      <c:ext uri="{0b15fc19-7d7d-44ad-8c2d-2c3a37ce22c3}">
        <chartProps xmlns="https://web.wps.cn/et/2018/main" chartId="{33f6070a-613a-459a-bdb5-02457210e6e6}"/>
      </c:ext>
    </c:extLst>
  </c:chart>
  <c:spPr>
    <a:solidFill>
      <a:schemeClr val="bg1"/>
    </a:solidFill>
    <a:ln w="9525" cap="flat" cmpd="sng" algn="ctr">
      <a:noFill/>
      <a:round/>
    </a:ln>
    <a:effectLst/>
  </c:spPr>
  <c:txPr>
    <a:bodyPr/>
    <a:lstStyle/>
    <a:p>
      <a:pPr>
        <a:defRPr lang="zh-CN">
          <a:latin typeface="楷体" panose="02010609060101010101" pitchFamily="3" charset="-122"/>
          <a:ea typeface="楷体" panose="02010609060101010101" pitchFamily="3" charset="-122"/>
          <a:cs typeface="楷体" panose="02010609060101010101" pitchFamily="3" charset="-122"/>
          <a:sym typeface="楷体" panose="02010609060101010101" pitchFamily="3" charset="-122"/>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690484717492869"/>
          <c:y val="0.0297650130548303"/>
          <c:w val="0.734792959703567"/>
          <c:h val="0.407334966814949"/>
        </c:manualLayout>
      </c:layout>
      <c:lineChart>
        <c:grouping val="standard"/>
        <c:varyColors val="0"/>
        <c:ser>
          <c:idx val="0"/>
          <c:order val="0"/>
          <c:tx>
            <c:strRef>
              <c:f>Sheet1!$B$1</c:f>
              <c:strCache>
                <c:ptCount val="1"/>
                <c:pt idx="0">
                  <c:v>可选消费</c:v>
                </c:pt>
              </c:strCache>
            </c:strRef>
          </c:tx>
          <c:spPr>
            <a:ln w="12700" cap="rnd">
              <a:solidFill>
                <a:schemeClr val="accent1"/>
              </a:solidFill>
              <a:round/>
            </a:ln>
            <a:effectLst/>
          </c:spPr>
          <c:marker>
            <c:symbol val="none"/>
          </c:marker>
          <c:dLbls>
            <c:delete val="1"/>
          </c:dLbls>
          <c:cat>
            <c:strRef>
              <c:f>Sheet1!$A$2:$A$27</c:f>
              <c:strCache>
                <c:ptCount val="26"/>
                <c:pt idx="0">
                  <c:v>2026-01-02</c:v>
                </c:pt>
                <c:pt idx="1">
                  <c:v>2026-01-05</c:v>
                </c:pt>
                <c:pt idx="2">
                  <c:v>2026-01-06</c:v>
                </c:pt>
                <c:pt idx="3">
                  <c:v>2026-01-07</c:v>
                </c:pt>
                <c:pt idx="4">
                  <c:v>2026-01-08</c:v>
                </c:pt>
                <c:pt idx="5">
                  <c:v>2026-01-09</c:v>
                </c:pt>
                <c:pt idx="6">
                  <c:v>2026-01-12</c:v>
                </c:pt>
                <c:pt idx="7">
                  <c:v>2026-01-13</c:v>
                </c:pt>
                <c:pt idx="8">
                  <c:v>2026-01-14</c:v>
                </c:pt>
                <c:pt idx="9">
                  <c:v>2026-01-15</c:v>
                </c:pt>
                <c:pt idx="10">
                  <c:v>2026-01-16</c:v>
                </c:pt>
                <c:pt idx="11">
                  <c:v>2026-01-20</c:v>
                </c:pt>
                <c:pt idx="12">
                  <c:v>2026-01-21</c:v>
                </c:pt>
                <c:pt idx="13">
                  <c:v>2026-01-22</c:v>
                </c:pt>
                <c:pt idx="14">
                  <c:v>2026-01-23</c:v>
                </c:pt>
                <c:pt idx="15">
                  <c:v>2026-01-26</c:v>
                </c:pt>
                <c:pt idx="16">
                  <c:v>2026-01-27</c:v>
                </c:pt>
                <c:pt idx="17">
                  <c:v>2026-01-28</c:v>
                </c:pt>
                <c:pt idx="18">
                  <c:v>2026-01-29</c:v>
                </c:pt>
                <c:pt idx="19">
                  <c:v>2026-01-30</c:v>
                </c:pt>
                <c:pt idx="20">
                  <c:v>2026-02-02</c:v>
                </c:pt>
                <c:pt idx="21">
                  <c:v>2026-02-03</c:v>
                </c:pt>
                <c:pt idx="22">
                  <c:v>2026-02-04</c:v>
                </c:pt>
                <c:pt idx="23">
                  <c:v>2026-02-05</c:v>
                </c:pt>
                <c:pt idx="24">
                  <c:v>2026-02-06</c:v>
                </c:pt>
                <c:pt idx="25">
                  <c:v>2026-02-09</c:v>
                </c:pt>
              </c:strCache>
            </c:strRef>
          </c:cat>
          <c:val>
            <c:numRef>
              <c:f>Sheet1!$B$2:$B$27</c:f>
              <c:numCache>
                <c:formatCode>0.00_ </c:formatCode>
                <c:ptCount val="26"/>
                <c:pt idx="0">
                  <c:v>100</c:v>
                </c:pt>
                <c:pt idx="1">
                  <c:v>101.647655259823</c:v>
                </c:pt>
                <c:pt idx="2">
                  <c:v>102.298267849599</c:v>
                </c:pt>
                <c:pt idx="3">
                  <c:v>102.154626108999</c:v>
                </c:pt>
                <c:pt idx="4">
                  <c:v>103.861427967892</c:v>
                </c:pt>
                <c:pt idx="5">
                  <c:v>105.120405576679</c:v>
                </c:pt>
                <c:pt idx="6">
                  <c:v>105.213350232362</c:v>
                </c:pt>
                <c:pt idx="7">
                  <c:v>104.951415293621</c:v>
                </c:pt>
                <c:pt idx="8">
                  <c:v>103.295310519645</c:v>
                </c:pt>
                <c:pt idx="9">
                  <c:v>103.675538656527</c:v>
                </c:pt>
                <c:pt idx="10">
                  <c:v>103.33755809041</c:v>
                </c:pt>
                <c:pt idx="11">
                  <c:v>100.650612589776</c:v>
                </c:pt>
                <c:pt idx="12">
                  <c:v>102.577101816645</c:v>
                </c:pt>
                <c:pt idx="13">
                  <c:v>103.607942543304</c:v>
                </c:pt>
                <c:pt idx="14">
                  <c:v>104.038867765103</c:v>
                </c:pt>
                <c:pt idx="15">
                  <c:v>103.354457118716</c:v>
                </c:pt>
                <c:pt idx="16">
                  <c:v>103.667089142374</c:v>
                </c:pt>
                <c:pt idx="17">
                  <c:v>102.889733840304</c:v>
                </c:pt>
                <c:pt idx="18">
                  <c:v>102.399662019434</c:v>
                </c:pt>
                <c:pt idx="19">
                  <c:v>102.382762991128</c:v>
                </c:pt>
                <c:pt idx="20">
                  <c:v>103.058724123363</c:v>
                </c:pt>
                <c:pt idx="21">
                  <c:v>102.230671736375</c:v>
                </c:pt>
                <c:pt idx="22">
                  <c:v>101.478664976764</c:v>
                </c:pt>
                <c:pt idx="23">
                  <c:v>99.2902408111533</c:v>
                </c:pt>
                <c:pt idx="24">
                  <c:v>99.6958174904942</c:v>
                </c:pt>
                <c:pt idx="25">
                  <c:v>99.3240388677651</c:v>
                </c:pt>
              </c:numCache>
            </c:numRef>
          </c:val>
          <c:smooth val="0"/>
        </c:ser>
        <c:ser>
          <c:idx val="1"/>
          <c:order val="1"/>
          <c:tx>
            <c:strRef>
              <c:f>Sheet1!$C$1</c:f>
              <c:strCache>
                <c:ptCount val="1"/>
                <c:pt idx="0">
                  <c:v>日常消费</c:v>
                </c:pt>
              </c:strCache>
            </c:strRef>
          </c:tx>
          <c:spPr>
            <a:ln w="12700" cap="rnd">
              <a:solidFill>
                <a:schemeClr val="accent2"/>
              </a:solidFill>
              <a:round/>
            </a:ln>
            <a:effectLst/>
          </c:spPr>
          <c:marker>
            <c:symbol val="none"/>
          </c:marker>
          <c:dLbls>
            <c:delete val="1"/>
          </c:dLbls>
          <c:cat>
            <c:strRef>
              <c:f>Sheet1!$A$2:$A$27</c:f>
              <c:strCache>
                <c:ptCount val="26"/>
                <c:pt idx="0">
                  <c:v>2026-01-02</c:v>
                </c:pt>
                <c:pt idx="1">
                  <c:v>2026-01-05</c:v>
                </c:pt>
                <c:pt idx="2">
                  <c:v>2026-01-06</c:v>
                </c:pt>
                <c:pt idx="3">
                  <c:v>2026-01-07</c:v>
                </c:pt>
                <c:pt idx="4">
                  <c:v>2026-01-08</c:v>
                </c:pt>
                <c:pt idx="5">
                  <c:v>2026-01-09</c:v>
                </c:pt>
                <c:pt idx="6">
                  <c:v>2026-01-12</c:v>
                </c:pt>
                <c:pt idx="7">
                  <c:v>2026-01-13</c:v>
                </c:pt>
                <c:pt idx="8">
                  <c:v>2026-01-14</c:v>
                </c:pt>
                <c:pt idx="9">
                  <c:v>2026-01-15</c:v>
                </c:pt>
                <c:pt idx="10">
                  <c:v>2026-01-16</c:v>
                </c:pt>
                <c:pt idx="11">
                  <c:v>2026-01-20</c:v>
                </c:pt>
                <c:pt idx="12">
                  <c:v>2026-01-21</c:v>
                </c:pt>
                <c:pt idx="13">
                  <c:v>2026-01-22</c:v>
                </c:pt>
                <c:pt idx="14">
                  <c:v>2026-01-23</c:v>
                </c:pt>
                <c:pt idx="15">
                  <c:v>2026-01-26</c:v>
                </c:pt>
                <c:pt idx="16">
                  <c:v>2026-01-27</c:v>
                </c:pt>
                <c:pt idx="17">
                  <c:v>2026-01-28</c:v>
                </c:pt>
                <c:pt idx="18">
                  <c:v>2026-01-29</c:v>
                </c:pt>
                <c:pt idx="19">
                  <c:v>2026-01-30</c:v>
                </c:pt>
                <c:pt idx="20">
                  <c:v>2026-02-02</c:v>
                </c:pt>
                <c:pt idx="21">
                  <c:v>2026-02-03</c:v>
                </c:pt>
                <c:pt idx="22">
                  <c:v>2026-02-04</c:v>
                </c:pt>
                <c:pt idx="23">
                  <c:v>2026-02-05</c:v>
                </c:pt>
                <c:pt idx="24">
                  <c:v>2026-02-06</c:v>
                </c:pt>
                <c:pt idx="25">
                  <c:v>2026-02-09</c:v>
                </c:pt>
              </c:strCache>
            </c:strRef>
          </c:cat>
          <c:val>
            <c:numRef>
              <c:f>Sheet1!$C$2:$C$27</c:f>
              <c:numCache>
                <c:formatCode>0.00_ </c:formatCode>
                <c:ptCount val="26"/>
                <c:pt idx="0">
                  <c:v>100</c:v>
                </c:pt>
                <c:pt idx="1">
                  <c:v>102.716319824754</c:v>
                </c:pt>
                <c:pt idx="2">
                  <c:v>99.9780941949617</c:v>
                </c:pt>
                <c:pt idx="3">
                  <c:v>98.8608981380066</c:v>
                </c:pt>
                <c:pt idx="4">
                  <c:v>101.97152245345</c:v>
                </c:pt>
                <c:pt idx="5">
                  <c:v>102.23439211391</c:v>
                </c:pt>
                <c:pt idx="6">
                  <c:v>101.511500547645</c:v>
                </c:pt>
                <c:pt idx="7">
                  <c:v>102.957283680175</c:v>
                </c:pt>
                <c:pt idx="8">
                  <c:v>105.279299014239</c:v>
                </c:pt>
                <c:pt idx="9">
                  <c:v>104.293537787514</c:v>
                </c:pt>
                <c:pt idx="10">
                  <c:v>104.46878422782</c:v>
                </c:pt>
                <c:pt idx="11">
                  <c:v>104.271631982475</c:v>
                </c:pt>
                <c:pt idx="12">
                  <c:v>106.790799561884</c:v>
                </c:pt>
                <c:pt idx="13">
                  <c:v>107.141292442497</c:v>
                </c:pt>
                <c:pt idx="14">
                  <c:v>107.754654983571</c:v>
                </c:pt>
                <c:pt idx="15">
                  <c:v>107.820372398686</c:v>
                </c:pt>
                <c:pt idx="16">
                  <c:v>108.806133625411</c:v>
                </c:pt>
                <c:pt idx="17">
                  <c:v>109.638554216867</c:v>
                </c:pt>
                <c:pt idx="18">
                  <c:v>110.646221248631</c:v>
                </c:pt>
                <c:pt idx="19">
                  <c:v>111.829134720701</c:v>
                </c:pt>
                <c:pt idx="20">
                  <c:v>109.638554216867</c:v>
                </c:pt>
                <c:pt idx="21">
                  <c:v>113.187294633078</c:v>
                </c:pt>
                <c:pt idx="22">
                  <c:v>115.728368017525</c:v>
                </c:pt>
                <c:pt idx="23">
                  <c:v>114.370208105148</c:v>
                </c:pt>
                <c:pt idx="24">
                  <c:v>116.648411829135</c:v>
                </c:pt>
                <c:pt idx="25">
                  <c:v>117.50273822563</c:v>
                </c:pt>
              </c:numCache>
            </c:numRef>
          </c:val>
          <c:smooth val="0"/>
        </c:ser>
        <c:ser>
          <c:idx val="2"/>
          <c:order val="2"/>
          <c:tx>
            <c:strRef>
              <c:f>Sheet1!$D$1</c:f>
              <c:strCache>
                <c:ptCount val="1"/>
                <c:pt idx="0">
                  <c:v>金融</c:v>
                </c:pt>
              </c:strCache>
            </c:strRef>
          </c:tx>
          <c:spPr>
            <a:ln w="12700" cap="rnd">
              <a:solidFill>
                <a:schemeClr val="accent3"/>
              </a:solidFill>
              <a:round/>
            </a:ln>
            <a:effectLst/>
          </c:spPr>
          <c:marker>
            <c:symbol val="none"/>
          </c:marker>
          <c:dLbls>
            <c:delete val="1"/>
          </c:dLbls>
          <c:cat>
            <c:strRef>
              <c:f>Sheet1!$A$2:$A$27</c:f>
              <c:strCache>
                <c:ptCount val="26"/>
                <c:pt idx="0">
                  <c:v>2026-01-02</c:v>
                </c:pt>
                <c:pt idx="1">
                  <c:v>2026-01-05</c:v>
                </c:pt>
                <c:pt idx="2">
                  <c:v>2026-01-06</c:v>
                </c:pt>
                <c:pt idx="3">
                  <c:v>2026-01-07</c:v>
                </c:pt>
                <c:pt idx="4">
                  <c:v>2026-01-08</c:v>
                </c:pt>
                <c:pt idx="5">
                  <c:v>2026-01-09</c:v>
                </c:pt>
                <c:pt idx="6">
                  <c:v>2026-01-12</c:v>
                </c:pt>
                <c:pt idx="7">
                  <c:v>2026-01-13</c:v>
                </c:pt>
                <c:pt idx="8">
                  <c:v>2026-01-14</c:v>
                </c:pt>
                <c:pt idx="9">
                  <c:v>2026-01-15</c:v>
                </c:pt>
                <c:pt idx="10">
                  <c:v>2026-01-16</c:v>
                </c:pt>
                <c:pt idx="11">
                  <c:v>2026-01-20</c:v>
                </c:pt>
                <c:pt idx="12">
                  <c:v>2026-01-21</c:v>
                </c:pt>
                <c:pt idx="13">
                  <c:v>2026-01-22</c:v>
                </c:pt>
                <c:pt idx="14">
                  <c:v>2026-01-23</c:v>
                </c:pt>
                <c:pt idx="15">
                  <c:v>2026-01-26</c:v>
                </c:pt>
                <c:pt idx="16">
                  <c:v>2026-01-27</c:v>
                </c:pt>
                <c:pt idx="17">
                  <c:v>2026-01-28</c:v>
                </c:pt>
                <c:pt idx="18">
                  <c:v>2026-01-29</c:v>
                </c:pt>
                <c:pt idx="19">
                  <c:v>2026-01-30</c:v>
                </c:pt>
                <c:pt idx="20">
                  <c:v>2026-02-02</c:v>
                </c:pt>
                <c:pt idx="21">
                  <c:v>2026-02-03</c:v>
                </c:pt>
                <c:pt idx="22">
                  <c:v>2026-02-04</c:v>
                </c:pt>
                <c:pt idx="23">
                  <c:v>2026-02-05</c:v>
                </c:pt>
                <c:pt idx="24">
                  <c:v>2026-02-06</c:v>
                </c:pt>
                <c:pt idx="25">
                  <c:v>2026-02-09</c:v>
                </c:pt>
              </c:strCache>
            </c:strRef>
          </c:cat>
          <c:val>
            <c:numRef>
              <c:f>Sheet1!$D$2:$D$27</c:f>
              <c:numCache>
                <c:formatCode>0.00_ </c:formatCode>
                <c:ptCount val="26"/>
                <c:pt idx="0">
                  <c:v>100</c:v>
                </c:pt>
                <c:pt idx="1">
                  <c:v>102.184598580011</c:v>
                </c:pt>
                <c:pt idx="2">
                  <c:v>102.676133260513</c:v>
                </c:pt>
                <c:pt idx="3">
                  <c:v>101.23793919534</c:v>
                </c:pt>
                <c:pt idx="4">
                  <c:v>101.765883852175</c:v>
                </c:pt>
                <c:pt idx="5">
                  <c:v>101.456399053341</c:v>
                </c:pt>
                <c:pt idx="6">
                  <c:v>100.655379574003</c:v>
                </c:pt>
                <c:pt idx="7">
                  <c:v>98.7256508283269</c:v>
                </c:pt>
                <c:pt idx="8">
                  <c:v>98.5800109229929</c:v>
                </c:pt>
                <c:pt idx="9">
                  <c:v>98.9805206626616</c:v>
                </c:pt>
                <c:pt idx="10">
                  <c:v>99.1079555798289</c:v>
                </c:pt>
                <c:pt idx="11">
                  <c:v>96.8505370471509</c:v>
                </c:pt>
                <c:pt idx="12">
                  <c:v>97.3238667394866</c:v>
                </c:pt>
                <c:pt idx="13">
                  <c:v>97.9610413253232</c:v>
                </c:pt>
                <c:pt idx="14">
                  <c:v>96.6138722009831</c:v>
                </c:pt>
                <c:pt idx="15">
                  <c:v>97.2328417986528</c:v>
                </c:pt>
                <c:pt idx="16">
                  <c:v>96.4864372838158</c:v>
                </c:pt>
                <c:pt idx="17">
                  <c:v>96.468232295649</c:v>
                </c:pt>
                <c:pt idx="18">
                  <c:v>97.4877116329874</c:v>
                </c:pt>
                <c:pt idx="19">
                  <c:v>97.2874567631531</c:v>
                </c:pt>
                <c:pt idx="20">
                  <c:v>98.3615510649918</c:v>
                </c:pt>
                <c:pt idx="21">
                  <c:v>97.4513016566539</c:v>
                </c:pt>
                <c:pt idx="22">
                  <c:v>98.2341161478245</c:v>
                </c:pt>
                <c:pt idx="23">
                  <c:v>97.0143819406517</c:v>
                </c:pt>
                <c:pt idx="24">
                  <c:v>98.7802657928272</c:v>
                </c:pt>
                <c:pt idx="25">
                  <c:v>98.197706171491</c:v>
                </c:pt>
              </c:numCache>
            </c:numRef>
          </c:val>
          <c:smooth val="0"/>
        </c:ser>
        <c:ser>
          <c:idx val="3"/>
          <c:order val="3"/>
          <c:tx>
            <c:strRef>
              <c:f>Sheet1!$E$1</c:f>
              <c:strCache>
                <c:ptCount val="1"/>
                <c:pt idx="0">
                  <c:v>医疗保健</c:v>
                </c:pt>
              </c:strCache>
            </c:strRef>
          </c:tx>
          <c:spPr>
            <a:ln w="12700" cap="rnd">
              <a:solidFill>
                <a:schemeClr val="accent4"/>
              </a:solidFill>
              <a:round/>
            </a:ln>
            <a:effectLst/>
          </c:spPr>
          <c:marker>
            <c:symbol val="none"/>
          </c:marker>
          <c:dLbls>
            <c:delete val="1"/>
          </c:dLbls>
          <c:cat>
            <c:strRef>
              <c:f>Sheet1!$A$2:$A$27</c:f>
              <c:strCache>
                <c:ptCount val="26"/>
                <c:pt idx="0">
                  <c:v>2026-01-02</c:v>
                </c:pt>
                <c:pt idx="1">
                  <c:v>2026-01-05</c:v>
                </c:pt>
                <c:pt idx="2">
                  <c:v>2026-01-06</c:v>
                </c:pt>
                <c:pt idx="3">
                  <c:v>2026-01-07</c:v>
                </c:pt>
                <c:pt idx="4">
                  <c:v>2026-01-08</c:v>
                </c:pt>
                <c:pt idx="5">
                  <c:v>2026-01-09</c:v>
                </c:pt>
                <c:pt idx="6">
                  <c:v>2026-01-12</c:v>
                </c:pt>
                <c:pt idx="7">
                  <c:v>2026-01-13</c:v>
                </c:pt>
                <c:pt idx="8">
                  <c:v>2026-01-14</c:v>
                </c:pt>
                <c:pt idx="9">
                  <c:v>2026-01-15</c:v>
                </c:pt>
                <c:pt idx="10">
                  <c:v>2026-01-16</c:v>
                </c:pt>
                <c:pt idx="11">
                  <c:v>2026-01-20</c:v>
                </c:pt>
                <c:pt idx="12">
                  <c:v>2026-01-21</c:v>
                </c:pt>
                <c:pt idx="13">
                  <c:v>2026-01-22</c:v>
                </c:pt>
                <c:pt idx="14">
                  <c:v>2026-01-23</c:v>
                </c:pt>
                <c:pt idx="15">
                  <c:v>2026-01-26</c:v>
                </c:pt>
                <c:pt idx="16">
                  <c:v>2026-01-27</c:v>
                </c:pt>
                <c:pt idx="17">
                  <c:v>2026-01-28</c:v>
                </c:pt>
                <c:pt idx="18">
                  <c:v>2026-01-29</c:v>
                </c:pt>
                <c:pt idx="19">
                  <c:v>2026-01-30</c:v>
                </c:pt>
                <c:pt idx="20">
                  <c:v>2026-02-02</c:v>
                </c:pt>
                <c:pt idx="21">
                  <c:v>2026-02-03</c:v>
                </c:pt>
                <c:pt idx="22">
                  <c:v>2026-02-04</c:v>
                </c:pt>
                <c:pt idx="23">
                  <c:v>2026-02-05</c:v>
                </c:pt>
                <c:pt idx="24">
                  <c:v>2026-02-06</c:v>
                </c:pt>
                <c:pt idx="25">
                  <c:v>2026-02-09</c:v>
                </c:pt>
              </c:strCache>
            </c:strRef>
          </c:cat>
          <c:val>
            <c:numRef>
              <c:f>Sheet1!$E$2:$E$27</c:f>
              <c:numCache>
                <c:formatCode>0.00_ </c:formatCode>
                <c:ptCount val="26"/>
                <c:pt idx="0">
                  <c:v>100</c:v>
                </c:pt>
                <c:pt idx="1">
                  <c:v>99.6977686322423</c:v>
                </c:pt>
                <c:pt idx="2">
                  <c:v>101.659057295351</c:v>
                </c:pt>
                <c:pt idx="3">
                  <c:v>102.668638672754</c:v>
                </c:pt>
                <c:pt idx="4">
                  <c:v>101.67834865925</c:v>
                </c:pt>
                <c:pt idx="5">
                  <c:v>101.157481833966</c:v>
                </c:pt>
                <c:pt idx="6">
                  <c:v>101.202495016398</c:v>
                </c:pt>
                <c:pt idx="7">
                  <c:v>100.790945919877</c:v>
                </c:pt>
                <c:pt idx="8">
                  <c:v>101.511156838789</c:v>
                </c:pt>
                <c:pt idx="9">
                  <c:v>100.932415921806</c:v>
                </c:pt>
                <c:pt idx="10">
                  <c:v>100.147900456562</c:v>
                </c:pt>
                <c:pt idx="11">
                  <c:v>99.9292649990355</c:v>
                </c:pt>
                <c:pt idx="12">
                  <c:v>101.768375024114</c:v>
                </c:pt>
                <c:pt idx="13">
                  <c:v>101.787666388014</c:v>
                </c:pt>
                <c:pt idx="14">
                  <c:v>101.266799562729</c:v>
                </c:pt>
                <c:pt idx="15">
                  <c:v>101.665487749984</c:v>
                </c:pt>
                <c:pt idx="16">
                  <c:v>99.9614172722011</c:v>
                </c:pt>
                <c:pt idx="17">
                  <c:v>99.2283454440229</c:v>
                </c:pt>
                <c:pt idx="18">
                  <c:v>98.9132531669989</c:v>
                </c:pt>
                <c:pt idx="19">
                  <c:v>99.504854993248</c:v>
                </c:pt>
                <c:pt idx="20">
                  <c:v>100.115748183397</c:v>
                </c:pt>
                <c:pt idx="21">
                  <c:v>99.0933058967269</c:v>
                </c:pt>
                <c:pt idx="22">
                  <c:v>100.334383640923</c:v>
                </c:pt>
                <c:pt idx="23">
                  <c:v>99.5691595395795</c:v>
                </c:pt>
                <c:pt idx="24">
                  <c:v>101.414700019291</c:v>
                </c:pt>
                <c:pt idx="25">
                  <c:v>100.520866825285</c:v>
                </c:pt>
              </c:numCache>
            </c:numRef>
          </c:val>
          <c:smooth val="0"/>
        </c:ser>
        <c:ser>
          <c:idx val="4"/>
          <c:order val="4"/>
          <c:tx>
            <c:strRef>
              <c:f>Sheet1!$F$1</c:f>
              <c:strCache>
                <c:ptCount val="1"/>
                <c:pt idx="0">
                  <c:v>工业</c:v>
                </c:pt>
              </c:strCache>
            </c:strRef>
          </c:tx>
          <c:spPr>
            <a:ln w="12700" cap="rnd">
              <a:solidFill>
                <a:schemeClr val="accent5"/>
              </a:solidFill>
              <a:round/>
            </a:ln>
            <a:effectLst/>
          </c:spPr>
          <c:marker>
            <c:symbol val="none"/>
          </c:marker>
          <c:dLbls>
            <c:delete val="1"/>
          </c:dLbls>
          <c:cat>
            <c:strRef>
              <c:f>Sheet1!$A$2:$A$27</c:f>
              <c:strCache>
                <c:ptCount val="26"/>
                <c:pt idx="0">
                  <c:v>2026-01-02</c:v>
                </c:pt>
                <c:pt idx="1">
                  <c:v>2026-01-05</c:v>
                </c:pt>
                <c:pt idx="2">
                  <c:v>2026-01-06</c:v>
                </c:pt>
                <c:pt idx="3">
                  <c:v>2026-01-07</c:v>
                </c:pt>
                <c:pt idx="4">
                  <c:v>2026-01-08</c:v>
                </c:pt>
                <c:pt idx="5">
                  <c:v>2026-01-09</c:v>
                </c:pt>
                <c:pt idx="6">
                  <c:v>2026-01-12</c:v>
                </c:pt>
                <c:pt idx="7">
                  <c:v>2026-01-13</c:v>
                </c:pt>
                <c:pt idx="8">
                  <c:v>2026-01-14</c:v>
                </c:pt>
                <c:pt idx="9">
                  <c:v>2026-01-15</c:v>
                </c:pt>
                <c:pt idx="10">
                  <c:v>2026-01-16</c:v>
                </c:pt>
                <c:pt idx="11">
                  <c:v>2026-01-20</c:v>
                </c:pt>
                <c:pt idx="12">
                  <c:v>2026-01-21</c:v>
                </c:pt>
                <c:pt idx="13">
                  <c:v>2026-01-22</c:v>
                </c:pt>
                <c:pt idx="14">
                  <c:v>2026-01-23</c:v>
                </c:pt>
                <c:pt idx="15">
                  <c:v>2026-01-26</c:v>
                </c:pt>
                <c:pt idx="16">
                  <c:v>2026-01-27</c:v>
                </c:pt>
                <c:pt idx="17">
                  <c:v>2026-01-28</c:v>
                </c:pt>
                <c:pt idx="18">
                  <c:v>2026-01-29</c:v>
                </c:pt>
                <c:pt idx="19">
                  <c:v>2026-01-30</c:v>
                </c:pt>
                <c:pt idx="20">
                  <c:v>2026-02-02</c:v>
                </c:pt>
                <c:pt idx="21">
                  <c:v>2026-02-03</c:v>
                </c:pt>
                <c:pt idx="22">
                  <c:v>2026-02-04</c:v>
                </c:pt>
                <c:pt idx="23">
                  <c:v>2026-02-05</c:v>
                </c:pt>
                <c:pt idx="24">
                  <c:v>2026-02-06</c:v>
                </c:pt>
                <c:pt idx="25">
                  <c:v>2026-02-09</c:v>
                </c:pt>
              </c:strCache>
            </c:strRef>
          </c:cat>
          <c:val>
            <c:numRef>
              <c:f>Sheet1!$F$2:$F$27</c:f>
              <c:numCache>
                <c:formatCode>0.00_ </c:formatCode>
                <c:ptCount val="26"/>
                <c:pt idx="0">
                  <c:v>100</c:v>
                </c:pt>
                <c:pt idx="1">
                  <c:v>101.183694138499</c:v>
                </c:pt>
                <c:pt idx="2">
                  <c:v>102.557285732371</c:v>
                </c:pt>
                <c:pt idx="3">
                  <c:v>100.626661602735</c:v>
                </c:pt>
                <c:pt idx="4">
                  <c:v>101.386251424231</c:v>
                </c:pt>
                <c:pt idx="5">
                  <c:v>102.500316495759</c:v>
                </c:pt>
                <c:pt idx="6">
                  <c:v>103.285225977972</c:v>
                </c:pt>
                <c:pt idx="7">
                  <c:v>103.816938853019</c:v>
                </c:pt>
                <c:pt idx="8">
                  <c:v>103.981516647677</c:v>
                </c:pt>
                <c:pt idx="9">
                  <c:v>104.937333839727</c:v>
                </c:pt>
                <c:pt idx="10">
                  <c:v>105.64628433979</c:v>
                </c:pt>
                <c:pt idx="11">
                  <c:v>103.513102924421</c:v>
                </c:pt>
                <c:pt idx="12">
                  <c:v>105.304468920116</c:v>
                </c:pt>
                <c:pt idx="13">
                  <c:v>104.760096214711</c:v>
                </c:pt>
                <c:pt idx="14">
                  <c:v>103.949867071781</c:v>
                </c:pt>
                <c:pt idx="15">
                  <c:v>104.051145714647</c:v>
                </c:pt>
                <c:pt idx="16">
                  <c:v>104.481579946829</c:v>
                </c:pt>
                <c:pt idx="17">
                  <c:v>103.899227750348</c:v>
                </c:pt>
                <c:pt idx="18">
                  <c:v>104.98797316116</c:v>
                </c:pt>
                <c:pt idx="19">
                  <c:v>104.722116723636</c:v>
                </c:pt>
                <c:pt idx="20">
                  <c:v>106.045068996075</c:v>
                </c:pt>
                <c:pt idx="21">
                  <c:v>106.937587036334</c:v>
                </c:pt>
                <c:pt idx="22">
                  <c:v>107.222433219395</c:v>
                </c:pt>
                <c:pt idx="23">
                  <c:v>106.576781871123</c:v>
                </c:pt>
                <c:pt idx="24">
                  <c:v>109.621471072288</c:v>
                </c:pt>
                <c:pt idx="25">
                  <c:v>109.950626661603</c:v>
                </c:pt>
              </c:numCache>
            </c:numRef>
          </c:val>
          <c:smooth val="0"/>
        </c:ser>
        <c:ser>
          <c:idx val="5"/>
          <c:order val="5"/>
          <c:tx>
            <c:strRef>
              <c:f>Sheet1!$G$1</c:f>
              <c:strCache>
                <c:ptCount val="1"/>
                <c:pt idx="0">
                  <c:v>材料</c:v>
                </c:pt>
              </c:strCache>
            </c:strRef>
          </c:tx>
          <c:spPr>
            <a:ln w="12700" cap="rnd">
              <a:solidFill>
                <a:schemeClr val="accent6"/>
              </a:solidFill>
              <a:round/>
            </a:ln>
            <a:effectLst/>
          </c:spPr>
          <c:marker>
            <c:symbol val="none"/>
          </c:marker>
          <c:dLbls>
            <c:delete val="1"/>
          </c:dLbls>
          <c:cat>
            <c:strRef>
              <c:f>Sheet1!$A$2:$A$27</c:f>
              <c:strCache>
                <c:ptCount val="26"/>
                <c:pt idx="0">
                  <c:v>2026-01-02</c:v>
                </c:pt>
                <c:pt idx="1">
                  <c:v>2026-01-05</c:v>
                </c:pt>
                <c:pt idx="2">
                  <c:v>2026-01-06</c:v>
                </c:pt>
                <c:pt idx="3">
                  <c:v>2026-01-07</c:v>
                </c:pt>
                <c:pt idx="4">
                  <c:v>2026-01-08</c:v>
                </c:pt>
                <c:pt idx="5">
                  <c:v>2026-01-09</c:v>
                </c:pt>
                <c:pt idx="6">
                  <c:v>2026-01-12</c:v>
                </c:pt>
                <c:pt idx="7">
                  <c:v>2026-01-13</c:v>
                </c:pt>
                <c:pt idx="8">
                  <c:v>2026-01-14</c:v>
                </c:pt>
                <c:pt idx="9">
                  <c:v>2026-01-15</c:v>
                </c:pt>
                <c:pt idx="10">
                  <c:v>2026-01-16</c:v>
                </c:pt>
                <c:pt idx="11">
                  <c:v>2026-01-20</c:v>
                </c:pt>
                <c:pt idx="12">
                  <c:v>2026-01-21</c:v>
                </c:pt>
                <c:pt idx="13">
                  <c:v>2026-01-22</c:v>
                </c:pt>
                <c:pt idx="14">
                  <c:v>2026-01-23</c:v>
                </c:pt>
                <c:pt idx="15">
                  <c:v>2026-01-26</c:v>
                </c:pt>
                <c:pt idx="16">
                  <c:v>2026-01-27</c:v>
                </c:pt>
                <c:pt idx="17">
                  <c:v>2026-01-28</c:v>
                </c:pt>
                <c:pt idx="18">
                  <c:v>2026-01-29</c:v>
                </c:pt>
                <c:pt idx="19">
                  <c:v>2026-01-30</c:v>
                </c:pt>
                <c:pt idx="20">
                  <c:v>2026-02-02</c:v>
                </c:pt>
                <c:pt idx="21">
                  <c:v>2026-02-03</c:v>
                </c:pt>
                <c:pt idx="22">
                  <c:v>2026-02-04</c:v>
                </c:pt>
                <c:pt idx="23">
                  <c:v>2026-02-05</c:v>
                </c:pt>
                <c:pt idx="24">
                  <c:v>2026-02-06</c:v>
                </c:pt>
                <c:pt idx="25">
                  <c:v>2026-02-09</c:v>
                </c:pt>
              </c:strCache>
            </c:strRef>
          </c:cat>
          <c:val>
            <c:numRef>
              <c:f>Sheet1!$G$2:$G$27</c:f>
              <c:numCache>
                <c:formatCode>0.00_ </c:formatCode>
                <c:ptCount val="26"/>
                <c:pt idx="0">
                  <c:v>100</c:v>
                </c:pt>
                <c:pt idx="1">
                  <c:v>100.997398091934</c:v>
                </c:pt>
                <c:pt idx="2">
                  <c:v>102.992194275802</c:v>
                </c:pt>
                <c:pt idx="3">
                  <c:v>101.214223764094</c:v>
                </c:pt>
                <c:pt idx="4">
                  <c:v>102.992194275802</c:v>
                </c:pt>
                <c:pt idx="5">
                  <c:v>104.640069384215</c:v>
                </c:pt>
                <c:pt idx="6">
                  <c:v>105.20381613183</c:v>
                </c:pt>
                <c:pt idx="7">
                  <c:v>105.659150043365</c:v>
                </c:pt>
                <c:pt idx="8">
                  <c:v>105.702515177797</c:v>
                </c:pt>
                <c:pt idx="9">
                  <c:v>106.157849089332</c:v>
                </c:pt>
                <c:pt idx="10">
                  <c:v>105.550737207285</c:v>
                </c:pt>
                <c:pt idx="11">
                  <c:v>104.488291413703</c:v>
                </c:pt>
                <c:pt idx="12">
                  <c:v>106.764960971379</c:v>
                </c:pt>
                <c:pt idx="13">
                  <c:v>107.372072853426</c:v>
                </c:pt>
                <c:pt idx="14">
                  <c:v>108.347788378144</c:v>
                </c:pt>
                <c:pt idx="15">
                  <c:v>108.47788378144</c:v>
                </c:pt>
                <c:pt idx="16">
                  <c:v>108.36947094536</c:v>
                </c:pt>
                <c:pt idx="17">
                  <c:v>108.304423243712</c:v>
                </c:pt>
                <c:pt idx="18">
                  <c:v>108.412836079792</c:v>
                </c:pt>
                <c:pt idx="19">
                  <c:v>106.830008673027</c:v>
                </c:pt>
                <c:pt idx="20">
                  <c:v>107.653946227233</c:v>
                </c:pt>
                <c:pt idx="21">
                  <c:v>109.930615784909</c:v>
                </c:pt>
                <c:pt idx="22">
                  <c:v>112.510841283608</c:v>
                </c:pt>
                <c:pt idx="23">
                  <c:v>109.49696444059</c:v>
                </c:pt>
                <c:pt idx="24">
                  <c:v>111.686903729402</c:v>
                </c:pt>
                <c:pt idx="25">
                  <c:v>113.139635732871</c:v>
                </c:pt>
              </c:numCache>
            </c:numRef>
          </c:val>
          <c:smooth val="0"/>
        </c:ser>
        <c:ser>
          <c:idx val="6"/>
          <c:order val="6"/>
          <c:tx>
            <c:strRef>
              <c:f>Sheet1!$H$1</c:f>
              <c:strCache>
                <c:ptCount val="1"/>
                <c:pt idx="0">
                  <c:v>房地产</c:v>
                </c:pt>
              </c:strCache>
            </c:strRef>
          </c:tx>
          <c:spPr>
            <a:ln w="12700" cap="rnd">
              <a:solidFill>
                <a:schemeClr val="accent1">
                  <a:lumMod val="60000"/>
                </a:schemeClr>
              </a:solidFill>
              <a:round/>
            </a:ln>
            <a:effectLst/>
          </c:spPr>
          <c:marker>
            <c:symbol val="none"/>
          </c:marker>
          <c:dLbls>
            <c:delete val="1"/>
          </c:dLbls>
          <c:cat>
            <c:strRef>
              <c:f>Sheet1!$A$2:$A$27</c:f>
              <c:strCache>
                <c:ptCount val="26"/>
                <c:pt idx="0">
                  <c:v>2026-01-02</c:v>
                </c:pt>
                <c:pt idx="1">
                  <c:v>2026-01-05</c:v>
                </c:pt>
                <c:pt idx="2">
                  <c:v>2026-01-06</c:v>
                </c:pt>
                <c:pt idx="3">
                  <c:v>2026-01-07</c:v>
                </c:pt>
                <c:pt idx="4">
                  <c:v>2026-01-08</c:v>
                </c:pt>
                <c:pt idx="5">
                  <c:v>2026-01-09</c:v>
                </c:pt>
                <c:pt idx="6">
                  <c:v>2026-01-12</c:v>
                </c:pt>
                <c:pt idx="7">
                  <c:v>2026-01-13</c:v>
                </c:pt>
                <c:pt idx="8">
                  <c:v>2026-01-14</c:v>
                </c:pt>
                <c:pt idx="9">
                  <c:v>2026-01-15</c:v>
                </c:pt>
                <c:pt idx="10">
                  <c:v>2026-01-16</c:v>
                </c:pt>
                <c:pt idx="11">
                  <c:v>2026-01-20</c:v>
                </c:pt>
                <c:pt idx="12">
                  <c:v>2026-01-21</c:v>
                </c:pt>
                <c:pt idx="13">
                  <c:v>2026-01-22</c:v>
                </c:pt>
                <c:pt idx="14">
                  <c:v>2026-01-23</c:v>
                </c:pt>
                <c:pt idx="15">
                  <c:v>2026-01-26</c:v>
                </c:pt>
                <c:pt idx="16">
                  <c:v>2026-01-27</c:v>
                </c:pt>
                <c:pt idx="17">
                  <c:v>2026-01-28</c:v>
                </c:pt>
                <c:pt idx="18">
                  <c:v>2026-01-29</c:v>
                </c:pt>
                <c:pt idx="19">
                  <c:v>2026-01-30</c:v>
                </c:pt>
                <c:pt idx="20">
                  <c:v>2026-02-02</c:v>
                </c:pt>
                <c:pt idx="21">
                  <c:v>2026-02-03</c:v>
                </c:pt>
                <c:pt idx="22">
                  <c:v>2026-02-04</c:v>
                </c:pt>
                <c:pt idx="23">
                  <c:v>2026-02-05</c:v>
                </c:pt>
                <c:pt idx="24">
                  <c:v>2026-02-06</c:v>
                </c:pt>
                <c:pt idx="25">
                  <c:v>2026-02-09</c:v>
                </c:pt>
              </c:strCache>
            </c:strRef>
          </c:cat>
          <c:val>
            <c:numRef>
              <c:f>Sheet1!$H$2:$H$27</c:f>
              <c:numCache>
                <c:formatCode>0.00_ </c:formatCode>
                <c:ptCount val="26"/>
                <c:pt idx="0">
                  <c:v>100</c:v>
                </c:pt>
                <c:pt idx="1">
                  <c:v>100.123823675087</c:v>
                </c:pt>
                <c:pt idx="2">
                  <c:v>100.792471520555</c:v>
                </c:pt>
                <c:pt idx="3">
                  <c:v>99.4056463595839</c:v>
                </c:pt>
                <c:pt idx="4">
                  <c:v>100.148588410104</c:v>
                </c:pt>
                <c:pt idx="5">
                  <c:v>100.297176820208</c:v>
                </c:pt>
                <c:pt idx="6">
                  <c:v>100.594353640416</c:v>
                </c:pt>
                <c:pt idx="7">
                  <c:v>101.362060425953</c:v>
                </c:pt>
                <c:pt idx="8">
                  <c:v>102.501238236751</c:v>
                </c:pt>
                <c:pt idx="9">
                  <c:v>103.268945022288</c:v>
                </c:pt>
                <c:pt idx="10">
                  <c:v>104.531946508172</c:v>
                </c:pt>
                <c:pt idx="11">
                  <c:v>102.526002971768</c:v>
                </c:pt>
                <c:pt idx="12">
                  <c:v>102.897473997028</c:v>
                </c:pt>
                <c:pt idx="13">
                  <c:v>101.882119861318</c:v>
                </c:pt>
                <c:pt idx="14">
                  <c:v>102.154531946508</c:v>
                </c:pt>
                <c:pt idx="15">
                  <c:v>102.080237741456</c:v>
                </c:pt>
                <c:pt idx="16">
                  <c:v>102.154531946508</c:v>
                </c:pt>
                <c:pt idx="17">
                  <c:v>101.163942545815</c:v>
                </c:pt>
                <c:pt idx="18">
                  <c:v>102.451708766716</c:v>
                </c:pt>
                <c:pt idx="19">
                  <c:v>102.60029717682</c:v>
                </c:pt>
                <c:pt idx="20">
                  <c:v>101.436354631006</c:v>
                </c:pt>
                <c:pt idx="21">
                  <c:v>101.064883605745</c:v>
                </c:pt>
                <c:pt idx="22">
                  <c:v>102.674591381872</c:v>
                </c:pt>
                <c:pt idx="23">
                  <c:v>102.105002476474</c:v>
                </c:pt>
                <c:pt idx="24">
                  <c:v>103.987122337791</c:v>
                </c:pt>
                <c:pt idx="25">
                  <c:v>104.631005448242</c:v>
                </c:pt>
              </c:numCache>
            </c:numRef>
          </c:val>
          <c:smooth val="0"/>
        </c:ser>
        <c:ser>
          <c:idx val="7"/>
          <c:order val="7"/>
          <c:tx>
            <c:strRef>
              <c:f>Sheet1!$I$1</c:f>
              <c:strCache>
                <c:ptCount val="1"/>
                <c:pt idx="0">
                  <c:v>信息技术</c:v>
                </c:pt>
              </c:strCache>
            </c:strRef>
          </c:tx>
          <c:spPr>
            <a:ln w="12700" cap="rnd">
              <a:solidFill>
                <a:schemeClr val="accent2">
                  <a:lumMod val="60000"/>
                </a:schemeClr>
              </a:solidFill>
              <a:round/>
            </a:ln>
            <a:effectLst/>
          </c:spPr>
          <c:marker>
            <c:symbol val="none"/>
          </c:marker>
          <c:dLbls>
            <c:delete val="1"/>
          </c:dLbls>
          <c:cat>
            <c:strRef>
              <c:f>Sheet1!$A$2:$A$27</c:f>
              <c:strCache>
                <c:ptCount val="26"/>
                <c:pt idx="0">
                  <c:v>2026-01-02</c:v>
                </c:pt>
                <c:pt idx="1">
                  <c:v>2026-01-05</c:v>
                </c:pt>
                <c:pt idx="2">
                  <c:v>2026-01-06</c:v>
                </c:pt>
                <c:pt idx="3">
                  <c:v>2026-01-07</c:v>
                </c:pt>
                <c:pt idx="4">
                  <c:v>2026-01-08</c:v>
                </c:pt>
                <c:pt idx="5">
                  <c:v>2026-01-09</c:v>
                </c:pt>
                <c:pt idx="6">
                  <c:v>2026-01-12</c:v>
                </c:pt>
                <c:pt idx="7">
                  <c:v>2026-01-13</c:v>
                </c:pt>
                <c:pt idx="8">
                  <c:v>2026-01-14</c:v>
                </c:pt>
                <c:pt idx="9">
                  <c:v>2026-01-15</c:v>
                </c:pt>
                <c:pt idx="10">
                  <c:v>2026-01-16</c:v>
                </c:pt>
                <c:pt idx="11">
                  <c:v>2026-01-20</c:v>
                </c:pt>
                <c:pt idx="12">
                  <c:v>2026-01-21</c:v>
                </c:pt>
                <c:pt idx="13">
                  <c:v>2026-01-22</c:v>
                </c:pt>
                <c:pt idx="14">
                  <c:v>2026-01-23</c:v>
                </c:pt>
                <c:pt idx="15">
                  <c:v>2026-01-26</c:v>
                </c:pt>
                <c:pt idx="16">
                  <c:v>2026-01-27</c:v>
                </c:pt>
                <c:pt idx="17">
                  <c:v>2026-01-28</c:v>
                </c:pt>
                <c:pt idx="18">
                  <c:v>2026-01-29</c:v>
                </c:pt>
                <c:pt idx="19">
                  <c:v>2026-01-30</c:v>
                </c:pt>
                <c:pt idx="20">
                  <c:v>2026-02-02</c:v>
                </c:pt>
                <c:pt idx="21">
                  <c:v>2026-02-03</c:v>
                </c:pt>
                <c:pt idx="22">
                  <c:v>2026-02-04</c:v>
                </c:pt>
                <c:pt idx="23">
                  <c:v>2026-02-05</c:v>
                </c:pt>
                <c:pt idx="24">
                  <c:v>2026-02-06</c:v>
                </c:pt>
                <c:pt idx="25">
                  <c:v>2026-02-09</c:v>
                </c:pt>
              </c:strCache>
            </c:strRef>
          </c:cat>
          <c:val>
            <c:numRef>
              <c:f>Sheet1!$I$2:$I$27</c:f>
              <c:numCache>
                <c:formatCode>0.00_ </c:formatCode>
                <c:ptCount val="26"/>
                <c:pt idx="0">
                  <c:v>100</c:v>
                </c:pt>
                <c:pt idx="1">
                  <c:v>100.22176022176</c:v>
                </c:pt>
                <c:pt idx="2">
                  <c:v>101.628551628552</c:v>
                </c:pt>
                <c:pt idx="3">
                  <c:v>101.545391545392</c:v>
                </c:pt>
                <c:pt idx="4">
                  <c:v>99.95841995842</c:v>
                </c:pt>
                <c:pt idx="5">
                  <c:v>101.282051282051</c:v>
                </c:pt>
                <c:pt idx="6">
                  <c:v>101.725571725572</c:v>
                </c:pt>
                <c:pt idx="7">
                  <c:v>101.510741510742</c:v>
                </c:pt>
                <c:pt idx="8">
                  <c:v>100.2772002772</c:v>
                </c:pt>
                <c:pt idx="9">
                  <c:v>100.803880803881</c:v>
                </c:pt>
                <c:pt idx="10">
                  <c:v>100.914760914761</c:v>
                </c:pt>
                <c:pt idx="11">
                  <c:v>98.2952182952183</c:v>
                </c:pt>
                <c:pt idx="12">
                  <c:v>99.6604296604297</c:v>
                </c:pt>
                <c:pt idx="13">
                  <c:v>100.40194040194</c:v>
                </c:pt>
                <c:pt idx="14">
                  <c:v>100.547470547471</c:v>
                </c:pt>
                <c:pt idx="15">
                  <c:v>101.233541233541</c:v>
                </c:pt>
                <c:pt idx="16">
                  <c:v>102.598752598753</c:v>
                </c:pt>
                <c:pt idx="17">
                  <c:v>103.416493416493</c:v>
                </c:pt>
                <c:pt idx="18">
                  <c:v>101.781011781012</c:v>
                </c:pt>
                <c:pt idx="19">
                  <c:v>99.7089397089397</c:v>
                </c:pt>
                <c:pt idx="20">
                  <c:v>100.665280665281</c:v>
                </c:pt>
                <c:pt idx="21">
                  <c:v>98.4615384615385</c:v>
                </c:pt>
                <c:pt idx="22">
                  <c:v>95.7172557172557</c:v>
                </c:pt>
                <c:pt idx="23">
                  <c:v>93.991683991684</c:v>
                </c:pt>
                <c:pt idx="24">
                  <c:v>97.8031878031878</c:v>
                </c:pt>
                <c:pt idx="25">
                  <c:v>99.3416493416494</c:v>
                </c:pt>
              </c:numCache>
            </c:numRef>
          </c:val>
          <c:smooth val="0"/>
        </c:ser>
        <c:ser>
          <c:idx val="8"/>
          <c:order val="8"/>
          <c:tx>
            <c:strRef>
              <c:f>Sheet1!$J$1</c:f>
              <c:strCache>
                <c:ptCount val="1"/>
                <c:pt idx="0">
                  <c:v>公用事业</c:v>
                </c:pt>
              </c:strCache>
            </c:strRef>
          </c:tx>
          <c:spPr>
            <a:ln w="12700" cap="rnd">
              <a:solidFill>
                <a:schemeClr val="accent3">
                  <a:lumMod val="60000"/>
                </a:schemeClr>
              </a:solidFill>
              <a:round/>
            </a:ln>
            <a:effectLst/>
          </c:spPr>
          <c:marker>
            <c:symbol val="none"/>
          </c:marker>
          <c:dLbls>
            <c:delete val="1"/>
          </c:dLbls>
          <c:cat>
            <c:strRef>
              <c:f>Sheet1!$A$2:$A$27</c:f>
              <c:strCache>
                <c:ptCount val="26"/>
                <c:pt idx="0">
                  <c:v>2026-01-02</c:v>
                </c:pt>
                <c:pt idx="1">
                  <c:v>2026-01-05</c:v>
                </c:pt>
                <c:pt idx="2">
                  <c:v>2026-01-06</c:v>
                </c:pt>
                <c:pt idx="3">
                  <c:v>2026-01-07</c:v>
                </c:pt>
                <c:pt idx="4">
                  <c:v>2026-01-08</c:v>
                </c:pt>
                <c:pt idx="5">
                  <c:v>2026-01-09</c:v>
                </c:pt>
                <c:pt idx="6">
                  <c:v>2026-01-12</c:v>
                </c:pt>
                <c:pt idx="7">
                  <c:v>2026-01-13</c:v>
                </c:pt>
                <c:pt idx="8">
                  <c:v>2026-01-14</c:v>
                </c:pt>
                <c:pt idx="9">
                  <c:v>2026-01-15</c:v>
                </c:pt>
                <c:pt idx="10">
                  <c:v>2026-01-16</c:v>
                </c:pt>
                <c:pt idx="11">
                  <c:v>2026-01-20</c:v>
                </c:pt>
                <c:pt idx="12">
                  <c:v>2026-01-21</c:v>
                </c:pt>
                <c:pt idx="13">
                  <c:v>2026-01-22</c:v>
                </c:pt>
                <c:pt idx="14">
                  <c:v>2026-01-23</c:v>
                </c:pt>
                <c:pt idx="15">
                  <c:v>2026-01-26</c:v>
                </c:pt>
                <c:pt idx="16">
                  <c:v>2026-01-27</c:v>
                </c:pt>
                <c:pt idx="17">
                  <c:v>2026-01-28</c:v>
                </c:pt>
                <c:pt idx="18">
                  <c:v>2026-01-29</c:v>
                </c:pt>
                <c:pt idx="19">
                  <c:v>2026-01-30</c:v>
                </c:pt>
                <c:pt idx="20">
                  <c:v>2026-02-02</c:v>
                </c:pt>
                <c:pt idx="21">
                  <c:v>2026-02-03</c:v>
                </c:pt>
                <c:pt idx="22">
                  <c:v>2026-02-04</c:v>
                </c:pt>
                <c:pt idx="23">
                  <c:v>2026-02-05</c:v>
                </c:pt>
                <c:pt idx="24">
                  <c:v>2026-02-06</c:v>
                </c:pt>
                <c:pt idx="25">
                  <c:v>2026-02-09</c:v>
                </c:pt>
              </c:strCache>
            </c:strRef>
          </c:cat>
          <c:val>
            <c:numRef>
              <c:f>Sheet1!$J$2:$J$27</c:f>
              <c:numCache>
                <c:formatCode>0.00_ </c:formatCode>
                <c:ptCount val="26"/>
                <c:pt idx="0">
                  <c:v>100</c:v>
                </c:pt>
                <c:pt idx="1">
                  <c:v>98.8883742473367</c:v>
                </c:pt>
                <c:pt idx="2">
                  <c:v>99.3747105141269</c:v>
                </c:pt>
                <c:pt idx="3">
                  <c:v>96.9661880500232</c:v>
                </c:pt>
                <c:pt idx="4">
                  <c:v>97.244094488189</c:v>
                </c:pt>
                <c:pt idx="5">
                  <c:v>98.4483557202409</c:v>
                </c:pt>
                <c:pt idx="6">
                  <c:v>98.6104678091709</c:v>
                </c:pt>
                <c:pt idx="7">
                  <c:v>99.235757295044</c:v>
                </c:pt>
                <c:pt idx="8">
                  <c:v>99.9768411301529</c:v>
                </c:pt>
                <c:pt idx="9">
                  <c:v>100.995831403428</c:v>
                </c:pt>
                <c:pt idx="10">
                  <c:v>100.48633626679</c:v>
                </c:pt>
                <c:pt idx="11">
                  <c:v>99.4905048633627</c:v>
                </c:pt>
                <c:pt idx="12">
                  <c:v>99.6294580824456</c:v>
                </c:pt>
                <c:pt idx="13">
                  <c:v>98.9115331171839</c:v>
                </c:pt>
                <c:pt idx="14">
                  <c:v>98.5641500694766</c:v>
                </c:pt>
                <c:pt idx="15">
                  <c:v>99.2820750347383</c:v>
                </c:pt>
                <c:pt idx="16">
                  <c:v>100.578971746179</c:v>
                </c:pt>
                <c:pt idx="17">
                  <c:v>100.347383047707</c:v>
                </c:pt>
                <c:pt idx="18">
                  <c:v>100.347383047707</c:v>
                </c:pt>
                <c:pt idx="19">
                  <c:v>100.16211208893</c:v>
                </c:pt>
                <c:pt idx="20">
                  <c:v>98.7031032885595</c:v>
                </c:pt>
                <c:pt idx="21">
                  <c:v>100.138953219083</c:v>
                </c:pt>
                <c:pt idx="22">
                  <c:v>99.7684113015285</c:v>
                </c:pt>
                <c:pt idx="23">
                  <c:v>99.8147290412228</c:v>
                </c:pt>
                <c:pt idx="24">
                  <c:v>100.393700787402</c:v>
                </c:pt>
                <c:pt idx="25">
                  <c:v>100.694766095415</c:v>
                </c:pt>
              </c:numCache>
            </c:numRef>
          </c:val>
          <c:smooth val="0"/>
        </c:ser>
        <c:dLbls>
          <c:showLegendKey val="0"/>
          <c:showVal val="0"/>
          <c:showCatName val="0"/>
          <c:showSerName val="0"/>
          <c:showPercent val="0"/>
          <c:showBubbleSize val="0"/>
        </c:dLbls>
        <c:marker val="0"/>
        <c:smooth val="0"/>
        <c:axId val="1395100127"/>
        <c:axId val="1395097727"/>
      </c:lineChart>
      <c:catAx>
        <c:axId val="13951001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5400000" spcFirstLastPara="1" vertOverflow="ellipsis" vert="horz" wrap="square" anchor="ctr" anchorCtr="1"/>
          <a:lstStyle/>
          <a:p>
            <a:pPr>
              <a:defRPr lang="zh-CN" sz="700" b="0" i="0" u="none" strike="noStrike" kern="1200" baseline="0">
                <a:solidFill>
                  <a:schemeClr val="tx1">
                    <a:lumMod val="65000"/>
                    <a:lumOff val="35000"/>
                  </a:schemeClr>
                </a:solidFill>
                <a:latin typeface="Times New Roman" panose="02020603050405020304" charset="0"/>
                <a:ea typeface="楷体" panose="02010609060101010101" pitchFamily="3" charset="-122"/>
                <a:cs typeface="Times New Roman" panose="02020603050405020304" charset="0"/>
              </a:defRPr>
            </a:pPr>
          </a:p>
        </c:txPr>
        <c:crossAx val="1395097727"/>
        <c:crosses val="autoZero"/>
        <c:auto val="1"/>
        <c:lblAlgn val="ctr"/>
        <c:lblOffset val="100"/>
        <c:noMultiLvlLbl val="1"/>
      </c:catAx>
      <c:valAx>
        <c:axId val="1395097727"/>
        <c:scaling>
          <c:orientation val="minMax"/>
          <c:min val="90"/>
        </c:scaling>
        <c:delete val="0"/>
        <c:axPos val="l"/>
        <c:numFmt formatCode="General" sourceLinked="0"/>
        <c:majorTickMark val="none"/>
        <c:minorTickMark val="none"/>
        <c:tickLblPos val="nextTo"/>
        <c:spPr>
          <a:noFill/>
          <a:ln>
            <a:no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Times New Roman" panose="02020603050405020304" charset="0"/>
                <a:ea typeface="楷体" panose="02010609060101010101" pitchFamily="3" charset="-122"/>
                <a:cs typeface="Times New Roman" panose="02020603050405020304" charset="0"/>
              </a:defRPr>
            </a:pPr>
          </a:p>
        </c:txPr>
        <c:crossAx val="1395100127"/>
        <c:crossesAt val="1"/>
        <c:crossBetween val="between"/>
      </c:valAx>
      <c:spPr>
        <a:noFill/>
        <a:ln>
          <a:noFill/>
        </a:ln>
        <a:effectLst/>
      </c:spPr>
    </c:plotArea>
    <c:legend>
      <c:legendPos val="b"/>
      <c:legendEntry>
        <c:idx val="0"/>
        <c:txPr>
          <a:bodyPr rot="0" spcFirstLastPara="1" vertOverflow="ellipsis" vert="horz" wrap="square" anchor="ctr" anchorCtr="1"/>
          <a:lstStyle/>
          <a:p>
            <a:pPr>
              <a:defRPr lang="zh-CN" sz="700" b="0" i="0" u="none" strike="noStrike" kern="1200" baseline="0">
                <a:ln>
                  <a:noFill/>
                </a:ln>
                <a:solidFill>
                  <a:schemeClr val="tx1">
                    <a:lumMod val="65000"/>
                    <a:lumOff val="35000"/>
                  </a:schemeClr>
                </a:solidFill>
                <a:latin typeface="Times New Roman" panose="02020603050405020304" charset="0"/>
                <a:ea typeface="楷体" panose="02010609060101010101" pitchFamily="3" charset="-122"/>
                <a:cs typeface="Times New Roman" panose="02020603050405020304" charset="0"/>
              </a:defRPr>
            </a:pPr>
          </a:p>
        </c:txPr>
      </c:legendEntry>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Times New Roman" panose="02020603050405020304" charset="0"/>
              <a:ea typeface="楷体" panose="02010609060101010101" pitchFamily="3" charset="-122"/>
              <a:cs typeface="Times New Roman" panose="02020603050405020304" charset="0"/>
            </a:defRPr>
          </a:pPr>
        </a:p>
      </c:txPr>
    </c:legend>
    <c:plotVisOnly val="1"/>
    <c:dispBlanksAs val="gap"/>
    <c:showDLblsOverMax val="0"/>
    <c:extLst>
      <c:ext uri="{0b15fc19-7d7d-44ad-8c2d-2c3a37ce22c3}">
        <chartProps xmlns="https://web.wps.cn/et/2018/main" chartId="{d07a8711-40e9-4195-a798-2fbe93786633}"/>
      </c:ext>
    </c:extLst>
  </c:chart>
  <c:spPr>
    <a:noFill/>
    <a:ln w="9525" cap="flat" cmpd="sng" algn="ctr">
      <a:noFill/>
      <a:round/>
    </a:ln>
    <a:effectLst/>
  </c:spPr>
  <c:txPr>
    <a:bodyPr/>
    <a:lstStyle/>
    <a:p>
      <a:pPr>
        <a:defRPr lang="zh-CN">
          <a:latin typeface="Times New Roman" panose="02020603050405020304" charset="0"/>
          <a:ea typeface="楷体" panose="02010609060101010101" pitchFamily="3" charset="-122"/>
          <a:cs typeface="Times New Roman" panose="02020603050405020304" charset="0"/>
        </a:defRPr>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865340381265007"/>
          <c:y val="0.0461760461760462"/>
          <c:w val="0.796417960947494"/>
          <c:h val="0.39665269114088"/>
        </c:manualLayout>
      </c:layout>
      <c:lineChart>
        <c:grouping val="standard"/>
        <c:varyColors val="0"/>
        <c:ser>
          <c:idx val="0"/>
          <c:order val="0"/>
          <c:tx>
            <c:strRef>
              <c:f>Sheet1!$B$1</c:f>
              <c:strCache>
                <c:ptCount val="1"/>
                <c:pt idx="0">
                  <c:v>日经225</c:v>
                </c:pt>
              </c:strCache>
            </c:strRef>
          </c:tx>
          <c:spPr>
            <a:ln w="28575" cap="rnd">
              <a:solidFill>
                <a:schemeClr val="accent1"/>
              </a:solidFill>
              <a:round/>
            </a:ln>
            <a:effectLst/>
          </c:spPr>
          <c:marker>
            <c:symbol val="none"/>
          </c:marker>
          <c:dLbls>
            <c:delete val="1"/>
          </c:dLbls>
          <c:cat>
            <c:numRef>
              <c:f>Sheet1!$A$2:$A$27</c:f>
              <c:numCache>
                <c:formatCode>yyyy/mm/dd</c:formatCode>
                <c:ptCount val="26"/>
                <c:pt idx="0" c:formatCode="yyyy/mm/dd">
                  <c:v>46027</c:v>
                </c:pt>
                <c:pt idx="1" c:formatCode="yyyy/mm/dd">
                  <c:v>46028</c:v>
                </c:pt>
                <c:pt idx="2" c:formatCode="yyyy/mm/dd">
                  <c:v>46029</c:v>
                </c:pt>
                <c:pt idx="3" c:formatCode="yyyy/mm/dd">
                  <c:v>46030</c:v>
                </c:pt>
                <c:pt idx="4" c:formatCode="yyyy/mm/dd">
                  <c:v>46031</c:v>
                </c:pt>
                <c:pt idx="5" c:formatCode="yyyy/mm/dd">
                  <c:v>46035</c:v>
                </c:pt>
                <c:pt idx="6" c:formatCode="yyyy/mm/dd">
                  <c:v>46036</c:v>
                </c:pt>
                <c:pt idx="7" c:formatCode="yyyy/mm/dd">
                  <c:v>46037</c:v>
                </c:pt>
                <c:pt idx="8" c:formatCode="yyyy/mm/dd">
                  <c:v>46038</c:v>
                </c:pt>
                <c:pt idx="9" c:formatCode="yyyy/mm/dd">
                  <c:v>46041</c:v>
                </c:pt>
                <c:pt idx="10" c:formatCode="yyyy/mm/dd">
                  <c:v>46042</c:v>
                </c:pt>
                <c:pt idx="11" c:formatCode="yyyy/mm/dd">
                  <c:v>46043</c:v>
                </c:pt>
                <c:pt idx="12" c:formatCode="yyyy/mm/dd">
                  <c:v>46044</c:v>
                </c:pt>
                <c:pt idx="13" c:formatCode="yyyy/mm/dd">
                  <c:v>46045</c:v>
                </c:pt>
                <c:pt idx="14" c:formatCode="yyyy/mm/dd">
                  <c:v>46048</c:v>
                </c:pt>
                <c:pt idx="15" c:formatCode="yyyy/mm/dd">
                  <c:v>46049</c:v>
                </c:pt>
                <c:pt idx="16" c:formatCode="yyyy/mm/dd">
                  <c:v>46050</c:v>
                </c:pt>
                <c:pt idx="17" c:formatCode="yyyy/mm/dd">
                  <c:v>46051</c:v>
                </c:pt>
                <c:pt idx="18" c:formatCode="yyyy/mm/dd">
                  <c:v>46052</c:v>
                </c:pt>
                <c:pt idx="19" c:formatCode="yyyy/mm/dd">
                  <c:v>46055</c:v>
                </c:pt>
                <c:pt idx="20" c:formatCode="yyyy/mm/dd">
                  <c:v>46056</c:v>
                </c:pt>
                <c:pt idx="21" c:formatCode="yyyy/mm/dd">
                  <c:v>46057</c:v>
                </c:pt>
                <c:pt idx="22" c:formatCode="yyyy/mm/dd">
                  <c:v>46058</c:v>
                </c:pt>
                <c:pt idx="23" c:formatCode="yyyy/mm/dd">
                  <c:v>46059</c:v>
                </c:pt>
                <c:pt idx="24" c:formatCode="yyyy/mm/dd">
                  <c:v>46062</c:v>
                </c:pt>
                <c:pt idx="25" c:formatCode="yyyy/mm/dd">
                  <c:v>46063</c:v>
                </c:pt>
              </c:numCache>
            </c:numRef>
          </c:cat>
          <c:val>
            <c:numRef>
              <c:f>Sheet1!$B$2:$B$27</c:f>
              <c:numCache>
                <c:formatCode>0.00_ </c:formatCode>
                <c:ptCount val="26"/>
                <c:pt idx="0">
                  <c:v>100</c:v>
                </c:pt>
                <c:pt idx="1">
                  <c:v>101.322097204859</c:v>
                </c:pt>
                <c:pt idx="2">
                  <c:v>100.249224429319</c:v>
                </c:pt>
                <c:pt idx="3">
                  <c:v>98.6195227732247</c:v>
                </c:pt>
                <c:pt idx="4">
                  <c:v>100.206606627464</c:v>
                </c:pt>
                <c:pt idx="5">
                  <c:v>103.311339537899</c:v>
                </c:pt>
                <c:pt idx="6">
                  <c:v>104.839464586131</c:v>
                </c:pt>
                <c:pt idx="7">
                  <c:v>104.394321742217</c:v>
                </c:pt>
                <c:pt idx="8">
                  <c:v>104.057990307296</c:v>
                </c:pt>
                <c:pt idx="9">
                  <c:v>103.377726073066</c:v>
                </c:pt>
                <c:pt idx="10">
                  <c:v>102.234685372968</c:v>
                </c:pt>
                <c:pt idx="11">
                  <c:v>101.817073358954</c:v>
                </c:pt>
                <c:pt idx="12">
                  <c:v>103.580917874396</c:v>
                </c:pt>
                <c:pt idx="13">
                  <c:v>103.885705576392</c:v>
                </c:pt>
                <c:pt idx="14">
                  <c:v>102.030471053078</c:v>
                </c:pt>
                <c:pt idx="15">
                  <c:v>102.895348119338</c:v>
                </c:pt>
                <c:pt idx="16">
                  <c:v>102.943908104521</c:v>
                </c:pt>
                <c:pt idx="17">
                  <c:v>102.976493648809</c:v>
                </c:pt>
                <c:pt idx="18">
                  <c:v>102.874724112917</c:v>
                </c:pt>
                <c:pt idx="19">
                  <c:v>101.586601534164</c:v>
                </c:pt>
                <c:pt idx="20">
                  <c:v>105.571491410844</c:v>
                </c:pt>
                <c:pt idx="21">
                  <c:v>104.747109938109</c:v>
                </c:pt>
                <c:pt idx="22">
                  <c:v>103.830084425306</c:v>
                </c:pt>
                <c:pt idx="23">
                  <c:v>104.670556095754</c:v>
                </c:pt>
                <c:pt idx="24">
                  <c:v>108.741839144326</c:v>
                </c:pt>
                <c:pt idx="25">
                  <c:v>111.224051179948</c:v>
                </c:pt>
              </c:numCache>
            </c:numRef>
          </c:val>
          <c:smooth val="0"/>
        </c:ser>
        <c:ser>
          <c:idx val="1"/>
          <c:order val="1"/>
          <c:tx>
            <c:strRef>
              <c:f>Sheet1!$C$1</c:f>
              <c:strCache>
                <c:ptCount val="1"/>
                <c:pt idx="0">
                  <c:v>恒生指数</c:v>
                </c:pt>
              </c:strCache>
            </c:strRef>
          </c:tx>
          <c:spPr>
            <a:ln w="28575" cap="rnd">
              <a:solidFill>
                <a:schemeClr val="accent2"/>
              </a:solidFill>
              <a:round/>
            </a:ln>
            <a:effectLst/>
          </c:spPr>
          <c:marker>
            <c:symbol val="none"/>
          </c:marker>
          <c:dLbls>
            <c:delete val="1"/>
          </c:dLbls>
          <c:cat>
            <c:numRef>
              <c:f>Sheet1!$A$2:$A$27</c:f>
              <c:numCache>
                <c:formatCode>yyyy/mm/dd</c:formatCode>
                <c:ptCount val="26"/>
                <c:pt idx="0" c:formatCode="yyyy/mm/dd">
                  <c:v>46027</c:v>
                </c:pt>
                <c:pt idx="1" c:formatCode="yyyy/mm/dd">
                  <c:v>46028</c:v>
                </c:pt>
                <c:pt idx="2" c:formatCode="yyyy/mm/dd">
                  <c:v>46029</c:v>
                </c:pt>
                <c:pt idx="3" c:formatCode="yyyy/mm/dd">
                  <c:v>46030</c:v>
                </c:pt>
                <c:pt idx="4" c:formatCode="yyyy/mm/dd">
                  <c:v>46031</c:v>
                </c:pt>
                <c:pt idx="5" c:formatCode="yyyy/mm/dd">
                  <c:v>46035</c:v>
                </c:pt>
                <c:pt idx="6" c:formatCode="yyyy/mm/dd">
                  <c:v>46036</c:v>
                </c:pt>
                <c:pt idx="7" c:formatCode="yyyy/mm/dd">
                  <c:v>46037</c:v>
                </c:pt>
                <c:pt idx="8" c:formatCode="yyyy/mm/dd">
                  <c:v>46038</c:v>
                </c:pt>
                <c:pt idx="9" c:formatCode="yyyy/mm/dd">
                  <c:v>46041</c:v>
                </c:pt>
                <c:pt idx="10" c:formatCode="yyyy/mm/dd">
                  <c:v>46042</c:v>
                </c:pt>
                <c:pt idx="11" c:formatCode="yyyy/mm/dd">
                  <c:v>46043</c:v>
                </c:pt>
                <c:pt idx="12" c:formatCode="yyyy/mm/dd">
                  <c:v>46044</c:v>
                </c:pt>
                <c:pt idx="13" c:formatCode="yyyy/mm/dd">
                  <c:v>46045</c:v>
                </c:pt>
                <c:pt idx="14" c:formatCode="yyyy/mm/dd">
                  <c:v>46048</c:v>
                </c:pt>
                <c:pt idx="15" c:formatCode="yyyy/mm/dd">
                  <c:v>46049</c:v>
                </c:pt>
                <c:pt idx="16" c:formatCode="yyyy/mm/dd">
                  <c:v>46050</c:v>
                </c:pt>
                <c:pt idx="17" c:formatCode="yyyy/mm/dd">
                  <c:v>46051</c:v>
                </c:pt>
                <c:pt idx="18" c:formatCode="yyyy/mm/dd">
                  <c:v>46052</c:v>
                </c:pt>
                <c:pt idx="19" c:formatCode="yyyy/mm/dd">
                  <c:v>46055</c:v>
                </c:pt>
                <c:pt idx="20" c:formatCode="yyyy/mm/dd">
                  <c:v>46056</c:v>
                </c:pt>
                <c:pt idx="21" c:formatCode="yyyy/mm/dd">
                  <c:v>46057</c:v>
                </c:pt>
                <c:pt idx="22" c:formatCode="yyyy/mm/dd">
                  <c:v>46058</c:v>
                </c:pt>
                <c:pt idx="23" c:formatCode="yyyy/mm/dd">
                  <c:v>46059</c:v>
                </c:pt>
                <c:pt idx="24" c:formatCode="yyyy/mm/dd">
                  <c:v>46062</c:v>
                </c:pt>
                <c:pt idx="25" c:formatCode="yyyy/mm/dd">
                  <c:v>46063</c:v>
                </c:pt>
              </c:numCache>
            </c:numRef>
          </c:cat>
          <c:val>
            <c:numRef>
              <c:f>Sheet1!$C$2:$C$27</c:f>
              <c:numCache>
                <c:formatCode>0.00_ </c:formatCode>
                <c:ptCount val="26"/>
                <c:pt idx="0">
                  <c:v>100</c:v>
                </c:pt>
                <c:pt idx="1">
                  <c:v>101.378550466766</c:v>
                </c:pt>
                <c:pt idx="2">
                  <c:v>100.423991279542</c:v>
                </c:pt>
                <c:pt idx="3">
                  <c:v>99.2487638173866</c:v>
                </c:pt>
                <c:pt idx="4">
                  <c:v>99.5618136852285</c:v>
                </c:pt>
                <c:pt idx="5">
                  <c:v>101.90240040323</c:v>
                </c:pt>
                <c:pt idx="6">
                  <c:v>102.476805919709</c:v>
                </c:pt>
                <c:pt idx="7">
                  <c:v>102.187629520208</c:v>
                </c:pt>
                <c:pt idx="8">
                  <c:v>101.889078324713</c:v>
                </c:pt>
                <c:pt idx="9">
                  <c:v>100.82232522268</c:v>
                </c:pt>
                <c:pt idx="10">
                  <c:v>100.532389730385</c:v>
                </c:pt>
                <c:pt idx="11">
                  <c:v>100.902637240182</c:v>
                </c:pt>
                <c:pt idx="12">
                  <c:v>101.073053572215</c:v>
                </c:pt>
                <c:pt idx="13">
                  <c:v>101.526801289243</c:v>
                </c:pt>
                <c:pt idx="14">
                  <c:v>101.587566667325</c:v>
                </c:pt>
                <c:pt idx="15">
                  <c:v>102.959361208233</c:v>
                </c:pt>
                <c:pt idx="16">
                  <c:v>105.616034165248</c:v>
                </c:pt>
                <c:pt idx="17">
                  <c:v>106.151877767842</c:v>
                </c:pt>
                <c:pt idx="18">
                  <c:v>103.946789113395</c:v>
                </c:pt>
                <c:pt idx="19">
                  <c:v>101.625711080174</c:v>
                </c:pt>
                <c:pt idx="20">
                  <c:v>101.850402546908</c:v>
                </c:pt>
                <c:pt idx="21">
                  <c:v>101.89803561967</c:v>
                </c:pt>
                <c:pt idx="22">
                  <c:v>102.041959613227</c:v>
                </c:pt>
                <c:pt idx="23">
                  <c:v>100.807333140018</c:v>
                </c:pt>
                <c:pt idx="24">
                  <c:v>102.580611859155</c:v>
                </c:pt>
                <c:pt idx="25">
                  <c:v>103.172666283072</c:v>
                </c:pt>
              </c:numCache>
            </c:numRef>
          </c:val>
          <c:smooth val="0"/>
        </c:ser>
        <c:ser>
          <c:idx val="2"/>
          <c:order val="2"/>
          <c:tx>
            <c:strRef>
              <c:f>Sheet1!$D$1</c:f>
              <c:strCache>
                <c:ptCount val="1"/>
                <c:pt idx="0">
                  <c:v>英国富时100</c:v>
                </c:pt>
              </c:strCache>
            </c:strRef>
          </c:tx>
          <c:spPr>
            <a:ln w="28575" cap="rnd">
              <a:solidFill>
                <a:schemeClr val="accent3"/>
              </a:solidFill>
              <a:round/>
            </a:ln>
            <a:effectLst/>
          </c:spPr>
          <c:marker>
            <c:symbol val="none"/>
          </c:marker>
          <c:dLbls>
            <c:delete val="1"/>
          </c:dLbls>
          <c:cat>
            <c:numRef>
              <c:f>Sheet1!$A$2:$A$27</c:f>
              <c:numCache>
                <c:formatCode>yyyy/mm/dd</c:formatCode>
                <c:ptCount val="26"/>
                <c:pt idx="0" c:formatCode="yyyy/mm/dd">
                  <c:v>46027</c:v>
                </c:pt>
                <c:pt idx="1" c:formatCode="yyyy/mm/dd">
                  <c:v>46028</c:v>
                </c:pt>
                <c:pt idx="2" c:formatCode="yyyy/mm/dd">
                  <c:v>46029</c:v>
                </c:pt>
                <c:pt idx="3" c:formatCode="yyyy/mm/dd">
                  <c:v>46030</c:v>
                </c:pt>
                <c:pt idx="4" c:formatCode="yyyy/mm/dd">
                  <c:v>46031</c:v>
                </c:pt>
                <c:pt idx="5" c:formatCode="yyyy/mm/dd">
                  <c:v>46035</c:v>
                </c:pt>
                <c:pt idx="6" c:formatCode="yyyy/mm/dd">
                  <c:v>46036</c:v>
                </c:pt>
                <c:pt idx="7" c:formatCode="yyyy/mm/dd">
                  <c:v>46037</c:v>
                </c:pt>
                <c:pt idx="8" c:formatCode="yyyy/mm/dd">
                  <c:v>46038</c:v>
                </c:pt>
                <c:pt idx="9" c:formatCode="yyyy/mm/dd">
                  <c:v>46041</c:v>
                </c:pt>
                <c:pt idx="10" c:formatCode="yyyy/mm/dd">
                  <c:v>46042</c:v>
                </c:pt>
                <c:pt idx="11" c:formatCode="yyyy/mm/dd">
                  <c:v>46043</c:v>
                </c:pt>
                <c:pt idx="12" c:formatCode="yyyy/mm/dd">
                  <c:v>46044</c:v>
                </c:pt>
                <c:pt idx="13" c:formatCode="yyyy/mm/dd">
                  <c:v>46045</c:v>
                </c:pt>
                <c:pt idx="14" c:formatCode="yyyy/mm/dd">
                  <c:v>46048</c:v>
                </c:pt>
                <c:pt idx="15" c:formatCode="yyyy/mm/dd">
                  <c:v>46049</c:v>
                </c:pt>
                <c:pt idx="16" c:formatCode="yyyy/mm/dd">
                  <c:v>46050</c:v>
                </c:pt>
                <c:pt idx="17" c:formatCode="yyyy/mm/dd">
                  <c:v>46051</c:v>
                </c:pt>
                <c:pt idx="18" c:formatCode="yyyy/mm/dd">
                  <c:v>46052</c:v>
                </c:pt>
                <c:pt idx="19" c:formatCode="yyyy/mm/dd">
                  <c:v>46055</c:v>
                </c:pt>
                <c:pt idx="20" c:formatCode="yyyy/mm/dd">
                  <c:v>46056</c:v>
                </c:pt>
                <c:pt idx="21" c:formatCode="yyyy/mm/dd">
                  <c:v>46057</c:v>
                </c:pt>
                <c:pt idx="22" c:formatCode="yyyy/mm/dd">
                  <c:v>46058</c:v>
                </c:pt>
                <c:pt idx="23" c:formatCode="yyyy/mm/dd">
                  <c:v>46059</c:v>
                </c:pt>
                <c:pt idx="24" c:formatCode="yyyy/mm/dd">
                  <c:v>46062</c:v>
                </c:pt>
                <c:pt idx="25" c:formatCode="yyyy/mm/dd">
                  <c:v>46063</c:v>
                </c:pt>
              </c:numCache>
            </c:numRef>
          </c:cat>
          <c:val>
            <c:numRef>
              <c:f>Sheet1!$D$2:$D$27</c:f>
              <c:numCache>
                <c:formatCode>0.00_ </c:formatCode>
                <c:ptCount val="26"/>
                <c:pt idx="0">
                  <c:v>100</c:v>
                </c:pt>
                <c:pt idx="1">
                  <c:v>101.181060255463</c:v>
                </c:pt>
                <c:pt idx="2">
                  <c:v>100.4362006563</c:v>
                </c:pt>
                <c:pt idx="3">
                  <c:v>100.401016735352</c:v>
                </c:pt>
                <c:pt idx="4">
                  <c:v>101.199751713467</c:v>
                </c:pt>
                <c:pt idx="5">
                  <c:v>101.327193472583</c:v>
                </c:pt>
                <c:pt idx="6">
                  <c:v>101.796978780697</c:v>
                </c:pt>
                <c:pt idx="7">
                  <c:v>102.342629418356</c:v>
                </c:pt>
                <c:pt idx="8">
                  <c:v>102.306146091236</c:v>
                </c:pt>
                <c:pt idx="9">
                  <c:v>101.90692853366</c:v>
                </c:pt>
                <c:pt idx="10">
                  <c:v>101.221541755418</c:v>
                </c:pt>
                <c:pt idx="11">
                  <c:v>101.334590092328</c:v>
                </c:pt>
                <c:pt idx="12">
                  <c:v>101.454135460095</c:v>
                </c:pt>
                <c:pt idx="13">
                  <c:v>101.388065653996</c:v>
                </c:pt>
                <c:pt idx="14">
                  <c:v>101.44214094159</c:v>
                </c:pt>
                <c:pt idx="15">
                  <c:v>102.03137166315</c:v>
                </c:pt>
                <c:pt idx="16">
                  <c:v>101.497915452638</c:v>
                </c:pt>
                <c:pt idx="17">
                  <c:v>101.671136290715</c:v>
                </c:pt>
                <c:pt idx="18">
                  <c:v>102.188699764208</c:v>
                </c:pt>
                <c:pt idx="19">
                  <c:v>103.368360659179</c:v>
                </c:pt>
                <c:pt idx="20">
                  <c:v>103.098783855778</c:v>
                </c:pt>
                <c:pt idx="21">
                  <c:v>103.975883021459</c:v>
                </c:pt>
                <c:pt idx="22">
                  <c:v>103.045108385468</c:v>
                </c:pt>
                <c:pt idx="23">
                  <c:v>103.650131889726</c:v>
                </c:pt>
                <c:pt idx="24">
                  <c:v>103.814856610529</c:v>
                </c:pt>
                <c:pt idx="25">
                  <c:v>103.491104565214</c:v>
                </c:pt>
              </c:numCache>
            </c:numRef>
          </c:val>
          <c:smooth val="0"/>
        </c:ser>
        <c:ser>
          <c:idx val="3"/>
          <c:order val="3"/>
          <c:tx>
            <c:strRef>
              <c:f>Sheet1!$E$1</c:f>
              <c:strCache>
                <c:ptCount val="1"/>
                <c:pt idx="0">
                  <c:v>法国CAC40</c:v>
                </c:pt>
              </c:strCache>
            </c:strRef>
          </c:tx>
          <c:spPr>
            <a:ln w="28575" cap="rnd">
              <a:solidFill>
                <a:schemeClr val="accent4"/>
              </a:solidFill>
              <a:round/>
            </a:ln>
            <a:effectLst/>
          </c:spPr>
          <c:marker>
            <c:symbol val="none"/>
          </c:marker>
          <c:dLbls>
            <c:delete val="1"/>
          </c:dLbls>
          <c:cat>
            <c:numRef>
              <c:f>Sheet1!$A$2:$A$27</c:f>
              <c:numCache>
                <c:formatCode>yyyy/mm/dd</c:formatCode>
                <c:ptCount val="26"/>
                <c:pt idx="0" c:formatCode="yyyy/mm/dd">
                  <c:v>46027</c:v>
                </c:pt>
                <c:pt idx="1" c:formatCode="yyyy/mm/dd">
                  <c:v>46028</c:v>
                </c:pt>
                <c:pt idx="2" c:formatCode="yyyy/mm/dd">
                  <c:v>46029</c:v>
                </c:pt>
                <c:pt idx="3" c:formatCode="yyyy/mm/dd">
                  <c:v>46030</c:v>
                </c:pt>
                <c:pt idx="4" c:formatCode="yyyy/mm/dd">
                  <c:v>46031</c:v>
                </c:pt>
                <c:pt idx="5" c:formatCode="yyyy/mm/dd">
                  <c:v>46035</c:v>
                </c:pt>
                <c:pt idx="6" c:formatCode="yyyy/mm/dd">
                  <c:v>46036</c:v>
                </c:pt>
                <c:pt idx="7" c:formatCode="yyyy/mm/dd">
                  <c:v>46037</c:v>
                </c:pt>
                <c:pt idx="8" c:formatCode="yyyy/mm/dd">
                  <c:v>46038</c:v>
                </c:pt>
                <c:pt idx="9" c:formatCode="yyyy/mm/dd">
                  <c:v>46041</c:v>
                </c:pt>
                <c:pt idx="10" c:formatCode="yyyy/mm/dd">
                  <c:v>46042</c:v>
                </c:pt>
                <c:pt idx="11" c:formatCode="yyyy/mm/dd">
                  <c:v>46043</c:v>
                </c:pt>
                <c:pt idx="12" c:formatCode="yyyy/mm/dd">
                  <c:v>46044</c:v>
                </c:pt>
                <c:pt idx="13" c:formatCode="yyyy/mm/dd">
                  <c:v>46045</c:v>
                </c:pt>
                <c:pt idx="14" c:formatCode="yyyy/mm/dd">
                  <c:v>46048</c:v>
                </c:pt>
                <c:pt idx="15" c:formatCode="yyyy/mm/dd">
                  <c:v>46049</c:v>
                </c:pt>
                <c:pt idx="16" c:formatCode="yyyy/mm/dd">
                  <c:v>46050</c:v>
                </c:pt>
                <c:pt idx="17" c:formatCode="yyyy/mm/dd">
                  <c:v>46051</c:v>
                </c:pt>
                <c:pt idx="18" c:formatCode="yyyy/mm/dd">
                  <c:v>46052</c:v>
                </c:pt>
                <c:pt idx="19" c:formatCode="yyyy/mm/dd">
                  <c:v>46055</c:v>
                </c:pt>
                <c:pt idx="20" c:formatCode="yyyy/mm/dd">
                  <c:v>46056</c:v>
                </c:pt>
                <c:pt idx="21" c:formatCode="yyyy/mm/dd">
                  <c:v>46057</c:v>
                </c:pt>
                <c:pt idx="22" c:formatCode="yyyy/mm/dd">
                  <c:v>46058</c:v>
                </c:pt>
                <c:pt idx="23" c:formatCode="yyyy/mm/dd">
                  <c:v>46059</c:v>
                </c:pt>
                <c:pt idx="24" c:formatCode="yyyy/mm/dd">
                  <c:v>46062</c:v>
                </c:pt>
                <c:pt idx="25" c:formatCode="yyyy/mm/dd">
                  <c:v>46063</c:v>
                </c:pt>
              </c:numCache>
            </c:numRef>
          </c:cat>
          <c:val>
            <c:numRef>
              <c:f>Sheet1!$E$2:$E$27</c:f>
              <c:numCache>
                <c:formatCode>0.00_ </c:formatCode>
                <c:ptCount val="26"/>
                <c:pt idx="0">
                  <c:v>100</c:v>
                </c:pt>
                <c:pt idx="1">
                  <c:v>100.315776654692</c:v>
                </c:pt>
                <c:pt idx="2">
                  <c:v>100.273031723802</c:v>
                </c:pt>
                <c:pt idx="3">
                  <c:v>100.389332034342</c:v>
                </c:pt>
                <c:pt idx="4">
                  <c:v>101.833891493637</c:v>
                </c:pt>
                <c:pt idx="5">
                  <c:v>101.652560433538</c:v>
                </c:pt>
                <c:pt idx="6">
                  <c:v>101.454910795835</c:v>
                </c:pt>
                <c:pt idx="7">
                  <c:v>101.237532728491</c:v>
                </c:pt>
                <c:pt idx="8">
                  <c:v>100.577726359374</c:v>
                </c:pt>
                <c:pt idx="9">
                  <c:v>98.7885282835048</c:v>
                </c:pt>
                <c:pt idx="10">
                  <c:v>98.1864458381538</c:v>
                </c:pt>
                <c:pt idx="11">
                  <c:v>98.266699141448</c:v>
                </c:pt>
                <c:pt idx="12">
                  <c:v>99.2375327284905</c:v>
                </c:pt>
                <c:pt idx="13">
                  <c:v>99.1664129574377</c:v>
                </c:pt>
                <c:pt idx="14">
                  <c:v>99.0214942458747</c:v>
                </c:pt>
                <c:pt idx="15">
                  <c:v>99.2853924374353</c:v>
                </c:pt>
                <c:pt idx="16">
                  <c:v>98.2363758144066</c:v>
                </c:pt>
                <c:pt idx="17">
                  <c:v>98.2933690555928</c:v>
                </c:pt>
                <c:pt idx="18">
                  <c:v>98.9652316872678</c:v>
                </c:pt>
                <c:pt idx="19">
                  <c:v>99.630639956159</c:v>
                </c:pt>
                <c:pt idx="20">
                  <c:v>99.6103026243683</c:v>
                </c:pt>
                <c:pt idx="21">
                  <c:v>100.616939657797</c:v>
                </c:pt>
                <c:pt idx="22">
                  <c:v>100.324788406503</c:v>
                </c:pt>
                <c:pt idx="23">
                  <c:v>100.759179199903</c:v>
                </c:pt>
                <c:pt idx="24">
                  <c:v>101.361261645254</c:v>
                </c:pt>
                <c:pt idx="25">
                  <c:v>101.417280643001</c:v>
                </c:pt>
              </c:numCache>
            </c:numRef>
          </c:val>
          <c:smooth val="0"/>
        </c:ser>
        <c:ser>
          <c:idx val="4"/>
          <c:order val="4"/>
          <c:tx>
            <c:strRef>
              <c:f>Sheet1!$F$1</c:f>
              <c:strCache>
                <c:ptCount val="1"/>
                <c:pt idx="0">
                  <c:v>韩国KOSPI</c:v>
                </c:pt>
              </c:strCache>
            </c:strRef>
          </c:tx>
          <c:spPr>
            <a:ln w="28575" cap="rnd">
              <a:solidFill>
                <a:schemeClr val="accent5"/>
              </a:solidFill>
              <a:round/>
            </a:ln>
            <a:effectLst/>
          </c:spPr>
          <c:marker>
            <c:symbol val="none"/>
          </c:marker>
          <c:dLbls>
            <c:delete val="1"/>
          </c:dLbls>
          <c:cat>
            <c:numRef>
              <c:f>Sheet1!$A$2:$A$27</c:f>
              <c:numCache>
                <c:formatCode>yyyy/mm/dd</c:formatCode>
                <c:ptCount val="26"/>
                <c:pt idx="0" c:formatCode="yyyy/mm/dd">
                  <c:v>46027</c:v>
                </c:pt>
                <c:pt idx="1" c:formatCode="yyyy/mm/dd">
                  <c:v>46028</c:v>
                </c:pt>
                <c:pt idx="2" c:formatCode="yyyy/mm/dd">
                  <c:v>46029</c:v>
                </c:pt>
                <c:pt idx="3" c:formatCode="yyyy/mm/dd">
                  <c:v>46030</c:v>
                </c:pt>
                <c:pt idx="4" c:formatCode="yyyy/mm/dd">
                  <c:v>46031</c:v>
                </c:pt>
                <c:pt idx="5" c:formatCode="yyyy/mm/dd">
                  <c:v>46035</c:v>
                </c:pt>
                <c:pt idx="6" c:formatCode="yyyy/mm/dd">
                  <c:v>46036</c:v>
                </c:pt>
                <c:pt idx="7" c:formatCode="yyyy/mm/dd">
                  <c:v>46037</c:v>
                </c:pt>
                <c:pt idx="8" c:formatCode="yyyy/mm/dd">
                  <c:v>46038</c:v>
                </c:pt>
                <c:pt idx="9" c:formatCode="yyyy/mm/dd">
                  <c:v>46041</c:v>
                </c:pt>
                <c:pt idx="10" c:formatCode="yyyy/mm/dd">
                  <c:v>46042</c:v>
                </c:pt>
                <c:pt idx="11" c:formatCode="yyyy/mm/dd">
                  <c:v>46043</c:v>
                </c:pt>
                <c:pt idx="12" c:formatCode="yyyy/mm/dd">
                  <c:v>46044</c:v>
                </c:pt>
                <c:pt idx="13" c:formatCode="yyyy/mm/dd">
                  <c:v>46045</c:v>
                </c:pt>
                <c:pt idx="14" c:formatCode="yyyy/mm/dd">
                  <c:v>46048</c:v>
                </c:pt>
                <c:pt idx="15" c:formatCode="yyyy/mm/dd">
                  <c:v>46049</c:v>
                </c:pt>
                <c:pt idx="16" c:formatCode="yyyy/mm/dd">
                  <c:v>46050</c:v>
                </c:pt>
                <c:pt idx="17" c:formatCode="yyyy/mm/dd">
                  <c:v>46051</c:v>
                </c:pt>
                <c:pt idx="18" c:formatCode="yyyy/mm/dd">
                  <c:v>46052</c:v>
                </c:pt>
                <c:pt idx="19" c:formatCode="yyyy/mm/dd">
                  <c:v>46055</c:v>
                </c:pt>
                <c:pt idx="20" c:formatCode="yyyy/mm/dd">
                  <c:v>46056</c:v>
                </c:pt>
                <c:pt idx="21" c:formatCode="yyyy/mm/dd">
                  <c:v>46057</c:v>
                </c:pt>
                <c:pt idx="22" c:formatCode="yyyy/mm/dd">
                  <c:v>46058</c:v>
                </c:pt>
                <c:pt idx="23" c:formatCode="yyyy/mm/dd">
                  <c:v>46059</c:v>
                </c:pt>
                <c:pt idx="24" c:formatCode="yyyy/mm/dd">
                  <c:v>46062</c:v>
                </c:pt>
                <c:pt idx="25" c:formatCode="yyyy/mm/dd">
                  <c:v>46063</c:v>
                </c:pt>
              </c:numCache>
            </c:numRef>
          </c:cat>
          <c:val>
            <c:numRef>
              <c:f>Sheet1!$F$2:$F$27</c:f>
              <c:numCache>
                <c:formatCode>0.00_ </c:formatCode>
                <c:ptCount val="26"/>
                <c:pt idx="0">
                  <c:v>100</c:v>
                </c:pt>
                <c:pt idx="1">
                  <c:v>101.524614583894</c:v>
                </c:pt>
                <c:pt idx="2">
                  <c:v>102.098476282776</c:v>
                </c:pt>
                <c:pt idx="3">
                  <c:v>102.127864821695</c:v>
                </c:pt>
                <c:pt idx="4">
                  <c:v>102.889499093666</c:v>
                </c:pt>
                <c:pt idx="5">
                  <c:v>105.274681885892</c:v>
                </c:pt>
                <c:pt idx="6">
                  <c:v>105.958021500745</c:v>
                </c:pt>
                <c:pt idx="7">
                  <c:v>107.628232739281</c:v>
                </c:pt>
                <c:pt idx="8">
                  <c:v>108.597157163625</c:v>
                </c:pt>
                <c:pt idx="9">
                  <c:v>110.031138390854</c:v>
                </c:pt>
                <c:pt idx="10">
                  <c:v>109.606911466466</c:v>
                </c:pt>
                <c:pt idx="11">
                  <c:v>110.149365566503</c:v>
                </c:pt>
                <c:pt idx="12">
                  <c:v>111.105053931334</c:v>
                </c:pt>
                <c:pt idx="13">
                  <c:v>111.947226260342</c:v>
                </c:pt>
                <c:pt idx="14">
                  <c:v>111.039097973761</c:v>
                </c:pt>
                <c:pt idx="15">
                  <c:v>114.073520702094</c:v>
                </c:pt>
                <c:pt idx="16">
                  <c:v>116.001947271128</c:v>
                </c:pt>
                <c:pt idx="17">
                  <c:v>117.133518189486</c:v>
                </c:pt>
                <c:pt idx="18">
                  <c:v>117.203287926919</c:v>
                </c:pt>
                <c:pt idx="19">
                  <c:v>111.040892693695</c:v>
                </c:pt>
                <c:pt idx="20">
                  <c:v>118.632782354314</c:v>
                </c:pt>
                <c:pt idx="21">
                  <c:v>120.495252965775</c:v>
                </c:pt>
                <c:pt idx="22">
                  <c:v>115.839525117105</c:v>
                </c:pt>
                <c:pt idx="23">
                  <c:v>114.169762558553</c:v>
                </c:pt>
                <c:pt idx="24">
                  <c:v>118.856224986091</c:v>
                </c:pt>
                <c:pt idx="25">
                  <c:v>118.938109083077</c:v>
                </c:pt>
              </c:numCache>
            </c:numRef>
          </c:val>
          <c:smooth val="0"/>
        </c:ser>
        <c:ser>
          <c:idx val="5"/>
          <c:order val="5"/>
          <c:tx>
            <c:strRef>
              <c:f>Sheet1!$G$1</c:f>
              <c:strCache>
                <c:ptCount val="1"/>
                <c:pt idx="0">
                  <c:v>新交所泛东南亚科技指数</c:v>
                </c:pt>
              </c:strCache>
            </c:strRef>
          </c:tx>
          <c:spPr>
            <a:ln w="28575" cap="rnd">
              <a:solidFill>
                <a:schemeClr val="accent6"/>
              </a:solidFill>
              <a:round/>
            </a:ln>
            <a:effectLst/>
          </c:spPr>
          <c:marker>
            <c:symbol val="none"/>
          </c:marker>
          <c:dLbls>
            <c:delete val="1"/>
          </c:dLbls>
          <c:cat>
            <c:numRef>
              <c:f>Sheet1!$A$2:$A$27</c:f>
              <c:numCache>
                <c:formatCode>yyyy/mm/dd</c:formatCode>
                <c:ptCount val="26"/>
                <c:pt idx="0" c:formatCode="yyyy/mm/dd">
                  <c:v>46027</c:v>
                </c:pt>
                <c:pt idx="1" c:formatCode="yyyy/mm/dd">
                  <c:v>46028</c:v>
                </c:pt>
                <c:pt idx="2" c:formatCode="yyyy/mm/dd">
                  <c:v>46029</c:v>
                </c:pt>
                <c:pt idx="3" c:formatCode="yyyy/mm/dd">
                  <c:v>46030</c:v>
                </c:pt>
                <c:pt idx="4" c:formatCode="yyyy/mm/dd">
                  <c:v>46031</c:v>
                </c:pt>
                <c:pt idx="5" c:formatCode="yyyy/mm/dd">
                  <c:v>46035</c:v>
                </c:pt>
                <c:pt idx="6" c:formatCode="yyyy/mm/dd">
                  <c:v>46036</c:v>
                </c:pt>
                <c:pt idx="7" c:formatCode="yyyy/mm/dd">
                  <c:v>46037</c:v>
                </c:pt>
                <c:pt idx="8" c:formatCode="yyyy/mm/dd">
                  <c:v>46038</c:v>
                </c:pt>
                <c:pt idx="9" c:formatCode="yyyy/mm/dd">
                  <c:v>46041</c:v>
                </c:pt>
                <c:pt idx="10" c:formatCode="yyyy/mm/dd">
                  <c:v>46042</c:v>
                </c:pt>
                <c:pt idx="11" c:formatCode="yyyy/mm/dd">
                  <c:v>46043</c:v>
                </c:pt>
                <c:pt idx="12" c:formatCode="yyyy/mm/dd">
                  <c:v>46044</c:v>
                </c:pt>
                <c:pt idx="13" c:formatCode="yyyy/mm/dd">
                  <c:v>46045</c:v>
                </c:pt>
                <c:pt idx="14" c:formatCode="yyyy/mm/dd">
                  <c:v>46048</c:v>
                </c:pt>
                <c:pt idx="15" c:formatCode="yyyy/mm/dd">
                  <c:v>46049</c:v>
                </c:pt>
                <c:pt idx="16" c:formatCode="yyyy/mm/dd">
                  <c:v>46050</c:v>
                </c:pt>
                <c:pt idx="17" c:formatCode="yyyy/mm/dd">
                  <c:v>46051</c:v>
                </c:pt>
                <c:pt idx="18" c:formatCode="yyyy/mm/dd">
                  <c:v>46052</c:v>
                </c:pt>
                <c:pt idx="19" c:formatCode="yyyy/mm/dd">
                  <c:v>46055</c:v>
                </c:pt>
                <c:pt idx="20" c:formatCode="yyyy/mm/dd">
                  <c:v>46056</c:v>
                </c:pt>
                <c:pt idx="21" c:formatCode="yyyy/mm/dd">
                  <c:v>46057</c:v>
                </c:pt>
                <c:pt idx="22" c:formatCode="yyyy/mm/dd">
                  <c:v>46058</c:v>
                </c:pt>
                <c:pt idx="23" c:formatCode="yyyy/mm/dd">
                  <c:v>46059</c:v>
                </c:pt>
                <c:pt idx="24" c:formatCode="yyyy/mm/dd">
                  <c:v>46062</c:v>
                </c:pt>
                <c:pt idx="25" c:formatCode="yyyy/mm/dd">
                  <c:v>46063</c:v>
                </c:pt>
              </c:numCache>
            </c:numRef>
          </c:cat>
          <c:val>
            <c:numRef>
              <c:f>Sheet1!$G$2:$G$27</c:f>
              <c:numCache>
                <c:formatCode>0.00_ </c:formatCode>
                <c:ptCount val="26"/>
                <c:pt idx="0">
                  <c:v>100</c:v>
                </c:pt>
                <c:pt idx="1">
                  <c:v>101.194606011299</c:v>
                </c:pt>
                <c:pt idx="2">
                  <c:v>101.141120720797</c:v>
                </c:pt>
                <c:pt idx="3">
                  <c:v>98.8653491210122</c:v>
                </c:pt>
                <c:pt idx="4">
                  <c:v>98.3806422333059</c:v>
                </c:pt>
                <c:pt idx="5">
                  <c:v>98.2653424424658</c:v>
                </c:pt>
                <c:pt idx="6">
                  <c:v>99.465128121841</c:v>
                </c:pt>
                <c:pt idx="7">
                  <c:v>98.9496467959674</c:v>
                </c:pt>
                <c:pt idx="8">
                  <c:v>98.1020216263475</c:v>
                </c:pt>
                <c:pt idx="9">
                  <c:v>98.4815603816486</c:v>
                </c:pt>
                <c:pt idx="10">
                  <c:v>97.8286376068947</c:v>
                </c:pt>
                <c:pt idx="11">
                  <c:v>97.3242935160422</c:v>
                </c:pt>
                <c:pt idx="12">
                  <c:v>98.1630392546742</c:v>
                </c:pt>
                <c:pt idx="13">
                  <c:v>98.6905495532963</c:v>
                </c:pt>
                <c:pt idx="14">
                  <c:v>98.9321345848524</c:v>
                </c:pt>
                <c:pt idx="15">
                  <c:v>100.166166787589</c:v>
                </c:pt>
                <c:pt idx="16">
                  <c:v>98.1138608676646</c:v>
                </c:pt>
                <c:pt idx="17">
                  <c:v>97.5466208073148</c:v>
                </c:pt>
                <c:pt idx="18">
                  <c:v>96.3250160133328</c:v>
                </c:pt>
                <c:pt idx="19">
                  <c:v>94.957697480063</c:v>
                </c:pt>
                <c:pt idx="20">
                  <c:v>94.2759924471711</c:v>
                </c:pt>
                <c:pt idx="21">
                  <c:v>92.6831022151524</c:v>
                </c:pt>
                <c:pt idx="22">
                  <c:v>91.5482995510195</c:v>
                </c:pt>
                <c:pt idx="23">
                  <c:v>90.6297717454988</c:v>
                </c:pt>
                <c:pt idx="24">
                  <c:v>92.0111304046895</c:v>
                </c:pt>
                <c:pt idx="25">
                  <c:v>93.2192263207584</c:v>
                </c:pt>
              </c:numCache>
            </c:numRef>
          </c:val>
          <c:smooth val="0"/>
        </c:ser>
        <c:ser>
          <c:idx val="6"/>
          <c:order val="6"/>
          <c:tx>
            <c:strRef>
              <c:f>Sheet1!$H$1</c:f>
              <c:strCache>
                <c:ptCount val="1"/>
                <c:pt idx="0">
                  <c:v>上证指数</c:v>
                </c:pt>
              </c:strCache>
            </c:strRef>
          </c:tx>
          <c:spPr>
            <a:ln w="28575" cap="rnd">
              <a:solidFill>
                <a:schemeClr val="accent1">
                  <a:lumMod val="60000"/>
                </a:schemeClr>
              </a:solidFill>
              <a:round/>
            </a:ln>
            <a:effectLst/>
          </c:spPr>
          <c:marker>
            <c:symbol val="none"/>
          </c:marker>
          <c:dLbls>
            <c:delete val="1"/>
          </c:dLbls>
          <c:cat>
            <c:numRef>
              <c:f>Sheet1!$A$2:$A$27</c:f>
              <c:numCache>
                <c:formatCode>yyyy/mm/dd</c:formatCode>
                <c:ptCount val="26"/>
                <c:pt idx="0" c:formatCode="yyyy/mm/dd">
                  <c:v>46027</c:v>
                </c:pt>
                <c:pt idx="1" c:formatCode="yyyy/mm/dd">
                  <c:v>46028</c:v>
                </c:pt>
                <c:pt idx="2" c:formatCode="yyyy/mm/dd">
                  <c:v>46029</c:v>
                </c:pt>
                <c:pt idx="3" c:formatCode="yyyy/mm/dd">
                  <c:v>46030</c:v>
                </c:pt>
                <c:pt idx="4" c:formatCode="yyyy/mm/dd">
                  <c:v>46031</c:v>
                </c:pt>
                <c:pt idx="5" c:formatCode="yyyy/mm/dd">
                  <c:v>46035</c:v>
                </c:pt>
                <c:pt idx="6" c:formatCode="yyyy/mm/dd">
                  <c:v>46036</c:v>
                </c:pt>
                <c:pt idx="7" c:formatCode="yyyy/mm/dd">
                  <c:v>46037</c:v>
                </c:pt>
                <c:pt idx="8" c:formatCode="yyyy/mm/dd">
                  <c:v>46038</c:v>
                </c:pt>
                <c:pt idx="9" c:formatCode="yyyy/mm/dd">
                  <c:v>46041</c:v>
                </c:pt>
                <c:pt idx="10" c:formatCode="yyyy/mm/dd">
                  <c:v>46042</c:v>
                </c:pt>
                <c:pt idx="11" c:formatCode="yyyy/mm/dd">
                  <c:v>46043</c:v>
                </c:pt>
                <c:pt idx="12" c:formatCode="yyyy/mm/dd">
                  <c:v>46044</c:v>
                </c:pt>
                <c:pt idx="13" c:formatCode="yyyy/mm/dd">
                  <c:v>46045</c:v>
                </c:pt>
                <c:pt idx="14" c:formatCode="yyyy/mm/dd">
                  <c:v>46048</c:v>
                </c:pt>
                <c:pt idx="15" c:formatCode="yyyy/mm/dd">
                  <c:v>46049</c:v>
                </c:pt>
                <c:pt idx="16" c:formatCode="yyyy/mm/dd">
                  <c:v>46050</c:v>
                </c:pt>
                <c:pt idx="17" c:formatCode="yyyy/mm/dd">
                  <c:v>46051</c:v>
                </c:pt>
                <c:pt idx="18" c:formatCode="yyyy/mm/dd">
                  <c:v>46052</c:v>
                </c:pt>
                <c:pt idx="19" c:formatCode="yyyy/mm/dd">
                  <c:v>46055</c:v>
                </c:pt>
                <c:pt idx="20" c:formatCode="yyyy/mm/dd">
                  <c:v>46056</c:v>
                </c:pt>
                <c:pt idx="21" c:formatCode="yyyy/mm/dd">
                  <c:v>46057</c:v>
                </c:pt>
                <c:pt idx="22" c:formatCode="yyyy/mm/dd">
                  <c:v>46058</c:v>
                </c:pt>
                <c:pt idx="23" c:formatCode="yyyy/mm/dd">
                  <c:v>46059</c:v>
                </c:pt>
                <c:pt idx="24" c:formatCode="yyyy/mm/dd">
                  <c:v>46062</c:v>
                </c:pt>
                <c:pt idx="25" c:formatCode="yyyy/mm/dd">
                  <c:v>46063</c:v>
                </c:pt>
              </c:numCache>
            </c:numRef>
          </c:cat>
          <c:val>
            <c:numRef>
              <c:f>Sheet1!$H$2:$H$27</c:f>
              <c:numCache>
                <c:formatCode>0.00_ </c:formatCode>
                <c:ptCount val="26"/>
                <c:pt idx="0">
                  <c:v>100</c:v>
                </c:pt>
                <c:pt idx="1">
                  <c:v>101.497495896957</c:v>
                </c:pt>
                <c:pt idx="2">
                  <c:v>101.549817099482</c:v>
                </c:pt>
                <c:pt idx="3">
                  <c:v>101.480386060932</c:v>
                </c:pt>
                <c:pt idx="4">
                  <c:v>102.411117396814</c:v>
                </c:pt>
                <c:pt idx="5">
                  <c:v>102.866762470812</c:v>
                </c:pt>
                <c:pt idx="6">
                  <c:v>102.551972804607</c:v>
                </c:pt>
                <c:pt idx="7">
                  <c:v>102.216635925381</c:v>
                </c:pt>
                <c:pt idx="8">
                  <c:v>101.950978629681</c:v>
                </c:pt>
                <c:pt idx="9">
                  <c:v>102.251404881826</c:v>
                </c:pt>
                <c:pt idx="10">
                  <c:v>102.242678467781</c:v>
                </c:pt>
                <c:pt idx="11">
                  <c:v>102.324474618798</c:v>
                </c:pt>
                <c:pt idx="12">
                  <c:v>102.464554566272</c:v>
                </c:pt>
                <c:pt idx="13">
                  <c:v>102.802282448149</c:v>
                </c:pt>
                <c:pt idx="14">
                  <c:v>102.713825291822</c:v>
                </c:pt>
                <c:pt idx="15">
                  <c:v>102.89523578306</c:v>
                </c:pt>
                <c:pt idx="16">
                  <c:v>103.176929200498</c:v>
                </c:pt>
                <c:pt idx="17">
                  <c:v>103.344615038258</c:v>
                </c:pt>
                <c:pt idx="18">
                  <c:v>102.349518010401</c:v>
                </c:pt>
                <c:pt idx="19">
                  <c:v>99.8093585484198</c:v>
                </c:pt>
                <c:pt idx="20">
                  <c:v>101.101581151164</c:v>
                </c:pt>
                <c:pt idx="21">
                  <c:v>101.958169035785</c:v>
                </c:pt>
                <c:pt idx="22">
                  <c:v>101.304861114684</c:v>
                </c:pt>
                <c:pt idx="23">
                  <c:v>101.048032136467</c:v>
                </c:pt>
                <c:pt idx="24">
                  <c:v>102.477322321598</c:v>
                </c:pt>
                <c:pt idx="25">
                  <c:v>102.60863857328</c:v>
                </c:pt>
              </c:numCache>
            </c:numRef>
          </c:val>
          <c:smooth val="0"/>
        </c:ser>
        <c:dLbls>
          <c:showLegendKey val="0"/>
          <c:showVal val="0"/>
          <c:showCatName val="0"/>
          <c:showSerName val="0"/>
          <c:showPercent val="0"/>
          <c:showBubbleSize val="0"/>
        </c:dLbls>
        <c:marker val="0"/>
        <c:smooth val="0"/>
        <c:axId val="1367263071"/>
        <c:axId val="1367264511"/>
      </c:lineChart>
      <c:dateAx>
        <c:axId val="1367263071"/>
        <c:scaling>
          <c:orientation val="minMax"/>
        </c:scaling>
        <c:delete val="0"/>
        <c:axPos val="b"/>
        <c:numFmt formatCode="yyyy/mm/dd" sourceLinked="1"/>
        <c:majorTickMark val="none"/>
        <c:minorTickMark val="none"/>
        <c:tickLblPos val="nextTo"/>
        <c:spPr>
          <a:noFill/>
          <a:ln w="9525" cap="flat" cmpd="sng" algn="ctr">
            <a:solidFill>
              <a:schemeClr val="tx1">
                <a:lumMod val="15000"/>
                <a:lumOff val="85000"/>
              </a:schemeClr>
            </a:solidFill>
            <a:round/>
          </a:ln>
          <a:effectLst/>
        </c:spPr>
        <c:txPr>
          <a:bodyPr rot="0" spcFirstLastPara="1" vertOverflow="ellipsis" vert="eaVert" wrap="square" anchor="ctr" anchorCtr="1"/>
          <a:lstStyle/>
          <a:p>
            <a:pPr>
              <a:defRPr lang="zh-CN" sz="700" b="0" i="0" u="none" strike="noStrike" kern="1200" baseline="0">
                <a:solidFill>
                  <a:schemeClr val="tx1">
                    <a:lumMod val="65000"/>
                    <a:lumOff val="35000"/>
                  </a:schemeClr>
                </a:solidFill>
                <a:latin typeface="Times New Roman" panose="02020603050405020304" charset="0"/>
                <a:ea typeface="楷体" panose="02010609060101010101" pitchFamily="3" charset="-122"/>
                <a:cs typeface="Times New Roman" panose="02020603050405020304" charset="0"/>
              </a:defRPr>
            </a:pPr>
          </a:p>
        </c:txPr>
        <c:crossAx val="1367264511"/>
        <c:crosses val="autoZero"/>
        <c:auto val="0"/>
        <c:lblOffset val="100"/>
        <c:baseTimeUnit val="days"/>
        <c:majorUnit val="2"/>
        <c:majorTimeUnit val="days"/>
      </c:dateAx>
      <c:valAx>
        <c:axId val="1367264511"/>
        <c:scaling>
          <c:orientation val="minMax"/>
          <c:min val="75"/>
        </c:scaling>
        <c:delete val="0"/>
        <c:axPos val="l"/>
        <c:numFmt formatCode="General" sourceLinked="0"/>
        <c:majorTickMark val="none"/>
        <c:minorTickMark val="none"/>
        <c:tickLblPos val="nextTo"/>
        <c:spPr>
          <a:noFill/>
          <a:ln>
            <a:no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Times New Roman" panose="02020603050405020304" charset="0"/>
                <a:ea typeface="楷体" panose="02010609060101010101" pitchFamily="3" charset="-122"/>
                <a:cs typeface="Times New Roman" panose="02020603050405020304" charset="0"/>
              </a:defRPr>
            </a:pPr>
          </a:p>
        </c:txPr>
        <c:crossAx val="1367263071"/>
        <c:crossesAt val="46027"/>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Times New Roman" panose="02020603050405020304" charset="0"/>
              <a:ea typeface="楷体" panose="02010609060101010101" pitchFamily="3" charset="-122"/>
              <a:cs typeface="Times New Roman" panose="02020603050405020304" charset="0"/>
            </a:defRPr>
          </a:pPr>
        </a:p>
      </c:txPr>
    </c:legend>
    <c:plotVisOnly val="1"/>
    <c:dispBlanksAs val="gap"/>
    <c:showDLblsOverMax val="0"/>
    <c:extLst>
      <c:ext uri="{0b15fc19-7d7d-44ad-8c2d-2c3a37ce22c3}">
        <chartProps xmlns="https://web.wps.cn/et/2018/main" chartId="{0bea4f9b-018c-4f0c-ac78-3c3d3ebbf53c}"/>
      </c:ext>
    </c:extLst>
  </c:chart>
  <c:spPr>
    <a:noFill/>
    <a:ln w="9525" cap="flat" cmpd="sng" algn="ctr">
      <a:noFill/>
      <a:round/>
    </a:ln>
    <a:effectLst/>
  </c:spPr>
  <c:txPr>
    <a:bodyPr/>
    <a:lstStyle/>
    <a:p>
      <a:pPr>
        <a:defRPr lang="zh-CN">
          <a:latin typeface="Times New Roman" panose="02020603050405020304" charset="0"/>
          <a:ea typeface="楷体" panose="02010609060101010101" pitchFamily="3" charset="-122"/>
          <a:cs typeface="Times New Roman" panose="02020603050405020304" charset="0"/>
        </a:defRPr>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0414421881475342"/>
          <c:y val="0.0625785373209349"/>
          <c:w val="0.939218124050283"/>
          <c:h val="0.708821311887409"/>
        </c:manualLayout>
      </c:layout>
      <c:barChart>
        <c:barDir val="col"/>
        <c:grouping val="clustered"/>
        <c:varyColors val="0"/>
        <c:ser>
          <c:idx val="0"/>
          <c:order val="0"/>
          <c:tx>
            <c:strRef>
              <c:f>[工作簿1]Sheet1!$A$2</c:f>
              <c:strCache>
                <c:ptCount val="1"/>
                <c:pt idx="0">
                  <c:v>Asia/Australia</c:v>
                </c:pt>
              </c:strCache>
            </c:strRef>
          </c:tx>
          <c:spPr>
            <a:solidFill>
              <a:schemeClr val="accent1">
                <a:lumMod val="50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[工作簿1]Sheet1!$B$1:$M$1</c:f>
              <c:numCache>
                <c:formatCode>General</c:formatCode>
                <c:ptCount val="12"/>
                <c:pt idx="0">
                  <c:v>2013</c:v>
                </c:pt>
                <c:pt idx="1">
                  <c:v>2014</c:v>
                </c:pt>
                <c:pt idx="2">
                  <c:v>2015</c:v>
                </c:pt>
                <c:pt idx="3">
                  <c:v>2016</c:v>
                </c:pt>
                <c:pt idx="4">
                  <c:v>2017</c:v>
                </c:pt>
                <c:pt idx="5">
                  <c:v>2018</c:v>
                </c:pt>
                <c:pt idx="6">
                  <c:v>2019</c:v>
                </c:pt>
                <c:pt idx="7">
                  <c:v>2020</c:v>
                </c:pt>
                <c:pt idx="8">
                  <c:v>2021</c:v>
                </c:pt>
                <c:pt idx="9">
                  <c:v>2022</c:v>
                </c:pt>
                <c:pt idx="10">
                  <c:v>2023</c:v>
                </c:pt>
                <c:pt idx="11">
                  <c:v>2024</c:v>
                </c:pt>
              </c:numCache>
            </c:numRef>
          </c:cat>
          <c:val>
            <c:numRef>
              <c:f>[工作簿1]Sheet1!$B$2:$M$2</c:f>
              <c:numCache>
                <c:formatCode>General</c:formatCode>
                <c:ptCount val="12"/>
                <c:pt idx="0">
                  <c:v>99</c:v>
                </c:pt>
                <c:pt idx="1">
                  <c:v>134</c:v>
                </c:pt>
                <c:pt idx="2">
                  <c:v>161</c:v>
                </c:pt>
                <c:pt idx="3">
                  <c:v>200</c:v>
                </c:pt>
                <c:pt idx="4">
                  <c:v>280</c:v>
                </c:pt>
                <c:pt idx="5">
                  <c:v>284</c:v>
                </c:pt>
                <c:pt idx="6">
                  <c:v>255</c:v>
                </c:pt>
                <c:pt idx="7">
                  <c:v>274</c:v>
                </c:pt>
                <c:pt idx="8">
                  <c:v>385</c:v>
                </c:pt>
                <c:pt idx="9">
                  <c:v>404</c:v>
                </c:pt>
                <c:pt idx="10">
                  <c:v>382</c:v>
                </c:pt>
                <c:pt idx="11">
                  <c:v>402</c:v>
                </c:pt>
              </c:numCache>
            </c:numRef>
          </c:val>
        </c:ser>
        <c:ser>
          <c:idx val="1"/>
          <c:order val="1"/>
          <c:tx>
            <c:strRef>
              <c:f>[工作簿1]Sheet1!$A$3</c:f>
              <c:strCache>
                <c:ptCount val="1"/>
                <c:pt idx="0">
                  <c:v>Europe</c:v>
                </c:pt>
              </c:strCache>
            </c:strRef>
          </c:tx>
          <c:spPr>
            <a:solidFill>
              <a:schemeClr val="accent2">
                <a:lumMod val="75000"/>
              </a:schemeClr>
            </a:solidFill>
            <a:ln>
              <a:noFill/>
            </a:ln>
            <a:effectLst/>
          </c:spPr>
          <c:invertIfNegative val="0"/>
          <c:dLbls>
            <c:dLbl>
              <c:idx val="0"/>
              <c:layout>
                <c:manualLayout>
                  <c:x val="0.00718331261223926"/>
                  <c:y val="0.0065343051017843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0718331261223926"/>
                  <c:y val="0"/>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897914076529907"/>
                  <c:y val="0"/>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107749689183589"/>
                  <c:y val="0"/>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0897914076529907"/>
                  <c:y val="0.0032671525508921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5"/>
              <c:layout>
                <c:manualLayout>
                  <c:x val="0.00538748445917945"/>
                  <c:y val="0.0196029153053531"/>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6"/>
              <c:layout>
                <c:manualLayout>
                  <c:x val="0.00704517198508081"/>
                  <c:y val="0.0130686102035687"/>
                </c:manualLayout>
              </c:layout>
              <c:dLblPos val="outEnd"/>
              <c:showLegendKey val="0"/>
              <c:showVal val="1"/>
              <c:showCatName val="0"/>
              <c:showSerName val="0"/>
              <c:showPercent val="0"/>
              <c:showBubbleSize val="0"/>
              <c:extLst>
                <c:ext xmlns:c15="http://schemas.microsoft.com/office/drawing/2012/chart" uri="{CE6537A1-D6FC-4f65-9D91-7224C49458BB}">
                  <c15:layout>
                    <c:manualLayout>
                      <c:w val="0.0442050006907031"/>
                      <c:h val="0.0600653430510178"/>
                    </c:manualLayout>
                  </c15:layout>
                </c:ext>
              </c:extLst>
            </c:dLbl>
            <c:dLbl>
              <c:idx val="7"/>
              <c:layout>
                <c:manualLayout>
                  <c:x val="0.00538748445917945"/>
                  <c:y val="0.013068610203568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8"/>
              <c:layout>
                <c:manualLayout>
                  <c:x val="0.00359165630611963"/>
                  <c:y val="0.013068610203568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9"/>
              <c:layout>
                <c:manualLayout>
                  <c:x val="0.0107749689183589"/>
                  <c:y val="0.00980145765267655"/>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0"/>
              <c:layout>
                <c:manualLayout>
                  <c:x val="0.00897914076529907"/>
                  <c:y val="0.0163357627544609"/>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1"/>
              <c:layout>
                <c:manualLayout>
                  <c:x val="0.0107749689183589"/>
                  <c:y val="0.00980145765267655"/>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[工作簿1]Sheet1!$B$1:$M$1</c:f>
              <c:numCache>
                <c:formatCode>General</c:formatCode>
                <c:ptCount val="12"/>
                <c:pt idx="0">
                  <c:v>2013</c:v>
                </c:pt>
                <c:pt idx="1">
                  <c:v>2014</c:v>
                </c:pt>
                <c:pt idx="2">
                  <c:v>2015</c:v>
                </c:pt>
                <c:pt idx="3">
                  <c:v>2016</c:v>
                </c:pt>
                <c:pt idx="4">
                  <c:v>2017</c:v>
                </c:pt>
                <c:pt idx="5">
                  <c:v>2018</c:v>
                </c:pt>
                <c:pt idx="6">
                  <c:v>2019</c:v>
                </c:pt>
                <c:pt idx="7">
                  <c:v>2020</c:v>
                </c:pt>
                <c:pt idx="8">
                  <c:v>2021</c:v>
                </c:pt>
                <c:pt idx="9">
                  <c:v>2022</c:v>
                </c:pt>
                <c:pt idx="10">
                  <c:v>2023</c:v>
                </c:pt>
                <c:pt idx="11">
                  <c:v>2024</c:v>
                </c:pt>
              </c:numCache>
            </c:numRef>
          </c:cat>
          <c:val>
            <c:numRef>
              <c:f>[工作簿1]Sheet1!$B$3:$M$3</c:f>
              <c:numCache>
                <c:formatCode>General</c:formatCode>
                <c:ptCount val="12"/>
                <c:pt idx="0">
                  <c:v>43</c:v>
                </c:pt>
                <c:pt idx="1">
                  <c:v>46</c:v>
                </c:pt>
                <c:pt idx="2">
                  <c:v>50</c:v>
                </c:pt>
                <c:pt idx="3">
                  <c:v>56</c:v>
                </c:pt>
                <c:pt idx="4">
                  <c:v>67</c:v>
                </c:pt>
                <c:pt idx="5">
                  <c:v>76</c:v>
                </c:pt>
                <c:pt idx="6">
                  <c:v>74</c:v>
                </c:pt>
                <c:pt idx="7">
                  <c:v>66</c:v>
                </c:pt>
                <c:pt idx="8">
                  <c:v>82</c:v>
                </c:pt>
                <c:pt idx="9">
                  <c:v>85</c:v>
                </c:pt>
                <c:pt idx="10">
                  <c:v>92</c:v>
                </c:pt>
                <c:pt idx="11">
                  <c:v>85</c:v>
                </c:pt>
              </c:numCache>
            </c:numRef>
          </c:val>
        </c:ser>
        <c:ser>
          <c:idx val="2"/>
          <c:order val="2"/>
          <c:tx>
            <c:strRef>
              <c:f>[工作簿1]Sheet1!$A$4</c:f>
              <c:strCache>
                <c:ptCount val="1"/>
                <c:pt idx="0">
                  <c:v>The Americas</c:v>
                </c:pt>
              </c:strCache>
            </c:strRef>
          </c:tx>
          <c:spPr>
            <a:solidFill>
              <a:schemeClr val="bg1">
                <a:lumMod val="65000"/>
              </a:schemeClr>
            </a:solidFill>
            <a:ln>
              <a:noFill/>
            </a:ln>
            <a:effectLst/>
          </c:spPr>
          <c:invertIfNegative val="0"/>
          <c:dLbls>
            <c:dLbl>
              <c:idx val="0"/>
              <c:layout>
                <c:manualLayout>
                  <c:x val="0.00897914076529907"/>
                  <c:y val="0.0261372204071375"/>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0718331261223926"/>
                  <c:y val="0.0261372204071375"/>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897914076529907"/>
                  <c:y val="0.029404372958029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0718331261223926"/>
                  <c:y val="0.032671525508921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0538748445917945"/>
                  <c:y val="0.025885900980145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5"/>
              <c:layout>
                <c:manualLayout>
                  <c:x val="0.00897914076529907"/>
                  <c:y val="0.0356873586328223"/>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6"/>
              <c:layout>
                <c:manualLayout>
                  <c:x val="0.0107749689183589"/>
                  <c:y val="0.0291530535310379"/>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7"/>
              <c:layout>
                <c:manualLayout>
                  <c:x val="0.0107749689183589"/>
                  <c:y val="0.035938678059814"/>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8"/>
              <c:layout>
                <c:manualLayout>
                  <c:x val="0.0107749689183589"/>
                  <c:y val="0.025885900980145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9"/>
              <c:layout>
                <c:manualLayout>
                  <c:x val="0.00718331261223926"/>
                  <c:y val="0.0356873586328223"/>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0"/>
              <c:layout>
                <c:manualLayout>
                  <c:x val="0.00897914076529907"/>
                  <c:y val="0.0226187484292536"/>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1"/>
              <c:layout>
                <c:manualLayout>
                  <c:x val="0.0124326564442603"/>
                  <c:y val="0.0291530535310379"/>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[工作簿1]Sheet1!$B$1:$M$1</c:f>
              <c:numCache>
                <c:formatCode>General</c:formatCode>
                <c:ptCount val="12"/>
                <c:pt idx="0">
                  <c:v>2013</c:v>
                </c:pt>
                <c:pt idx="1">
                  <c:v>2014</c:v>
                </c:pt>
                <c:pt idx="2">
                  <c:v>2015</c:v>
                </c:pt>
                <c:pt idx="3">
                  <c:v>2016</c:v>
                </c:pt>
                <c:pt idx="4">
                  <c:v>2017</c:v>
                </c:pt>
                <c:pt idx="5">
                  <c:v>2018</c:v>
                </c:pt>
                <c:pt idx="6">
                  <c:v>2019</c:v>
                </c:pt>
                <c:pt idx="7">
                  <c:v>2020</c:v>
                </c:pt>
                <c:pt idx="8">
                  <c:v>2021</c:v>
                </c:pt>
                <c:pt idx="9">
                  <c:v>2022</c:v>
                </c:pt>
                <c:pt idx="10">
                  <c:v>2023</c:v>
                </c:pt>
                <c:pt idx="11">
                  <c:v>2024</c:v>
                </c:pt>
              </c:numCache>
            </c:numRef>
          </c:cat>
          <c:val>
            <c:numRef>
              <c:f>[工作簿1]Sheet1!$B$4:$M$4</c:f>
              <c:numCache>
                <c:formatCode>General</c:formatCode>
                <c:ptCount val="12"/>
                <c:pt idx="0">
                  <c:v>30</c:v>
                </c:pt>
                <c:pt idx="1">
                  <c:v>33</c:v>
                </c:pt>
                <c:pt idx="2">
                  <c:v>38</c:v>
                </c:pt>
                <c:pt idx="3">
                  <c:v>41</c:v>
                </c:pt>
                <c:pt idx="4">
                  <c:v>46</c:v>
                </c:pt>
                <c:pt idx="5">
                  <c:v>55</c:v>
                </c:pt>
                <c:pt idx="6">
                  <c:v>47</c:v>
                </c:pt>
                <c:pt idx="7">
                  <c:v>39</c:v>
                </c:pt>
                <c:pt idx="8">
                  <c:v>52</c:v>
                </c:pt>
                <c:pt idx="9">
                  <c:v>56</c:v>
                </c:pt>
                <c:pt idx="10">
                  <c:v>55</c:v>
                </c:pt>
                <c:pt idx="11">
                  <c:v>50</c:v>
                </c:pt>
              </c:numCache>
            </c:numRef>
          </c:val>
        </c:ser>
        <c:dLbls>
          <c:showLegendKey val="0"/>
          <c:showVal val="1"/>
          <c:showCatName val="0"/>
          <c:showSerName val="0"/>
          <c:showPercent val="0"/>
          <c:showBubbleSize val="0"/>
        </c:dLbls>
        <c:gapWidth val="246"/>
        <c:overlap val="-28"/>
        <c:axId val="940018905"/>
        <c:axId val="209828599"/>
      </c:barChart>
      <c:catAx>
        <c:axId val="940018905"/>
        <c:scaling>
          <c:orientation val="minMax"/>
        </c:scaling>
        <c:delete val="0"/>
        <c:axPos val="b"/>
        <c:numFmt formatCode="General"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09828599"/>
        <c:crosses val="autoZero"/>
        <c:auto val="1"/>
        <c:lblAlgn val="ctr"/>
        <c:lblOffset val="100"/>
        <c:noMultiLvlLbl val="0"/>
      </c:catAx>
      <c:valAx>
        <c:axId val="209828599"/>
        <c:scaling>
          <c:orientation val="minMax"/>
        </c:scaling>
        <c:delete val="1"/>
        <c:axPos val="l"/>
        <c:numFmt formatCode="General" sourceLinked="1"/>
        <c:majorTickMark val="out"/>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40018905"/>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b91f058a-53f0-4527-b1db-5203f664cae8}"/>
      </c:ext>
    </c:extLst>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551007790280697"/>
          <c:y val="0.0415437561455261"/>
          <c:w val="0.906566093730679"/>
          <c:h val="0.606784660766962"/>
        </c:manualLayout>
      </c:layout>
      <c:barChart>
        <c:barDir val="col"/>
        <c:grouping val="stacked"/>
        <c:varyColors val="0"/>
        <c:ser>
          <c:idx val="0"/>
          <c:order val="0"/>
          <c:tx>
            <c:strRef>
              <c:f>[变压器出口金额北美洲当月值等_20260213_170615.xlsx]Sheet1!$B$22</c:f>
              <c:strCache>
                <c:ptCount val="1"/>
                <c:pt idx="0">
                  <c:v>北美洲</c:v>
                </c:pt>
              </c:strCache>
            </c:strRef>
          </c:tx>
          <c:spPr>
            <a:solidFill>
              <a:schemeClr val="accent1"/>
            </a:solidFill>
            <a:ln>
              <a:solidFill>
                <a:schemeClr val="bg1"/>
              </a:solidFill>
            </a:ln>
            <a:effectLst/>
          </c:spPr>
          <c:invertIfNegative val="0"/>
          <c:dLbls>
            <c:delete val="1"/>
          </c:dLbls>
          <c:cat>
            <c:numRef>
              <c:f>[变压器出口金额北美洲当月值等_20260213_170615.xlsx]Sheet1!$A$23:$A$35</c:f>
              <c:numCache>
                <c:formatCode>yyyy/mm;@</c:formatCode>
                <c:ptCount val="13"/>
                <c:pt idx="0" c:formatCode="yyyy/mm;@">
                  <c:v>46022</c:v>
                </c:pt>
                <c:pt idx="1" c:formatCode="yyyy/mm;@">
                  <c:v>45991</c:v>
                </c:pt>
                <c:pt idx="2" c:formatCode="yyyy/mm;@">
                  <c:v>45961</c:v>
                </c:pt>
                <c:pt idx="3" c:formatCode="yyyy/mm;@">
                  <c:v>45930</c:v>
                </c:pt>
                <c:pt idx="4" c:formatCode="yyyy/mm;@">
                  <c:v>45900</c:v>
                </c:pt>
                <c:pt idx="5" c:formatCode="yyyy/mm;@">
                  <c:v>45869</c:v>
                </c:pt>
                <c:pt idx="6" c:formatCode="yyyy/mm;@">
                  <c:v>45838</c:v>
                </c:pt>
                <c:pt idx="7" c:formatCode="yyyy/mm;@">
                  <c:v>45808</c:v>
                </c:pt>
                <c:pt idx="8" c:formatCode="yyyy/mm;@">
                  <c:v>45777</c:v>
                </c:pt>
                <c:pt idx="9" c:formatCode="yyyy/mm;@">
                  <c:v>45747</c:v>
                </c:pt>
                <c:pt idx="10" c:formatCode="yyyy/mm;@">
                  <c:v>45716</c:v>
                </c:pt>
                <c:pt idx="11" c:formatCode="yyyy/mm;@">
                  <c:v>45688</c:v>
                </c:pt>
                <c:pt idx="12" c:formatCode="yyyy/mm;@">
                  <c:v>45657</c:v>
                </c:pt>
              </c:numCache>
            </c:numRef>
          </c:cat>
          <c:val>
            <c:numRef>
              <c:f>[变压器出口金额北美洲当月值等_20260213_170615.xlsx]Sheet1!$B$23:$B$35</c:f>
              <c:numCache>
                <c:formatCode>General</c:formatCode>
                <c:ptCount val="13"/>
                <c:pt idx="0">
                  <c:v>9.183531</c:v>
                </c:pt>
                <c:pt idx="1">
                  <c:v>10.3230664</c:v>
                </c:pt>
                <c:pt idx="2">
                  <c:v>14.2596435</c:v>
                </c:pt>
                <c:pt idx="3">
                  <c:v>9.8165976</c:v>
                </c:pt>
                <c:pt idx="4">
                  <c:v>8.6567967</c:v>
                </c:pt>
                <c:pt idx="5">
                  <c:v>14.7843536</c:v>
                </c:pt>
                <c:pt idx="6">
                  <c:v>14.2741553</c:v>
                </c:pt>
                <c:pt idx="7">
                  <c:v>10.6435783</c:v>
                </c:pt>
                <c:pt idx="8">
                  <c:v>10.0089844</c:v>
                </c:pt>
                <c:pt idx="9">
                  <c:v>10.7563442</c:v>
                </c:pt>
                <c:pt idx="10">
                  <c:v>8.8354351</c:v>
                </c:pt>
                <c:pt idx="11">
                  <c:v>10.8237484</c:v>
                </c:pt>
                <c:pt idx="12">
                  <c:v>13.741968</c:v>
                </c:pt>
              </c:numCache>
            </c:numRef>
          </c:val>
        </c:ser>
        <c:ser>
          <c:idx val="1"/>
          <c:order val="1"/>
          <c:tx>
            <c:strRef>
              <c:f>[变压器出口金额北美洲当月值等_20260213_170615.xlsx]Sheet1!$C$22</c:f>
              <c:strCache>
                <c:ptCount val="1"/>
                <c:pt idx="0">
                  <c:v>欧洲</c:v>
                </c:pt>
              </c:strCache>
            </c:strRef>
          </c:tx>
          <c:spPr>
            <a:solidFill>
              <a:schemeClr val="accent3"/>
            </a:solidFill>
            <a:ln>
              <a:solidFill>
                <a:schemeClr val="bg1"/>
              </a:solidFill>
            </a:ln>
            <a:effectLst/>
          </c:spPr>
          <c:invertIfNegative val="0"/>
          <c:dLbls>
            <c:delete val="1"/>
          </c:dLbls>
          <c:cat>
            <c:numRef>
              <c:f>[变压器出口金额北美洲当月值等_20260213_170615.xlsx]Sheet1!$A$23:$A$35</c:f>
              <c:numCache>
                <c:formatCode>yyyy/mm;@</c:formatCode>
                <c:ptCount val="13"/>
                <c:pt idx="0" c:formatCode="yyyy/mm;@">
                  <c:v>46022</c:v>
                </c:pt>
                <c:pt idx="1" c:formatCode="yyyy/mm;@">
                  <c:v>45991</c:v>
                </c:pt>
                <c:pt idx="2" c:formatCode="yyyy/mm;@">
                  <c:v>45961</c:v>
                </c:pt>
                <c:pt idx="3" c:formatCode="yyyy/mm;@">
                  <c:v>45930</c:v>
                </c:pt>
                <c:pt idx="4" c:formatCode="yyyy/mm;@">
                  <c:v>45900</c:v>
                </c:pt>
                <c:pt idx="5" c:formatCode="yyyy/mm;@">
                  <c:v>45869</c:v>
                </c:pt>
                <c:pt idx="6" c:formatCode="yyyy/mm;@">
                  <c:v>45838</c:v>
                </c:pt>
                <c:pt idx="7" c:formatCode="yyyy/mm;@">
                  <c:v>45808</c:v>
                </c:pt>
                <c:pt idx="8" c:formatCode="yyyy/mm;@">
                  <c:v>45777</c:v>
                </c:pt>
                <c:pt idx="9" c:formatCode="yyyy/mm;@">
                  <c:v>45747</c:v>
                </c:pt>
                <c:pt idx="10" c:formatCode="yyyy/mm;@">
                  <c:v>45716</c:v>
                </c:pt>
                <c:pt idx="11" c:formatCode="yyyy/mm;@">
                  <c:v>45688</c:v>
                </c:pt>
                <c:pt idx="12" c:formatCode="yyyy/mm;@">
                  <c:v>45657</c:v>
                </c:pt>
              </c:numCache>
            </c:numRef>
          </c:cat>
          <c:val>
            <c:numRef>
              <c:f>[变压器出口金额北美洲当月值等_20260213_170615.xlsx]Sheet1!$C$23:$C$35</c:f>
              <c:numCache>
                <c:formatCode>General</c:formatCode>
                <c:ptCount val="13"/>
                <c:pt idx="0">
                  <c:v>15.9210363</c:v>
                </c:pt>
                <c:pt idx="1">
                  <c:v>14.248486</c:v>
                </c:pt>
                <c:pt idx="2">
                  <c:v>16.2602236</c:v>
                </c:pt>
                <c:pt idx="3">
                  <c:v>18.3771696</c:v>
                </c:pt>
                <c:pt idx="4">
                  <c:v>23.4660234</c:v>
                </c:pt>
                <c:pt idx="5">
                  <c:v>13.864544</c:v>
                </c:pt>
                <c:pt idx="6">
                  <c:v>17.3187995</c:v>
                </c:pt>
                <c:pt idx="7">
                  <c:v>14.5175875</c:v>
                </c:pt>
                <c:pt idx="8">
                  <c:v>13.385597</c:v>
                </c:pt>
                <c:pt idx="9">
                  <c:v>9.9630322</c:v>
                </c:pt>
                <c:pt idx="10">
                  <c:v>11.5020001</c:v>
                </c:pt>
                <c:pt idx="11">
                  <c:v>14.8614408</c:v>
                </c:pt>
                <c:pt idx="12">
                  <c:v>15.1216921</c:v>
                </c:pt>
              </c:numCache>
            </c:numRef>
          </c:val>
        </c:ser>
        <c:ser>
          <c:idx val="2"/>
          <c:order val="2"/>
          <c:tx>
            <c:strRef>
              <c:f>[变压器出口金额北美洲当月值等_20260213_170615.xlsx]Sheet1!$D$22</c:f>
              <c:strCache>
                <c:ptCount val="1"/>
                <c:pt idx="0">
                  <c:v>亚洲</c:v>
                </c:pt>
              </c:strCache>
            </c:strRef>
          </c:tx>
          <c:spPr>
            <a:solidFill>
              <a:schemeClr val="accent5"/>
            </a:solidFill>
            <a:ln>
              <a:solidFill>
                <a:schemeClr val="bg1"/>
              </a:solidFill>
            </a:ln>
            <a:effectLst/>
          </c:spPr>
          <c:invertIfNegative val="0"/>
          <c:dLbls>
            <c:delete val="1"/>
          </c:dLbls>
          <c:cat>
            <c:numRef>
              <c:f>[变压器出口金额北美洲当月值等_20260213_170615.xlsx]Sheet1!$A$23:$A$35</c:f>
              <c:numCache>
                <c:formatCode>yyyy/mm;@</c:formatCode>
                <c:ptCount val="13"/>
                <c:pt idx="0" c:formatCode="yyyy/mm;@">
                  <c:v>46022</c:v>
                </c:pt>
                <c:pt idx="1" c:formatCode="yyyy/mm;@">
                  <c:v>45991</c:v>
                </c:pt>
                <c:pt idx="2" c:formatCode="yyyy/mm;@">
                  <c:v>45961</c:v>
                </c:pt>
                <c:pt idx="3" c:formatCode="yyyy/mm;@">
                  <c:v>45930</c:v>
                </c:pt>
                <c:pt idx="4" c:formatCode="yyyy/mm;@">
                  <c:v>45900</c:v>
                </c:pt>
                <c:pt idx="5" c:formatCode="yyyy/mm;@">
                  <c:v>45869</c:v>
                </c:pt>
                <c:pt idx="6" c:formatCode="yyyy/mm;@">
                  <c:v>45838</c:v>
                </c:pt>
                <c:pt idx="7" c:formatCode="yyyy/mm;@">
                  <c:v>45808</c:v>
                </c:pt>
                <c:pt idx="8" c:formatCode="yyyy/mm;@">
                  <c:v>45777</c:v>
                </c:pt>
                <c:pt idx="9" c:formatCode="yyyy/mm;@">
                  <c:v>45747</c:v>
                </c:pt>
                <c:pt idx="10" c:formatCode="yyyy/mm;@">
                  <c:v>45716</c:v>
                </c:pt>
                <c:pt idx="11" c:formatCode="yyyy/mm;@">
                  <c:v>45688</c:v>
                </c:pt>
                <c:pt idx="12" c:formatCode="yyyy/mm;@">
                  <c:v>45657</c:v>
                </c:pt>
              </c:numCache>
            </c:numRef>
          </c:cat>
          <c:val>
            <c:numRef>
              <c:f>[变压器出口金额北美洲当月值等_20260213_170615.xlsx]Sheet1!$D$23:$D$35</c:f>
              <c:numCache>
                <c:formatCode>General</c:formatCode>
                <c:ptCount val="13"/>
                <c:pt idx="0">
                  <c:v>53.247232</c:v>
                </c:pt>
                <c:pt idx="1">
                  <c:v>40.6198862</c:v>
                </c:pt>
                <c:pt idx="2">
                  <c:v>39.2916946</c:v>
                </c:pt>
                <c:pt idx="3">
                  <c:v>49.1677918</c:v>
                </c:pt>
                <c:pt idx="4">
                  <c:v>40.2602867</c:v>
                </c:pt>
                <c:pt idx="5">
                  <c:v>39.0789547</c:v>
                </c:pt>
                <c:pt idx="6">
                  <c:v>36.0547684</c:v>
                </c:pt>
                <c:pt idx="7">
                  <c:v>30.0712475</c:v>
                </c:pt>
                <c:pt idx="8">
                  <c:v>31.3483074</c:v>
                </c:pt>
                <c:pt idx="9">
                  <c:v>31.3131299</c:v>
                </c:pt>
                <c:pt idx="10">
                  <c:v>27.2791615</c:v>
                </c:pt>
                <c:pt idx="11">
                  <c:v>31.859003</c:v>
                </c:pt>
                <c:pt idx="12">
                  <c:v>30.3967909</c:v>
                </c:pt>
              </c:numCache>
            </c:numRef>
          </c:val>
        </c:ser>
        <c:ser>
          <c:idx val="3"/>
          <c:order val="3"/>
          <c:tx>
            <c:strRef>
              <c:f>[变压器出口金额北美洲当月值等_20260213_170615.xlsx]Sheet1!$E$22</c:f>
              <c:strCache>
                <c:ptCount val="1"/>
                <c:pt idx="0">
                  <c:v>南美洲</c:v>
                </c:pt>
              </c:strCache>
            </c:strRef>
          </c:tx>
          <c:spPr>
            <a:solidFill>
              <a:schemeClr val="accent1">
                <a:lumMod val="60000"/>
              </a:schemeClr>
            </a:solidFill>
            <a:ln>
              <a:solidFill>
                <a:schemeClr val="bg1"/>
              </a:solidFill>
            </a:ln>
            <a:effectLst/>
          </c:spPr>
          <c:invertIfNegative val="0"/>
          <c:dLbls>
            <c:delete val="1"/>
          </c:dLbls>
          <c:cat>
            <c:numRef>
              <c:f>[变压器出口金额北美洲当月值等_20260213_170615.xlsx]Sheet1!$A$23:$A$35</c:f>
              <c:numCache>
                <c:formatCode>yyyy/mm;@</c:formatCode>
                <c:ptCount val="13"/>
                <c:pt idx="0" c:formatCode="yyyy/mm;@">
                  <c:v>46022</c:v>
                </c:pt>
                <c:pt idx="1" c:formatCode="yyyy/mm;@">
                  <c:v>45991</c:v>
                </c:pt>
                <c:pt idx="2" c:formatCode="yyyy/mm;@">
                  <c:v>45961</c:v>
                </c:pt>
                <c:pt idx="3" c:formatCode="yyyy/mm;@">
                  <c:v>45930</c:v>
                </c:pt>
                <c:pt idx="4" c:formatCode="yyyy/mm;@">
                  <c:v>45900</c:v>
                </c:pt>
                <c:pt idx="5" c:formatCode="yyyy/mm;@">
                  <c:v>45869</c:v>
                </c:pt>
                <c:pt idx="6" c:formatCode="yyyy/mm;@">
                  <c:v>45838</c:v>
                </c:pt>
                <c:pt idx="7" c:formatCode="yyyy/mm;@">
                  <c:v>45808</c:v>
                </c:pt>
                <c:pt idx="8" c:formatCode="yyyy/mm;@">
                  <c:v>45777</c:v>
                </c:pt>
                <c:pt idx="9" c:formatCode="yyyy/mm;@">
                  <c:v>45747</c:v>
                </c:pt>
                <c:pt idx="10" c:formatCode="yyyy/mm;@">
                  <c:v>45716</c:v>
                </c:pt>
                <c:pt idx="11" c:formatCode="yyyy/mm;@">
                  <c:v>45688</c:v>
                </c:pt>
                <c:pt idx="12" c:formatCode="yyyy/mm;@">
                  <c:v>45657</c:v>
                </c:pt>
              </c:numCache>
            </c:numRef>
          </c:cat>
          <c:val>
            <c:numRef>
              <c:f>[变压器出口金额北美洲当月值等_20260213_170615.xlsx]Sheet1!$E$23:$E$35</c:f>
              <c:numCache>
                <c:formatCode>General</c:formatCode>
                <c:ptCount val="13"/>
                <c:pt idx="0">
                  <c:v>3.6052757</c:v>
                </c:pt>
                <c:pt idx="1">
                  <c:v>4.8470515</c:v>
                </c:pt>
                <c:pt idx="2">
                  <c:v>2.3869255</c:v>
                </c:pt>
                <c:pt idx="3">
                  <c:v>4.9447698</c:v>
                </c:pt>
                <c:pt idx="4">
                  <c:v>3.7054771</c:v>
                </c:pt>
                <c:pt idx="5">
                  <c:v>3.7145733</c:v>
                </c:pt>
                <c:pt idx="6">
                  <c:v>3.5699889</c:v>
                </c:pt>
                <c:pt idx="7">
                  <c:v>3.0127892</c:v>
                </c:pt>
                <c:pt idx="8">
                  <c:v>3.0667046</c:v>
                </c:pt>
                <c:pt idx="9">
                  <c:v>2.9545282</c:v>
                </c:pt>
                <c:pt idx="10">
                  <c:v>1.910025</c:v>
                </c:pt>
                <c:pt idx="11">
                  <c:v>3.4742687</c:v>
                </c:pt>
                <c:pt idx="12">
                  <c:v>5.9714205</c:v>
                </c:pt>
              </c:numCache>
            </c:numRef>
          </c:val>
        </c:ser>
        <c:ser>
          <c:idx val="4"/>
          <c:order val="4"/>
          <c:tx>
            <c:strRef>
              <c:f>[变压器出口金额北美洲当月值等_20260213_170615.xlsx]Sheet1!$F$22</c:f>
              <c:strCache>
                <c:ptCount val="1"/>
                <c:pt idx="0">
                  <c:v>非洲</c:v>
                </c:pt>
              </c:strCache>
            </c:strRef>
          </c:tx>
          <c:spPr>
            <a:solidFill>
              <a:schemeClr val="accent3">
                <a:lumMod val="60000"/>
              </a:schemeClr>
            </a:solidFill>
            <a:ln>
              <a:solidFill>
                <a:schemeClr val="bg1"/>
              </a:solidFill>
            </a:ln>
            <a:effectLst/>
          </c:spPr>
          <c:invertIfNegative val="0"/>
          <c:dLbls>
            <c:delete val="1"/>
          </c:dLbls>
          <c:cat>
            <c:numRef>
              <c:f>[变压器出口金额北美洲当月值等_20260213_170615.xlsx]Sheet1!$A$23:$A$35</c:f>
              <c:numCache>
                <c:formatCode>yyyy/mm;@</c:formatCode>
                <c:ptCount val="13"/>
                <c:pt idx="0" c:formatCode="yyyy/mm;@">
                  <c:v>46022</c:v>
                </c:pt>
                <c:pt idx="1" c:formatCode="yyyy/mm;@">
                  <c:v>45991</c:v>
                </c:pt>
                <c:pt idx="2" c:formatCode="yyyy/mm;@">
                  <c:v>45961</c:v>
                </c:pt>
                <c:pt idx="3" c:formatCode="yyyy/mm;@">
                  <c:v>45930</c:v>
                </c:pt>
                <c:pt idx="4" c:formatCode="yyyy/mm;@">
                  <c:v>45900</c:v>
                </c:pt>
                <c:pt idx="5" c:formatCode="yyyy/mm;@">
                  <c:v>45869</c:v>
                </c:pt>
                <c:pt idx="6" c:formatCode="yyyy/mm;@">
                  <c:v>45838</c:v>
                </c:pt>
                <c:pt idx="7" c:formatCode="yyyy/mm;@">
                  <c:v>45808</c:v>
                </c:pt>
                <c:pt idx="8" c:formatCode="yyyy/mm;@">
                  <c:v>45777</c:v>
                </c:pt>
                <c:pt idx="9" c:formatCode="yyyy/mm;@">
                  <c:v>45747</c:v>
                </c:pt>
                <c:pt idx="10" c:formatCode="yyyy/mm;@">
                  <c:v>45716</c:v>
                </c:pt>
                <c:pt idx="11" c:formatCode="yyyy/mm;@">
                  <c:v>45688</c:v>
                </c:pt>
                <c:pt idx="12" c:formatCode="yyyy/mm;@">
                  <c:v>45657</c:v>
                </c:pt>
              </c:numCache>
            </c:numRef>
          </c:cat>
          <c:val>
            <c:numRef>
              <c:f>[变压器出口金额北美洲当月值等_20260213_170615.xlsx]Sheet1!$F$23:$F$35</c:f>
              <c:numCache>
                <c:formatCode>General</c:formatCode>
                <c:ptCount val="13"/>
                <c:pt idx="0">
                  <c:v>12.243738</c:v>
                </c:pt>
                <c:pt idx="1">
                  <c:v>8.3421508</c:v>
                </c:pt>
                <c:pt idx="2">
                  <c:v>6.0689386</c:v>
                </c:pt>
                <c:pt idx="3">
                  <c:v>9.8323577</c:v>
                </c:pt>
                <c:pt idx="4">
                  <c:v>7.0264234</c:v>
                </c:pt>
                <c:pt idx="5">
                  <c:v>6.1915975</c:v>
                </c:pt>
                <c:pt idx="6">
                  <c:v>5.1546711</c:v>
                </c:pt>
                <c:pt idx="7">
                  <c:v>4.4227272</c:v>
                </c:pt>
                <c:pt idx="8">
                  <c:v>7.1872807</c:v>
                </c:pt>
                <c:pt idx="9">
                  <c:v>4.5761959</c:v>
                </c:pt>
                <c:pt idx="10">
                  <c:v>1.2276971</c:v>
                </c:pt>
                <c:pt idx="11">
                  <c:v>6.76372</c:v>
                </c:pt>
                <c:pt idx="12">
                  <c:v>5.7584042</c:v>
                </c:pt>
              </c:numCache>
            </c:numRef>
          </c:val>
        </c:ser>
        <c:ser>
          <c:idx val="5"/>
          <c:order val="5"/>
          <c:tx>
            <c:strRef>
              <c:f>[变压器出口金额北美洲当月值等_20260213_170615.xlsx]Sheet1!$G$22</c:f>
              <c:strCache>
                <c:ptCount val="1"/>
                <c:pt idx="0">
                  <c:v>大洋洲</c:v>
                </c:pt>
              </c:strCache>
            </c:strRef>
          </c:tx>
          <c:spPr>
            <a:solidFill>
              <a:schemeClr val="accent5">
                <a:lumMod val="60000"/>
              </a:schemeClr>
            </a:solidFill>
            <a:ln>
              <a:solidFill>
                <a:schemeClr val="bg1"/>
              </a:solidFill>
            </a:ln>
            <a:effectLst/>
          </c:spPr>
          <c:invertIfNegative val="0"/>
          <c:dLbls>
            <c:delete val="1"/>
          </c:dLbls>
          <c:cat>
            <c:numRef>
              <c:f>[变压器出口金额北美洲当月值等_20260213_170615.xlsx]Sheet1!$A$23:$A$35</c:f>
              <c:numCache>
                <c:formatCode>yyyy/mm;@</c:formatCode>
                <c:ptCount val="13"/>
                <c:pt idx="0" c:formatCode="yyyy/mm;@">
                  <c:v>46022</c:v>
                </c:pt>
                <c:pt idx="1" c:formatCode="yyyy/mm;@">
                  <c:v>45991</c:v>
                </c:pt>
                <c:pt idx="2" c:formatCode="yyyy/mm;@">
                  <c:v>45961</c:v>
                </c:pt>
                <c:pt idx="3" c:formatCode="yyyy/mm;@">
                  <c:v>45930</c:v>
                </c:pt>
                <c:pt idx="4" c:formatCode="yyyy/mm;@">
                  <c:v>45900</c:v>
                </c:pt>
                <c:pt idx="5" c:formatCode="yyyy/mm;@">
                  <c:v>45869</c:v>
                </c:pt>
                <c:pt idx="6" c:formatCode="yyyy/mm;@">
                  <c:v>45838</c:v>
                </c:pt>
                <c:pt idx="7" c:formatCode="yyyy/mm;@">
                  <c:v>45808</c:v>
                </c:pt>
                <c:pt idx="8" c:formatCode="yyyy/mm;@">
                  <c:v>45777</c:v>
                </c:pt>
                <c:pt idx="9" c:formatCode="yyyy/mm;@">
                  <c:v>45747</c:v>
                </c:pt>
                <c:pt idx="10" c:formatCode="yyyy/mm;@">
                  <c:v>45716</c:v>
                </c:pt>
                <c:pt idx="11" c:formatCode="yyyy/mm;@">
                  <c:v>45688</c:v>
                </c:pt>
                <c:pt idx="12" c:formatCode="yyyy/mm;@">
                  <c:v>45657</c:v>
                </c:pt>
              </c:numCache>
            </c:numRef>
          </c:cat>
          <c:val>
            <c:numRef>
              <c:f>[变压器出口金额北美洲当月值等_20260213_170615.xlsx]Sheet1!$G$23:$G$35</c:f>
              <c:numCache>
                <c:formatCode>General</c:formatCode>
                <c:ptCount val="13"/>
                <c:pt idx="0">
                  <c:v>1.3701255</c:v>
                </c:pt>
                <c:pt idx="1">
                  <c:v>1.0105386</c:v>
                </c:pt>
                <c:pt idx="2">
                  <c:v>2.5451648</c:v>
                </c:pt>
                <c:pt idx="3">
                  <c:v>0.7076382</c:v>
                </c:pt>
                <c:pt idx="4">
                  <c:v>0.5565021</c:v>
                </c:pt>
                <c:pt idx="5">
                  <c:v>1.7558231</c:v>
                </c:pt>
                <c:pt idx="6">
                  <c:v>2.1636746</c:v>
                </c:pt>
                <c:pt idx="7">
                  <c:v>2.4279997</c:v>
                </c:pt>
                <c:pt idx="8">
                  <c:v>1.5493091</c:v>
                </c:pt>
                <c:pt idx="9">
                  <c:v>1.3511801</c:v>
                </c:pt>
                <c:pt idx="10">
                  <c:v>0.6789581</c:v>
                </c:pt>
                <c:pt idx="11">
                  <c:v>1.5477141</c:v>
                </c:pt>
                <c:pt idx="12">
                  <c:v>1.4522239</c:v>
                </c:pt>
              </c:numCache>
            </c:numRef>
          </c:val>
        </c:ser>
        <c:dLbls>
          <c:showLegendKey val="0"/>
          <c:showVal val="0"/>
          <c:showCatName val="0"/>
          <c:showSerName val="0"/>
          <c:showPercent val="0"/>
          <c:showBubbleSize val="0"/>
        </c:dLbls>
        <c:gapWidth val="246"/>
        <c:overlap val="100"/>
        <c:axId val="528066269"/>
        <c:axId val="725964151"/>
      </c:barChart>
      <c:dateAx>
        <c:axId val="528066269"/>
        <c:scaling>
          <c:orientation val="minMax"/>
        </c:scaling>
        <c:delete val="0"/>
        <c:axPos val="b"/>
        <c:numFmt formatCode="yyyy/mm;@"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楷体" panose="02010609060101010101" pitchFamily="3" charset="-122"/>
                <a:ea typeface="楷体" panose="02010609060101010101" pitchFamily="3" charset="-122"/>
                <a:cs typeface="楷体" panose="02010609060101010101" pitchFamily="3" charset="-122"/>
                <a:sym typeface="楷体" panose="02010609060101010101" pitchFamily="3" charset="-122"/>
              </a:defRPr>
            </a:pPr>
          </a:p>
        </c:txPr>
        <c:crossAx val="725964151"/>
        <c:crosses val="autoZero"/>
        <c:auto val="1"/>
        <c:lblOffset val="100"/>
        <c:baseTimeUnit val="months"/>
      </c:dateAx>
      <c:valAx>
        <c:axId val="725964151"/>
        <c:scaling>
          <c:orientation val="minMax"/>
        </c:scaling>
        <c:delete val="0"/>
        <c:axPos val="l"/>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楷体" panose="02010609060101010101" pitchFamily="3" charset="-122"/>
                <a:ea typeface="楷体" panose="02010609060101010101" pitchFamily="3" charset="-122"/>
                <a:cs typeface="楷体" panose="02010609060101010101" pitchFamily="3" charset="-122"/>
                <a:sym typeface="楷体" panose="02010609060101010101" pitchFamily="3" charset="-122"/>
              </a:defRPr>
            </a:pPr>
          </a:p>
        </c:txPr>
        <c:crossAx val="528066269"/>
        <c:crosses val="autoZero"/>
        <c:crossBetween val="between"/>
      </c:valAx>
      <c:spPr>
        <a:noFill/>
        <a:ln>
          <a:noFill/>
        </a:ln>
        <a:effectLst/>
      </c:spPr>
    </c:plotArea>
    <c:legend>
      <c:legendPos val="b"/>
      <c:legendEntry>
        <c:idx val="0"/>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楷体" panose="02010609060101010101" pitchFamily="3" charset="-122"/>
                <a:ea typeface="楷体" panose="02010609060101010101" pitchFamily="3" charset="-122"/>
                <a:cs typeface="楷体" panose="02010609060101010101" pitchFamily="3" charset="-122"/>
                <a:sym typeface="楷体" panose="02010609060101010101" pitchFamily="3" charset="-122"/>
              </a:defRPr>
            </a:pPr>
          </a:p>
        </c:txPr>
      </c:legendEntry>
      <c:legendEntry>
        <c:idx val="1"/>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楷体" panose="02010609060101010101" pitchFamily="3" charset="-122"/>
                <a:ea typeface="楷体" panose="02010609060101010101" pitchFamily="3" charset="-122"/>
                <a:cs typeface="楷体" panose="02010609060101010101" pitchFamily="3" charset="-122"/>
                <a:sym typeface="楷体" panose="02010609060101010101" pitchFamily="3" charset="-122"/>
              </a:defRPr>
            </a:pPr>
          </a:p>
        </c:txPr>
      </c:legendEntry>
      <c:legendEntry>
        <c:idx val="2"/>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楷体" panose="02010609060101010101" pitchFamily="3" charset="-122"/>
                <a:ea typeface="楷体" panose="02010609060101010101" pitchFamily="3" charset="-122"/>
                <a:cs typeface="楷体" panose="02010609060101010101" pitchFamily="3" charset="-122"/>
                <a:sym typeface="楷体" panose="02010609060101010101" pitchFamily="3" charset="-122"/>
              </a:defRPr>
            </a:pPr>
          </a:p>
        </c:txPr>
      </c:legendEntry>
      <c:legendEntry>
        <c:idx val="3"/>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楷体" panose="02010609060101010101" pitchFamily="3" charset="-122"/>
                <a:ea typeface="楷体" panose="02010609060101010101" pitchFamily="3" charset="-122"/>
                <a:cs typeface="楷体" panose="02010609060101010101" pitchFamily="3" charset="-122"/>
                <a:sym typeface="楷体" panose="02010609060101010101" pitchFamily="3" charset="-122"/>
              </a:defRPr>
            </a:pPr>
          </a:p>
        </c:txPr>
      </c:legendEntry>
      <c:legendEntry>
        <c:idx val="4"/>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楷体" panose="02010609060101010101" pitchFamily="3" charset="-122"/>
                <a:ea typeface="楷体" panose="02010609060101010101" pitchFamily="3" charset="-122"/>
                <a:cs typeface="楷体" panose="02010609060101010101" pitchFamily="3" charset="-122"/>
                <a:sym typeface="楷体" panose="02010609060101010101" pitchFamily="3" charset="-122"/>
              </a:defRPr>
            </a:pPr>
          </a:p>
        </c:txPr>
      </c:legendEntry>
      <c:legendEntry>
        <c:idx val="5"/>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楷体" panose="02010609060101010101" pitchFamily="3" charset="-122"/>
                <a:ea typeface="楷体" panose="02010609060101010101" pitchFamily="3" charset="-122"/>
                <a:cs typeface="楷体" panose="02010609060101010101" pitchFamily="3" charset="-122"/>
                <a:sym typeface="楷体" panose="02010609060101010101" pitchFamily="3" charset="-122"/>
              </a:defRPr>
            </a:pPr>
          </a:p>
        </c:txPr>
      </c:legendEntry>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楷体" panose="02010609060101010101" pitchFamily="3" charset="-122"/>
              <a:ea typeface="楷体" panose="02010609060101010101" pitchFamily="3" charset="-122"/>
              <a:cs typeface="楷体" panose="02010609060101010101" pitchFamily="3" charset="-122"/>
              <a:sym typeface="楷体" panose="02010609060101010101" pitchFamily="3" charset="-122"/>
            </a:defRPr>
          </a:pPr>
        </a:p>
      </c:txPr>
    </c:legend>
    <c:plotVisOnly val="1"/>
    <c:dispBlanksAs val="gap"/>
    <c:showDLblsOverMax val="0"/>
    <c:extLst>
      <c:ext uri="{0b15fc19-7d7d-44ad-8c2d-2c3a37ce22c3}">
        <chartProps xmlns="https://web.wps.cn/et/2018/main" chartId="{820156e9-4a4b-46ff-a5db-1c44470c5389}"/>
      </c:ext>
    </c:extLst>
  </c:chart>
  <c:spPr>
    <a:solidFill>
      <a:schemeClr val="bg1"/>
    </a:solidFill>
    <a:ln w="9525" cap="flat" cmpd="sng" algn="ctr">
      <a:solidFill>
        <a:schemeClr val="tx1">
          <a:lumMod val="15000"/>
          <a:lumOff val="85000"/>
        </a:schemeClr>
      </a:solidFill>
      <a:round/>
    </a:ln>
    <a:effectLst/>
  </c:spPr>
  <c:txPr>
    <a:bodyPr/>
    <a:lstStyle/>
    <a:p>
      <a:pPr>
        <a:defRPr lang="zh-CN">
          <a:latin typeface="楷体" panose="02010609060101010101" pitchFamily="3" charset="-122"/>
          <a:ea typeface="楷体" panose="02010609060101010101" pitchFamily="3" charset="-122"/>
          <a:cs typeface="楷体" panose="02010609060101010101" pitchFamily="3" charset="-122"/>
          <a:sym typeface="楷体" panose="02010609060101010101" pitchFamily="3" charset="-122"/>
        </a:defRPr>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984817518248175"/>
          <c:y val="0.0659682899207248"/>
          <c:w val="0.770919708029197"/>
          <c:h val="0.80079275198188"/>
        </c:manualLayout>
      </c:layout>
      <c:barChart>
        <c:barDir val="col"/>
        <c:grouping val="clustered"/>
        <c:varyColors val="0"/>
        <c:ser>
          <c:idx val="0"/>
          <c:order val="0"/>
          <c:tx>
            <c:strRef>
              <c:f>[工作簿1]Sheet1!$B$1</c:f>
              <c:strCache>
                <c:ptCount val="1"/>
                <c:pt idx="0">
                  <c:v>指标值</c:v>
                </c:pt>
              </c:strCache>
            </c:strRef>
          </c:tx>
          <c:spPr>
            <a:solidFill>
              <a:srgbClr val="98CBFE"/>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8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[工作簿1]Sheet1!$A$2:$A$12</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[工作簿1]Sheet1!$B$2:$B$12</c:f>
              <c:numCache>
                <c:formatCode>General</c:formatCode>
                <c:ptCount val="11"/>
                <c:pt idx="0">
                  <c:v>10.23</c:v>
                </c:pt>
                <c:pt idx="1">
                  <c:v>9.62</c:v>
                </c:pt>
                <c:pt idx="2">
                  <c:v>8.63</c:v>
                </c:pt>
                <c:pt idx="3">
                  <c:v>6.3</c:v>
                </c:pt>
                <c:pt idx="4">
                  <c:v>6.17</c:v>
                </c:pt>
                <c:pt idx="5">
                  <c:v>5.81</c:v>
                </c:pt>
                <c:pt idx="6">
                  <c:v>5.45</c:v>
                </c:pt>
                <c:pt idx="7">
                  <c:v>8.19</c:v>
                </c:pt>
                <c:pt idx="8">
                  <c:v>15.08</c:v>
                </c:pt>
                <c:pt idx="9">
                  <c:v>22.37</c:v>
                </c:pt>
                <c:pt idx="10" c:formatCode="0.00_ ">
                  <c:v>21.1</c:v>
                </c:pt>
              </c:numCache>
            </c:numRef>
          </c:val>
        </c:ser>
        <c:dLbls>
          <c:showLegendKey val="0"/>
          <c:showVal val="1"/>
          <c:showCatName val="0"/>
          <c:showSerName val="0"/>
          <c:showPercent val="0"/>
          <c:showBubbleSize val="0"/>
        </c:dLbls>
        <c:gapWidth val="219"/>
        <c:overlap val="-27"/>
        <c:axId val="426221196"/>
        <c:axId val="731129421"/>
      </c:barChart>
      <c:lineChart>
        <c:grouping val="standard"/>
        <c:varyColors val="0"/>
        <c:ser>
          <c:idx val="1"/>
          <c:order val="1"/>
          <c:tx>
            <c:strRef>
              <c:f>[工作簿1]Sheet1!$C$1</c:f>
              <c:strCache>
                <c:ptCount val="1"/>
                <c:pt idx="0">
                  <c:v>同比增速</c:v>
                </c:pt>
              </c:strCache>
            </c:strRef>
          </c:tx>
          <c:spPr>
            <a:ln w="28575" cap="rnd">
              <a:solidFill>
                <a:srgbClr val="FF8080"/>
              </a:solidFill>
              <a:round/>
            </a:ln>
            <a:effectLst/>
          </c:spPr>
          <c:marker>
            <c:symbol val="none"/>
          </c:marker>
          <c:dLbls>
            <c:dLbl>
              <c:idx val="4"/>
              <c:layout>
                <c:manualLayout>
                  <c:x val="0.000790826413602214"/>
                  <c:y val="0.132075471698113"/>
                </c:manualLayout>
              </c:layout>
              <c:dLblPos val="t"/>
              <c:showLegendKey val="0"/>
              <c:showVal val="1"/>
              <c:showCatName val="0"/>
              <c:showSerName val="0"/>
              <c:showPercent val="0"/>
              <c:showBubbleSize val="0"/>
              <c:extLst>
                <c:ext xmlns:c15="http://schemas.microsoft.com/office/drawing/2012/chart" uri="{CE6537A1-D6FC-4f65-9D91-7224C49458BB}">
                  <c15:layout/>
                </c:ext>
              </c:extLst>
            </c:dLbl>
            <c:dLbl>
              <c:idx val="5"/>
              <c:layout>
                <c:manualLayout>
                  <c:x val="-0.00250428364307368"/>
                  <c:y val="0.112275797810389"/>
                </c:manualLayout>
              </c:layout>
              <c:dLblPos val="t"/>
              <c:showLegendKey val="0"/>
              <c:showVal val="1"/>
              <c:showCatName val="0"/>
              <c:showSerName val="0"/>
              <c:showPercent val="0"/>
              <c:showBubbleSize val="0"/>
              <c:extLst>
                <c:ext xmlns:c15="http://schemas.microsoft.com/office/drawing/2012/chart" uri="{CE6537A1-D6FC-4f65-9D91-7224C49458BB}">
                  <c15:layout/>
                </c:ext>
              </c:extLst>
            </c:dLbl>
            <c:dLbl>
              <c:idx val="6"/>
              <c:layout>
                <c:manualLayout>
                  <c:x val="0.00237247924080664"/>
                  <c:y val="0.0980666200791987"/>
                </c:manualLayout>
              </c:layout>
              <c:dLblPos val="t"/>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800" b="0" i="0" u="none" strike="noStrike" kern="1200" baseline="0">
                    <a:solidFill>
                      <a:schemeClr val="tx1">
                        <a:lumMod val="75000"/>
                        <a:lumOff val="25000"/>
                      </a:schemeClr>
                    </a:solidFill>
                    <a:latin typeface="+mn-lt"/>
                    <a:ea typeface="+mn-ea"/>
                    <a:cs typeface="+mn-cs"/>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val>
            <c:numRef>
              <c:f>[工作簿1]Sheet1!$C$2:$C$12</c:f>
              <c:numCache>
                <c:formatCode>0.00%</c:formatCode>
                <c:ptCount val="11"/>
                <c:pt idx="0">
                  <c:v>-0.006</c:v>
                </c:pt>
                <c:pt idx="1">
                  <c:v>-0.059</c:v>
                </c:pt>
                <c:pt idx="2">
                  <c:v>-0.103</c:v>
                </c:pt>
                <c:pt idx="3">
                  <c:v>-0.271</c:v>
                </c:pt>
                <c:pt idx="4">
                  <c:v>-0.02</c:v>
                </c:pt>
                <c:pt idx="5">
                  <c:v>-0.059</c:v>
                </c:pt>
                <c:pt idx="6">
                  <c:v>-0.061</c:v>
                </c:pt>
                <c:pt idx="7">
                  <c:v>0.502</c:v>
                </c:pt>
                <c:pt idx="8">
                  <c:v>0.841</c:v>
                </c:pt>
                <c:pt idx="9">
                  <c:v>0.483</c:v>
                </c:pt>
                <c:pt idx="10">
                  <c:v>0.15</c:v>
                </c:pt>
              </c:numCache>
            </c:numRef>
          </c:val>
          <c:smooth val="0"/>
        </c:ser>
        <c:dLbls>
          <c:showLegendKey val="0"/>
          <c:showVal val="1"/>
          <c:showCatName val="0"/>
          <c:showSerName val="0"/>
          <c:showPercent val="0"/>
          <c:showBubbleSize val="0"/>
        </c:dLbls>
        <c:marker val="0"/>
        <c:smooth val="0"/>
        <c:axId val="11242354"/>
        <c:axId val="153220351"/>
      </c:lineChart>
      <c:catAx>
        <c:axId val="426221196"/>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31129421"/>
        <c:crosses val="autoZero"/>
        <c:auto val="1"/>
        <c:lblAlgn val="ctr"/>
        <c:lblOffset val="100"/>
        <c:noMultiLvlLbl val="0"/>
      </c:catAx>
      <c:valAx>
        <c:axId val="731129421"/>
        <c:scaling>
          <c:orientation val="minMax"/>
          <c:max val="25"/>
        </c:scaling>
        <c:delete val="0"/>
        <c:axPos val="l"/>
        <c:numFmt formatCode="#,##0.00_);[Red]\(#,##0.00\)" sourceLinked="0"/>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26221196"/>
        <c:crosses val="autoZero"/>
        <c:crossBetween val="between"/>
      </c:valAx>
      <c:catAx>
        <c:axId val="11242354"/>
        <c:scaling>
          <c:orientation val="minMax"/>
        </c:scaling>
        <c:delete val="1"/>
        <c:axPos val="b"/>
        <c:majorTickMark val="out"/>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53220351"/>
        <c:crosses val="autoZero"/>
        <c:auto val="1"/>
        <c:lblAlgn val="ctr"/>
        <c:lblOffset val="100"/>
        <c:noMultiLvlLbl val="0"/>
      </c:catAx>
      <c:valAx>
        <c:axId val="153220351"/>
        <c:scaling>
          <c:orientation val="minMax"/>
        </c:scaling>
        <c:delete val="0"/>
        <c:axPos val="r"/>
        <c:numFmt formatCode="0.00%" sourceLinked="1"/>
        <c:majorTickMark val="out"/>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1242354"/>
        <c:crosses val="max"/>
        <c:crossBetween val="between"/>
      </c:valAx>
      <c:spPr>
        <a:solidFill>
          <a:schemeClr val="bg1"/>
        </a:solidFill>
        <a:ln>
          <a:noFill/>
        </a:ln>
        <a:effectLst/>
      </c:spPr>
    </c:plotArea>
    <c:plotVisOnly val="1"/>
    <c:dispBlanksAs val="gap"/>
    <c:showDLblsOverMax val="0"/>
    <c:extLst>
      <c:ext uri="{0b15fc19-7d7d-44ad-8c2d-2c3a37ce22c3}">
        <chartProps xmlns="https://web.wps.cn/et/2018/main" chartId="{f8286f61-0ff7-4222-9b64-89ae96c0cebb}"/>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[工作簿2]Sheet1!$A$2</c:f>
              <c:strCache>
                <c:ptCount val="1"/>
                <c:pt idx="0">
                  <c:v>总交付量</c:v>
                </c:pt>
              </c:strCache>
            </c:strRef>
          </c:tx>
          <c:spPr>
            <a:solidFill>
              <a:srgbClr val="002060"/>
            </a:solidFill>
            <a:ln w="25400">
              <a:noFill/>
            </a:ln>
            <a:effectLst/>
          </c:spPr>
          <c:invertIfNegative val="0"/>
          <c:dLbls>
            <c:delete val="1"/>
          </c:dLbls>
          <c:cat>
            <c:strRef>
              <c:f>[工作簿2]Sheet1!$B$1:$K$1</c:f>
              <c:strCache>
                <c:ptCount val="10"/>
                <c:pt idx="0">
                  <c:v>2019</c:v>
                </c:pt>
                <c:pt idx="1">
                  <c:v>2020</c:v>
                </c:pt>
                <c:pt idx="2">
                  <c:v>2021</c:v>
                </c:pt>
                <c:pt idx="3">
                  <c:v>2022</c:v>
                </c:pt>
                <c:pt idx="4">
                  <c:v>2023</c:v>
                </c:pt>
                <c:pt idx="5">
                  <c:v>2024</c:v>
                </c:pt>
                <c:pt idx="6">
                  <c:v>2025E</c:v>
                </c:pt>
                <c:pt idx="7">
                  <c:v>2026E</c:v>
                </c:pt>
                <c:pt idx="8">
                  <c:v>2027E</c:v>
                </c:pt>
                <c:pt idx="9">
                  <c:v>2028E</c:v>
                </c:pt>
              </c:strCache>
            </c:strRef>
          </c:cat>
          <c:val>
            <c:numRef>
              <c:f>[工作簿2]Sheet1!$B$2:$K$2</c:f>
              <c:numCache>
                <c:formatCode>General</c:formatCode>
                <c:ptCount val="10"/>
                <c:pt idx="0">
                  <c:v>2658</c:v>
                </c:pt>
                <c:pt idx="1">
                  <c:v>2408</c:v>
                </c:pt>
                <c:pt idx="2">
                  <c:v>2646</c:v>
                </c:pt>
                <c:pt idx="3">
                  <c:v>2818</c:v>
                </c:pt>
                <c:pt idx="4">
                  <c:v>3050</c:v>
                </c:pt>
                <c:pt idx="5">
                  <c:v>3126</c:v>
                </c:pt>
                <c:pt idx="6">
                  <c:v>3250</c:v>
                </c:pt>
                <c:pt idx="7">
                  <c:v>3410</c:v>
                </c:pt>
                <c:pt idx="8">
                  <c:v>3520</c:v>
                </c:pt>
                <c:pt idx="9">
                  <c:v>3650</c:v>
                </c:pt>
              </c:numCache>
            </c:numRef>
          </c:val>
        </c:ser>
        <c:dLbls>
          <c:showLegendKey val="0"/>
          <c:showVal val="0"/>
          <c:showCatName val="0"/>
          <c:showSerName val="0"/>
          <c:showPercent val="0"/>
          <c:showBubbleSize val="0"/>
        </c:dLbls>
        <c:gapWidth val="219"/>
        <c:overlap val="-27"/>
        <c:axId val="703611550"/>
        <c:axId val="933442331"/>
      </c:barChart>
      <c:lineChart>
        <c:grouping val="standard"/>
        <c:varyColors val="0"/>
        <c:ser>
          <c:idx val="1"/>
          <c:order val="1"/>
          <c:tx>
            <c:strRef>
              <c:f>[工作簿2]Sheet1!$A$3</c:f>
              <c:strCache>
                <c:ptCount val="1"/>
                <c:pt idx="0">
                  <c:v>YoY</c:v>
                </c:pt>
              </c:strCache>
            </c:strRef>
          </c:tx>
          <c:spPr>
            <a:ln w="28575" cap="rnd">
              <a:solidFill>
                <a:srgbClr val="A5A5A5"/>
              </a:solidFill>
              <a:round/>
            </a:ln>
            <a:effectLst/>
          </c:spPr>
          <c:marker>
            <c:symbol val="none"/>
          </c:marker>
          <c:dLbls>
            <c:delete val="1"/>
          </c:dLbls>
          <c:cat>
            <c:strRef>
              <c:f>[工作簿2]Sheet1!$B$1:$K$1</c:f>
              <c:strCache>
                <c:ptCount val="10"/>
                <c:pt idx="0">
                  <c:v>2019</c:v>
                </c:pt>
                <c:pt idx="1">
                  <c:v>2020</c:v>
                </c:pt>
                <c:pt idx="2">
                  <c:v>2021</c:v>
                </c:pt>
                <c:pt idx="3">
                  <c:v>2022</c:v>
                </c:pt>
                <c:pt idx="4">
                  <c:v>2023</c:v>
                </c:pt>
                <c:pt idx="5">
                  <c:v>2024</c:v>
                </c:pt>
                <c:pt idx="6">
                  <c:v>2025E</c:v>
                </c:pt>
                <c:pt idx="7">
                  <c:v>2026E</c:v>
                </c:pt>
                <c:pt idx="8">
                  <c:v>2027E</c:v>
                </c:pt>
                <c:pt idx="9">
                  <c:v>2028E</c:v>
                </c:pt>
              </c:strCache>
            </c:strRef>
          </c:cat>
          <c:val>
            <c:numRef>
              <c:f>[工作簿2]Sheet1!$B$3:$K$3</c:f>
              <c:numCache>
                <c:formatCode>General</c:formatCode>
                <c:ptCount val="10"/>
                <c:pt idx="1" c:formatCode="0.00%">
                  <c:v>-0.0941</c:v>
                </c:pt>
                <c:pt idx="2" c:formatCode="0.00%">
                  <c:v>0.0988</c:v>
                </c:pt>
                <c:pt idx="3" c:formatCode="0.00%">
                  <c:v>0.065</c:v>
                </c:pt>
                <c:pt idx="4" c:formatCode="0.00%">
                  <c:v>0.0823</c:v>
                </c:pt>
                <c:pt idx="5" c:formatCode="0.00%">
                  <c:v>0.0249</c:v>
                </c:pt>
                <c:pt idx="6" c:formatCode="0.00%">
                  <c:v>0.045</c:v>
                </c:pt>
                <c:pt idx="7" c:formatCode="0%">
                  <c:v>0.05</c:v>
                </c:pt>
                <c:pt idx="8" c:formatCode="0.00%">
                  <c:v>0.032</c:v>
                </c:pt>
                <c:pt idx="9" c:formatCode="0.00%">
                  <c:v>0.035</c:v>
                </c:pt>
              </c:numCache>
            </c:numRef>
          </c:val>
          <c:smooth val="0"/>
        </c:ser>
        <c:dLbls>
          <c:showLegendKey val="0"/>
          <c:showVal val="0"/>
          <c:showCatName val="0"/>
          <c:showSerName val="0"/>
          <c:showPercent val="0"/>
          <c:showBubbleSize val="0"/>
        </c:dLbls>
        <c:marker val="0"/>
        <c:smooth val="0"/>
        <c:axId val="613304875"/>
        <c:axId val="759664781"/>
      </c:lineChart>
      <c:catAx>
        <c:axId val="70361155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0" vertOverflow="ellipsis" vert="horz" wrap="square" anchor="ctr" anchorCtr="1" forceAA="0"/>
          <a:lstStyle/>
          <a:p>
            <a:pPr>
              <a:defRPr lang="zh-CN" sz="700" b="0" i="0" u="none" strike="noStrike" kern="1200" baseline="0">
                <a:solidFill>
                  <a:schemeClr val="tx1">
                    <a:lumMod val="65000"/>
                    <a:lumOff val="35000"/>
                  </a:schemeClr>
                </a:solidFill>
                <a:latin typeface="+mn-lt"/>
                <a:ea typeface="+mn-ea"/>
                <a:cs typeface="+mn-cs"/>
              </a:defRPr>
            </a:pPr>
          </a:p>
        </c:txPr>
        <c:crossAx val="933442331"/>
        <c:crosses val="autoZero"/>
        <c:auto val="1"/>
        <c:lblAlgn val="ctr"/>
        <c:lblOffset val="100"/>
        <c:noMultiLvlLbl val="0"/>
      </c:catAx>
      <c:valAx>
        <c:axId val="933442331"/>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0" vertOverflow="ellipsis" vert="horz" wrap="square" anchor="ctr" anchorCtr="1" forceAA="0"/>
          <a:lstStyle/>
          <a:p>
            <a:pPr>
              <a:defRPr lang="zh-CN" sz="700" b="0" i="0" u="none" strike="noStrike" kern="1200" baseline="0">
                <a:solidFill>
                  <a:schemeClr val="tx1">
                    <a:lumMod val="65000"/>
                    <a:lumOff val="35000"/>
                  </a:schemeClr>
                </a:solidFill>
                <a:latin typeface="+mn-lt"/>
                <a:ea typeface="+mn-ea"/>
                <a:cs typeface="+mn-cs"/>
              </a:defRPr>
            </a:pPr>
          </a:p>
        </c:txPr>
        <c:crossAx val="703611550"/>
        <c:crosses val="autoZero"/>
        <c:crossBetween val="between"/>
      </c:valAx>
      <c:catAx>
        <c:axId val="613304875"/>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759664781"/>
        <c:crosses val="autoZero"/>
        <c:auto val="1"/>
        <c:lblAlgn val="ctr"/>
        <c:lblOffset val="100"/>
        <c:noMultiLvlLbl val="0"/>
      </c:catAx>
      <c:valAx>
        <c:axId val="759664781"/>
        <c:scaling>
          <c:orientation val="minMax"/>
        </c:scaling>
        <c:delete val="0"/>
        <c:axPos val="r"/>
        <c:numFmt formatCode="0.0%" sourceLinked="0"/>
        <c:majorTickMark val="out"/>
        <c:minorTickMark val="none"/>
        <c:tickLblPos val="nextTo"/>
        <c:spPr>
          <a:noFill/>
          <a:ln w="9525">
            <a:solidFill>
              <a:srgbClr val="4C4D4F"/>
            </a:solidFill>
          </a:ln>
          <a:effectLst/>
        </c:spPr>
        <c:txPr>
          <a:bodyPr rot="-60000000" spcFirstLastPara="0" vertOverflow="ellipsis" vert="horz" wrap="square" anchor="ctr" anchorCtr="1" forceAA="0"/>
          <a:lstStyle/>
          <a:p>
            <a:pPr>
              <a:defRPr lang="zh-CN" sz="700" b="0" i="0" u="none" strike="noStrike" kern="1200" baseline="0">
                <a:solidFill>
                  <a:schemeClr val="tx1">
                    <a:lumMod val="65000"/>
                    <a:lumOff val="35000"/>
                  </a:schemeClr>
                </a:solidFill>
                <a:latin typeface="+mn-lt"/>
                <a:ea typeface="+mn-ea"/>
                <a:cs typeface="+mn-cs"/>
              </a:defRPr>
            </a:pPr>
          </a:p>
        </c:txPr>
        <c:crossAx val="613304875"/>
        <c:crosses val="max"/>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forceAA="0"/>
        <a:lstStyle/>
        <a:p>
          <a:pPr>
            <a:defRPr lang="zh-CN" sz="700" b="0" i="0" u="none" strike="noStrike" kern="1200" baseline="0">
              <a:solidFill>
                <a:schemeClr val="tx1">
                  <a:lumMod val="65000"/>
                  <a:lumOff val="35000"/>
                </a:schemeClr>
              </a:solidFill>
              <a:latin typeface="+mn-lt"/>
              <a:ea typeface="楷体" panose="02010609060101010101" pitchFamily="3" charset="-122"/>
              <a:cs typeface="+mn-cs"/>
            </a:defRPr>
          </a:pPr>
        </a:p>
      </c:txPr>
    </c:legend>
    <c:plotVisOnly val="1"/>
    <c:dispBlanksAs val="gap"/>
    <c:showDLblsOverMax val="0"/>
    <c:extLst>
      <c:ext uri="{0b15fc19-7d7d-44ad-8c2d-2c3a37ce22c3}">
        <chartProps xmlns="https://web.wps.cn/et/2018/main" chartId="{3c242b81-6fbc-4958-80bf-94c3bd9e5ca7}"/>
      </c:ext>
    </c:extLst>
  </c:chart>
  <c:spPr>
    <a:noFill/>
    <a:ln w="9525" cap="flat" cmpd="sng" algn="ctr">
      <a:noFill/>
      <a:round/>
    </a:ln>
    <a:effectLst/>
  </c:spPr>
  <c:txPr>
    <a:bodyPr/>
    <a:lstStyle/>
    <a:p>
      <a:pPr>
        <a:defRPr lang="zh-CN" sz="700"/>
      </a:pPr>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254773737902171"/>
          <c:y val="0.175163704396632"/>
          <c:w val="0.858671200627779"/>
          <c:h val="0.776473339569691"/>
        </c:manualLayout>
      </c:layout>
      <c:barChart>
        <c:barDir val="col"/>
        <c:grouping val="clustered"/>
        <c:varyColors val="0"/>
        <c:ser>
          <c:idx val="0"/>
          <c:order val="0"/>
          <c:tx>
            <c:strRef>
              <c:f>[工作簿2]Sheet1!$A$9</c:f>
              <c:strCache>
                <c:ptCount val="1"/>
                <c:pt idx="0">
                  <c:v>总交付价值（十亿美元）</c:v>
                </c:pt>
              </c:strCache>
            </c:strRef>
          </c:tx>
          <c:spPr>
            <a:solidFill>
              <a:srgbClr val="002060"/>
            </a:solidFill>
            <a:ln w="25400">
              <a:noFill/>
            </a:ln>
            <a:effectLst/>
          </c:spPr>
          <c:invertIfNegative val="0"/>
          <c:dLbls>
            <c:delete val="1"/>
          </c:dLbls>
          <c:cat>
            <c:strRef>
              <c:f>[工作簿2]Sheet1!$B$8:$K$8</c:f>
              <c:strCache>
                <c:ptCount val="10"/>
                <c:pt idx="0">
                  <c:v>2019</c:v>
                </c:pt>
                <c:pt idx="1">
                  <c:v>2020</c:v>
                </c:pt>
                <c:pt idx="2">
                  <c:v>2021</c:v>
                </c:pt>
                <c:pt idx="3">
                  <c:v>2022</c:v>
                </c:pt>
                <c:pt idx="4">
                  <c:v>2023</c:v>
                </c:pt>
                <c:pt idx="5">
                  <c:v>2024</c:v>
                </c:pt>
                <c:pt idx="6">
                  <c:v>2025E</c:v>
                </c:pt>
                <c:pt idx="7">
                  <c:v>2026E</c:v>
                </c:pt>
                <c:pt idx="8">
                  <c:v>2027E</c:v>
                </c:pt>
                <c:pt idx="9">
                  <c:v>2028E</c:v>
                </c:pt>
              </c:strCache>
            </c:strRef>
          </c:cat>
          <c:val>
            <c:numRef>
              <c:f>[工作簿2]Sheet1!$B$9:$K$9</c:f>
              <c:numCache>
                <c:formatCode>General</c:formatCode>
                <c:ptCount val="10"/>
                <c:pt idx="0">
                  <c:v>23.6</c:v>
                </c:pt>
                <c:pt idx="1">
                  <c:v>20.1</c:v>
                </c:pt>
                <c:pt idx="2">
                  <c:v>21.6</c:v>
                </c:pt>
                <c:pt idx="3">
                  <c:v>22.9</c:v>
                </c:pt>
                <c:pt idx="4">
                  <c:v>23.4</c:v>
                </c:pt>
                <c:pt idx="5">
                  <c:v>26.7</c:v>
                </c:pt>
                <c:pt idx="6">
                  <c:v>28.3</c:v>
                </c:pt>
                <c:pt idx="7">
                  <c:v>29.8</c:v>
                </c:pt>
                <c:pt idx="8">
                  <c:v>31.1</c:v>
                </c:pt>
                <c:pt idx="9">
                  <c:v>32.8</c:v>
                </c:pt>
              </c:numCache>
            </c:numRef>
          </c:val>
        </c:ser>
        <c:dLbls>
          <c:showLegendKey val="0"/>
          <c:showVal val="0"/>
          <c:showCatName val="0"/>
          <c:showSerName val="0"/>
          <c:showPercent val="0"/>
          <c:showBubbleSize val="0"/>
        </c:dLbls>
        <c:gapWidth val="219"/>
        <c:overlap val="-27"/>
        <c:axId val="87315958"/>
        <c:axId val="817067374"/>
      </c:barChart>
      <c:lineChart>
        <c:grouping val="standard"/>
        <c:varyColors val="0"/>
        <c:ser>
          <c:idx val="1"/>
          <c:order val="1"/>
          <c:tx>
            <c:strRef>
              <c:f>[工作簿2]Sheet1!$A$10</c:f>
              <c:strCache>
                <c:ptCount val="1"/>
                <c:pt idx="0">
                  <c:v>YOY</c:v>
                </c:pt>
              </c:strCache>
            </c:strRef>
          </c:tx>
          <c:spPr>
            <a:ln w="28575" cap="rnd">
              <a:solidFill>
                <a:srgbClr val="A5A5A5"/>
              </a:solidFill>
              <a:round/>
            </a:ln>
            <a:effectLst/>
          </c:spPr>
          <c:marker>
            <c:symbol val="none"/>
          </c:marker>
          <c:dLbls>
            <c:delete val="1"/>
          </c:dLbls>
          <c:cat>
            <c:strRef>
              <c:f>[工作簿2]Sheet1!$B$8:$K$8</c:f>
              <c:strCache>
                <c:ptCount val="10"/>
                <c:pt idx="0">
                  <c:v>2019</c:v>
                </c:pt>
                <c:pt idx="1">
                  <c:v>2020</c:v>
                </c:pt>
                <c:pt idx="2">
                  <c:v>2021</c:v>
                </c:pt>
                <c:pt idx="3">
                  <c:v>2022</c:v>
                </c:pt>
                <c:pt idx="4">
                  <c:v>2023</c:v>
                </c:pt>
                <c:pt idx="5">
                  <c:v>2024</c:v>
                </c:pt>
                <c:pt idx="6">
                  <c:v>2025E</c:v>
                </c:pt>
                <c:pt idx="7">
                  <c:v>2026E</c:v>
                </c:pt>
                <c:pt idx="8">
                  <c:v>2027E</c:v>
                </c:pt>
                <c:pt idx="9">
                  <c:v>2028E</c:v>
                </c:pt>
              </c:strCache>
            </c:strRef>
          </c:cat>
          <c:val>
            <c:numRef>
              <c:f>[工作簿2]Sheet1!$B$10:$K$10</c:f>
              <c:numCache>
                <c:formatCode>General</c:formatCode>
                <c:ptCount val="10"/>
                <c:pt idx="1" c:formatCode="0.00%">
                  <c:v>-0.1483</c:v>
                </c:pt>
                <c:pt idx="2" c:formatCode="0.00%">
                  <c:v>0.0746</c:v>
                </c:pt>
                <c:pt idx="3" c:formatCode="0.00%">
                  <c:v>0.0602</c:v>
                </c:pt>
                <c:pt idx="4" c:formatCode="0.00%">
                  <c:v>0.0218</c:v>
                </c:pt>
                <c:pt idx="5" c:formatCode="0.00%">
                  <c:v>0.141</c:v>
                </c:pt>
                <c:pt idx="6" c:formatCode="0.00%">
                  <c:v>0.06</c:v>
                </c:pt>
                <c:pt idx="7" c:formatCode="0.00%">
                  <c:v>0.053</c:v>
                </c:pt>
                <c:pt idx="8" c:formatCode="0.00%">
                  <c:v>0.044</c:v>
                </c:pt>
                <c:pt idx="9" c:formatCode="0.00%">
                  <c:v>0.055</c:v>
                </c:pt>
              </c:numCache>
            </c:numRef>
          </c:val>
          <c:smooth val="0"/>
        </c:ser>
        <c:dLbls>
          <c:showLegendKey val="0"/>
          <c:showVal val="0"/>
          <c:showCatName val="0"/>
          <c:showSerName val="0"/>
          <c:showPercent val="0"/>
          <c:showBubbleSize val="0"/>
        </c:dLbls>
        <c:marker val="0"/>
        <c:smooth val="0"/>
        <c:axId val="254587112"/>
        <c:axId val="499505882"/>
      </c:lineChart>
      <c:catAx>
        <c:axId val="87315958"/>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0" vertOverflow="ellipsis" vert="horz" wrap="square" anchor="ctr" anchorCtr="1" forceAA="0"/>
          <a:lstStyle/>
          <a:p>
            <a:pPr>
              <a:defRPr lang="zh-CN" sz="700" b="0" i="0" u="none" strike="noStrike" kern="1200" baseline="0">
                <a:solidFill>
                  <a:schemeClr val="tx1">
                    <a:lumMod val="65000"/>
                    <a:lumOff val="35000"/>
                  </a:schemeClr>
                </a:solidFill>
                <a:latin typeface="+mn-lt"/>
                <a:ea typeface="+mn-ea"/>
                <a:cs typeface="+mn-cs"/>
              </a:defRPr>
            </a:pPr>
          </a:p>
        </c:txPr>
        <c:crossAx val="817067374"/>
        <c:crosses val="autoZero"/>
        <c:auto val="1"/>
        <c:lblAlgn val="ctr"/>
        <c:lblOffset val="100"/>
        <c:noMultiLvlLbl val="0"/>
      </c:catAx>
      <c:valAx>
        <c:axId val="817067374"/>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0" vertOverflow="ellipsis" vert="horz" wrap="square" anchor="ctr" anchorCtr="1" forceAA="0"/>
          <a:lstStyle/>
          <a:p>
            <a:pPr>
              <a:defRPr lang="zh-CN" sz="700" b="0" i="0" u="none" strike="noStrike" kern="1200" baseline="0">
                <a:solidFill>
                  <a:schemeClr val="tx1">
                    <a:lumMod val="65000"/>
                    <a:lumOff val="35000"/>
                  </a:schemeClr>
                </a:solidFill>
                <a:latin typeface="+mn-lt"/>
                <a:ea typeface="+mn-ea"/>
                <a:cs typeface="+mn-cs"/>
              </a:defRPr>
            </a:pPr>
          </a:p>
        </c:txPr>
        <c:crossAx val="87315958"/>
        <c:crosses val="autoZero"/>
        <c:crossBetween val="between"/>
      </c:valAx>
      <c:catAx>
        <c:axId val="254587112"/>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99505882"/>
        <c:crosses val="autoZero"/>
        <c:auto val="1"/>
        <c:lblAlgn val="ctr"/>
        <c:lblOffset val="100"/>
        <c:noMultiLvlLbl val="0"/>
      </c:catAx>
      <c:valAx>
        <c:axId val="499505882"/>
        <c:scaling>
          <c:orientation val="minMax"/>
        </c:scaling>
        <c:delete val="0"/>
        <c:axPos val="r"/>
        <c:numFmt formatCode="0.0%" sourceLinked="0"/>
        <c:majorTickMark val="out"/>
        <c:minorTickMark val="none"/>
        <c:tickLblPos val="nextTo"/>
        <c:spPr>
          <a:noFill/>
          <a:ln w="9525">
            <a:solidFill>
              <a:srgbClr val="4C4D4F"/>
            </a:solidFill>
          </a:ln>
          <a:effectLst/>
        </c:spPr>
        <c:txPr>
          <a:bodyPr rot="-60000000" spcFirstLastPara="0" vertOverflow="ellipsis" vert="horz" wrap="square" anchor="ctr" anchorCtr="1" forceAA="0"/>
          <a:lstStyle/>
          <a:p>
            <a:pPr>
              <a:defRPr lang="zh-CN" sz="700" b="0" i="0" u="none" strike="noStrike" kern="1200" baseline="0">
                <a:solidFill>
                  <a:schemeClr val="tx1">
                    <a:lumMod val="65000"/>
                    <a:lumOff val="35000"/>
                  </a:schemeClr>
                </a:solidFill>
                <a:latin typeface="+mn-lt"/>
                <a:ea typeface="+mn-ea"/>
                <a:cs typeface="+mn-cs"/>
              </a:defRPr>
            </a:pPr>
          </a:p>
        </c:txPr>
        <c:crossAx val="254587112"/>
        <c:crosses val="max"/>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forceAA="0"/>
        <a:lstStyle/>
        <a:p>
          <a:pPr>
            <a:defRPr lang="zh-CN" sz="700" b="0" i="0" u="none" strike="noStrike" kern="1200" baseline="0">
              <a:solidFill>
                <a:schemeClr val="tx1">
                  <a:lumMod val="65000"/>
                  <a:lumOff val="35000"/>
                </a:schemeClr>
              </a:solidFill>
              <a:latin typeface="+mn-lt"/>
              <a:ea typeface="楷体" panose="02010609060101010101" pitchFamily="3" charset="-122"/>
              <a:cs typeface="+mn-cs"/>
            </a:defRPr>
          </a:pPr>
        </a:p>
      </c:txPr>
    </c:legend>
    <c:plotVisOnly val="1"/>
    <c:dispBlanksAs val="gap"/>
    <c:showDLblsOverMax val="0"/>
    <c:extLst>
      <c:ext uri="{0b15fc19-7d7d-44ad-8c2d-2c3a37ce22c3}">
        <chartProps xmlns="https://web.wps.cn/et/2018/main" chartId="{e43ad529-b00b-4cd7-b6ac-40bfc6741710}"/>
      </c:ext>
    </c:extLst>
  </c:chart>
  <c:spPr>
    <a:noFill/>
    <a:ln w="9525" cap="flat" cmpd="sng" algn="ctr">
      <a:noFill/>
      <a:round/>
    </a:ln>
    <a:effectLst/>
  </c:spPr>
  <c:txPr>
    <a:bodyPr/>
    <a:lstStyle/>
    <a:p>
      <a:pPr>
        <a:defRPr lang="zh-CN" sz="700"/>
      </a:pPr>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112407064654767"/>
          <c:w val="0.931162239562145"/>
          <c:h val="0.757678158756052"/>
        </c:manualLayout>
      </c:layout>
      <c:barChart>
        <c:barDir val="col"/>
        <c:grouping val="percentStacked"/>
        <c:varyColors val="0"/>
        <c:ser>
          <c:idx val="0"/>
          <c:order val="0"/>
          <c:tx>
            <c:strRef>
              <c:f>'[西锐底稿.xlsx]Part2.1 '!$F$66</c:f>
              <c:strCache>
                <c:ptCount val="1"/>
                <c:pt idx="0">
                  <c:v>世界其他地区</c:v>
                </c:pt>
              </c:strCache>
            </c:strRef>
          </c:tx>
          <c:spPr>
            <a:solidFill>
              <a:srgbClr val="002060"/>
            </a:solidFill>
            <a:ln>
              <a:noFill/>
            </a:ln>
            <a:effectLst/>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'!$F$67:$F$76</c:f>
              <c:numCache>
                <c:formatCode>General</c:formatCode>
                <c:ptCount val="10"/>
                <c:pt idx="0">
                  <c:v>1456</c:v>
                </c:pt>
                <c:pt idx="1">
                  <c:v>1686</c:v>
                </c:pt>
                <c:pt idx="2">
                  <c:v>1565</c:v>
                </c:pt>
                <c:pt idx="3">
                  <c:v>1713</c:v>
                </c:pt>
                <c:pt idx="4">
                  <c:v>1870</c:v>
                </c:pt>
                <c:pt idx="5">
                  <c:v>1944</c:v>
                </c:pt>
                <c:pt idx="6">
                  <c:v>2010</c:v>
                </c:pt>
                <c:pt idx="7">
                  <c:v>2073</c:v>
                </c:pt>
                <c:pt idx="8">
                  <c:v>2187</c:v>
                </c:pt>
                <c:pt idx="9">
                  <c:v>2341</c:v>
                </c:pt>
              </c:numCache>
            </c:numRef>
          </c:val>
        </c:ser>
        <c:ser>
          <c:idx val="1"/>
          <c:order val="1"/>
          <c:tx>
            <c:strRef>
              <c:f>'[西锐底稿.xlsx]Part2.1 '!$G$66</c:f>
              <c:strCache>
                <c:ptCount val="1"/>
                <c:pt idx="0">
                  <c:v>亚太地区</c:v>
                </c:pt>
              </c:strCache>
            </c:strRef>
          </c:tx>
          <c:spPr>
            <a:solidFill>
              <a:srgbClr val="666666"/>
            </a:solidFill>
            <a:ln>
              <a:noFill/>
            </a:ln>
            <a:effectLst/>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'!$G$67:$G$76</c:f>
              <c:numCache>
                <c:formatCode>General</c:formatCode>
                <c:ptCount val="10"/>
                <c:pt idx="0">
                  <c:v>118</c:v>
                </c:pt>
                <c:pt idx="1">
                  <c:v>135</c:v>
                </c:pt>
                <c:pt idx="2">
                  <c:v>64</c:v>
                </c:pt>
                <c:pt idx="3">
                  <c:v>95</c:v>
                </c:pt>
                <c:pt idx="4">
                  <c:v>114</c:v>
                </c:pt>
                <c:pt idx="5">
                  <c:v>40</c:v>
                </c:pt>
                <c:pt idx="6">
                  <c:v>40</c:v>
                </c:pt>
                <c:pt idx="7">
                  <c:v>44</c:v>
                </c:pt>
                <c:pt idx="8">
                  <c:v>49</c:v>
                </c:pt>
                <c:pt idx="9">
                  <c:v>54</c:v>
                </c:pt>
              </c:numCache>
            </c:numRef>
          </c:val>
        </c:ser>
        <c:ser>
          <c:idx val="2"/>
          <c:order val="2"/>
          <c:tx>
            <c:strRef>
              <c:f>'[西锐底稿.xlsx]Part2.1 '!$H$66</c:f>
              <c:strCache>
                <c:ptCount val="1"/>
                <c:pt idx="0">
                  <c:v>欧洲</c:v>
                </c:pt>
              </c:strCache>
            </c:strRef>
          </c:tx>
          <c:spPr>
            <a:solidFill>
              <a:srgbClr val="E6B9B8"/>
            </a:solidFill>
            <a:ln w="9525" cap="flat" cmpd="sng">
              <a:noFill/>
              <a:prstDash val="solid"/>
            </a:ln>
            <a:effectLst/>
            <a:sp3d contourW="9525"/>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'!$H$67:$H$76</c:f>
              <c:numCache>
                <c:formatCode>General</c:formatCode>
                <c:ptCount val="10"/>
                <c:pt idx="0">
                  <c:v>188</c:v>
                </c:pt>
                <c:pt idx="1">
                  <c:v>194</c:v>
                </c:pt>
                <c:pt idx="2">
                  <c:v>125</c:v>
                </c:pt>
                <c:pt idx="3">
                  <c:v>166</c:v>
                </c:pt>
                <c:pt idx="4">
                  <c:v>237</c:v>
                </c:pt>
                <c:pt idx="5">
                  <c:v>145</c:v>
                </c:pt>
                <c:pt idx="6">
                  <c:v>153</c:v>
                </c:pt>
                <c:pt idx="7">
                  <c:v>165</c:v>
                </c:pt>
                <c:pt idx="8">
                  <c:v>185</c:v>
                </c:pt>
                <c:pt idx="9">
                  <c:v>203</c:v>
                </c:pt>
              </c:numCache>
            </c:numRef>
          </c:val>
        </c:ser>
        <c:ser>
          <c:idx val="3"/>
          <c:order val="3"/>
          <c:tx>
            <c:strRef>
              <c:f>'[西锐底稿.xlsx]Part2.1 '!$I$66</c:f>
              <c:strCache>
                <c:ptCount val="1"/>
                <c:pt idx="0">
                  <c:v>拉丁美洲</c:v>
                </c:pt>
              </c:strCache>
            </c:strRef>
          </c:tx>
          <c:spPr>
            <a:solidFill>
              <a:srgbClr val="E97132">
                <a:lumMod val="75000"/>
              </a:srgbClr>
            </a:solidFill>
            <a:ln>
              <a:noFill/>
            </a:ln>
            <a:effectLst/>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'!$I$67:$I$76</c:f>
              <c:numCache>
                <c:formatCode>General</c:formatCode>
                <c:ptCount val="10"/>
                <c:pt idx="0">
                  <c:v>309</c:v>
                </c:pt>
                <c:pt idx="1">
                  <c:v>331</c:v>
                </c:pt>
                <c:pt idx="2">
                  <c:v>309</c:v>
                </c:pt>
                <c:pt idx="3">
                  <c:v>355</c:v>
                </c:pt>
                <c:pt idx="4">
                  <c:v>358</c:v>
                </c:pt>
                <c:pt idx="5">
                  <c:v>302</c:v>
                </c:pt>
                <c:pt idx="6">
                  <c:v>310</c:v>
                </c:pt>
                <c:pt idx="7">
                  <c:v>325</c:v>
                </c:pt>
                <c:pt idx="8">
                  <c:v>345</c:v>
                </c:pt>
                <c:pt idx="9">
                  <c:v>368</c:v>
                </c:pt>
              </c:numCache>
            </c:numRef>
          </c:val>
        </c:ser>
        <c:ser>
          <c:idx val="4"/>
          <c:order val="4"/>
          <c:tx>
            <c:strRef>
              <c:f>'[西锐底稿.xlsx]Part2.1 '!$J$66</c:f>
              <c:strCache>
                <c:ptCount val="1"/>
                <c:pt idx="0">
                  <c:v>北美洲</c:v>
                </c:pt>
              </c:strCache>
            </c:strRef>
          </c:tx>
          <c:spPr>
            <a:solidFill>
              <a:srgbClr val="A5A5A5"/>
            </a:solidFill>
            <a:ln>
              <a:noFill/>
            </a:ln>
            <a:effectLst/>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'!$J$67:$J$76</c:f>
              <c:numCache>
                <c:formatCode>General</c:formatCode>
                <c:ptCount val="10"/>
                <c:pt idx="0">
                  <c:v>371</c:v>
                </c:pt>
                <c:pt idx="1">
                  <c:v>311</c:v>
                </c:pt>
                <c:pt idx="2">
                  <c:v>344</c:v>
                </c:pt>
                <c:pt idx="3">
                  <c:v>317</c:v>
                </c:pt>
                <c:pt idx="4">
                  <c:v>239</c:v>
                </c:pt>
                <c:pt idx="5">
                  <c:v>432</c:v>
                </c:pt>
                <c:pt idx="6">
                  <c:v>456</c:v>
                </c:pt>
                <c:pt idx="7">
                  <c:v>481</c:v>
                </c:pt>
                <c:pt idx="8">
                  <c:v>515</c:v>
                </c:pt>
                <c:pt idx="9">
                  <c:v>559</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3"/>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4"/>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00379362670713202"/>
          <c:y val="0.0233429843055494"/>
          <c:w val="0.985204734723252"/>
          <c:h val="0.0856140791166044"/>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182a9e0b-a234-47a8-bddb-1a9544ef37c4}"/>
      </c:ext>
    </c:extLst>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250521139292582"/>
          <c:w val="0.931162239562145"/>
          <c:h val="0.619563915385425"/>
        </c:manualLayout>
      </c:layout>
      <c:barChart>
        <c:barDir val="col"/>
        <c:grouping val="percentStacked"/>
        <c:varyColors val="0"/>
        <c:ser>
          <c:idx val="0"/>
          <c:order val="0"/>
          <c:tx>
            <c:strRef>
              <c:f>[西锐底稿.xlsx]活塞式飞机市场份额图!$B$205</c:f>
              <c:strCache>
                <c:ptCount val="1"/>
                <c:pt idx="0">
                  <c:v>德事隆航空（比奇飞机）</c:v>
                </c:pt>
              </c:strCache>
            </c:strRef>
          </c:tx>
          <c:spPr>
            <a:solidFill>
              <a:srgbClr val="C00000"/>
            </a:solidFill>
            <a:ln>
              <a:noFill/>
            </a:ln>
            <a:effectLst/>
          </c:spPr>
          <c:invertIfNegative val="0"/>
          <c:dLbls>
            <c:spPr>
              <a:noFill/>
              <a:ln>
                <a:noFill/>
              </a:ln>
              <a:effectLst/>
            </c:spPr>
            <c:txPr>
              <a:bodyPr rot="0" spcFirstLastPara="1" vertOverflow="ellipsis" vert="horz" wrap="square" lIns="38100" tIns="19050" rIns="38100" bIns="19050" anchor="ctr" anchorCtr="1"/>
              <a:lstStyle/>
              <a:p>
                <a:pPr>
                  <a:defRPr lang="zh-CN" sz="7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[西锐底稿.xlsx]活塞式飞机市场份额图!$C$205:$AA$205</c:f>
              <c:numCache>
                <c:formatCode>General</c:formatCode>
                <c:ptCount val="25"/>
                <c:pt idx="0">
                  <c:v>153</c:v>
                </c:pt>
                <c:pt idx="1">
                  <c:v>136</c:v>
                </c:pt>
                <c:pt idx="2">
                  <c:v>83</c:v>
                </c:pt>
                <c:pt idx="3">
                  <c:v>82</c:v>
                </c:pt>
                <c:pt idx="4">
                  <c:v>93</c:v>
                </c:pt>
                <c:pt idx="5">
                  <c:v>99</c:v>
                </c:pt>
                <c:pt idx="6">
                  <c:v>118</c:v>
                </c:pt>
                <c:pt idx="7">
                  <c:v>111</c:v>
                </c:pt>
                <c:pt idx="8">
                  <c:v>103</c:v>
                </c:pt>
                <c:pt idx="9">
                  <c:v>56</c:v>
                </c:pt>
                <c:pt idx="10">
                  <c:v>51</c:v>
                </c:pt>
                <c:pt idx="11">
                  <c:v>54</c:v>
                </c:pt>
                <c:pt idx="12">
                  <c:v>36</c:v>
                </c:pt>
                <c:pt idx="13">
                  <c:v>70</c:v>
                </c:pt>
                <c:pt idx="14">
                  <c:v>72</c:v>
                </c:pt>
                <c:pt idx="15">
                  <c:v>41</c:v>
                </c:pt>
                <c:pt idx="16">
                  <c:v>45</c:v>
                </c:pt>
                <c:pt idx="17">
                  <c:v>36</c:v>
                </c:pt>
                <c:pt idx="18">
                  <c:v>34</c:v>
                </c:pt>
                <c:pt idx="19">
                  <c:v>22</c:v>
                </c:pt>
                <c:pt idx="20">
                  <c:v>20</c:v>
                </c:pt>
                <c:pt idx="21">
                  <c:v>0</c:v>
                </c:pt>
                <c:pt idx="22">
                  <c:v>3</c:v>
                </c:pt>
                <c:pt idx="23">
                  <c:v>10</c:v>
                </c:pt>
                <c:pt idx="24">
                  <c:v>7</c:v>
                </c:pt>
              </c:numCache>
            </c:numRef>
          </c:val>
        </c:ser>
        <c:ser>
          <c:idx val="1"/>
          <c:order val="1"/>
          <c:tx>
            <c:strRef>
              <c:f>[西锐底稿.xlsx]活塞式飞机市场份额图!$B$206</c:f>
              <c:strCache>
                <c:ptCount val="1"/>
                <c:pt idx="0">
                  <c:v>德事隆航空（塞斯纳飞机）</c:v>
                </c:pt>
              </c:strCache>
            </c:strRef>
          </c:tx>
          <c:spPr>
            <a:solidFill>
              <a:srgbClr val="666666"/>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[西锐底稿.xlsx]活塞式飞机市场份额图!$C$206:$AA$206</c:f>
              <c:numCache>
                <c:formatCode>General</c:formatCode>
                <c:ptCount val="25"/>
                <c:pt idx="0">
                  <c:v>912</c:v>
                </c:pt>
                <c:pt idx="1">
                  <c:v>821</c:v>
                </c:pt>
                <c:pt idx="2">
                  <c:v>559</c:v>
                </c:pt>
                <c:pt idx="3">
                  <c:v>588</c:v>
                </c:pt>
                <c:pt idx="4">
                  <c:v>654</c:v>
                </c:pt>
                <c:pt idx="5">
                  <c:v>822</c:v>
                </c:pt>
                <c:pt idx="6">
                  <c:v>865</c:v>
                </c:pt>
                <c:pt idx="7">
                  <c:v>807</c:v>
                </c:pt>
                <c:pt idx="8">
                  <c:v>733</c:v>
                </c:pt>
                <c:pt idx="9">
                  <c:v>355</c:v>
                </c:pt>
                <c:pt idx="10">
                  <c:v>261</c:v>
                </c:pt>
                <c:pt idx="11">
                  <c:v>413</c:v>
                </c:pt>
                <c:pt idx="12">
                  <c:v>283</c:v>
                </c:pt>
                <c:pt idx="13">
                  <c:v>206</c:v>
                </c:pt>
                <c:pt idx="14">
                  <c:v>220</c:v>
                </c:pt>
                <c:pt idx="15">
                  <c:v>271</c:v>
                </c:pt>
                <c:pt idx="16">
                  <c:v>217</c:v>
                </c:pt>
                <c:pt idx="17">
                  <c:v>238</c:v>
                </c:pt>
                <c:pt idx="18">
                  <c:v>193</c:v>
                </c:pt>
                <c:pt idx="19">
                  <c:v>196</c:v>
                </c:pt>
                <c:pt idx="20">
                  <c:v>294</c:v>
                </c:pt>
                <c:pt idx="21">
                  <c:v>254</c:v>
                </c:pt>
                <c:pt idx="22">
                  <c:v>241</c:v>
                </c:pt>
                <c:pt idx="23">
                  <c:v>287</c:v>
                </c:pt>
                <c:pt idx="24">
                  <c:v>274</c:v>
                </c:pt>
              </c:numCache>
            </c:numRef>
          </c:val>
        </c:ser>
        <c:ser>
          <c:idx val="2"/>
          <c:order val="2"/>
          <c:tx>
            <c:strRef>
              <c:f>[西锐底稿.xlsx]活塞式飞机市场份额图!$B$207</c:f>
              <c:strCache>
                <c:ptCount val="1"/>
                <c:pt idx="0">
                  <c:v>泰克南飞机</c:v>
                </c:pt>
              </c:strCache>
            </c:strRef>
          </c:tx>
          <c:spPr>
            <a:solidFill>
              <a:srgbClr val="E6B9B8"/>
            </a:solidFill>
            <a:ln w="9525" cap="flat" cmpd="sng">
              <a:noFill/>
              <a:prstDash val="solid"/>
            </a:ln>
            <a:effectLst/>
            <a:sp3d contourW="9525"/>
          </c:spPr>
          <c:invertIfNegative val="0"/>
          <c:dLbls>
            <c:spPr>
              <a:noFill/>
              <a:ln>
                <a:noFill/>
              </a:ln>
              <a:effectLst/>
            </c:spPr>
            <c:txPr>
              <a:bodyPr rot="0" spcFirstLastPara="1" vertOverflow="ellipsis" vert="horz" wrap="square" lIns="38100" tIns="19050" rIns="38100" bIns="19050" anchor="ctr" anchorCtr="1"/>
              <a:lstStyle/>
              <a:p>
                <a:pPr>
                  <a:defRPr lang="zh-CN" sz="7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[西锐底稿.xlsx]活塞式飞机市场份额图!$C$207:$AA$207</c:f>
              <c:numCache>
                <c:formatCode>General</c:formatCode>
                <c:ptCount val="25"/>
                <c:pt idx="13">
                  <c:v>197</c:v>
                </c:pt>
                <c:pt idx="14">
                  <c:v>190</c:v>
                </c:pt>
                <c:pt idx="15">
                  <c:v>191</c:v>
                </c:pt>
                <c:pt idx="16">
                  <c:v>191</c:v>
                </c:pt>
                <c:pt idx="17">
                  <c:v>171</c:v>
                </c:pt>
                <c:pt idx="18">
                  <c:v>180</c:v>
                </c:pt>
                <c:pt idx="19">
                  <c:v>205</c:v>
                </c:pt>
                <c:pt idx="20">
                  <c:v>154</c:v>
                </c:pt>
                <c:pt idx="21">
                  <c:v>203</c:v>
                </c:pt>
                <c:pt idx="22">
                  <c:v>209</c:v>
                </c:pt>
                <c:pt idx="23">
                  <c:v>244</c:v>
                </c:pt>
                <c:pt idx="24">
                  <c:v>283</c:v>
                </c:pt>
              </c:numCache>
            </c:numRef>
          </c:val>
        </c:ser>
        <c:ser>
          <c:idx val="3"/>
          <c:order val="3"/>
          <c:tx>
            <c:strRef>
              <c:f>[西锐底稿.xlsx]活塞式飞机市场份额图!$B$208</c:f>
              <c:strCache>
                <c:ptCount val="1"/>
                <c:pt idx="0">
                  <c:v>德事隆航空旗下 Pipistrel 飞机</c:v>
                </c:pt>
              </c:strCache>
            </c:strRef>
          </c:tx>
          <c:spPr>
            <a:solidFill>
              <a:srgbClr val="999999"/>
            </a:solidFill>
            <a:ln>
              <a:noFill/>
            </a:ln>
            <a:effectLst/>
          </c:spPr>
          <c:invertIfNegative val="0"/>
          <c:dLbls>
            <c:spPr>
              <a:noFill/>
              <a:ln>
                <a:noFill/>
              </a:ln>
              <a:effectLst/>
            </c:spPr>
            <c:txPr>
              <a:bodyPr rot="0" spcFirstLastPara="1" vertOverflow="ellipsis" vert="horz" wrap="square" lIns="38100" tIns="19050" rIns="38100" bIns="19050" anchor="ctr" anchorCtr="1"/>
              <a:lstStyle/>
              <a:p>
                <a:pPr>
                  <a:defRPr lang="zh-CN" sz="7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[西锐底稿.xlsx]活塞式飞机市场份额图!$C$208:$AA$208</c:f>
              <c:numCache>
                <c:formatCode>General</c:formatCode>
                <c:ptCount val="25"/>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19</c:v>
                </c:pt>
                <c:pt idx="18">
                  <c:v>22</c:v>
                </c:pt>
                <c:pt idx="19">
                  <c:v>24</c:v>
                </c:pt>
                <c:pt idx="20">
                  <c:v>30</c:v>
                </c:pt>
                <c:pt idx="21">
                  <c:v>74</c:v>
                </c:pt>
                <c:pt idx="22">
                  <c:v>66</c:v>
                </c:pt>
                <c:pt idx="23">
                  <c:v>112</c:v>
                </c:pt>
                <c:pt idx="24">
                  <c:v>91</c:v>
                </c:pt>
              </c:numCache>
            </c:numRef>
          </c:val>
        </c:ser>
        <c:ser>
          <c:idx val="4"/>
          <c:order val="4"/>
          <c:tx>
            <c:strRef>
              <c:f>[西锐底稿.xlsx]活塞式飞机市场份额图!$B$209</c:f>
              <c:strCache>
                <c:ptCount val="1"/>
                <c:pt idx="0">
                  <c:v>派珀飞机公司</c:v>
                </c:pt>
              </c:strCache>
            </c:strRef>
          </c:tx>
          <c:spPr>
            <a:solidFill>
              <a:srgbClr val="996633"/>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[西锐底稿.xlsx]活塞式飞机市场份额图!$C$209:$AA$209</c:f>
              <c:numCache>
                <c:formatCode>General</c:formatCode>
                <c:ptCount val="25"/>
                <c:pt idx="0">
                  <c:v>377</c:v>
                </c:pt>
                <c:pt idx="1">
                  <c:v>343</c:v>
                </c:pt>
                <c:pt idx="2">
                  <c:v>265</c:v>
                </c:pt>
                <c:pt idx="3">
                  <c:v>205</c:v>
                </c:pt>
                <c:pt idx="4">
                  <c:v>163</c:v>
                </c:pt>
                <c:pt idx="5">
                  <c:v>193</c:v>
                </c:pt>
                <c:pt idx="6">
                  <c:v>189</c:v>
                </c:pt>
                <c:pt idx="7">
                  <c:v>168</c:v>
                </c:pt>
                <c:pt idx="8">
                  <c:v>216</c:v>
                </c:pt>
                <c:pt idx="9">
                  <c:v>61</c:v>
                </c:pt>
                <c:pt idx="10">
                  <c:v>135</c:v>
                </c:pt>
                <c:pt idx="11">
                  <c:v>104</c:v>
                </c:pt>
                <c:pt idx="12">
                  <c:v>126</c:v>
                </c:pt>
                <c:pt idx="13">
                  <c:v>154</c:v>
                </c:pt>
                <c:pt idx="14">
                  <c:v>136</c:v>
                </c:pt>
                <c:pt idx="15">
                  <c:v>111</c:v>
                </c:pt>
                <c:pt idx="16">
                  <c:v>93</c:v>
                </c:pt>
                <c:pt idx="17">
                  <c:v>108</c:v>
                </c:pt>
                <c:pt idx="18">
                  <c:v>173</c:v>
                </c:pt>
                <c:pt idx="19">
                  <c:v>246</c:v>
                </c:pt>
                <c:pt idx="20">
                  <c:v>201</c:v>
                </c:pt>
                <c:pt idx="21">
                  <c:v>161</c:v>
                </c:pt>
                <c:pt idx="22">
                  <c:v>186</c:v>
                </c:pt>
                <c:pt idx="23">
                  <c:v>185</c:v>
                </c:pt>
                <c:pt idx="24">
                  <c:v>229</c:v>
                </c:pt>
              </c:numCache>
            </c:numRef>
          </c:val>
        </c:ser>
        <c:ser>
          <c:idx val="5"/>
          <c:order val="5"/>
          <c:tx>
            <c:strRef>
              <c:f>[西锐底稿.xlsx]活塞式飞机市场份额图!$B$210</c:f>
              <c:strCache>
                <c:ptCount val="1"/>
                <c:pt idx="0">
                  <c:v>穆尼国际公司</c:v>
                </c:pt>
              </c:strCache>
            </c:strRef>
          </c:tx>
          <c:spPr>
            <a:solidFill>
              <a:srgbClr val="E7D6B5"/>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[西锐底稿.xlsx]活塞式飞机市场份额图!$C$210:$AA$210</c:f>
              <c:numCache>
                <c:formatCode>General</c:formatCode>
                <c:ptCount val="25"/>
                <c:pt idx="0">
                  <c:v>100</c:v>
                </c:pt>
                <c:pt idx="1">
                  <c:v>29</c:v>
                </c:pt>
                <c:pt idx="2">
                  <c:v>10</c:v>
                </c:pt>
                <c:pt idx="3">
                  <c:v>36</c:v>
                </c:pt>
                <c:pt idx="4">
                  <c:v>37</c:v>
                </c:pt>
                <c:pt idx="5">
                  <c:v>85</c:v>
                </c:pt>
                <c:pt idx="6">
                  <c:v>75</c:v>
                </c:pt>
                <c:pt idx="7">
                  <c:v>79</c:v>
                </c:pt>
                <c:pt idx="8">
                  <c:v>65</c:v>
                </c:pt>
                <c:pt idx="9">
                  <c:v>19</c:v>
                </c:pt>
                <c:pt idx="10">
                  <c:v>2</c:v>
                </c:pt>
                <c:pt idx="11">
                  <c:v>0</c:v>
                </c:pt>
                <c:pt idx="12">
                  <c:v>0</c:v>
                </c:pt>
                <c:pt idx="13">
                  <c:v>0</c:v>
                </c:pt>
                <c:pt idx="14">
                  <c:v>1</c:v>
                </c:pt>
                <c:pt idx="15">
                  <c:v>11</c:v>
                </c:pt>
                <c:pt idx="16">
                  <c:v>7</c:v>
                </c:pt>
                <c:pt idx="17">
                  <c:v>7</c:v>
                </c:pt>
                <c:pt idx="18">
                  <c:v>14</c:v>
                </c:pt>
                <c:pt idx="19">
                  <c:v>9</c:v>
                </c:pt>
                <c:pt idx="20">
                  <c:v>0</c:v>
                </c:pt>
                <c:pt idx="21">
                  <c:v>0</c:v>
                </c:pt>
                <c:pt idx="22">
                  <c:v>0</c:v>
                </c:pt>
                <c:pt idx="23">
                  <c:v>0</c:v>
                </c:pt>
                <c:pt idx="24">
                  <c:v>0</c:v>
                </c:pt>
              </c:numCache>
            </c:numRef>
          </c:val>
        </c:ser>
        <c:ser>
          <c:idx val="6"/>
          <c:order val="6"/>
          <c:tx>
            <c:strRef>
              <c:f>[西锐底稿.xlsx]活塞式飞机市场份额图!$B$211</c:f>
              <c:strCache>
                <c:ptCount val="1"/>
                <c:pt idx="0">
                  <c:v>钻石飞机</c:v>
                </c:pt>
              </c:strCache>
            </c:strRef>
          </c:tx>
          <c:spPr>
            <a:solidFill>
              <a:schemeClr val="accent4">
                <a:lumMod val="75000"/>
              </a:schemeClr>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[西锐底稿.xlsx]活塞式飞机市场份额图!$C$211:$AA$211</c:f>
              <c:numCache>
                <c:formatCode>General</c:formatCode>
                <c:ptCount val="25"/>
                <c:pt idx="0">
                  <c:v>0</c:v>
                </c:pt>
                <c:pt idx="1">
                  <c:v>0</c:v>
                </c:pt>
                <c:pt idx="2">
                  <c:v>0</c:v>
                </c:pt>
                <c:pt idx="3">
                  <c:v>228</c:v>
                </c:pt>
                <c:pt idx="4">
                  <c:v>261</c:v>
                </c:pt>
                <c:pt idx="5">
                  <c:v>329</c:v>
                </c:pt>
                <c:pt idx="6">
                  <c:v>438</c:v>
                </c:pt>
                <c:pt idx="7">
                  <c:v>471</c:v>
                </c:pt>
                <c:pt idx="8">
                  <c:v>308</c:v>
                </c:pt>
                <c:pt idx="9">
                  <c:v>163</c:v>
                </c:pt>
                <c:pt idx="10">
                  <c:v>130</c:v>
                </c:pt>
                <c:pt idx="11">
                  <c:v>185</c:v>
                </c:pt>
                <c:pt idx="12">
                  <c:v>156</c:v>
                </c:pt>
                <c:pt idx="13">
                  <c:v>139</c:v>
                </c:pt>
                <c:pt idx="14">
                  <c:v>202</c:v>
                </c:pt>
                <c:pt idx="15">
                  <c:v>144</c:v>
                </c:pt>
                <c:pt idx="16">
                  <c:v>132</c:v>
                </c:pt>
                <c:pt idx="17">
                  <c:v>137</c:v>
                </c:pt>
                <c:pt idx="18">
                  <c:v>134</c:v>
                </c:pt>
                <c:pt idx="19">
                  <c:v>233</c:v>
                </c:pt>
                <c:pt idx="20">
                  <c:v>239</c:v>
                </c:pt>
                <c:pt idx="21">
                  <c:v>240</c:v>
                </c:pt>
                <c:pt idx="22">
                  <c:v>239</c:v>
                </c:pt>
                <c:pt idx="23">
                  <c:v>273</c:v>
                </c:pt>
                <c:pt idx="24">
                  <c:v>252</c:v>
                </c:pt>
              </c:numCache>
            </c:numRef>
          </c:val>
        </c:ser>
        <c:ser>
          <c:idx val="7"/>
          <c:order val="7"/>
          <c:tx>
            <c:strRef>
              <c:f>[西锐底稿.xlsx]活塞式飞机市场份额图!$B$212</c:f>
              <c:strCache>
                <c:ptCount val="1"/>
                <c:pt idx="0">
                  <c:v>立方工匠飞机公司</c:v>
                </c:pt>
              </c:strCache>
            </c:strRef>
          </c:tx>
          <c:spPr>
            <a:solidFill>
              <a:schemeClr val="accent3">
                <a:lumMod val="60000"/>
                <a:lumOff val="40000"/>
              </a:schemeClr>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[西锐底稿.xlsx]活塞式飞机市场份额图!$C$212:$AA$212</c:f>
              <c:numCache>
                <c:formatCode>General</c:formatCode>
                <c:ptCount val="25"/>
                <c:pt idx="0">
                  <c:v>0</c:v>
                </c:pt>
                <c:pt idx="1">
                  <c:v>0</c:v>
                </c:pt>
                <c:pt idx="2">
                  <c:v>0</c:v>
                </c:pt>
                <c:pt idx="3">
                  <c:v>0</c:v>
                </c:pt>
                <c:pt idx="11">
                  <c:v>47</c:v>
                </c:pt>
                <c:pt idx="12">
                  <c:v>58</c:v>
                </c:pt>
                <c:pt idx="13">
                  <c:v>63</c:v>
                </c:pt>
                <c:pt idx="14">
                  <c:v>60</c:v>
                </c:pt>
                <c:pt idx="15">
                  <c:v>52</c:v>
                </c:pt>
                <c:pt idx="16">
                  <c:v>34</c:v>
                </c:pt>
                <c:pt idx="17">
                  <c:v>27</c:v>
                </c:pt>
                <c:pt idx="18">
                  <c:v>19</c:v>
                </c:pt>
                <c:pt idx="19">
                  <c:v>16</c:v>
                </c:pt>
                <c:pt idx="20">
                  <c:v>9</c:v>
                </c:pt>
                <c:pt idx="21">
                  <c:v>50</c:v>
                </c:pt>
                <c:pt idx="22">
                  <c:v>67</c:v>
                </c:pt>
                <c:pt idx="23">
                  <c:v>69</c:v>
                </c:pt>
                <c:pt idx="24">
                  <c:v>87</c:v>
                </c:pt>
              </c:numCache>
            </c:numRef>
          </c:val>
        </c:ser>
        <c:ser>
          <c:idx val="8"/>
          <c:order val="8"/>
          <c:tx>
            <c:strRef>
              <c:f>[西锐底稿.xlsx]活塞式飞机市场份额图!$B$213</c:f>
              <c:strCache>
                <c:ptCount val="1"/>
                <c:pt idx="0">
                  <c:v>哥伦比亚飞机（原兰凯尔 / Lancair）</c:v>
                </c:pt>
              </c:strCache>
            </c:strRef>
          </c:tx>
          <c:spPr>
            <a:solidFill>
              <a:schemeClr val="accent3">
                <a:lumMod val="60000"/>
              </a:schemeClr>
            </a:solidFill>
            <a:ln>
              <a:solidFill>
                <a:schemeClr val="bg1"/>
              </a:solid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[西锐底稿.xlsx]活塞式飞机市场份额图!$C$213:$AA$213</c:f>
              <c:numCache>
                <c:formatCode>General</c:formatCode>
                <c:ptCount val="25"/>
                <c:pt idx="0">
                  <c:v>5</c:v>
                </c:pt>
                <c:pt idx="1">
                  <c:v>27</c:v>
                </c:pt>
                <c:pt idx="2">
                  <c:v>24</c:v>
                </c:pt>
                <c:pt idx="3">
                  <c:v>51</c:v>
                </c:pt>
                <c:pt idx="4">
                  <c:v>78</c:v>
                </c:pt>
                <c:pt idx="5">
                  <c:v>114</c:v>
                </c:pt>
                <c:pt idx="6">
                  <c:v>185</c:v>
                </c:pt>
                <c:pt idx="7">
                  <c:v>152</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numCache>
            </c:numRef>
          </c:val>
        </c:ser>
        <c:ser>
          <c:idx val="9"/>
          <c:order val="9"/>
          <c:tx>
            <c:strRef>
              <c:f>[西锐底稿.xlsx]活塞式飞机市场份额图!$B$214</c:f>
              <c:strCache>
                <c:ptCount val="1"/>
                <c:pt idx="0">
                  <c:v>西锐飞机</c:v>
                </c:pt>
              </c:strCache>
            </c:strRef>
          </c:tx>
          <c:spPr>
            <a:solidFill>
              <a:schemeClr val="accent4">
                <a:lumMod val="60000"/>
              </a:schemeClr>
            </a:solidFill>
            <a:ln>
              <a:solidFill>
                <a:schemeClr val="bg1"/>
              </a:solid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[西锐底稿.xlsx]活塞式飞机市场份额图!$C$214:$AA$214</c:f>
              <c:numCache>
                <c:formatCode>General</c:formatCode>
                <c:ptCount val="25"/>
                <c:pt idx="0">
                  <c:v>95</c:v>
                </c:pt>
                <c:pt idx="1">
                  <c:v>183</c:v>
                </c:pt>
                <c:pt idx="2">
                  <c:v>397</c:v>
                </c:pt>
                <c:pt idx="3">
                  <c:v>469</c:v>
                </c:pt>
                <c:pt idx="4">
                  <c:v>553</c:v>
                </c:pt>
                <c:pt idx="5">
                  <c:v>600</c:v>
                </c:pt>
                <c:pt idx="6">
                  <c:v>721</c:v>
                </c:pt>
                <c:pt idx="7">
                  <c:v>710</c:v>
                </c:pt>
                <c:pt idx="8">
                  <c:v>549</c:v>
                </c:pt>
                <c:pt idx="9">
                  <c:v>266</c:v>
                </c:pt>
                <c:pt idx="10">
                  <c:v>264</c:v>
                </c:pt>
                <c:pt idx="11">
                  <c:v>255</c:v>
                </c:pt>
                <c:pt idx="12">
                  <c:v>253</c:v>
                </c:pt>
                <c:pt idx="13">
                  <c:v>276</c:v>
                </c:pt>
                <c:pt idx="14">
                  <c:v>308</c:v>
                </c:pt>
                <c:pt idx="15">
                  <c:v>301</c:v>
                </c:pt>
                <c:pt idx="16">
                  <c:v>317</c:v>
                </c:pt>
                <c:pt idx="17">
                  <c:v>355</c:v>
                </c:pt>
                <c:pt idx="18">
                  <c:v>380</c:v>
                </c:pt>
                <c:pt idx="19">
                  <c:v>384</c:v>
                </c:pt>
                <c:pt idx="20">
                  <c:v>347</c:v>
                </c:pt>
                <c:pt idx="21">
                  <c:v>442</c:v>
                </c:pt>
                <c:pt idx="22">
                  <c:v>539</c:v>
                </c:pt>
                <c:pt idx="23">
                  <c:v>612</c:v>
                </c:pt>
                <c:pt idx="24">
                  <c:v>630</c:v>
                </c:pt>
              </c:numCache>
            </c:numRef>
          </c:val>
        </c:ser>
        <c:ser>
          <c:idx val="10"/>
          <c:order val="10"/>
          <c:tx>
            <c:strRef>
              <c:f>[西锐底稿.xlsx]活塞式飞机市场份额图!$B$215</c:f>
              <c:strCache>
                <c:ptCount val="1"/>
                <c:pt idx="0">
                  <c:v>其他厂商</c:v>
                </c:pt>
              </c:strCache>
            </c:strRef>
          </c:tx>
          <c:spPr>
            <a:solidFill>
              <a:schemeClr val="accent5">
                <a:lumMod val="60000"/>
              </a:schemeClr>
            </a:solidFill>
            <a:ln>
              <a:solidFill>
                <a:schemeClr val="bg1"/>
              </a:solid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[西锐底稿.xlsx]活塞式飞机市场份额图!$C$215:$AA$215</c:f>
              <c:numCache>
                <c:formatCode>_(* #,##0_);_(* \(#,##0\);_(* "-"??_);_(@_)</c:formatCode>
                <c:ptCount val="25"/>
                <c:pt idx="0">
                  <c:v>271</c:v>
                </c:pt>
                <c:pt idx="1">
                  <c:v>251</c:v>
                </c:pt>
                <c:pt idx="2">
                  <c:v>238</c:v>
                </c:pt>
                <c:pt idx="3">
                  <c:v>237</c:v>
                </c:pt>
                <c:pt idx="4">
                  <c:v>212</c:v>
                </c:pt>
                <c:pt idx="5">
                  <c:v>223</c:v>
                </c:pt>
                <c:pt idx="6">
                  <c:v>164</c:v>
                </c:pt>
                <c:pt idx="7">
                  <c:v>177</c:v>
                </c:pt>
                <c:pt idx="8">
                  <c:v>145</c:v>
                </c:pt>
                <c:pt idx="9">
                  <c:v>57</c:v>
                </c:pt>
                <c:pt idx="10">
                  <c:v>69</c:v>
                </c:pt>
                <c:pt idx="11">
                  <c:v>149</c:v>
                </c:pt>
                <c:pt idx="12">
                  <c:v>160</c:v>
                </c:pt>
                <c:pt idx="13">
                  <c:v>177</c:v>
                </c:pt>
                <c:pt idx="14">
                  <c:v>189</c:v>
                </c:pt>
                <c:pt idx="15">
                  <c:v>143</c:v>
                </c:pt>
                <c:pt idx="16">
                  <c:v>119</c:v>
                </c:pt>
                <c:pt idx="17">
                  <c:v>120</c:v>
                </c:pt>
                <c:pt idx="18">
                  <c:v>154</c:v>
                </c:pt>
                <c:pt idx="19">
                  <c:v>186</c:v>
                </c:pt>
                <c:pt idx="20">
                  <c:v>148</c:v>
                </c:pt>
                <c:pt idx="21">
                  <c:v>153</c:v>
                </c:pt>
                <c:pt idx="22">
                  <c:v>170</c:v>
                </c:pt>
                <c:pt idx="23">
                  <c:v>141</c:v>
                </c:pt>
                <c:pt idx="24">
                  <c:v>119</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3"/>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4"/>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5"/>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6"/>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7"/>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014795265276748"/>
          <c:y val="0.0291616038882139"/>
          <c:w val="0.985204734723252"/>
          <c:h val="0.138734991054429"/>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fbd9035b-db2d-4147-8008-ad649f2c561c}"/>
      </c:ext>
    </c:extLst>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250521139292582"/>
          <c:w val="0.931162239562145"/>
          <c:h val="0.619563915385425"/>
        </c:manualLayout>
      </c:layout>
      <c:barChart>
        <c:barDir val="col"/>
        <c:grouping val="percentStacked"/>
        <c:varyColors val="0"/>
        <c:ser>
          <c:idx val="0"/>
          <c:order val="0"/>
          <c:tx>
            <c:strRef>
              <c:f>[西锐底稿.xlsx]喷气式飞机市场份额图!$B$144</c:f>
              <c:strCache>
                <c:ptCount val="1"/>
                <c:pt idx="0">
                  <c:v>德事隆航空（比奇飞机）</c:v>
                </c:pt>
              </c:strCache>
            </c:strRef>
          </c:tx>
          <c:spPr>
            <a:solidFill>
              <a:srgbClr val="C00000"/>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[西锐底稿.xlsx]喷气式飞机市场份额图!$C$144:$AA$144</c:f>
              <c:numCache>
                <c:formatCode>General</c:formatCode>
                <c:ptCount val="25"/>
                <c:pt idx="0">
                  <c:v>118</c:v>
                </c:pt>
                <c:pt idx="1">
                  <c:v>98</c:v>
                </c:pt>
                <c:pt idx="2">
                  <c:v>94</c:v>
                </c:pt>
                <c:pt idx="3">
                  <c:v>100</c:v>
                </c:pt>
                <c:pt idx="4">
                  <c:v>115</c:v>
                </c:pt>
                <c:pt idx="5">
                  <c:v>141</c:v>
                </c:pt>
                <c:pt idx="6">
                  <c:v>140</c:v>
                </c:pt>
                <c:pt idx="7">
                  <c:v>162</c:v>
                </c:pt>
                <c:pt idx="8">
                  <c:v>160</c:v>
                </c:pt>
                <c:pt idx="9">
                  <c:v>98</c:v>
                </c:pt>
                <c:pt idx="10">
                  <c:v>73</c:v>
                </c:pt>
                <c:pt idx="11">
                  <c:v>52</c:v>
                </c:pt>
                <c:pt idx="12">
                  <c:v>32</c:v>
                </c:pt>
                <c:pt idx="13">
                  <c:v>6</c:v>
                </c:pt>
                <c:pt idx="14">
                  <c:v>0</c:v>
                </c:pt>
                <c:pt idx="15">
                  <c:v>0</c:v>
                </c:pt>
                <c:pt idx="16">
                  <c:v>0</c:v>
                </c:pt>
                <c:pt idx="17">
                  <c:v>0</c:v>
                </c:pt>
                <c:pt idx="18">
                  <c:v>0</c:v>
                </c:pt>
                <c:pt idx="19">
                  <c:v>0</c:v>
                </c:pt>
                <c:pt idx="20">
                  <c:v>0</c:v>
                </c:pt>
                <c:pt idx="21">
                  <c:v>0</c:v>
                </c:pt>
                <c:pt idx="22">
                  <c:v>0</c:v>
                </c:pt>
                <c:pt idx="23">
                  <c:v>0</c:v>
                </c:pt>
                <c:pt idx="24">
                  <c:v>0</c:v>
                </c:pt>
              </c:numCache>
            </c:numRef>
          </c:val>
        </c:ser>
        <c:ser>
          <c:idx val="1"/>
          <c:order val="1"/>
          <c:tx>
            <c:strRef>
              <c:f>[西锐底稿.xlsx]喷气式飞机市场份额图!$B$145</c:f>
              <c:strCache>
                <c:ptCount val="1"/>
                <c:pt idx="0">
                  <c:v>德事隆航空（塞斯纳飞机）</c:v>
                </c:pt>
              </c:strCache>
            </c:strRef>
          </c:tx>
          <c:spPr>
            <a:solidFill>
              <a:srgbClr val="666666"/>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[西锐底稿.xlsx]喷气式飞机市场份额图!$C$145:$AA$145</c:f>
              <c:numCache>
                <c:formatCode>General</c:formatCode>
                <c:ptCount val="25"/>
                <c:pt idx="0">
                  <c:v>252</c:v>
                </c:pt>
                <c:pt idx="1">
                  <c:v>306</c:v>
                </c:pt>
                <c:pt idx="2">
                  <c:v>305</c:v>
                </c:pt>
                <c:pt idx="3">
                  <c:v>196</c:v>
                </c:pt>
                <c:pt idx="4">
                  <c:v>181</c:v>
                </c:pt>
                <c:pt idx="5">
                  <c:v>247</c:v>
                </c:pt>
                <c:pt idx="6">
                  <c:v>307</c:v>
                </c:pt>
                <c:pt idx="7">
                  <c:v>388</c:v>
                </c:pt>
                <c:pt idx="8">
                  <c:v>466</c:v>
                </c:pt>
                <c:pt idx="9">
                  <c:v>289</c:v>
                </c:pt>
                <c:pt idx="10">
                  <c:v>178</c:v>
                </c:pt>
                <c:pt idx="11">
                  <c:v>183</c:v>
                </c:pt>
                <c:pt idx="12">
                  <c:v>181</c:v>
                </c:pt>
                <c:pt idx="13">
                  <c:v>139</c:v>
                </c:pt>
                <c:pt idx="14">
                  <c:v>159</c:v>
                </c:pt>
                <c:pt idx="15">
                  <c:v>166</c:v>
                </c:pt>
                <c:pt idx="16">
                  <c:v>178</c:v>
                </c:pt>
                <c:pt idx="17">
                  <c:v>180</c:v>
                </c:pt>
                <c:pt idx="18">
                  <c:v>188</c:v>
                </c:pt>
                <c:pt idx="19">
                  <c:v>206</c:v>
                </c:pt>
                <c:pt idx="20">
                  <c:v>132</c:v>
                </c:pt>
                <c:pt idx="21">
                  <c:v>167</c:v>
                </c:pt>
                <c:pt idx="22">
                  <c:v>178</c:v>
                </c:pt>
                <c:pt idx="23">
                  <c:v>168</c:v>
                </c:pt>
                <c:pt idx="24">
                  <c:v>151</c:v>
                </c:pt>
              </c:numCache>
            </c:numRef>
          </c:val>
        </c:ser>
        <c:ser>
          <c:idx val="2"/>
          <c:order val="2"/>
          <c:tx>
            <c:strRef>
              <c:f>[西锐底稿.xlsx]喷气式飞机市场份额图!$B$146</c:f>
              <c:strCache>
                <c:ptCount val="1"/>
                <c:pt idx="0">
                  <c:v>ONE 航空公司（前身为 Eclipse 航空）</c:v>
                </c:pt>
              </c:strCache>
            </c:strRef>
          </c:tx>
          <c:spPr>
            <a:solidFill>
              <a:srgbClr val="E6B9B8"/>
            </a:solidFill>
            <a:ln w="9525" cap="flat" cmpd="sng">
              <a:noFill/>
              <a:prstDash val="solid"/>
            </a:ln>
            <a:effectLst/>
            <a:sp3d contourW="9525"/>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[西锐底稿.xlsx]喷气式飞机市场份额图!$C$146:$AA$146</c:f>
              <c:numCache>
                <c:formatCode>General</c:formatCode>
                <c:ptCount val="25"/>
                <c:pt idx="0">
                  <c:v>0</c:v>
                </c:pt>
                <c:pt idx="1">
                  <c:v>0</c:v>
                </c:pt>
                <c:pt idx="2">
                  <c:v>0</c:v>
                </c:pt>
                <c:pt idx="3">
                  <c:v>0</c:v>
                </c:pt>
                <c:pt idx="4">
                  <c:v>0</c:v>
                </c:pt>
                <c:pt idx="5">
                  <c:v>0</c:v>
                </c:pt>
                <c:pt idx="6">
                  <c:v>1</c:v>
                </c:pt>
                <c:pt idx="7">
                  <c:v>98</c:v>
                </c:pt>
                <c:pt idx="8">
                  <c:v>161</c:v>
                </c:pt>
                <c:pt idx="9">
                  <c:v>0</c:v>
                </c:pt>
                <c:pt idx="10">
                  <c:v>0</c:v>
                </c:pt>
                <c:pt idx="11">
                  <c:v>0</c:v>
                </c:pt>
                <c:pt idx="12">
                  <c:v>0</c:v>
                </c:pt>
                <c:pt idx="13">
                  <c:v>0</c:v>
                </c:pt>
                <c:pt idx="14">
                  <c:v>12</c:v>
                </c:pt>
                <c:pt idx="15">
                  <c:v>7</c:v>
                </c:pt>
                <c:pt idx="16">
                  <c:v>8</c:v>
                </c:pt>
                <c:pt idx="17">
                  <c:v>6</c:v>
                </c:pt>
                <c:pt idx="18">
                  <c:v>0</c:v>
                </c:pt>
                <c:pt idx="19">
                  <c:v>0</c:v>
                </c:pt>
                <c:pt idx="20">
                  <c:v>0</c:v>
                </c:pt>
                <c:pt idx="21">
                  <c:v>0</c:v>
                </c:pt>
                <c:pt idx="22">
                  <c:v>0</c:v>
                </c:pt>
                <c:pt idx="23">
                  <c:v>2</c:v>
                </c:pt>
                <c:pt idx="24">
                  <c:v>0</c:v>
                </c:pt>
              </c:numCache>
            </c:numRef>
          </c:val>
        </c:ser>
        <c:ser>
          <c:idx val="3"/>
          <c:order val="3"/>
          <c:tx>
            <c:strRef>
              <c:f>[西锐底稿.xlsx]喷气式飞机市场份额图!$B$147</c:f>
              <c:strCache>
                <c:ptCount val="1"/>
                <c:pt idx="0">
                  <c:v>湾流宇航公司</c:v>
                </c:pt>
              </c:strCache>
            </c:strRef>
          </c:tx>
          <c:spPr>
            <a:solidFill>
              <a:srgbClr val="999999"/>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[西锐底稿.xlsx]喷气式飞机市场份额图!$C$147:$AA$147</c:f>
              <c:numCache>
                <c:formatCode>General</c:formatCode>
                <c:ptCount val="25"/>
                <c:pt idx="0">
                  <c:v>88</c:v>
                </c:pt>
                <c:pt idx="1">
                  <c:v>101</c:v>
                </c:pt>
                <c:pt idx="2">
                  <c:v>85</c:v>
                </c:pt>
                <c:pt idx="3">
                  <c:v>74</c:v>
                </c:pt>
                <c:pt idx="4">
                  <c:v>78</c:v>
                </c:pt>
                <c:pt idx="5">
                  <c:v>89</c:v>
                </c:pt>
                <c:pt idx="6">
                  <c:v>113</c:v>
                </c:pt>
                <c:pt idx="7">
                  <c:v>138</c:v>
                </c:pt>
                <c:pt idx="8">
                  <c:v>156</c:v>
                </c:pt>
                <c:pt idx="9">
                  <c:v>94</c:v>
                </c:pt>
                <c:pt idx="10">
                  <c:v>99</c:v>
                </c:pt>
                <c:pt idx="11">
                  <c:v>99</c:v>
                </c:pt>
                <c:pt idx="12">
                  <c:v>94</c:v>
                </c:pt>
                <c:pt idx="13">
                  <c:v>144</c:v>
                </c:pt>
                <c:pt idx="14">
                  <c:v>150</c:v>
                </c:pt>
                <c:pt idx="15">
                  <c:v>154</c:v>
                </c:pt>
                <c:pt idx="16">
                  <c:v>121</c:v>
                </c:pt>
                <c:pt idx="17">
                  <c:v>120</c:v>
                </c:pt>
                <c:pt idx="18">
                  <c:v>121</c:v>
                </c:pt>
                <c:pt idx="19">
                  <c:v>147</c:v>
                </c:pt>
                <c:pt idx="20">
                  <c:v>127</c:v>
                </c:pt>
                <c:pt idx="21">
                  <c:v>119</c:v>
                </c:pt>
                <c:pt idx="22">
                  <c:v>120</c:v>
                </c:pt>
                <c:pt idx="23">
                  <c:v>111</c:v>
                </c:pt>
                <c:pt idx="24">
                  <c:v>136</c:v>
                </c:pt>
              </c:numCache>
            </c:numRef>
          </c:val>
        </c:ser>
        <c:ser>
          <c:idx val="4"/>
          <c:order val="4"/>
          <c:tx>
            <c:strRef>
              <c:f>[西锐底稿.xlsx]喷气式飞机市场份额图!$B$148</c:f>
              <c:strCache>
                <c:ptCount val="1"/>
                <c:pt idx="0">
                  <c:v>巴西航空工业公司</c:v>
                </c:pt>
              </c:strCache>
            </c:strRef>
          </c:tx>
          <c:spPr>
            <a:solidFill>
              <a:srgbClr val="996633"/>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[西锐底稿.xlsx]喷气式飞机市场份额图!$C$148:$AA$148</c:f>
              <c:numCache>
                <c:formatCode>General</c:formatCode>
                <c:ptCount val="25"/>
                <c:pt idx="0">
                  <c:v>0</c:v>
                </c:pt>
                <c:pt idx="1">
                  <c:v>0</c:v>
                </c:pt>
                <c:pt idx="2">
                  <c:v>8</c:v>
                </c:pt>
                <c:pt idx="3">
                  <c:v>13</c:v>
                </c:pt>
                <c:pt idx="4">
                  <c:v>13</c:v>
                </c:pt>
                <c:pt idx="5">
                  <c:v>20</c:v>
                </c:pt>
                <c:pt idx="6">
                  <c:v>27</c:v>
                </c:pt>
                <c:pt idx="7">
                  <c:v>36</c:v>
                </c:pt>
                <c:pt idx="8">
                  <c:v>38</c:v>
                </c:pt>
                <c:pt idx="9">
                  <c:v>122</c:v>
                </c:pt>
                <c:pt idx="10">
                  <c:v>145</c:v>
                </c:pt>
                <c:pt idx="11">
                  <c:v>99</c:v>
                </c:pt>
                <c:pt idx="12">
                  <c:v>99</c:v>
                </c:pt>
                <c:pt idx="13">
                  <c:v>119</c:v>
                </c:pt>
                <c:pt idx="14">
                  <c:v>116</c:v>
                </c:pt>
                <c:pt idx="15">
                  <c:v>120</c:v>
                </c:pt>
                <c:pt idx="16">
                  <c:v>117</c:v>
                </c:pt>
                <c:pt idx="17">
                  <c:v>109</c:v>
                </c:pt>
                <c:pt idx="18">
                  <c:v>91</c:v>
                </c:pt>
                <c:pt idx="19">
                  <c:v>109</c:v>
                </c:pt>
                <c:pt idx="20">
                  <c:v>86</c:v>
                </c:pt>
                <c:pt idx="21">
                  <c:v>93</c:v>
                </c:pt>
                <c:pt idx="22">
                  <c:v>102</c:v>
                </c:pt>
                <c:pt idx="23">
                  <c:v>115</c:v>
                </c:pt>
                <c:pt idx="24">
                  <c:v>130</c:v>
                </c:pt>
              </c:numCache>
            </c:numRef>
          </c:val>
        </c:ser>
        <c:ser>
          <c:idx val="5"/>
          <c:order val="5"/>
          <c:tx>
            <c:strRef>
              <c:f>[西锐底稿.xlsx]喷气式飞机市场份额图!$B$149</c:f>
              <c:strCache>
                <c:ptCount val="1"/>
                <c:pt idx="0">
                  <c:v>达索航空</c:v>
                </c:pt>
              </c:strCache>
            </c:strRef>
          </c:tx>
          <c:spPr>
            <a:solidFill>
              <a:srgbClr val="E7D6B5"/>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[西锐底稿.xlsx]喷气式飞机市场份额图!$C$149:$AA$149</c:f>
              <c:numCache>
                <c:formatCode>General</c:formatCode>
                <c:ptCount val="25"/>
                <c:pt idx="0">
                  <c:v>73</c:v>
                </c:pt>
                <c:pt idx="1">
                  <c:v>75</c:v>
                </c:pt>
                <c:pt idx="2">
                  <c:v>66</c:v>
                </c:pt>
                <c:pt idx="3">
                  <c:v>49</c:v>
                </c:pt>
                <c:pt idx="4">
                  <c:v>63</c:v>
                </c:pt>
                <c:pt idx="5">
                  <c:v>51</c:v>
                </c:pt>
                <c:pt idx="6">
                  <c:v>61</c:v>
                </c:pt>
                <c:pt idx="7">
                  <c:v>70</c:v>
                </c:pt>
                <c:pt idx="8">
                  <c:v>72</c:v>
                </c:pt>
                <c:pt idx="9">
                  <c:v>77</c:v>
                </c:pt>
                <c:pt idx="10">
                  <c:v>95</c:v>
                </c:pt>
                <c:pt idx="11">
                  <c:v>63</c:v>
                </c:pt>
                <c:pt idx="12">
                  <c:v>66</c:v>
                </c:pt>
                <c:pt idx="13">
                  <c:v>77</c:v>
                </c:pt>
                <c:pt idx="14">
                  <c:v>66</c:v>
                </c:pt>
                <c:pt idx="15">
                  <c:v>55</c:v>
                </c:pt>
                <c:pt idx="16">
                  <c:v>49</c:v>
                </c:pt>
                <c:pt idx="17">
                  <c:v>49</c:v>
                </c:pt>
                <c:pt idx="18">
                  <c:v>41</c:v>
                </c:pt>
                <c:pt idx="19">
                  <c:v>40</c:v>
                </c:pt>
                <c:pt idx="20">
                  <c:v>34</c:v>
                </c:pt>
                <c:pt idx="21">
                  <c:v>30</c:v>
                </c:pt>
                <c:pt idx="22">
                  <c:v>32</c:v>
                </c:pt>
                <c:pt idx="23">
                  <c:v>26</c:v>
                </c:pt>
                <c:pt idx="24">
                  <c:v>31</c:v>
                </c:pt>
              </c:numCache>
            </c:numRef>
          </c:val>
        </c:ser>
        <c:ser>
          <c:idx val="6"/>
          <c:order val="6"/>
          <c:tx>
            <c:strRef>
              <c:f>[西锐底稿.xlsx]喷气式飞机市场份额图!$B$150</c:f>
              <c:strCache>
                <c:ptCount val="1"/>
                <c:pt idx="0">
                  <c:v>西锐飞机</c:v>
                </c:pt>
              </c:strCache>
            </c:strRef>
          </c:tx>
          <c:spPr>
            <a:solidFill>
              <a:schemeClr val="accent4">
                <a:lumMod val="75000"/>
              </a:schemeClr>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[西锐底稿.xlsx]喷气式飞机市场份额图!$C$150:$AA$150</c:f>
              <c:numCache>
                <c:formatCode>General</c:formatCode>
                <c:ptCount val="25"/>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3</c:v>
                </c:pt>
                <c:pt idx="17">
                  <c:v>22</c:v>
                </c:pt>
                <c:pt idx="18">
                  <c:v>63</c:v>
                </c:pt>
                <c:pt idx="19">
                  <c:v>81</c:v>
                </c:pt>
                <c:pt idx="20">
                  <c:v>73</c:v>
                </c:pt>
                <c:pt idx="21">
                  <c:v>86</c:v>
                </c:pt>
                <c:pt idx="22">
                  <c:v>90</c:v>
                </c:pt>
                <c:pt idx="23">
                  <c:v>96</c:v>
                </c:pt>
                <c:pt idx="24">
                  <c:v>101</c:v>
                </c:pt>
              </c:numCache>
            </c:numRef>
          </c:val>
        </c:ser>
        <c:ser>
          <c:idx val="7"/>
          <c:order val="7"/>
          <c:tx>
            <c:strRef>
              <c:f>[西锐底稿.xlsx]喷气式飞机市场份额图!$B$151</c:f>
              <c:strCache>
                <c:ptCount val="1"/>
                <c:pt idx="0">
                  <c:v>庞巴迪</c:v>
                </c:pt>
              </c:strCache>
            </c:strRef>
          </c:tx>
          <c:spPr>
            <a:solidFill>
              <a:schemeClr val="accent3">
                <a:lumMod val="60000"/>
                <a:lumOff val="40000"/>
              </a:schemeClr>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[西锐底稿.xlsx]喷气式飞机市场份额图!$C$151:$AA$151</c:f>
              <c:numCache>
                <c:formatCode>General</c:formatCode>
                <c:ptCount val="25"/>
                <c:pt idx="0">
                  <c:v>207</c:v>
                </c:pt>
                <c:pt idx="1">
                  <c:v>179</c:v>
                </c:pt>
                <c:pt idx="2">
                  <c:v>101</c:v>
                </c:pt>
                <c:pt idx="3">
                  <c:v>70</c:v>
                </c:pt>
                <c:pt idx="4">
                  <c:v>129</c:v>
                </c:pt>
                <c:pt idx="5">
                  <c:v>188</c:v>
                </c:pt>
                <c:pt idx="6">
                  <c:v>213</c:v>
                </c:pt>
                <c:pt idx="7">
                  <c:v>224</c:v>
                </c:pt>
                <c:pt idx="8">
                  <c:v>247</c:v>
                </c:pt>
                <c:pt idx="9">
                  <c:v>173</c:v>
                </c:pt>
                <c:pt idx="10">
                  <c:v>150</c:v>
                </c:pt>
                <c:pt idx="11">
                  <c:v>182</c:v>
                </c:pt>
                <c:pt idx="12">
                  <c:v>179</c:v>
                </c:pt>
                <c:pt idx="13">
                  <c:v>180</c:v>
                </c:pt>
                <c:pt idx="14">
                  <c:v>204</c:v>
                </c:pt>
                <c:pt idx="15">
                  <c:v>199</c:v>
                </c:pt>
                <c:pt idx="16">
                  <c:v>162</c:v>
                </c:pt>
                <c:pt idx="17">
                  <c:v>138</c:v>
                </c:pt>
                <c:pt idx="18">
                  <c:v>137</c:v>
                </c:pt>
                <c:pt idx="19">
                  <c:v>142</c:v>
                </c:pt>
                <c:pt idx="20">
                  <c:v>114</c:v>
                </c:pt>
                <c:pt idx="21">
                  <c:v>120</c:v>
                </c:pt>
                <c:pt idx="22">
                  <c:v>123</c:v>
                </c:pt>
                <c:pt idx="23">
                  <c:v>138</c:v>
                </c:pt>
                <c:pt idx="24">
                  <c:v>146</c:v>
                </c:pt>
              </c:numCache>
            </c:numRef>
          </c:val>
        </c:ser>
        <c:ser>
          <c:idx val="8"/>
          <c:order val="8"/>
          <c:tx>
            <c:strRef>
              <c:f>[西锐底稿.xlsx]喷气式飞机市场份额图!$B$152</c:f>
              <c:strCache>
                <c:ptCount val="1"/>
                <c:pt idx="0">
                  <c:v>其他厂商</c:v>
                </c:pt>
              </c:strCache>
            </c:strRef>
          </c:tx>
          <c:spPr>
            <a:solidFill>
              <a:schemeClr val="accent3">
                <a:lumMod val="60000"/>
              </a:schemeClr>
            </a:solidFill>
            <a:ln>
              <a:solidFill>
                <a:schemeClr val="bg1"/>
              </a:solid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[西锐底稿.xlsx]喷气式飞机市场份额图!$C$152:$AA$152</c:f>
              <c:numCache>
                <c:formatCode>_(* #,##0_);_(* \(#,##0\);_(* "-"??_);_(@_)</c:formatCode>
                <c:ptCount val="25"/>
                <c:pt idx="0">
                  <c:v>132</c:v>
                </c:pt>
                <c:pt idx="1">
                  <c:v>123</c:v>
                </c:pt>
                <c:pt idx="2">
                  <c:v>111</c:v>
                </c:pt>
                <c:pt idx="3">
                  <c:v>116</c:v>
                </c:pt>
                <c:pt idx="4">
                  <c:v>127</c:v>
                </c:pt>
                <c:pt idx="5">
                  <c:v>155</c:v>
                </c:pt>
                <c:pt idx="6">
                  <c:v>165</c:v>
                </c:pt>
                <c:pt idx="7">
                  <c:v>183</c:v>
                </c:pt>
                <c:pt idx="8">
                  <c:v>177</c:v>
                </c:pt>
                <c:pt idx="9">
                  <c:v>119</c:v>
                </c:pt>
                <c:pt idx="10">
                  <c:v>100</c:v>
                </c:pt>
                <c:pt idx="11">
                  <c:v>70</c:v>
                </c:pt>
                <c:pt idx="12">
                  <c:v>53</c:v>
                </c:pt>
                <c:pt idx="13">
                  <c:v>19</c:v>
                </c:pt>
                <c:pt idx="14">
                  <c:v>15</c:v>
                </c:pt>
                <c:pt idx="15">
                  <c:v>17</c:v>
                </c:pt>
                <c:pt idx="16">
                  <c:v>28</c:v>
                </c:pt>
                <c:pt idx="17">
                  <c:v>53</c:v>
                </c:pt>
                <c:pt idx="18">
                  <c:v>62</c:v>
                </c:pt>
                <c:pt idx="19">
                  <c:v>84</c:v>
                </c:pt>
                <c:pt idx="20">
                  <c:v>78</c:v>
                </c:pt>
                <c:pt idx="21">
                  <c:v>95</c:v>
                </c:pt>
                <c:pt idx="22">
                  <c:v>67</c:v>
                </c:pt>
                <c:pt idx="23">
                  <c:v>74</c:v>
                </c:pt>
                <c:pt idx="24">
                  <c:v>69</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3"/>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4"/>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5"/>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6"/>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7"/>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014795265276748"/>
          <c:y val="0.0291616038882139"/>
          <c:w val="0.985204734723252"/>
          <c:h val="0.138734991054429"/>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5275c019-6031-4520-a223-0b984c0b9e4b}"/>
      </c:ext>
    </c:extLst>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89494005283479"/>
          <c:y val="0.236723672367237"/>
          <c:w val="0.904409672830725"/>
          <c:h val="0.588838883888389"/>
        </c:manualLayout>
      </c:layout>
      <c:barChart>
        <c:barDir val="col"/>
        <c:grouping val="clustered"/>
        <c:varyColors val="0"/>
        <c:ser>
          <c:idx val="0"/>
          <c:order val="0"/>
          <c:tx>
            <c:strRef>
              <c:f>[工作簿2]Sheet1!$A$25</c:f>
              <c:strCache>
                <c:ptCount val="1"/>
                <c:pt idx="0">
                  <c:v>2024</c:v>
                </c:pt>
              </c:strCache>
            </c:strRef>
          </c:tx>
          <c:spPr>
            <a:solidFill>
              <a:srgbClr val="4874CB">
                <a:lumMod val="50000"/>
              </a:srgbClr>
            </a:solidFill>
            <a:ln>
              <a:noFill/>
            </a:ln>
            <a:effectLst/>
          </c:spPr>
          <c:invertIfNegative val="0"/>
          <c:dLbls>
            <c:delete val="1"/>
          </c:dLbls>
          <c:cat>
            <c:strRef>
              <c:f>[工作簿2]Sheet1!$B$24:$E$24</c:f>
              <c:strCache>
                <c:ptCount val="4"/>
                <c:pt idx="0">
                  <c:v>Q1</c:v>
                </c:pt>
                <c:pt idx="1">
                  <c:v>Q2</c:v>
                </c:pt>
                <c:pt idx="2">
                  <c:v>Q3</c:v>
                </c:pt>
                <c:pt idx="3">
                  <c:v>Q4</c:v>
                </c:pt>
              </c:strCache>
            </c:strRef>
          </c:cat>
          <c:val>
            <c:numRef>
              <c:f>[工作簿2]Sheet1!$B$25:$E$25</c:f>
              <c:numCache>
                <c:formatCode>General</c:formatCode>
                <c:ptCount val="4"/>
                <c:pt idx="0">
                  <c:v>531</c:v>
                </c:pt>
                <c:pt idx="1">
                  <c:v>842</c:v>
                </c:pt>
                <c:pt idx="2">
                  <c:v>796</c:v>
                </c:pt>
                <c:pt idx="3">
                  <c:v>993</c:v>
                </c:pt>
              </c:numCache>
            </c:numRef>
          </c:val>
        </c:ser>
        <c:ser>
          <c:idx val="1"/>
          <c:order val="1"/>
          <c:tx>
            <c:strRef>
              <c:f>[工作簿2]Sheet1!$A$26</c:f>
              <c:strCache>
                <c:ptCount val="1"/>
                <c:pt idx="0">
                  <c:v>2025</c:v>
                </c:pt>
              </c:strCache>
            </c:strRef>
          </c:tx>
          <c:spPr>
            <a:solidFill>
              <a:sysClr val="window" lastClr="FFFFFF">
                <a:lumMod val="65000"/>
              </a:sysClr>
            </a:solidFill>
            <a:ln>
              <a:noFill/>
            </a:ln>
            <a:effectLst/>
          </c:spPr>
          <c:invertIfNegative val="0"/>
          <c:dLbls>
            <c:delete val="1"/>
          </c:dLbls>
          <c:cat>
            <c:strRef>
              <c:f>[工作簿2]Sheet1!$B$24:$E$24</c:f>
              <c:strCache>
                <c:ptCount val="4"/>
                <c:pt idx="0">
                  <c:v>Q1</c:v>
                </c:pt>
                <c:pt idx="1">
                  <c:v>Q2</c:v>
                </c:pt>
                <c:pt idx="2">
                  <c:v>Q3</c:v>
                </c:pt>
                <c:pt idx="3">
                  <c:v>Q4</c:v>
                </c:pt>
              </c:strCache>
            </c:strRef>
          </c:cat>
          <c:val>
            <c:numRef>
              <c:f>[工作簿2]Sheet1!$B$26:$E$26</c:f>
              <c:numCache>
                <c:formatCode>General</c:formatCode>
                <c:ptCount val="4"/>
                <c:pt idx="0">
                  <c:v>632</c:v>
                </c:pt>
                <c:pt idx="1">
                  <c:v>801</c:v>
                </c:pt>
                <c:pt idx="2">
                  <c:v>768</c:v>
                </c:pt>
              </c:numCache>
            </c:numRef>
          </c:val>
        </c:ser>
        <c:dLbls>
          <c:showLegendKey val="0"/>
          <c:showVal val="0"/>
          <c:showCatName val="0"/>
          <c:showSerName val="0"/>
          <c:showPercent val="0"/>
          <c:showBubbleSize val="0"/>
        </c:dLbls>
        <c:gapWidth val="150"/>
        <c:axId val="940656048"/>
        <c:axId val="551788635"/>
      </c:barChart>
      <c:catAx>
        <c:axId val="94065604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0" vertOverflow="ellipsis" vert="horz" wrap="square" anchor="ctr" anchorCtr="1" forceAA="0"/>
          <a:lstStyle/>
          <a:p>
            <a:pPr>
              <a:defRPr lang="zh-CN" sz="6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551788635"/>
        <c:crosses val="autoZero"/>
        <c:auto val="1"/>
        <c:lblAlgn val="ctr"/>
        <c:lblOffset val="100"/>
        <c:noMultiLvlLbl val="0"/>
      </c:catAx>
      <c:valAx>
        <c:axId val="551788635"/>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0" vertOverflow="ellipsis" vert="horz" wrap="square" anchor="ctr" anchorCtr="1" forceAA="0"/>
          <a:lstStyle/>
          <a:p>
            <a:pPr>
              <a:defRPr lang="zh-CN" sz="6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94065604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0" vertOverflow="ellipsis" vert="horz" wrap="square" anchor="ctr" anchorCtr="1" forceAA="0"/>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dd693356-2731-434f-b880-2075fcbd902a}"/>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[工作簿2]Sheet1!$A$31</c:f>
              <c:strCache>
                <c:ptCount val="1"/>
                <c:pt idx="0">
                  <c:v>民用直升飞机</c:v>
                </c:pt>
              </c:strCache>
            </c:strRef>
          </c:tx>
          <c:spPr>
            <a:solidFill>
              <a:srgbClr val="4874CB">
                <a:lumMod val="50000"/>
              </a:srgbClr>
            </a:solidFill>
            <a:ln>
              <a:noFill/>
            </a:ln>
            <a:effectLst/>
          </c:spPr>
          <c:invertIfNegative val="0"/>
          <c:dLbls>
            <c:delete val="1"/>
          </c:dLbls>
          <c:cat>
            <c:strRef>
              <c:f>[工作簿2]Sheet1!$B$30:$H$30</c:f>
              <c:strCache>
                <c:ptCount val="7"/>
                <c:pt idx="0">
                  <c:v>2024Q1</c:v>
                </c:pt>
                <c:pt idx="1">
                  <c:v>2024Q2</c:v>
                </c:pt>
                <c:pt idx="2">
                  <c:v>2024Q3</c:v>
                </c:pt>
                <c:pt idx="3">
                  <c:v>2024Q4</c:v>
                </c:pt>
                <c:pt idx="4">
                  <c:v>2025Q1</c:v>
                </c:pt>
                <c:pt idx="5">
                  <c:v>2025Q2</c:v>
                </c:pt>
                <c:pt idx="6">
                  <c:v>2025Q3</c:v>
                </c:pt>
              </c:strCache>
            </c:strRef>
          </c:cat>
          <c:val>
            <c:numRef>
              <c:f>[工作簿2]Sheet1!$B$31:$H$31</c:f>
              <c:numCache>
                <c:formatCode>General</c:formatCode>
                <c:ptCount val="7"/>
                <c:pt idx="0">
                  <c:v>184</c:v>
                </c:pt>
                <c:pt idx="1">
                  <c:v>232</c:v>
                </c:pt>
                <c:pt idx="2">
                  <c:v>217</c:v>
                </c:pt>
                <c:pt idx="3">
                  <c:v>402</c:v>
                </c:pt>
                <c:pt idx="4">
                  <c:v>187</c:v>
                </c:pt>
                <c:pt idx="5">
                  <c:v>216</c:v>
                </c:pt>
                <c:pt idx="6">
                  <c:v>209</c:v>
                </c:pt>
              </c:numCache>
            </c:numRef>
          </c:val>
        </c:ser>
        <c:ser>
          <c:idx val="1"/>
          <c:order val="1"/>
          <c:tx>
            <c:strRef>
              <c:f>[工作簿2]Sheet1!$A$32</c:f>
              <c:strCache>
                <c:ptCount val="1"/>
                <c:pt idx="0">
                  <c:v>商用直升飞机</c:v>
                </c:pt>
              </c:strCache>
            </c:strRef>
          </c:tx>
          <c:spPr>
            <a:solidFill>
              <a:sysClr val="window" lastClr="FFFFFF">
                <a:lumMod val="65000"/>
              </a:sysClr>
            </a:solidFill>
            <a:ln>
              <a:noFill/>
            </a:ln>
            <a:effectLst/>
          </c:spPr>
          <c:invertIfNegative val="0"/>
          <c:dLbls>
            <c:delete val="1"/>
          </c:dLbls>
          <c:cat>
            <c:strRef>
              <c:f>[工作簿2]Sheet1!$B$30:$H$30</c:f>
              <c:strCache>
                <c:ptCount val="7"/>
                <c:pt idx="0">
                  <c:v>2024Q1</c:v>
                </c:pt>
                <c:pt idx="1">
                  <c:v>2024Q2</c:v>
                </c:pt>
                <c:pt idx="2">
                  <c:v>2024Q3</c:v>
                </c:pt>
                <c:pt idx="3">
                  <c:v>2024Q4</c:v>
                </c:pt>
                <c:pt idx="4">
                  <c:v>2025Q1</c:v>
                </c:pt>
                <c:pt idx="5">
                  <c:v>2025Q2</c:v>
                </c:pt>
                <c:pt idx="6">
                  <c:v>2025Q3</c:v>
                </c:pt>
              </c:strCache>
            </c:strRef>
          </c:cat>
          <c:val>
            <c:numRef>
              <c:f>[工作簿2]Sheet1!$B$32:$H$32</c:f>
              <c:numCache>
                <c:formatCode>General</c:formatCode>
                <c:ptCount val="7"/>
                <c:pt idx="0">
                  <c:v>15</c:v>
                </c:pt>
                <c:pt idx="1">
                  <c:v>33</c:v>
                </c:pt>
                <c:pt idx="2">
                  <c:v>36</c:v>
                </c:pt>
                <c:pt idx="3">
                  <c:v>47</c:v>
                </c:pt>
                <c:pt idx="4">
                  <c:v>17</c:v>
                </c:pt>
                <c:pt idx="5">
                  <c:v>33</c:v>
                </c:pt>
                <c:pt idx="6">
                  <c:v>33</c:v>
                </c:pt>
              </c:numCache>
            </c:numRef>
          </c:val>
        </c:ser>
        <c:dLbls>
          <c:showLegendKey val="0"/>
          <c:showVal val="0"/>
          <c:showCatName val="0"/>
          <c:showSerName val="0"/>
          <c:showPercent val="0"/>
          <c:showBubbleSize val="0"/>
        </c:dLbls>
        <c:gapWidth val="150"/>
        <c:axId val="168347353"/>
        <c:axId val="85200745"/>
      </c:barChart>
      <c:catAx>
        <c:axId val="168347353"/>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0" vertOverflow="ellipsis" vert="horz" wrap="square" anchor="ctr" anchorCtr="1" forceAA="0"/>
          <a:lstStyle/>
          <a:p>
            <a:pPr>
              <a:defRPr lang="zh-CN" sz="6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85200745"/>
        <c:crosses val="autoZero"/>
        <c:auto val="1"/>
        <c:lblAlgn val="ctr"/>
        <c:lblOffset val="100"/>
        <c:noMultiLvlLbl val="0"/>
      </c:catAx>
      <c:valAx>
        <c:axId val="85200745"/>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0" vertOverflow="ellipsis" vert="horz" wrap="square" anchor="ctr" anchorCtr="1" forceAA="0"/>
          <a:lstStyle/>
          <a:p>
            <a:pPr>
              <a:defRPr lang="zh-CN" sz="6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68347353"/>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0" vertOverflow="ellipsis" vert="horz" wrap="square" anchor="ctr" anchorCtr="1" forceAA="0"/>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82f68a81-d06a-42d2-bd0b-125b4e86c00e}"/>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[工作簿2]Sheet1!$A$45</c:f>
              <c:strCache>
                <c:ptCount val="1"/>
                <c:pt idx="0">
                  <c:v>喷气机</c:v>
                </c:pt>
              </c:strCache>
            </c:strRef>
          </c:tx>
          <c:spPr>
            <a:solidFill>
              <a:sysClr val="window" lastClr="FFFFFF">
                <a:lumMod val="65000"/>
              </a:sysClr>
            </a:solidFill>
            <a:ln>
              <a:noFill/>
            </a:ln>
            <a:effectLst/>
          </c:spPr>
          <c:invertIfNegative val="0"/>
          <c:dLbls>
            <c:delete val="1"/>
          </c:dLbls>
          <c:cat>
            <c:strRef>
              <c:f>[工作簿2]Sheet1!$B$44:$H$44</c:f>
              <c:strCache>
                <c:ptCount val="7"/>
                <c:pt idx="0">
                  <c:v>2024Q1</c:v>
                </c:pt>
                <c:pt idx="1">
                  <c:v>2024Q2</c:v>
                </c:pt>
                <c:pt idx="2">
                  <c:v>2024Q3</c:v>
                </c:pt>
                <c:pt idx="3">
                  <c:v>2024Q4</c:v>
                </c:pt>
                <c:pt idx="4">
                  <c:v>2025Q1</c:v>
                </c:pt>
                <c:pt idx="5">
                  <c:v>2025Q2</c:v>
                </c:pt>
                <c:pt idx="6">
                  <c:v>2025Q3</c:v>
                </c:pt>
              </c:strCache>
            </c:strRef>
          </c:cat>
          <c:val>
            <c:numRef>
              <c:f>[工作簿2]Sheet1!$B$45:$H$45</c:f>
              <c:numCache>
                <c:formatCode>General</c:formatCode>
                <c:ptCount val="7"/>
                <c:pt idx="0">
                  <c:v>127</c:v>
                </c:pt>
                <c:pt idx="1">
                  <c:v>195</c:v>
                </c:pt>
                <c:pt idx="2">
                  <c:v>179</c:v>
                </c:pt>
                <c:pt idx="3">
                  <c:v>263</c:v>
                </c:pt>
                <c:pt idx="4">
                  <c:v>141</c:v>
                </c:pt>
                <c:pt idx="5">
                  <c:v>213</c:v>
                </c:pt>
                <c:pt idx="6">
                  <c:v>200</c:v>
                </c:pt>
              </c:numCache>
            </c:numRef>
          </c:val>
        </c:ser>
        <c:ser>
          <c:idx val="1"/>
          <c:order val="1"/>
          <c:tx>
            <c:strRef>
              <c:f>[工作簿2]Sheet1!$A$46</c:f>
              <c:strCache>
                <c:ptCount val="1"/>
                <c:pt idx="0">
                  <c:v>活塞飞机</c:v>
                </c:pt>
              </c:strCache>
            </c:strRef>
          </c:tx>
          <c:spPr>
            <a:solidFill>
              <a:srgbClr val="4874CB">
                <a:lumMod val="50000"/>
              </a:srgbClr>
            </a:solidFill>
            <a:ln>
              <a:noFill/>
            </a:ln>
            <a:effectLst/>
          </c:spPr>
          <c:invertIfNegative val="0"/>
          <c:dLbls>
            <c:delete val="1"/>
          </c:dLbls>
          <c:cat>
            <c:strRef>
              <c:f>[工作簿2]Sheet1!$B$44:$H$44</c:f>
              <c:strCache>
                <c:ptCount val="7"/>
                <c:pt idx="0">
                  <c:v>2024Q1</c:v>
                </c:pt>
                <c:pt idx="1">
                  <c:v>2024Q2</c:v>
                </c:pt>
                <c:pt idx="2">
                  <c:v>2024Q3</c:v>
                </c:pt>
                <c:pt idx="3">
                  <c:v>2024Q4</c:v>
                </c:pt>
                <c:pt idx="4">
                  <c:v>2025Q1</c:v>
                </c:pt>
                <c:pt idx="5">
                  <c:v>2025Q2</c:v>
                </c:pt>
                <c:pt idx="6">
                  <c:v>2025Q3</c:v>
                </c:pt>
              </c:strCache>
            </c:strRef>
          </c:cat>
          <c:val>
            <c:numRef>
              <c:f>[工作簿2]Sheet1!$B$46:$H$46</c:f>
              <c:numCache>
                <c:formatCode>General</c:formatCode>
                <c:ptCount val="7"/>
                <c:pt idx="0">
                  <c:v>296</c:v>
                </c:pt>
                <c:pt idx="1">
                  <c:v>475</c:v>
                </c:pt>
                <c:pt idx="2">
                  <c:v>462</c:v>
                </c:pt>
                <c:pt idx="3">
                  <c:v>539</c:v>
                </c:pt>
                <c:pt idx="4">
                  <c:v>358</c:v>
                </c:pt>
                <c:pt idx="5">
                  <c:v>453</c:v>
                </c:pt>
                <c:pt idx="6">
                  <c:v>427</c:v>
                </c:pt>
              </c:numCache>
            </c:numRef>
          </c:val>
        </c:ser>
        <c:ser>
          <c:idx val="2"/>
          <c:order val="2"/>
          <c:tx>
            <c:strRef>
              <c:f>[工作簿2]Sheet1!$A$47</c:f>
              <c:strCache>
                <c:ptCount val="1"/>
                <c:pt idx="0">
                  <c:v>涡轮螺旋桨飞机</c:v>
                </c:pt>
              </c:strCache>
            </c:strRef>
          </c:tx>
          <c:spPr>
            <a:solidFill>
              <a:srgbClr val="E7E6E6">
                <a:lumMod val="50000"/>
              </a:srgbClr>
            </a:solidFill>
            <a:ln>
              <a:noFill/>
            </a:ln>
            <a:effectLst/>
          </c:spPr>
          <c:invertIfNegative val="0"/>
          <c:dLbls>
            <c:delete val="1"/>
          </c:dLbls>
          <c:cat>
            <c:strRef>
              <c:f>[工作簿2]Sheet1!$B$44:$H$44</c:f>
              <c:strCache>
                <c:ptCount val="7"/>
                <c:pt idx="0">
                  <c:v>2024Q1</c:v>
                </c:pt>
                <c:pt idx="1">
                  <c:v>2024Q2</c:v>
                </c:pt>
                <c:pt idx="2">
                  <c:v>2024Q3</c:v>
                </c:pt>
                <c:pt idx="3">
                  <c:v>2024Q4</c:v>
                </c:pt>
                <c:pt idx="4">
                  <c:v>2025Q1</c:v>
                </c:pt>
                <c:pt idx="5">
                  <c:v>2025Q2</c:v>
                </c:pt>
                <c:pt idx="6">
                  <c:v>2025Q3</c:v>
                </c:pt>
              </c:strCache>
            </c:strRef>
          </c:cat>
          <c:val>
            <c:numRef>
              <c:f>[工作簿2]Sheet1!$B$47:$H$47</c:f>
              <c:numCache>
                <c:formatCode>General</c:formatCode>
                <c:ptCount val="7"/>
                <c:pt idx="0">
                  <c:v>108</c:v>
                </c:pt>
                <c:pt idx="1">
                  <c:v>172</c:v>
                </c:pt>
                <c:pt idx="2">
                  <c:v>155</c:v>
                </c:pt>
                <c:pt idx="3">
                  <c:v>191</c:v>
                </c:pt>
                <c:pt idx="4">
                  <c:v>133</c:v>
                </c:pt>
                <c:pt idx="5">
                  <c:v>135</c:v>
                </c:pt>
                <c:pt idx="6">
                  <c:v>141</c:v>
                </c:pt>
              </c:numCache>
            </c:numRef>
          </c:val>
        </c:ser>
        <c:dLbls>
          <c:showLegendKey val="0"/>
          <c:showVal val="0"/>
          <c:showCatName val="0"/>
          <c:showSerName val="0"/>
          <c:showPercent val="0"/>
          <c:showBubbleSize val="0"/>
        </c:dLbls>
        <c:gapWidth val="150"/>
        <c:axId val="934073833"/>
        <c:axId val="680721487"/>
      </c:barChart>
      <c:catAx>
        <c:axId val="934073833"/>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0" vertOverflow="ellipsis" vert="horz" wrap="square" anchor="ctr" anchorCtr="1" forceAA="0"/>
          <a:lstStyle/>
          <a:p>
            <a:pPr>
              <a:defRPr lang="zh-CN" sz="6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680721487"/>
        <c:crosses val="autoZero"/>
        <c:auto val="1"/>
        <c:lblAlgn val="ctr"/>
        <c:lblOffset val="100"/>
        <c:noMultiLvlLbl val="0"/>
      </c:catAx>
      <c:valAx>
        <c:axId val="680721487"/>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0" vertOverflow="ellipsis" vert="horz" wrap="square" anchor="ctr" anchorCtr="1" forceAA="0"/>
          <a:lstStyle/>
          <a:p>
            <a:pPr>
              <a:defRPr lang="zh-CN" sz="6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934073833"/>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0" vertOverflow="ellipsis" vert="horz" wrap="square" anchor="ctr" anchorCtr="1" forceAA="0"/>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2022ab9a-3445-457b-ba03-0d9584f91e1c}"/>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[工作簿2]Sheet1!$A$60</c:f>
              <c:strCache>
                <c:ptCount val="1"/>
                <c:pt idx="0">
                  <c:v>活塞直升机</c:v>
                </c:pt>
              </c:strCache>
            </c:strRef>
          </c:tx>
          <c:spPr>
            <a:solidFill>
              <a:sysClr val="window" lastClr="FFFFFF">
                <a:lumMod val="65000"/>
              </a:sysClr>
            </a:solidFill>
            <a:ln>
              <a:noFill/>
            </a:ln>
            <a:effectLst/>
          </c:spPr>
          <c:invertIfNegative val="0"/>
          <c:dLbls>
            <c:delete val="1"/>
          </c:dLbls>
          <c:cat>
            <c:strRef>
              <c:f>[工作簿2]Sheet1!$B$59:$H$59</c:f>
              <c:strCache>
                <c:ptCount val="7"/>
                <c:pt idx="0">
                  <c:v>2024Q1</c:v>
                </c:pt>
                <c:pt idx="1">
                  <c:v>2024Q2</c:v>
                </c:pt>
                <c:pt idx="2">
                  <c:v>2024Q3</c:v>
                </c:pt>
                <c:pt idx="3">
                  <c:v>2024Q4</c:v>
                </c:pt>
                <c:pt idx="4">
                  <c:v>2025Q1</c:v>
                </c:pt>
                <c:pt idx="5">
                  <c:v>2025Q2</c:v>
                </c:pt>
                <c:pt idx="6">
                  <c:v>2025Q3</c:v>
                </c:pt>
              </c:strCache>
            </c:strRef>
          </c:cat>
          <c:val>
            <c:numRef>
              <c:f>[工作簿2]Sheet1!$B$60:$H$60</c:f>
              <c:numCache>
                <c:formatCode>General</c:formatCode>
                <c:ptCount val="7"/>
                <c:pt idx="0">
                  <c:v>53</c:v>
                </c:pt>
                <c:pt idx="1">
                  <c:v>54</c:v>
                </c:pt>
                <c:pt idx="2">
                  <c:v>48</c:v>
                </c:pt>
                <c:pt idx="3">
                  <c:v>55</c:v>
                </c:pt>
                <c:pt idx="4">
                  <c:v>54</c:v>
                </c:pt>
                <c:pt idx="5">
                  <c:v>50</c:v>
                </c:pt>
                <c:pt idx="6">
                  <c:v>45</c:v>
                </c:pt>
              </c:numCache>
            </c:numRef>
          </c:val>
        </c:ser>
        <c:ser>
          <c:idx val="1"/>
          <c:order val="1"/>
          <c:tx>
            <c:strRef>
              <c:f>[工作簿2]Sheet1!$A$61</c:f>
              <c:strCache>
                <c:ptCount val="1"/>
                <c:pt idx="0">
                  <c:v>涡轮直升机</c:v>
                </c:pt>
              </c:strCache>
            </c:strRef>
          </c:tx>
          <c:spPr>
            <a:solidFill>
              <a:srgbClr val="4874CB">
                <a:lumMod val="50000"/>
              </a:srgbClr>
            </a:solidFill>
            <a:ln>
              <a:noFill/>
            </a:ln>
            <a:effectLst/>
          </c:spPr>
          <c:invertIfNegative val="0"/>
          <c:dLbls>
            <c:delete val="1"/>
          </c:dLbls>
          <c:cat>
            <c:strRef>
              <c:f>[工作簿2]Sheet1!$B$59:$H$59</c:f>
              <c:strCache>
                <c:ptCount val="7"/>
                <c:pt idx="0">
                  <c:v>2024Q1</c:v>
                </c:pt>
                <c:pt idx="1">
                  <c:v>2024Q2</c:v>
                </c:pt>
                <c:pt idx="2">
                  <c:v>2024Q3</c:v>
                </c:pt>
                <c:pt idx="3">
                  <c:v>2024Q4</c:v>
                </c:pt>
                <c:pt idx="4">
                  <c:v>2025Q1</c:v>
                </c:pt>
                <c:pt idx="5">
                  <c:v>2025Q2</c:v>
                </c:pt>
                <c:pt idx="6">
                  <c:v>2025Q3</c:v>
                </c:pt>
              </c:strCache>
            </c:strRef>
          </c:cat>
          <c:val>
            <c:numRef>
              <c:f>[工作簿2]Sheet1!$B$61:$H$61</c:f>
              <c:numCache>
                <c:formatCode>General</c:formatCode>
                <c:ptCount val="7"/>
                <c:pt idx="0">
                  <c:v>131</c:v>
                </c:pt>
                <c:pt idx="1">
                  <c:v>178</c:v>
                </c:pt>
                <c:pt idx="2">
                  <c:v>169</c:v>
                </c:pt>
                <c:pt idx="3">
                  <c:v>347</c:v>
                </c:pt>
                <c:pt idx="4">
                  <c:v>133</c:v>
                </c:pt>
                <c:pt idx="5">
                  <c:v>166</c:v>
                </c:pt>
                <c:pt idx="6">
                  <c:v>164</c:v>
                </c:pt>
              </c:numCache>
            </c:numRef>
          </c:val>
        </c:ser>
        <c:dLbls>
          <c:showLegendKey val="0"/>
          <c:showVal val="0"/>
          <c:showCatName val="0"/>
          <c:showSerName val="0"/>
          <c:showPercent val="0"/>
          <c:showBubbleSize val="0"/>
        </c:dLbls>
        <c:gapWidth val="150"/>
        <c:axId val="478762831"/>
        <c:axId val="859488746"/>
      </c:barChart>
      <c:catAx>
        <c:axId val="478762831"/>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0" vertOverflow="ellipsis" vert="horz" wrap="square" anchor="ctr" anchorCtr="1" forceAA="0"/>
          <a:lstStyle/>
          <a:p>
            <a:pPr>
              <a:defRPr lang="zh-CN" sz="6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859488746"/>
        <c:crosses val="autoZero"/>
        <c:auto val="1"/>
        <c:lblAlgn val="ctr"/>
        <c:lblOffset val="100"/>
        <c:noMultiLvlLbl val="0"/>
      </c:catAx>
      <c:valAx>
        <c:axId val="859488746"/>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0" vertOverflow="ellipsis" vert="horz" wrap="square" anchor="ctr" anchorCtr="1" forceAA="0"/>
          <a:lstStyle/>
          <a:p>
            <a:pPr>
              <a:defRPr lang="zh-CN" sz="6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478762831"/>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0" vertOverflow="ellipsis" vert="horz" wrap="square" anchor="ctr" anchorCtr="1" forceAA="0"/>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2ed0a1bc-fe8d-4af9-b1d6-ab3237324601}"/>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withinLinear" id="18">
  <a:schemeClr val="accent5"/>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withinLinear" id="18">
  <a:schemeClr val="accent5"/>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withinLinear" id="18">
  <a:schemeClr val="accent5"/>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withinLinear" id="18">
  <a:schemeClr val="accent5"/>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1001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14.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MyNewTheme">
      <a:dk1>
        <a:sysClr val="windowText" lastClr="000000"/>
      </a:dk1>
      <a:lt1>
        <a:sysClr val="window" lastClr="FFFFFF"/>
      </a:lt1>
      <a:dk2>
        <a:srgbClr val="1F497D"/>
      </a:dk2>
      <a:lt2>
        <a:srgbClr val="EEECE1"/>
      </a:lt2>
      <a:accent1>
        <a:srgbClr val="99CCFF"/>
      </a:accent1>
      <a:accent2>
        <a:srgbClr val="FF8181"/>
      </a:accent2>
      <a:accent3>
        <a:srgbClr val="86C091"/>
      </a:accent3>
      <a:accent4>
        <a:srgbClr val="ECB340"/>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23558C">
            <a:alpha val="90000"/>
          </a:srgbClr>
        </a:solidFill>
        <a:ln>
          <a:noFill/>
        </a:ln>
        <a:effectLst>
          <a:softEdge rad="0"/>
        </a:effectLst>
      </a:spPr>
      <a:bodyPr rot="0" spcFirstLastPara="0" vertOverflow="overflow" horzOverflow="overflow" vert="horz" wrap="square" lIns="91440" tIns="45720" rIns="91440" bIns="45720" numCol="1" spcCol="0" rtlCol="0" fromWordArt="0" anchor="ctr" anchorCtr="0" forceAA="0" compatLnSpc="1">
        <a:noAutofit/>
      </a:bodyPr>
      <a:lstStyle/>
      <a:style>
        <a:lnRef idx="2">
          <a:schemeClr val="accent1">
            <a:shade val="50000"/>
          </a:schemeClr>
        </a:lnRef>
        <a:fillRef idx="1">
          <a:schemeClr val="accent1"/>
        </a:fillRef>
        <a:effectRef idx="0">
          <a:schemeClr val="accent1"/>
        </a:effectRef>
        <a:fontRef idx="minor">
          <a:schemeClr val="lt1"/>
        </a:fontRef>
      </a:style>
    </a:spDef>
  </a:objectDefaults>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0BD6CBB-6617-4FF7-953A-408A28C97626}">
  <ds:schemaRefs/>
</ds:datastoreItem>
</file>

<file path=docProps/app.xml><?xml version="1.0" encoding="utf-8"?>
<Properties xmlns="http://schemas.openxmlformats.org/officeDocument/2006/extended-properties" xmlns:vt="http://schemas.openxmlformats.org/officeDocument/2006/docPropsVTypes">
  <Template>Macro note - HTI</Template>
  <Company>Japaninvest</Company>
  <Pages>33</Pages>
  <Words>19323</Words>
  <Characters>32609</Characters>
  <Lines>838</Lines>
  <Paragraphs>447</Paragraphs>
  <TotalTime>11</TotalTime>
  <ScaleCrop>false</ScaleCrop>
  <LinksUpToDate>false</LinksUpToDate>
  <CharactersWithSpaces>35683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2026-02-12T15:40:00Z</dcterms:created>
  <dc:creator>zhoulinhong</dc:creator>
  <cp:lastModifiedBy>微信用户</cp:lastModifiedBy>
  <cp:lastPrinted>2019-08-10T16:02:00Z</cp:lastPrinted>
  <dcterms:modified xsi:type="dcterms:W3CDTF">2026-02-13T12:49:42Z</dcterms:modified>
  <dc:title>Sector note</dc:title>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FADisclaimerHiddenTextStyle">
    <vt:lpwstr>EFADisclaimerHiddenText</vt:lpwstr>
  </property>
  <property fmtid="{D5CDD505-2E9C-101B-9397-08002B2CF9AE}" pid="3" name="EFADisclaimerTextStyle">
    <vt:lpwstr>EFADisclaimerText</vt:lpwstr>
  </property>
  <property fmtid="{D5CDD505-2E9C-101B-9397-08002B2CF9AE}" pid="4" name="EFADocTemplateVer">
    <vt:lpwstr>HaiTong</vt:lpwstr>
  </property>
  <property fmtid="{D5CDD505-2E9C-101B-9397-08002B2CF9AE}" pid="5" name="EFALanguageID">
    <vt:lpwstr>2057</vt:lpwstr>
  </property>
  <property fmtid="{D5CDD505-2E9C-101B-9397-08002B2CF9AE}" pid="6" name="EFATemplate">
    <vt:lpwstr>Macro note - HTI.dotx</vt:lpwstr>
  </property>
  <property fmtid="{D5CDD505-2E9C-101B-9397-08002B2CF9AE}" pid="7" name="EFATemplateID">
    <vt:lpwstr>203</vt:lpwstr>
  </property>
  <property fmtid="{D5CDD505-2E9C-101B-9397-08002B2CF9AE}" pid="8" name="EFACorpID">
    <vt:lpwstr>-1</vt:lpwstr>
  </property>
  <property fmtid="{D5CDD505-2E9C-101B-9397-08002B2CF9AE}" pid="9" name="EFACoName">
    <vt:lpwstr/>
  </property>
  <property fmtid="{D5CDD505-2E9C-101B-9397-08002B2CF9AE}" pid="10" name="EFAModel">
    <vt:lpwstr/>
  </property>
  <property fmtid="{D5CDD505-2E9C-101B-9397-08002B2CF9AE}" pid="11" name="EFADevData">
    <vt:lpwstr>0</vt:lpwstr>
  </property>
  <property fmtid="{D5CDD505-2E9C-101B-9397-08002B2CF9AE}" pid="12" name="EFAUnits">
    <vt:lpwstr>Use Default</vt:lpwstr>
  </property>
  <property fmtid="{D5CDD505-2E9C-101B-9397-08002B2CF9AE}" pid="13" name="EFAStartYear">
    <vt:lpwstr>0</vt:lpwstr>
  </property>
  <property fmtid="{D5CDD505-2E9C-101B-9397-08002B2CF9AE}" pid="14" name="EFADefaultPriceDate">
    <vt:lpwstr>-1</vt:lpwstr>
  </property>
  <property fmtid="{D5CDD505-2E9C-101B-9397-08002B2CF9AE}" pid="15" name="EFAPriceDate">
    <vt:lpwstr>20190727 00:00:00</vt:lpwstr>
  </property>
  <property fmtid="{D5CDD505-2E9C-101B-9397-08002B2CF9AE}" pid="16" name="EFADocID">
    <vt:lpwstr>38659</vt:lpwstr>
  </property>
  <property fmtid="{D5CDD505-2E9C-101B-9397-08002B2CF9AE}" pid="17" name="EFALastRefreshDate">
    <vt:lpwstr>20190728 11:52:34</vt:lpwstr>
  </property>
  <property fmtid="{D5CDD505-2E9C-101B-9397-08002B2CF9AE}" pid="18" name="EFAUserID">
    <vt:lpwstr>2100</vt:lpwstr>
  </property>
  <property fmtid="{D5CDD505-2E9C-101B-9397-08002B2CF9AE}" pid="19" name="EFAAccountID">
    <vt:lpwstr>1010</vt:lpwstr>
  </property>
  <property fmtid="{D5CDD505-2E9C-101B-9397-08002B2CF9AE}" pid="20" name="EFAExcelVersion">
    <vt:lpwstr>14</vt:lpwstr>
  </property>
  <property fmtid="{D5CDD505-2E9C-101B-9397-08002B2CF9AE}" pid="21" name="EFAWordVersion">
    <vt:lpwstr>14</vt:lpwstr>
  </property>
  <property fmtid="{D5CDD505-2E9C-101B-9397-08002B2CF9AE}" pid="22" name="EFAUseIntTables">
    <vt:lpwstr>0</vt:lpwstr>
  </property>
  <property fmtid="{D5CDD505-2E9C-101B-9397-08002B2CF9AE}" pid="23" name="EFAIntStartYear">
    <vt:lpwstr>0</vt:lpwstr>
  </property>
  <property fmtid="{D5CDD505-2E9C-101B-9397-08002B2CF9AE}" pid="24" name="EFAIntEndYear">
    <vt:lpwstr>0</vt:lpwstr>
  </property>
  <property fmtid="{D5CDD505-2E9C-101B-9397-08002B2CF9AE}" pid="25" name="EFAFirstIntOffset">
    <vt:lpwstr>1</vt:lpwstr>
  </property>
  <property fmtid="{D5CDD505-2E9C-101B-9397-08002B2CF9AE}" pid="26" name="EFAIntPeriodNumber">
    <vt:lpwstr>0</vt:lpwstr>
  </property>
  <property fmtid="{D5CDD505-2E9C-101B-9397-08002B2CF9AE}" pid="27" name="EFASectorID">
    <vt:lpwstr/>
  </property>
  <property fmtid="{D5CDD505-2E9C-101B-9397-08002B2CF9AE}" pid="28" name="EFAIndustryID">
    <vt:lpwstr/>
  </property>
  <property fmtid="{D5CDD505-2E9C-101B-9397-08002B2CF9AE}" pid="29" name="EFAMarket">
    <vt:lpwstr>HK</vt:lpwstr>
  </property>
  <property fmtid="{D5CDD505-2E9C-101B-9397-08002B2CF9AE}" pid="30" name="EFASecurityIndex">
    <vt:lpwstr>0</vt:lpwstr>
  </property>
  <property fmtid="{D5CDD505-2E9C-101B-9397-08002B2CF9AE}" pid="31" name="EFASecurityID">
    <vt:lpwstr/>
  </property>
  <property fmtid="{D5CDD505-2E9C-101B-9397-08002B2CF9AE}" pid="32" name="EFAAnnualise">
    <vt:lpwstr>0</vt:lpwstr>
  </property>
  <property fmtid="{D5CDD505-2E9C-101B-9397-08002B2CF9AE}" pid="33" name="EFAAnnMonth">
    <vt:lpwstr>12</vt:lpwstr>
  </property>
  <property fmtid="{D5CDD505-2E9C-101B-9397-08002B2CF9AE}" pid="34" name="EFACompCorpIDs">
    <vt:lpwstr/>
  </property>
  <property fmtid="{D5CDD505-2E9C-101B-9397-08002B2CF9AE}" pid="35" name="EFACompCorpNames">
    <vt:lpwstr/>
  </property>
  <property fmtid="{D5CDD505-2E9C-101B-9397-08002B2CF9AE}" pid="36" name="EFACoShortName">
    <vt:lpwstr/>
  </property>
  <property fmtid="{D5CDD505-2E9C-101B-9397-08002B2CF9AE}" pid="37" name="EFACompCorpShortNames">
    <vt:lpwstr/>
  </property>
  <property fmtid="{D5CDD505-2E9C-101B-9397-08002B2CF9AE}" pid="38" name="EFACorpMentionIDs">
    <vt:lpwstr/>
  </property>
  <property fmtid="{D5CDD505-2E9C-101B-9397-08002B2CF9AE}" pid="39" name="EFACorpMentionNames">
    <vt:lpwstr/>
  </property>
  <property fmtid="{D5CDD505-2E9C-101B-9397-08002B2CF9AE}" pid="40" name="EFACorpMentionShortNames">
    <vt:lpwstr/>
  </property>
  <property fmtid="{D5CDD505-2E9C-101B-9397-08002B2CF9AE}" pid="41" name="EFAAuthorIDs">
    <vt:lpwstr>2081</vt:lpwstr>
  </property>
  <property fmtid="{D5CDD505-2E9C-101B-9397-08002B2CF9AE}" pid="42" name="EFAAuthorNames">
    <vt:lpwstr>Andy So, CFA</vt:lpwstr>
  </property>
  <property fmtid="{D5CDD505-2E9C-101B-9397-08002B2CF9AE}" pid="43" name="EFAAuthorEmails">
    <vt:lpwstr>andy.cy.so@htisec.com</vt:lpwstr>
  </property>
  <property fmtid="{D5CDD505-2E9C-101B-9397-08002B2CF9AE}" pid="44" name="EFAAuthorPhones">
    <vt:lpwstr/>
  </property>
  <property fmtid="{D5CDD505-2E9C-101B-9397-08002B2CF9AE}" pid="45" name="EFAAuthorJobTitles">
    <vt:lpwstr/>
  </property>
  <property fmtid="{D5CDD505-2E9C-101B-9397-08002B2CF9AE}" pid="46" name="EFAPageCount">
    <vt:lpwstr>14</vt:lpwstr>
  </property>
  <property fmtid="{D5CDD505-2E9C-101B-9397-08002B2CF9AE}" pid="47" name="date">
    <vt:lpwstr>30 Jun 2020</vt:lpwstr>
  </property>
  <property fmtid="{D5CDD505-2E9C-101B-9397-08002B2CF9AE}" pid="48" name="languageType">
    <vt:lpwstr>1</vt:lpwstr>
  </property>
  <property fmtid="{D5CDD505-2E9C-101B-9397-08002B2CF9AE}" pid="49" name="reporttype">
    <vt:lpwstr>6</vt:lpwstr>
  </property>
  <property fmtid="{D5CDD505-2E9C-101B-9397-08002B2CF9AE}" pid="50" name="versiontype">
    <vt:lpwstr>HTI_Event_CN</vt:lpwstr>
  </property>
  <property fmtid="{D5CDD505-2E9C-101B-9397-08002B2CF9AE}" pid="51" name="version">
    <vt:lpwstr>1.0</vt:lpwstr>
  </property>
  <property fmtid="{D5CDD505-2E9C-101B-9397-08002B2CF9AE}" pid="52" name="typeId">
    <vt:lpwstr>2</vt:lpwstr>
  </property>
  <property fmtid="{D5CDD505-2E9C-101B-9397-08002B2CF9AE}" pid="53" name="analysts">
    <vt:lpwstr>System.Collections.ArrayList</vt:lpwstr>
  </property>
  <property fmtid="{D5CDD505-2E9C-101B-9397-08002B2CF9AE}" pid="54" name="analystids">
    <vt:lpwstr>2,77</vt:lpwstr>
  </property>
  <property fmtid="{D5CDD505-2E9C-101B-9397-08002B2CF9AE}" pid="55" name="sectorinfo">
    <vt:lpwstr>Custom Sector1</vt:lpwstr>
  </property>
  <property fmtid="{D5CDD505-2E9C-101B-9397-08002B2CF9AE}" pid="56" name="reportid">
    <vt:lpwstr/>
  </property>
  <property fmtid="{D5CDD505-2E9C-101B-9397-08002B2CF9AE}" pid="57" name="reporttitle">
    <vt:lpwstr/>
  </property>
  <property fmtid="{D5CDD505-2E9C-101B-9397-08002B2CF9AE}" pid="58" name="KSOTemplateDocerSaveRecord">
    <vt:lpwstr>eyJoZGlkIjoiN2YzNjBkOTgyNWQ1YTMxYzM3MzMwNWFiODNmOWIzYWMiLCJ1c2VySWQiOiIxMjgyNzI4NjcyIn0=</vt:lpwstr>
  </property>
  <property fmtid="{D5CDD505-2E9C-101B-9397-08002B2CF9AE}" pid="59" name="KSOProductBuildVer">
    <vt:lpwstr>2052-12.1.0.24034</vt:lpwstr>
  </property>
  <property fmtid="{D5CDD505-2E9C-101B-9397-08002B2CF9AE}" pid="60" name="ICV">
    <vt:lpwstr>9625D5DDD227445AA35DC7BF6D339E6C_13</vt:lpwstr>
  </property>
</Properties>
</file>