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pPr w:bottomFromText="360" w:tblpXSpec="right" w:tblpY="-239"/>
        <w:tblOverlap w:val="never"/>
        <w:tblW w:w="10376" w:type="dxa"/>
        <w:tblCaption w:val="[Table_Title]"/>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40" w:type="dxa"/>
          <w:bottom w:w="0" w:type="dxa"/>
          <w:right w:w="40" w:type="dxa"/>
        </w:tblCellMar>
      </w:tblPr>
      <w:tblGrid>
        <w:gridCol w:w="7643"/>
        <w:gridCol w:w="2733"/>
      </w:tblGrid>
      <w:tr w14:paraId="3FCF8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23" w:hRule="exact"/>
        </w:trPr>
        <w:tc>
          <w:tcPr>
            <w:tcW w:w="10376" w:type="dxa"/>
            <w:gridSpan w:val="2"/>
          </w:tcPr>
          <w:p w14:paraId="551C755E">
            <w:pPr>
              <w:pStyle w:val="37"/>
              <w:framePr w:hRule="auto" w:wrap="auto" w:vAnchor="margin" w:hAnchor="text" w:xAlign="left" w:yAlign="inline"/>
              <w:rPr>
                <w:rFonts w:eastAsia="楷体_GB2312" w:cs="Calibri"/>
              </w:rPr>
            </w:pPr>
            <w:r>
              <w:rPr>
                <w:rFonts w:eastAsia="楷体_GB2312" w:cs="Calibri"/>
                <w:b w:val="0"/>
                <w:color w:val="FFFFFF" w:themeColor="background1"/>
                <w:sz w:val="16"/>
                <w:lang w:eastAsia="zh-CN"/>
                <w14:textFill>
                  <w14:solidFill>
                    <w14:schemeClr w14:val="bg1"/>
                  </w14:solidFill>
                </w14:textFill>
              </w:rPr>
              <w:t>[Table_Title]</w:t>
            </w:r>
          </w:p>
        </w:tc>
      </w:tr>
      <w:tr w14:paraId="3C3E6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18" w:hRule="exact"/>
        </w:trPr>
        <w:tc>
          <w:tcPr>
            <w:tcW w:w="7643" w:type="dxa"/>
            <w:vAlign w:val="center"/>
          </w:tcPr>
          <w:p w14:paraId="16731176">
            <w:pPr>
              <w:pStyle w:val="37"/>
              <w:framePr w:hRule="auto" w:wrap="auto" w:vAnchor="margin" w:hAnchor="text" w:xAlign="left" w:yAlign="inline"/>
              <w:rPr>
                <w:rFonts w:eastAsia="楷体_GB2312" w:cs="Calibri"/>
                <w:b w:val="0"/>
                <w:sz w:val="16"/>
                <w:lang w:eastAsia="zh-CN"/>
              </w:rPr>
            </w:pPr>
            <w:r>
              <w:rPr>
                <w:rFonts w:eastAsia="楷体_GB2312" w:cs="Calibri"/>
                <w:b w:val="0"/>
                <w:sz w:val="16"/>
                <w:lang w:eastAsia="zh-CN"/>
              </w:rPr>
              <w:t>研究报告Research Report</w:t>
            </w:r>
          </w:p>
        </w:tc>
        <w:tc>
          <w:tcPr>
            <w:tcW w:w="2733" w:type="dxa"/>
            <w:vAlign w:val="center"/>
          </w:tcPr>
          <w:p w14:paraId="57719A6E">
            <w:pPr>
              <w:pStyle w:val="37"/>
              <w:framePr w:hRule="auto" w:wrap="auto" w:vAnchor="margin" w:hAnchor="text" w:xAlign="left" w:yAlign="inline"/>
              <w:rPr>
                <w:rFonts w:eastAsia="楷体_GB2312" w:cs="Calibri"/>
              </w:rPr>
            </w:pPr>
          </w:p>
        </w:tc>
      </w:tr>
      <w:tr w14:paraId="60B34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20" w:hRule="atLeast"/>
        </w:trPr>
        <w:tc>
          <w:tcPr>
            <w:tcW w:w="7643" w:type="dxa"/>
            <w:vAlign w:val="center"/>
          </w:tcPr>
          <w:p w14:paraId="402F48C9">
            <w:pPr>
              <w:pStyle w:val="37"/>
              <w:framePr w:hRule="auto" w:wrap="auto" w:vAnchor="margin" w:hAnchor="text" w:xAlign="left" w:yAlign="inline"/>
              <w:rPr>
                <w:rFonts w:eastAsia="楷体_GB2312" w:cs="Calibri"/>
                <w:b w:val="0"/>
                <w:sz w:val="20"/>
                <w:szCs w:val="20"/>
                <w:lang w:eastAsia="zh-CN"/>
              </w:rPr>
            </w:pPr>
            <w:r>
              <w:rPr>
                <w:rFonts w:ascii="Calibri" w:eastAsia="楷体_GB2312"/>
                <w:b w:val="0"/>
                <w:i w:val="0"/>
                <w:color w:val="215E99"/>
                <w:sz w:val="16"/>
              </w:rPr>
              <w:t>24 Feb 2026</w:t>
            </w:r>
          </w:p>
        </w:tc>
        <w:tc>
          <w:tcPr>
            <w:tcW w:w="2733" w:type="dxa"/>
            <w:vAlign w:val="center"/>
          </w:tcPr>
          <w:p w14:paraId="71082653">
            <w:pPr>
              <w:pStyle w:val="37"/>
              <w:framePr w:hRule="auto" w:wrap="auto" w:vAnchor="margin" w:hAnchor="text" w:xAlign="left" w:yAlign="inline"/>
              <w:wordWrap w:val="0"/>
              <w:jc w:val="right"/>
              <w:rPr>
                <w:rFonts w:eastAsia="楷体_GB2312" w:cs="Calibri"/>
                <w:lang w:eastAsia="zh-CN"/>
              </w:rPr>
            </w:pPr>
          </w:p>
        </w:tc>
      </w:tr>
      <w:tr w14:paraId="28D37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47" w:hRule="exact"/>
        </w:trPr>
        <w:tc>
          <w:tcPr>
            <w:tcW w:w="7643" w:type="dxa"/>
          </w:tcPr>
          <w:p w14:paraId="57B0F7B3">
            <w:pPr>
              <w:pStyle w:val="104"/>
              <w:framePr w:w="0" w:hRule="auto" w:wrap="auto" w:vAnchor="margin" w:hAnchor="text" w:xAlign="left" w:yAlign="inline"/>
              <w:rPr>
                <w:rFonts w:eastAsia="楷体_GB2312" w:cs="Calibri"/>
                <w:sz w:val="16"/>
                <w:szCs w:val="16"/>
                <w:lang w:val="en-GB" w:eastAsia="zh-CN"/>
              </w:rPr>
            </w:pPr>
          </w:p>
        </w:tc>
        <w:tc>
          <w:tcPr>
            <w:tcW w:w="2733" w:type="dxa"/>
            <w:vAlign w:val="center"/>
          </w:tcPr>
          <w:p w14:paraId="3B1B7E92">
            <w:pPr>
              <w:pStyle w:val="37"/>
              <w:framePr w:hRule="auto" w:wrap="auto" w:vAnchor="margin" w:hAnchor="text" w:xAlign="left" w:yAlign="inline"/>
              <w:jc w:val="right"/>
              <w:rPr>
                <w:rFonts w:eastAsia="楷体_GB2312" w:cs="Calibri"/>
              </w:rPr>
            </w:pPr>
          </w:p>
        </w:tc>
      </w:tr>
      <w:tr w14:paraId="5228A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583" w:hRule="exact"/>
        </w:trPr>
        <w:tc>
          <w:tcPr>
            <w:tcW w:w="10376" w:type="dxa"/>
            <w:gridSpan w:val="2"/>
          </w:tcPr>
          <w:p w14:paraId="5401550C">
            <w:pPr>
              <w:pStyle w:val="37"/>
              <w:framePr w:hRule="auto" w:wrap="auto" w:vAnchor="margin" w:hAnchor="text" w:xAlign="left" w:yAlign="inline"/>
              <w:rPr>
                <w:rFonts w:eastAsia="楷体_GB2312" w:cs="Calibri"/>
                <w:sz w:val="30"/>
              </w:rPr>
            </w:pPr>
            <w:r>
              <w:rPr>
                <w:rFonts w:eastAsia="楷体_GB2312" w:cs="Calibri"/>
                <w:sz w:val="30"/>
                <w:lang w:eastAsia="zh-CN"/>
              </w:rPr>
              <w:t>全球</w:t>
            </w:r>
            <w:r>
              <w:rPr>
                <w:rFonts w:eastAsia="楷体_GB2312" w:cs="Calibri"/>
                <w:sz w:val="30"/>
              </w:rPr>
              <w:t>宏观</w:t>
            </w:r>
            <w:r>
              <w:rPr>
                <w:rFonts w:eastAsia="楷体_GB2312" w:cs="Calibri"/>
                <w:sz w:val="30"/>
                <w:lang w:eastAsia="zh-CN"/>
              </w:rPr>
              <w:t>World</w:t>
            </w:r>
            <w:r>
              <w:rPr>
                <w:rFonts w:eastAsia="楷体_GB2312" w:cs="Calibri"/>
                <w:sz w:val="30"/>
              </w:rPr>
              <w:t xml:space="preserve"> Macro</w:t>
            </w:r>
          </w:p>
        </w:tc>
      </w:tr>
      <w:tr w14:paraId="41C9F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374" w:hRule="exact"/>
        </w:trPr>
        <w:tc>
          <w:tcPr>
            <w:tcW w:w="10376" w:type="dxa"/>
            <w:gridSpan w:val="2"/>
            <w:vAlign w:val="center"/>
          </w:tcPr>
          <w:p w14:paraId="0B267BFA">
            <w:pPr>
              <w:pStyle w:val="153"/>
              <w:keepNext w:val="0"/>
              <w:keepLines w:val="0"/>
              <w:pageBreakBefore w:val="0"/>
              <w:widowControl/>
              <w:kinsoku/>
              <w:wordWrap/>
              <w:overflowPunct/>
              <w:topLinePunct w:val="0"/>
              <w:autoSpaceDE/>
              <w:autoSpaceDN/>
              <w:bidi w:val="0"/>
              <w:adjustRightInd/>
              <w:snapToGrid/>
              <w:spacing w:line="216" w:lineRule="auto"/>
              <w:textAlignment w:val="auto"/>
              <w:rPr>
                <w:rFonts w:eastAsia="宋体"/>
                <w:sz w:val="28"/>
                <w:szCs w:val="28"/>
                <w:lang w:eastAsia="zh-CN"/>
              </w:rPr>
            </w:pPr>
            <w:r>
              <w:rPr>
                <w:rFonts w:ascii="Calibri" w:eastAsia="楷体_GB2312"/>
                <w:b w:val="0"/>
                <w:i w:val="0"/>
                <w:color w:val="215E99"/>
                <w:sz w:val="32"/>
              </w:rPr>
              <w:t>SpaceX 100万卫星发射计划：收购xAI布局 "发射-算力-传输"垂直整合，解构地面算力核心成本困局重构商业版图</w:t>
            </w:r>
          </w:p>
          <w:p w14:paraId="5DEF562E">
            <w:pPr>
              <w:pStyle w:val="153"/>
              <w:keepNext w:val="0"/>
              <w:keepLines w:val="0"/>
              <w:pageBreakBefore w:val="0"/>
              <w:widowControl/>
              <w:kinsoku/>
              <w:wordWrap/>
              <w:overflowPunct/>
              <w:topLinePunct w:val="0"/>
              <w:autoSpaceDE/>
              <w:autoSpaceDN/>
              <w:bidi w:val="0"/>
              <w:adjustRightInd/>
              <w:snapToGrid/>
              <w:spacing w:line="216" w:lineRule="auto"/>
              <w:textAlignment w:val="auto"/>
              <w:rPr>
                <w:rFonts w:eastAsia="楷体_GB2312" w:cs="Calibri"/>
                <w:b w:val="0"/>
                <w:color w:val="23558C"/>
                <w:sz w:val="24"/>
                <w:szCs w:val="24"/>
                <w:lang w:eastAsia="zh-CN"/>
              </w:rPr>
            </w:pPr>
            <w:r>
              <w:rPr>
                <w:rFonts w:ascii="Calibri" w:eastAsia="楷体_GB2312"/>
                <w:b w:val="0"/>
                <w:i w:val="0"/>
                <w:color w:val="215E99"/>
                <w:sz w:val="28"/>
                <w:szCs w:val="18"/>
              </w:rPr>
              <w:t>SpaceX 1M-Satellite Launch Plan: Acquires xAI for "Launch-Compute-Relay" Vertical Integration, Deconstructing Terrestrial Compute Cost Trap to Reshape Business Landscape</w:t>
            </w:r>
          </w:p>
        </w:tc>
      </w:tr>
      <w:tr w14:paraId="7C52C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90" w:hRule="exact"/>
        </w:trPr>
        <w:tc>
          <w:tcPr>
            <w:tcW w:w="10376" w:type="dxa"/>
            <w:gridSpan w:val="2"/>
            <w:vAlign w:val="center"/>
          </w:tcPr>
          <w:p w14:paraId="7CCDC02F">
            <w:pPr>
              <w:pStyle w:val="153"/>
              <w:spacing w:line="360" w:lineRule="exact"/>
              <w:rPr>
                <w:rFonts w:eastAsia="楷体_GB2312" w:cs="Calibri"/>
                <w:sz w:val="24"/>
                <w:szCs w:val="24"/>
              </w:rPr>
            </w:pPr>
          </w:p>
        </w:tc>
      </w:tr>
      <w:tr w14:paraId="1010A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620" w:hRule="atLeast"/>
        </w:trPr>
        <w:tc>
          <w:tcPr>
            <w:tcW w:w="10376" w:type="dxa"/>
            <w:gridSpan w:val="2"/>
          </w:tcPr>
          <w:tbl>
            <w:tblPr>
              <w:tblStyle w:val="27"/>
              <w:tblW w:w="2694" w:type="dxa"/>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tblGrid>
            <w:tr w14:paraId="68B2A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14:paraId="0FA93068">
                  <w:pPr>
                    <w:pStyle w:val="115"/>
                    <w:framePr w:wrap="auto" w:vAnchor="margin" w:hAnchor="text" w:yAlign="inline"/>
                    <w:rPr>
                      <w:rFonts w:eastAsia="楷体_GB2312" w:cs="Calibri"/>
                      <w:color w:val="FFFFFF" w:themeColor="background1"/>
                      <w14:textFill>
                        <w14:solidFill>
                          <w14:schemeClr w14:val="bg1"/>
                        </w14:solidFill>
                      </w14:textFill>
                    </w:rPr>
                  </w:pPr>
                  <w:r>
                    <w:rPr>
                      <w:rFonts w:eastAsia="楷体_GB2312" w:cs="Calibri"/>
                      <w:color w:val="FFFFFF" w:themeColor="background1"/>
                      <w14:textFill>
                        <w14:solidFill>
                          <w14:schemeClr w14:val="bg1"/>
                        </w14:solidFill>
                      </w14:textFill>
                    </w:rPr>
                    <w:t>[Table_Author]</w:t>
                  </w:r>
                </w:p>
              </w:tc>
            </w:tr>
            <w:tr w14:paraId="69C37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29F2FC3D">
                  <w:pPr>
                    <w:pStyle w:val="114"/>
                    <w:framePr w:wrap="auto" w:vAnchor="margin" w:hAnchor="text" w:yAlign="inline"/>
                    <w:rPr>
                      <w:rFonts w:eastAsia="楷体_GB2312" w:cs="Calibri"/>
                    </w:rPr>
                  </w:pPr>
                  <w:r>
                    <w:rPr>
                      <w:rFonts w:ascii="Calibri" w:eastAsia="楷体_GB2312"/>
                      <w:b/>
                      <w:i w:val="0"/>
                      <w:color w:val="000000"/>
                      <w:sz w:val="16"/>
                    </w:rPr>
                    <w:t>杨斌Bin Yang, SFC:BSQ313</w:t>
                  </w:r>
                </w:p>
              </w:tc>
            </w:tr>
            <w:tr w14:paraId="7694B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0B41CE51">
                  <w:pPr>
                    <w:pStyle w:val="114"/>
                    <w:framePr w:wrap="auto" w:vAnchor="margin" w:hAnchor="text" w:yAlign="inline"/>
                    <w:rPr>
                      <w:rFonts w:eastAsia="楷体_GB2312" w:cs="Calibri"/>
                      <w:b w:val="0"/>
                    </w:rPr>
                  </w:pPr>
                  <w:r>
                    <w:rPr>
                      <w:rFonts w:ascii="Calibri" w:eastAsia="楷体_GB2312"/>
                      <w:b w:val="0"/>
                      <w:i w:val="0"/>
                      <w:color w:val="000000"/>
                      <w:sz w:val="16"/>
                    </w:rPr>
                    <w:t>harryyang@hfisec.com.hk</w:t>
                  </w:r>
                </w:p>
              </w:tc>
            </w:tr>
          </w:tbl>
          <w:p w14:paraId="416663D5">
            <w:pPr>
              <w:pStyle w:val="114"/>
              <w:framePr w:wrap="auto" w:vAnchor="margin" w:hAnchor="text" w:yAlign="inline"/>
              <w:rPr>
                <w:rFonts w:eastAsia="楷体_GB2312" w:cs="Calibri"/>
                <w:sz w:val="18"/>
                <w:szCs w:val="18"/>
                <w:lang w:val="en-GB"/>
              </w:rPr>
            </w:pPr>
          </w:p>
        </w:tc>
      </w:tr>
      <w:tr w14:paraId="63E5B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70" w:hRule="exact"/>
        </w:trPr>
        <w:tc>
          <w:tcPr>
            <w:tcW w:w="10376" w:type="dxa"/>
            <w:gridSpan w:val="2"/>
          </w:tcPr>
          <w:p w14:paraId="6A76A004">
            <w:pPr>
              <w:pStyle w:val="114"/>
              <w:framePr w:wrap="auto" w:vAnchor="margin" w:hAnchor="text" w:yAlign="inline"/>
              <w:rPr>
                <w:rFonts w:eastAsia="楷体_GB2312" w:cs="Calibri"/>
                <w:b w:val="0"/>
              </w:rPr>
            </w:pPr>
          </w:p>
        </w:tc>
      </w:tr>
    </w:tbl>
    <w:p w14:paraId="7E8BF9A6">
      <w:pPr>
        <w:pStyle w:val="94"/>
        <w:spacing w:after="0" w:line="20" w:lineRule="exact"/>
        <w:rPr>
          <w:rFonts w:eastAsia="楷体_GB2312" w:cs="Calibri"/>
          <w:sz w:val="20"/>
          <w:lang w:eastAsia="zh-CN"/>
        </w:rPr>
      </w:pPr>
      <w:bookmarkStart w:id="0" w:name="OLE_LINK1"/>
      <w:bookmarkStart w:id="1" w:name="OLE_LINK2"/>
    </w:p>
    <w:tbl>
      <w:tblPr>
        <w:tblStyle w:val="27"/>
        <w:tblW w:w="0" w:type="auto"/>
        <w:tblCaption w:val="[Table_summary]"/>
        <w:tblDescription w:val="表格隐藏唯一标识（请勿删除或修改）"/>
        <w:tblInd w:w="4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0349"/>
      </w:tblGrid>
      <w:tr w14:paraId="1076B2A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0349" w:type="dxa"/>
          </w:tcPr>
          <w:p w14:paraId="5AF552CF">
            <w:pPr>
              <w:pStyle w:val="94"/>
              <w:spacing w:after="0"/>
              <w:rPr>
                <w:rFonts w:eastAsia="楷体_GB2312" w:cs="Calibri"/>
                <w:bCs/>
                <w:kern w:val="28"/>
                <w:sz w:val="20"/>
                <w:lang w:val="en-GB" w:eastAsia="zh-CN"/>
              </w:rPr>
            </w:pPr>
            <w:r>
              <w:rPr>
                <w:rFonts w:eastAsia="楷体_GB2312" w:cs="Calibri"/>
                <w:bCs/>
                <w:color w:val="FFFFFF" w:themeColor="background1"/>
                <w:kern w:val="28"/>
                <w:sz w:val="20"/>
                <w:lang w:val="en-GB" w:eastAsia="zh-CN"/>
                <w14:textFill>
                  <w14:solidFill>
                    <w14:schemeClr w14:val="bg1"/>
                  </w14:solidFill>
                </w14:textFill>
              </w:rPr>
              <w:t>[Table_summary]</w:t>
            </w:r>
          </w:p>
        </w:tc>
      </w:tr>
      <w:tr w14:paraId="33E1F54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353" w:hRule="atLeast"/>
        </w:trPr>
        <w:tc>
          <w:tcPr>
            <w:tcW w:w="10349" w:type="dxa"/>
          </w:tcPr>
          <w:p w14:paraId="34AFA5C1">
            <w:pPr>
              <w:pStyle w:val="94"/>
              <w:spacing w:after="240"/>
              <w:rPr>
                <w:rFonts w:eastAsia="楷体_GB2312" w:cs="Calibri"/>
                <w:b/>
                <w:bCs/>
                <w:kern w:val="28"/>
                <w:lang w:eastAsia="zh-CN"/>
              </w:rPr>
            </w:pPr>
            <w:r>
              <w:rPr>
                <w:rFonts w:eastAsia="楷体_GB2312" w:cs="Calibri"/>
                <w:bCs/>
                <w:kern w:val="28"/>
                <w:sz w:val="20"/>
                <w:lang w:eastAsia="zh-CN"/>
              </w:rPr>
              <w:t>(</w:t>
            </w:r>
            <w:r>
              <w:rPr>
                <w:rFonts w:eastAsia="楷体_GB2312" w:cs="Calibri"/>
                <w:bCs/>
                <w:kern w:val="28"/>
                <w:sz w:val="20"/>
              </w:rPr>
              <w:t xml:space="preserve">Please see </w:t>
            </w:r>
            <w:r>
              <w:rPr>
                <w:rFonts w:eastAsia="楷体_GB2312" w:cs="Calibri"/>
                <w:bCs/>
                <w:kern w:val="28"/>
                <w:sz w:val="20"/>
                <w:lang w:eastAsia="zh-CN"/>
              </w:rPr>
              <w:t>APPENDIX 1</w:t>
            </w:r>
            <w:r>
              <w:rPr>
                <w:rFonts w:eastAsia="楷体_GB2312" w:cs="Calibri"/>
                <w:bCs/>
                <w:kern w:val="28"/>
                <w:sz w:val="20"/>
              </w:rPr>
              <w:t xml:space="preserve"> for English summary</w:t>
            </w:r>
            <w:r>
              <w:rPr>
                <w:rFonts w:eastAsia="楷体_GB2312" w:cs="Calibri"/>
                <w:bCs/>
                <w:kern w:val="28"/>
                <w:sz w:val="20"/>
                <w:lang w:eastAsia="zh-CN"/>
              </w:rPr>
              <w:t>)</w:t>
            </w:r>
          </w:p>
          <w:p w14:paraId="517699BB">
            <w:pPr>
              <w:pStyle w:val="94"/>
              <w:rPr>
                <w:rFonts w:eastAsia="楷体_GB2312" w:cs="Calibri"/>
                <w:b/>
                <w:bCs/>
                <w:kern w:val="28"/>
                <w:lang w:eastAsia="zh-CN"/>
              </w:rPr>
            </w:pPr>
            <w:r>
              <w:rPr>
                <w:rFonts w:eastAsia="楷体_GB2312" w:cs="Calibri"/>
                <w:b/>
                <w:bCs/>
                <w:kern w:val="28"/>
              </w:rPr>
              <w:t>事件</w:t>
            </w:r>
            <w:r>
              <w:rPr>
                <w:rFonts w:eastAsia="楷体_GB2312" w:cs="Calibri"/>
                <w:b/>
                <w:bCs/>
                <w:kern w:val="28"/>
                <w:lang w:eastAsia="zh-CN"/>
              </w:rPr>
              <w:t>一</w:t>
            </w:r>
          </w:p>
          <w:p w14:paraId="4DF472C0">
            <w:pPr>
              <w:jc w:val="both"/>
              <w:rPr>
                <w:rFonts w:eastAsia="楷体_GB2312" w:cs="Calibri"/>
                <w:snapToGrid/>
                <w:sz w:val="21"/>
                <w:szCs w:val="21"/>
                <w:lang w:eastAsia="zh-CN"/>
              </w:rPr>
            </w:pPr>
            <w:r>
              <w:rPr>
                <w:rFonts w:hint="eastAsia" w:eastAsia="楷体_GB2312" w:cs="Calibri"/>
                <w:snapToGrid/>
                <w:sz w:val="21"/>
                <w:szCs w:val="21"/>
                <w:lang w:eastAsia="zh-CN"/>
              </w:rPr>
              <w:t>1</w:t>
            </w:r>
            <w:r>
              <w:rPr>
                <w:rFonts w:eastAsia="楷体_GB2312" w:cs="Calibri"/>
                <w:snapToGrid/>
                <w:sz w:val="21"/>
                <w:szCs w:val="21"/>
                <w:lang w:eastAsia="zh-CN"/>
              </w:rPr>
              <w:t>月</w:t>
            </w:r>
            <w:r>
              <w:rPr>
                <w:rFonts w:hint="eastAsia" w:eastAsia="楷体_GB2312" w:cs="Calibri"/>
                <w:snapToGrid/>
                <w:sz w:val="21"/>
                <w:szCs w:val="21"/>
                <w:lang w:eastAsia="zh-CN"/>
              </w:rPr>
              <w:t>30日</w:t>
            </w:r>
            <w:r>
              <w:rPr>
                <w:rFonts w:eastAsia="楷体_GB2312" w:cs="Calibri"/>
                <w:snapToGrid/>
                <w:sz w:val="21"/>
                <w:szCs w:val="21"/>
                <w:lang w:eastAsia="zh-CN"/>
              </w:rPr>
              <w:t>（周</w:t>
            </w:r>
            <w:r>
              <w:rPr>
                <w:rFonts w:hint="eastAsia" w:eastAsia="楷体_GB2312" w:cs="Calibri"/>
                <w:snapToGrid/>
                <w:sz w:val="21"/>
                <w:szCs w:val="21"/>
                <w:lang w:eastAsia="zh-CN"/>
              </w:rPr>
              <w:t>五</w:t>
            </w:r>
            <w:r>
              <w:rPr>
                <w:rFonts w:eastAsia="楷体_GB2312" w:cs="Calibri"/>
                <w:snapToGrid/>
                <w:sz w:val="21"/>
                <w:szCs w:val="21"/>
                <w:lang w:eastAsia="zh-CN"/>
              </w:rPr>
              <w:t>），</w:t>
            </w:r>
            <w:r>
              <w:rPr>
                <w:rFonts w:hint="eastAsia" w:eastAsia="楷体_GB2312" w:cs="Calibri"/>
                <w:snapToGrid/>
                <w:sz w:val="21"/>
                <w:szCs w:val="21"/>
                <w:lang w:eastAsia="zh-CN"/>
              </w:rPr>
              <w:t>埃隆·马斯克的</w:t>
            </w:r>
            <w:r>
              <w:rPr>
                <w:rFonts w:eastAsia="楷体_GB2312" w:cs="Calibri"/>
                <w:snapToGrid/>
                <w:sz w:val="21"/>
                <w:szCs w:val="21"/>
                <w:lang w:eastAsia="zh-CN"/>
              </w:rPr>
              <w:t xml:space="preserve"> SpaceX </w:t>
            </w:r>
            <w:r>
              <w:rPr>
                <w:rFonts w:hint="eastAsia" w:eastAsia="楷体_GB2312" w:cs="Calibri"/>
                <w:snapToGrid/>
                <w:sz w:val="21"/>
                <w:szCs w:val="21"/>
                <w:lang w:eastAsia="zh-CN"/>
              </w:rPr>
              <w:t>公司向美国联邦通信委员会（FCC）提交了一份申请，计划建造一个由多达一百万颗卫星组成的巨型星座，这些卫星将拥有前所未有的计算能力（轨道数据中心），为先进的人工智能（AI）提供支持。该申请声称“轨道数据中心”是满足日益增长的人工智能计算能力需求的最经济、最节能的方式。</w:t>
            </w:r>
          </w:p>
          <w:p w14:paraId="35E30518">
            <w:pPr>
              <w:jc w:val="both"/>
              <w:rPr>
                <w:rFonts w:eastAsia="楷体_GB2312" w:cs="Calibri"/>
                <w:snapToGrid/>
                <w:sz w:val="21"/>
                <w:szCs w:val="21"/>
                <w:lang w:eastAsia="zh-CN"/>
              </w:rPr>
            </w:pPr>
          </w:p>
          <w:p w14:paraId="61473F49">
            <w:pPr>
              <w:pStyle w:val="94"/>
              <w:rPr>
                <w:rFonts w:eastAsia="楷体_GB2312" w:cs="Calibri"/>
                <w:b/>
                <w:bCs/>
                <w:kern w:val="28"/>
                <w:lang w:eastAsia="zh-CN"/>
              </w:rPr>
            </w:pPr>
            <w:r>
              <w:rPr>
                <w:rFonts w:eastAsia="楷体_GB2312" w:cs="Calibri"/>
                <w:b/>
                <w:bCs/>
                <w:kern w:val="28"/>
              </w:rPr>
              <w:t>事件</w:t>
            </w:r>
            <w:r>
              <w:rPr>
                <w:rFonts w:eastAsia="楷体_GB2312" w:cs="Calibri"/>
                <w:b/>
                <w:bCs/>
                <w:kern w:val="28"/>
                <w:lang w:eastAsia="zh-CN"/>
              </w:rPr>
              <w:t>二</w:t>
            </w:r>
          </w:p>
          <w:p w14:paraId="78AC9761">
            <w:pPr>
              <w:jc w:val="both"/>
              <w:rPr>
                <w:rFonts w:eastAsia="楷体_GB2312" w:cs="Calibri"/>
                <w:snapToGrid/>
                <w:sz w:val="21"/>
                <w:szCs w:val="21"/>
                <w:lang w:eastAsia="zh-CN"/>
              </w:rPr>
            </w:pPr>
            <w:r>
              <w:rPr>
                <w:rFonts w:eastAsia="楷体_GB2312" w:cs="Calibri"/>
                <w:snapToGrid/>
                <w:sz w:val="21"/>
                <w:szCs w:val="21"/>
                <w:lang w:eastAsia="zh-CN"/>
              </w:rPr>
              <w:t>2月</w:t>
            </w:r>
            <w:r>
              <w:rPr>
                <w:rFonts w:hint="eastAsia" w:eastAsia="楷体_GB2312" w:cs="Calibri"/>
                <w:snapToGrid/>
                <w:sz w:val="21"/>
                <w:szCs w:val="21"/>
                <w:lang w:eastAsia="zh-CN"/>
              </w:rPr>
              <w:t>2</w:t>
            </w:r>
            <w:r>
              <w:rPr>
                <w:rFonts w:eastAsia="楷体_GB2312" w:cs="Calibri"/>
                <w:snapToGrid/>
                <w:sz w:val="21"/>
                <w:szCs w:val="21"/>
                <w:lang w:eastAsia="zh-CN"/>
              </w:rPr>
              <w:t>日</w:t>
            </w:r>
            <w:r>
              <w:rPr>
                <w:rFonts w:hint="eastAsia" w:eastAsia="楷体_GB2312" w:cs="Calibri"/>
                <w:snapToGrid/>
                <w:sz w:val="21"/>
                <w:szCs w:val="21"/>
                <w:lang w:eastAsia="zh-CN"/>
              </w:rPr>
              <w:t>（周一）</w:t>
            </w:r>
            <w:r>
              <w:rPr>
                <w:rFonts w:eastAsia="楷体_GB2312" w:cs="Calibri"/>
                <w:snapToGrid/>
                <w:sz w:val="21"/>
                <w:szCs w:val="21"/>
                <w:lang w:eastAsia="zh-CN"/>
              </w:rPr>
              <w:t>，SpaceX</w:t>
            </w:r>
            <w:r>
              <w:rPr>
                <w:rFonts w:hint="eastAsia" w:eastAsia="楷体_GB2312" w:cs="Calibri"/>
                <w:snapToGrid/>
                <w:sz w:val="21"/>
                <w:szCs w:val="21"/>
                <w:lang w:eastAsia="zh-CN"/>
              </w:rPr>
              <w:t>正式</w:t>
            </w:r>
            <w:r>
              <w:rPr>
                <w:rFonts w:eastAsia="楷体_GB2312" w:cs="Calibri"/>
                <w:snapToGrid/>
                <w:sz w:val="21"/>
                <w:szCs w:val="21"/>
                <w:lang w:eastAsia="zh-CN"/>
              </w:rPr>
              <w:t>收购</w:t>
            </w:r>
            <w:r>
              <w:rPr>
                <w:rFonts w:hint="eastAsia" w:eastAsia="楷体_GB2312" w:cs="Calibri"/>
                <w:snapToGrid/>
                <w:sz w:val="21"/>
                <w:szCs w:val="21"/>
                <w:lang w:eastAsia="zh-CN"/>
              </w:rPr>
              <w:t>埃隆·马斯克的另一家公司</w:t>
            </w:r>
            <w:r>
              <w:rPr>
                <w:rFonts w:eastAsia="楷体_GB2312" w:cs="Calibri"/>
                <w:snapToGrid/>
                <w:sz w:val="21"/>
                <w:szCs w:val="21"/>
                <w:lang w:eastAsia="zh-CN"/>
              </w:rPr>
              <w:t>x</w:t>
            </w:r>
            <w:r>
              <w:rPr>
                <w:rFonts w:hint="eastAsia" w:eastAsia="楷体_GB2312" w:cs="Calibri"/>
                <w:snapToGrid/>
                <w:sz w:val="21"/>
                <w:szCs w:val="21"/>
                <w:lang w:eastAsia="zh-CN"/>
              </w:rPr>
              <w:t>AI</w:t>
            </w:r>
            <w:r>
              <w:rPr>
                <w:rFonts w:eastAsia="楷体_GB2312" w:cs="Calibri"/>
                <w:snapToGrid/>
                <w:sz w:val="21"/>
                <w:szCs w:val="21"/>
                <w:lang w:eastAsia="zh-CN"/>
              </w:rPr>
              <w:t>。</w:t>
            </w:r>
            <w:r>
              <w:rPr>
                <w:rFonts w:hint="eastAsia" w:eastAsia="楷体_GB2312" w:cs="Calibri"/>
                <w:snapToGrid/>
                <w:sz w:val="21"/>
                <w:szCs w:val="21"/>
                <w:lang w:eastAsia="zh-CN"/>
              </w:rPr>
              <w:t>S</w:t>
            </w:r>
            <w:r>
              <w:rPr>
                <w:rFonts w:eastAsia="楷体_GB2312" w:cs="Calibri"/>
                <w:snapToGrid/>
                <w:sz w:val="21"/>
                <w:szCs w:val="21"/>
                <w:lang w:eastAsia="zh-CN"/>
              </w:rPr>
              <w:t>aceX</w:t>
            </w:r>
            <w:r>
              <w:rPr>
                <w:rFonts w:hint="eastAsia" w:eastAsia="楷体_GB2312" w:cs="Calibri"/>
                <w:snapToGrid/>
                <w:sz w:val="21"/>
                <w:szCs w:val="21"/>
                <w:lang w:eastAsia="zh-CN"/>
              </w:rPr>
              <w:t>公司表示：“收购</w:t>
            </w:r>
            <w:r>
              <w:rPr>
                <w:rFonts w:eastAsia="楷体_GB2312" w:cs="Calibri"/>
                <w:snapToGrid/>
                <w:sz w:val="21"/>
                <w:szCs w:val="21"/>
                <w:lang w:eastAsia="zh-CN"/>
              </w:rPr>
              <w:t>xAI</w:t>
            </w:r>
            <w:r>
              <w:rPr>
                <w:rFonts w:hint="eastAsia" w:eastAsia="楷体_GB2312" w:cs="Calibri"/>
                <w:snapToGrid/>
                <w:sz w:val="21"/>
                <w:szCs w:val="21"/>
                <w:lang w:eastAsia="zh-CN"/>
              </w:rPr>
              <w:t>将打造地球上（乃至太空）最具雄心、垂直整合程度最高的创新引擎，涵盖人工智能、火箭、太空互联网、移动设备直连通信以及全球领先的实时信息和言论自由平台。”</w:t>
            </w:r>
            <w:r>
              <w:rPr>
                <w:rFonts w:hint="eastAsia"/>
              </w:rPr>
              <w:t xml:space="preserve"> </w:t>
            </w:r>
            <w:r>
              <w:rPr>
                <w:rFonts w:hint="eastAsia" w:eastAsia="楷体_GB2312" w:cs="Calibri"/>
                <w:snapToGrid/>
                <w:sz w:val="21"/>
                <w:szCs w:val="21"/>
                <w:lang w:eastAsia="zh-CN"/>
              </w:rPr>
              <w:t>通过此次合并，埃隆·马斯克计划利用</w:t>
            </w:r>
            <w:r>
              <w:rPr>
                <w:rFonts w:eastAsia="楷体_GB2312" w:cs="Calibri"/>
                <w:snapToGrid/>
                <w:sz w:val="21"/>
                <w:szCs w:val="21"/>
                <w:lang w:eastAsia="zh-CN"/>
              </w:rPr>
              <w:t>SpaceX</w:t>
            </w:r>
            <w:r>
              <w:rPr>
                <w:rFonts w:hint="eastAsia" w:eastAsia="楷体_GB2312" w:cs="Calibri"/>
                <w:snapToGrid/>
                <w:sz w:val="21"/>
                <w:szCs w:val="21"/>
                <w:lang w:eastAsia="zh-CN"/>
              </w:rPr>
              <w:t>在快速发射、卫星制造和管理方面的深厚专业知识，部署一个由多达</w:t>
            </w:r>
            <w:r>
              <w:rPr>
                <w:rFonts w:eastAsia="楷体_GB2312" w:cs="Calibri"/>
                <w:snapToGrid/>
                <w:sz w:val="21"/>
                <w:szCs w:val="21"/>
                <w:lang w:eastAsia="zh-CN"/>
              </w:rPr>
              <w:t>100</w:t>
            </w:r>
            <w:r>
              <w:rPr>
                <w:rFonts w:hint="eastAsia" w:eastAsia="楷体_GB2312" w:cs="Calibri"/>
                <w:snapToGrid/>
                <w:sz w:val="21"/>
                <w:szCs w:val="21"/>
                <w:lang w:eastAsia="zh-CN"/>
              </w:rPr>
              <w:t>万个轨道数据中心组成的星座。这将为</w:t>
            </w:r>
            <w:r>
              <w:rPr>
                <w:rFonts w:eastAsia="楷体_GB2312" w:cs="Calibri"/>
                <w:snapToGrid/>
                <w:sz w:val="21"/>
                <w:szCs w:val="21"/>
                <w:lang w:eastAsia="zh-CN"/>
              </w:rPr>
              <w:t>xAI</w:t>
            </w:r>
            <w:r>
              <w:rPr>
                <w:rFonts w:hint="eastAsia" w:eastAsia="楷体_GB2312" w:cs="Calibri"/>
                <w:snapToGrid/>
                <w:sz w:val="21"/>
                <w:szCs w:val="21"/>
                <w:lang w:eastAsia="zh-CN"/>
              </w:rPr>
              <w:t>的运营提供强大的计算能力支撑。</w:t>
            </w:r>
          </w:p>
          <w:p w14:paraId="00B41529">
            <w:pPr>
              <w:jc w:val="both"/>
              <w:rPr>
                <w:rFonts w:eastAsia="楷体_GB2312" w:cs="Calibri"/>
                <w:snapToGrid/>
                <w:sz w:val="21"/>
                <w:szCs w:val="21"/>
                <w:lang w:eastAsia="zh-CN"/>
              </w:rPr>
            </w:pPr>
          </w:p>
          <w:p w14:paraId="103869D7">
            <w:pPr>
              <w:pStyle w:val="94"/>
              <w:rPr>
                <w:rFonts w:eastAsia="楷体_GB2312" w:cs="Calibri"/>
                <w:b/>
                <w:bCs/>
                <w:kern w:val="28"/>
              </w:rPr>
            </w:pPr>
            <w:r>
              <w:rPr>
                <w:rFonts w:eastAsia="楷体_GB2312" w:cs="Calibri"/>
                <w:b/>
                <w:bCs/>
                <w:kern w:val="28"/>
              </w:rPr>
              <w:t>点评</w:t>
            </w:r>
          </w:p>
          <w:p w14:paraId="5F410B7C">
            <w:pPr>
              <w:pStyle w:val="40"/>
              <w:jc w:val="both"/>
              <w:rPr>
                <w:rFonts w:eastAsia="楷体_GB2312" w:cs="Calibri"/>
                <w:snapToGrid/>
                <w:sz w:val="21"/>
                <w:szCs w:val="21"/>
                <w:lang w:val="en-GB" w:eastAsia="zh-CN"/>
              </w:rPr>
            </w:pPr>
            <w:r>
              <w:rPr>
                <w:rFonts w:hint="eastAsia" w:eastAsia="楷体_GB2312" w:cs="Calibri"/>
                <w:b/>
                <w:bCs/>
                <w:snapToGrid/>
                <w:sz w:val="21"/>
                <w:szCs w:val="21"/>
                <w:lang w:eastAsia="zh-CN"/>
              </w:rPr>
              <w:t>地面算力瓶颈凸显“天地迁移”：</w:t>
            </w:r>
            <w:r>
              <w:rPr>
                <w:rFonts w:hint="eastAsia" w:eastAsia="楷体_GB2312" w:cs="Calibri"/>
                <w:snapToGrid/>
                <w:sz w:val="21"/>
                <w:szCs w:val="21"/>
                <w:lang w:eastAsia="zh-CN"/>
              </w:rPr>
              <w:t>能源</w:t>
            </w:r>
            <w:r>
              <w:rPr>
                <w:rFonts w:eastAsia="楷体_GB2312" w:cs="Calibri"/>
                <w:snapToGrid/>
                <w:sz w:val="21"/>
                <w:szCs w:val="21"/>
                <w:lang w:eastAsia="zh-CN"/>
              </w:rPr>
              <w:t>-</w:t>
            </w:r>
            <w:r>
              <w:rPr>
                <w:rFonts w:hint="eastAsia" w:eastAsia="楷体_GB2312" w:cs="Calibri"/>
                <w:snapToGrid/>
                <w:sz w:val="21"/>
                <w:szCs w:val="21"/>
                <w:lang w:eastAsia="zh-CN"/>
              </w:rPr>
              <w:t>土地</w:t>
            </w:r>
            <w:r>
              <w:rPr>
                <w:rFonts w:eastAsia="楷体_GB2312" w:cs="Calibri"/>
                <w:snapToGrid/>
                <w:sz w:val="21"/>
                <w:szCs w:val="21"/>
                <w:lang w:eastAsia="zh-CN"/>
              </w:rPr>
              <w:t>-</w:t>
            </w:r>
            <w:r>
              <w:rPr>
                <w:rFonts w:hint="eastAsia" w:eastAsia="楷体_GB2312" w:cs="Calibri"/>
                <w:snapToGrid/>
                <w:sz w:val="21"/>
                <w:szCs w:val="21"/>
                <w:lang w:eastAsia="zh-CN"/>
              </w:rPr>
              <w:t>碳减排三重约束下，地面</w:t>
            </w:r>
            <w:r>
              <w:rPr>
                <w:rFonts w:eastAsia="楷体_GB2312" w:cs="Calibri"/>
                <w:snapToGrid/>
                <w:sz w:val="21"/>
                <w:szCs w:val="21"/>
                <w:lang w:eastAsia="zh-CN"/>
              </w:rPr>
              <w:t>AI</w:t>
            </w:r>
            <w:r>
              <w:rPr>
                <w:rFonts w:hint="eastAsia" w:eastAsia="楷体_GB2312" w:cs="Calibri"/>
                <w:snapToGrid/>
                <w:sz w:val="21"/>
                <w:szCs w:val="21"/>
                <w:lang w:eastAsia="zh-CN"/>
              </w:rPr>
              <w:t>数据中心已面临物理成本与监管成本的双重天花板，太空轨道算力有望成为“最低成本</w:t>
            </w:r>
            <w:r>
              <w:rPr>
                <w:rFonts w:eastAsia="楷体_GB2312" w:cs="Calibri"/>
                <w:snapToGrid/>
                <w:sz w:val="21"/>
                <w:szCs w:val="21"/>
                <w:lang w:eastAsia="zh-CN"/>
              </w:rPr>
              <w:t>AI</w:t>
            </w:r>
            <w:r>
              <w:rPr>
                <w:rFonts w:hint="eastAsia" w:eastAsia="楷体_GB2312" w:cs="Calibri"/>
                <w:snapToGrid/>
                <w:sz w:val="21"/>
                <w:szCs w:val="21"/>
                <w:lang w:eastAsia="zh-CN"/>
              </w:rPr>
              <w:t>算力生成地”。前</w:t>
            </w:r>
            <w:r>
              <w:rPr>
                <w:rFonts w:eastAsia="楷体_GB2312" w:cs="Calibri"/>
                <w:snapToGrid/>
                <w:sz w:val="21"/>
                <w:szCs w:val="21"/>
                <w:lang w:eastAsia="zh-CN"/>
              </w:rPr>
              <w:t xml:space="preserve"> </w:t>
            </w:r>
            <w:r>
              <w:rPr>
                <w:rFonts w:hint="eastAsia" w:eastAsia="楷体_GB2312" w:cs="Calibri"/>
                <w:snapToGrid/>
                <w:sz w:val="21"/>
                <w:szCs w:val="21"/>
                <w:lang w:eastAsia="zh-CN"/>
              </w:rPr>
              <w:t>T</w:t>
            </w:r>
            <w:r>
              <w:rPr>
                <w:rFonts w:eastAsia="楷体_GB2312" w:cs="Calibri"/>
                <w:snapToGrid/>
                <w:sz w:val="21"/>
                <w:szCs w:val="21"/>
                <w:lang w:eastAsia="zh-CN"/>
              </w:rPr>
              <w:t>errestrial AI</w:t>
            </w:r>
            <w:r>
              <w:rPr>
                <w:rFonts w:hint="eastAsia" w:eastAsia="楷体_GB2312" w:cs="Calibri"/>
                <w:snapToGrid/>
                <w:sz w:val="21"/>
                <w:szCs w:val="21"/>
                <w:lang w:eastAsia="zh-CN"/>
              </w:rPr>
              <w:t xml:space="preserve"> Data Center（地面数据中心）正面临物理成本与监管成本的双重绞杀。以</w:t>
            </w:r>
            <w:r>
              <w:rPr>
                <w:rFonts w:eastAsia="楷体_GB2312" w:cs="Calibri"/>
                <w:snapToGrid/>
                <w:sz w:val="21"/>
                <w:szCs w:val="21"/>
                <w:lang w:eastAsia="zh-CN"/>
              </w:rPr>
              <w:t>1GW</w:t>
            </w:r>
            <w:r>
              <w:rPr>
                <w:rFonts w:hint="eastAsia" w:eastAsia="楷体_GB2312" w:cs="Calibri"/>
                <w:snapToGrid/>
                <w:sz w:val="21"/>
                <w:szCs w:val="21"/>
                <w:lang w:eastAsia="zh-CN"/>
              </w:rPr>
              <w:t>算力中心为例，按美国平均工业电价</w:t>
            </w:r>
            <w:r>
              <w:rPr>
                <w:rFonts w:eastAsia="楷体_GB2312" w:cs="Calibri"/>
                <w:snapToGrid/>
                <w:sz w:val="21"/>
                <w:szCs w:val="21"/>
                <w:lang w:eastAsia="zh-CN"/>
              </w:rPr>
              <w:t>$0.15/kWh</w:t>
            </w:r>
            <w:r>
              <w:rPr>
                <w:rFonts w:hint="eastAsia" w:eastAsia="楷体_GB2312" w:cs="Calibri"/>
                <w:snapToGrid/>
                <w:sz w:val="21"/>
                <w:szCs w:val="21"/>
                <w:lang w:eastAsia="zh-CN"/>
              </w:rPr>
              <w:t>计算，年电费成本高达</w:t>
            </w:r>
            <w:r>
              <w:rPr>
                <w:rFonts w:eastAsia="楷体_GB2312" w:cs="Calibri"/>
                <w:snapToGrid/>
                <w:sz w:val="21"/>
                <w:szCs w:val="21"/>
                <w:lang w:eastAsia="zh-CN"/>
              </w:rPr>
              <w:t>13</w:t>
            </w:r>
            <w:r>
              <w:rPr>
                <w:rFonts w:hint="eastAsia" w:eastAsia="楷体_GB2312" w:cs="Calibri"/>
                <w:snapToGrid/>
                <w:sz w:val="21"/>
                <w:szCs w:val="21"/>
                <w:lang w:eastAsia="zh-CN"/>
              </w:rPr>
              <w:t>亿美元。更严峻的是冷却用水约束：</w:t>
            </w:r>
            <w:r>
              <w:rPr>
                <w:rFonts w:eastAsia="楷体_GB2312" w:cs="Calibri"/>
                <w:snapToGrid/>
                <w:sz w:val="21"/>
                <w:szCs w:val="21"/>
                <w:lang w:eastAsia="zh-CN"/>
              </w:rPr>
              <w:t>1MW</w:t>
            </w:r>
            <w:r>
              <w:rPr>
                <w:rFonts w:hint="eastAsia" w:eastAsia="楷体_GB2312" w:cs="Calibri"/>
                <w:snapToGrid/>
                <w:sz w:val="21"/>
                <w:szCs w:val="21"/>
                <w:lang w:eastAsia="zh-CN"/>
              </w:rPr>
              <w:t>数据中心年耗水</w:t>
            </w:r>
            <w:r>
              <w:rPr>
                <w:rFonts w:eastAsia="楷体_GB2312" w:cs="Calibri"/>
                <w:snapToGrid/>
                <w:sz w:val="21"/>
                <w:szCs w:val="21"/>
                <w:lang w:eastAsia="zh-CN"/>
              </w:rPr>
              <w:t>2550</w:t>
            </w:r>
            <w:r>
              <w:rPr>
                <w:rFonts w:hint="eastAsia" w:eastAsia="楷体_GB2312" w:cs="Calibri"/>
                <w:snapToGrid/>
                <w:sz w:val="21"/>
                <w:szCs w:val="21"/>
                <w:lang w:eastAsia="zh-CN"/>
              </w:rPr>
              <w:t>万升，</w:t>
            </w:r>
            <w:r>
              <w:rPr>
                <w:rFonts w:eastAsia="楷体_GB2312" w:cs="Calibri"/>
                <w:snapToGrid/>
                <w:sz w:val="21"/>
                <w:szCs w:val="21"/>
                <w:lang w:eastAsia="zh-CN"/>
              </w:rPr>
              <w:t>1GW</w:t>
            </w:r>
            <w:r>
              <w:rPr>
                <w:rFonts w:hint="eastAsia" w:eastAsia="楷体_GB2312" w:cs="Calibri"/>
                <w:snapToGrid/>
                <w:sz w:val="21"/>
                <w:szCs w:val="21"/>
                <w:lang w:eastAsia="zh-CN"/>
              </w:rPr>
              <w:t>级</w:t>
            </w:r>
            <w:r>
              <w:rPr>
                <w:rFonts w:eastAsia="楷体_GB2312" w:cs="Calibri"/>
                <w:snapToGrid/>
                <w:sz w:val="21"/>
                <w:szCs w:val="21"/>
                <w:lang w:eastAsia="zh-CN"/>
              </w:rPr>
              <w:t xml:space="preserve"> facility </w:t>
            </w:r>
            <w:r>
              <w:rPr>
                <w:rFonts w:hint="eastAsia" w:eastAsia="楷体_GB2312" w:cs="Calibri"/>
                <w:snapToGrid/>
                <w:sz w:val="21"/>
                <w:szCs w:val="21"/>
                <w:lang w:eastAsia="zh-CN"/>
              </w:rPr>
              <w:t>年耗水即达</w:t>
            </w:r>
            <w:r>
              <w:rPr>
                <w:rFonts w:eastAsia="楷体_GB2312" w:cs="Calibri"/>
                <w:snapToGrid/>
                <w:sz w:val="21"/>
                <w:szCs w:val="21"/>
                <w:lang w:eastAsia="zh-CN"/>
              </w:rPr>
              <w:t>2.55</w:t>
            </w:r>
            <w:r>
              <w:rPr>
                <w:rFonts w:hint="eastAsia" w:eastAsia="楷体_GB2312" w:cs="Calibri"/>
                <w:snapToGrid/>
                <w:sz w:val="21"/>
                <w:szCs w:val="21"/>
                <w:lang w:eastAsia="zh-CN"/>
              </w:rPr>
              <w:t>亿升（约</w:t>
            </w:r>
            <w:r>
              <w:rPr>
                <w:rFonts w:eastAsia="楷体_GB2312" w:cs="Calibri"/>
                <w:snapToGrid/>
                <w:sz w:val="21"/>
                <w:szCs w:val="21"/>
                <w:lang w:eastAsia="zh-CN"/>
              </w:rPr>
              <w:t>255,000</w:t>
            </w:r>
            <w:r>
              <w:rPr>
                <w:rFonts w:hint="eastAsia" w:eastAsia="楷体_GB2312" w:cs="Calibri"/>
                <w:snapToGrid/>
                <w:sz w:val="21"/>
                <w:szCs w:val="21"/>
                <w:lang w:eastAsia="zh-CN"/>
              </w:rPr>
              <w:t>吨），相当于</w:t>
            </w:r>
            <w:r>
              <w:rPr>
                <w:rFonts w:eastAsia="楷体_GB2312" w:cs="Calibri"/>
                <w:snapToGrid/>
                <w:sz w:val="21"/>
                <w:szCs w:val="21"/>
                <w:lang w:eastAsia="zh-CN"/>
              </w:rPr>
              <w:t>5</w:t>
            </w:r>
            <w:r>
              <w:rPr>
                <w:rFonts w:hint="eastAsia" w:eastAsia="楷体_GB2312" w:cs="Calibri"/>
                <w:snapToGrid/>
                <w:sz w:val="21"/>
                <w:szCs w:val="21"/>
                <w:lang w:eastAsia="zh-CN"/>
              </w:rPr>
              <w:t>万人口城市日用水量，在干旱地区已引发</w:t>
            </w:r>
            <w:r>
              <w:rPr>
                <w:rFonts w:eastAsia="楷体_GB2312" w:cs="Calibri"/>
                <w:snapToGrid/>
                <w:sz w:val="21"/>
                <w:szCs w:val="21"/>
                <w:lang w:eastAsia="zh-CN"/>
              </w:rPr>
              <w:t>"</w:t>
            </w:r>
            <w:r>
              <w:rPr>
                <w:rFonts w:hint="eastAsia" w:eastAsia="楷体_GB2312" w:cs="Calibri"/>
                <w:snapToGrid/>
                <w:sz w:val="21"/>
                <w:szCs w:val="21"/>
                <w:lang w:eastAsia="zh-CN"/>
              </w:rPr>
              <w:t>数据中心抢水</w:t>
            </w:r>
            <w:r>
              <w:rPr>
                <w:rFonts w:eastAsia="楷体_GB2312" w:cs="Calibri"/>
                <w:snapToGrid/>
                <w:sz w:val="21"/>
                <w:szCs w:val="21"/>
                <w:lang w:eastAsia="zh-CN"/>
              </w:rPr>
              <w:t>"</w:t>
            </w:r>
            <w:r>
              <w:rPr>
                <w:rFonts w:hint="eastAsia" w:eastAsia="楷体_GB2312" w:cs="Calibri"/>
                <w:snapToGrid/>
                <w:sz w:val="21"/>
                <w:szCs w:val="21"/>
                <w:lang w:eastAsia="zh-CN"/>
              </w:rPr>
              <w:t>社会冲突。叠加欧盟碳边境税（</w:t>
            </w:r>
            <w:r>
              <w:rPr>
                <w:rFonts w:eastAsia="楷体_GB2312" w:cs="Calibri"/>
                <w:snapToGrid/>
                <w:sz w:val="21"/>
                <w:szCs w:val="21"/>
                <w:lang w:eastAsia="zh-CN"/>
              </w:rPr>
              <w:t>CBAM</w:t>
            </w:r>
            <w:r>
              <w:rPr>
                <w:rFonts w:hint="eastAsia" w:eastAsia="楷体_GB2312" w:cs="Calibri"/>
                <w:snapToGrid/>
                <w:sz w:val="21"/>
                <w:szCs w:val="21"/>
                <w:lang w:eastAsia="zh-CN"/>
              </w:rPr>
              <w:t>）及美国各州潜在碳税压力，到</w:t>
            </w:r>
            <w:r>
              <w:rPr>
                <w:rFonts w:eastAsia="楷体_GB2312" w:cs="Calibri"/>
                <w:snapToGrid/>
                <w:sz w:val="21"/>
                <w:szCs w:val="21"/>
                <w:lang w:eastAsia="zh-CN"/>
              </w:rPr>
              <w:t>2030</w:t>
            </w:r>
            <w:r>
              <w:rPr>
                <w:rFonts w:hint="eastAsia" w:eastAsia="楷体_GB2312" w:cs="Calibri"/>
                <w:snapToGrid/>
                <w:sz w:val="21"/>
                <w:szCs w:val="21"/>
                <w:lang w:eastAsia="zh-CN"/>
              </w:rPr>
              <w:t>年</w:t>
            </w:r>
            <w:r>
              <w:rPr>
                <w:rFonts w:eastAsia="楷体_GB2312" w:cs="Calibri"/>
                <w:snapToGrid/>
                <w:sz w:val="21"/>
                <w:szCs w:val="21"/>
                <w:lang w:eastAsia="zh-CN"/>
              </w:rPr>
              <w:t>AI</w:t>
            </w:r>
            <w:r>
              <w:rPr>
                <w:rFonts w:hint="eastAsia" w:eastAsia="楷体_GB2312" w:cs="Calibri"/>
                <w:snapToGrid/>
                <w:sz w:val="21"/>
                <w:szCs w:val="21"/>
                <w:lang w:eastAsia="zh-CN"/>
              </w:rPr>
              <w:t>数据中心年碳排放将达</w:t>
            </w:r>
            <w:r>
              <w:rPr>
                <w:rFonts w:eastAsia="楷体_GB2312" w:cs="Calibri"/>
                <w:snapToGrid/>
                <w:sz w:val="21"/>
                <w:szCs w:val="21"/>
                <w:lang w:eastAsia="zh-CN"/>
              </w:rPr>
              <w:t>2400-4400</w:t>
            </w:r>
            <w:r>
              <w:rPr>
                <w:rFonts w:hint="eastAsia" w:eastAsia="楷体_GB2312" w:cs="Calibri"/>
                <w:snapToGrid/>
                <w:sz w:val="21"/>
                <w:szCs w:val="21"/>
                <w:lang w:eastAsia="zh-CN"/>
              </w:rPr>
              <w:t>万吨（相当于</w:t>
            </w:r>
            <w:r>
              <w:rPr>
                <w:rFonts w:eastAsia="楷体_GB2312" w:cs="Calibri"/>
                <w:snapToGrid/>
                <w:sz w:val="21"/>
                <w:szCs w:val="21"/>
                <w:lang w:eastAsia="zh-CN"/>
              </w:rPr>
              <w:t>500-1000</w:t>
            </w:r>
            <w:r>
              <w:rPr>
                <w:rFonts w:hint="eastAsia" w:eastAsia="楷体_GB2312" w:cs="Calibri"/>
                <w:snapToGrid/>
                <w:sz w:val="21"/>
                <w:szCs w:val="21"/>
                <w:lang w:eastAsia="zh-CN"/>
              </w:rPr>
              <w:t>万辆汽车），面临巨额外部性成本</w:t>
            </w:r>
            <w:r>
              <w:rPr>
                <w:rFonts w:eastAsia="楷体_GB2312" w:cs="Calibri"/>
                <w:snapToGrid/>
                <w:sz w:val="21"/>
                <w:szCs w:val="21"/>
                <w:lang w:eastAsia="zh-CN"/>
              </w:rPr>
              <w:t>。</w:t>
            </w:r>
            <w:r>
              <w:rPr>
                <w:rFonts w:hint="eastAsia" w:eastAsia="楷体_GB2312" w:cs="Calibri"/>
                <w:snapToGrid/>
                <w:sz w:val="21"/>
                <w:szCs w:val="21"/>
                <w:lang w:eastAsia="zh-CN"/>
              </w:rPr>
              <w:t>SpaceX此次轨道方案或可针对性解套：卫星部署</w:t>
            </w:r>
            <w:r>
              <w:rPr>
                <w:rFonts w:eastAsia="楷体_GB2312" w:cs="Calibri"/>
                <w:snapToGrid/>
                <w:sz w:val="21"/>
                <w:szCs w:val="21"/>
                <w:lang w:eastAsia="zh-CN"/>
              </w:rPr>
              <w:t>500-2000km</w:t>
            </w:r>
            <w:r>
              <w:rPr>
                <w:rFonts w:hint="eastAsia" w:eastAsia="楷体_GB2312" w:cs="Calibri"/>
                <w:snapToGrid/>
                <w:sz w:val="21"/>
                <w:szCs w:val="21"/>
                <w:lang w:eastAsia="zh-CN"/>
              </w:rPr>
              <w:t>太阳同步轨道，实现</w:t>
            </w:r>
            <w:r>
              <w:rPr>
                <w:rFonts w:eastAsia="楷体_GB2312" w:cs="Calibri"/>
                <w:snapToGrid/>
                <w:sz w:val="21"/>
                <w:szCs w:val="21"/>
                <w:lang w:eastAsia="zh-CN"/>
              </w:rPr>
              <w:t>24/7</w:t>
            </w:r>
            <w:r>
              <w:rPr>
                <w:rFonts w:hint="eastAsia" w:eastAsia="楷体_GB2312" w:cs="Calibri"/>
                <w:snapToGrid/>
                <w:sz w:val="21"/>
                <w:szCs w:val="21"/>
                <w:lang w:eastAsia="zh-CN"/>
              </w:rPr>
              <w:t>不间断太阳能供电，真空环境红外辐射散热免水冷，彻底摆脱电网依赖与土地约束。根据Ars Technica报告，马斯克测算</w:t>
            </w:r>
            <w:r>
              <w:rPr>
                <w:rFonts w:eastAsia="楷体_GB2312" w:cs="Calibri"/>
                <w:snapToGrid/>
                <w:sz w:val="21"/>
                <w:szCs w:val="21"/>
                <w:lang w:eastAsia="zh-CN"/>
              </w:rPr>
              <w:t>Starship</w:t>
            </w:r>
            <w:r>
              <w:rPr>
                <w:rFonts w:hint="eastAsia" w:eastAsia="楷体_GB2312" w:cs="Calibri"/>
                <w:snapToGrid/>
                <w:sz w:val="21"/>
                <w:szCs w:val="21"/>
                <w:lang w:eastAsia="zh-CN"/>
              </w:rPr>
              <w:t>每小时发射，每次飞行</w:t>
            </w:r>
            <w:r>
              <w:rPr>
                <w:rFonts w:eastAsia="楷体_GB2312" w:cs="Calibri"/>
                <w:snapToGrid/>
                <w:sz w:val="21"/>
                <w:szCs w:val="21"/>
                <w:lang w:eastAsia="zh-CN"/>
              </w:rPr>
              <w:t>200</w:t>
            </w:r>
            <w:r>
              <w:rPr>
                <w:rFonts w:hint="eastAsia" w:eastAsia="楷体_GB2312" w:cs="Calibri"/>
                <w:snapToGrid/>
                <w:sz w:val="21"/>
                <w:szCs w:val="21"/>
                <w:lang w:eastAsia="zh-CN"/>
              </w:rPr>
              <w:t>吨，年可向轨道运送百万吨卫星，按每吨产生</w:t>
            </w:r>
            <w:r>
              <w:rPr>
                <w:rFonts w:eastAsia="楷体_GB2312" w:cs="Calibri"/>
                <w:snapToGrid/>
                <w:sz w:val="21"/>
                <w:szCs w:val="21"/>
                <w:lang w:eastAsia="zh-CN"/>
              </w:rPr>
              <w:t>100kW</w:t>
            </w:r>
            <w:r>
              <w:rPr>
                <w:rFonts w:hint="eastAsia" w:eastAsia="楷体_GB2312" w:cs="Calibri"/>
                <w:snapToGrid/>
                <w:sz w:val="21"/>
                <w:szCs w:val="21"/>
                <w:lang w:eastAsia="zh-CN"/>
              </w:rPr>
              <w:t>算力计，年增</w:t>
            </w:r>
            <w:r>
              <w:rPr>
                <w:rFonts w:eastAsia="楷体_GB2312" w:cs="Calibri"/>
                <w:snapToGrid/>
                <w:sz w:val="21"/>
                <w:szCs w:val="21"/>
                <w:lang w:eastAsia="zh-CN"/>
              </w:rPr>
              <w:t>100GW AI</w:t>
            </w:r>
            <w:r>
              <w:rPr>
                <w:rFonts w:hint="eastAsia" w:eastAsia="楷体_GB2312" w:cs="Calibri"/>
                <w:snapToGrid/>
                <w:sz w:val="21"/>
                <w:szCs w:val="21"/>
                <w:lang w:eastAsia="zh-CN"/>
              </w:rPr>
              <w:t>算力且</w:t>
            </w:r>
            <w:r>
              <w:rPr>
                <w:rFonts w:eastAsia="楷体_GB2312" w:cs="Calibri"/>
                <w:snapToGrid/>
                <w:sz w:val="21"/>
                <w:szCs w:val="21"/>
                <w:lang w:eastAsia="zh-CN"/>
              </w:rPr>
              <w:t>"</w:t>
            </w:r>
            <w:r>
              <w:rPr>
                <w:rFonts w:hint="eastAsia" w:eastAsia="楷体_GB2312" w:cs="Calibri"/>
                <w:snapToGrid/>
                <w:sz w:val="21"/>
                <w:szCs w:val="21"/>
                <w:lang w:eastAsia="zh-CN"/>
              </w:rPr>
              <w:t>无持续运维需求</w:t>
            </w:r>
            <w:r>
              <w:rPr>
                <w:rFonts w:eastAsia="楷体_GB2312" w:cs="Calibri"/>
                <w:snapToGrid/>
                <w:sz w:val="21"/>
                <w:szCs w:val="21"/>
                <w:lang w:eastAsia="zh-CN"/>
              </w:rPr>
              <w:t>"</w:t>
            </w:r>
            <w:r>
              <w:rPr>
                <w:rFonts w:hint="eastAsia" w:eastAsia="楷体_GB2312" w:cs="Calibri"/>
                <w:snapToGrid/>
                <w:sz w:val="21"/>
                <w:szCs w:val="21"/>
                <w:lang w:eastAsia="zh-CN"/>
              </w:rPr>
              <w:t>，估计</w:t>
            </w:r>
            <w:r>
              <w:rPr>
                <w:rFonts w:eastAsia="楷体_GB2312" w:cs="Calibri"/>
                <w:snapToGrid/>
                <w:sz w:val="21"/>
                <w:szCs w:val="21"/>
                <w:lang w:eastAsia="zh-CN"/>
              </w:rPr>
              <w:t>2-3</w:t>
            </w:r>
            <w:r>
              <w:rPr>
                <w:rFonts w:hint="eastAsia" w:eastAsia="楷体_GB2312" w:cs="Calibri"/>
                <w:snapToGrid/>
                <w:sz w:val="21"/>
                <w:szCs w:val="21"/>
                <w:lang w:eastAsia="zh-CN"/>
              </w:rPr>
              <w:t>年内太空将成为</w:t>
            </w:r>
            <w:r>
              <w:rPr>
                <w:rFonts w:eastAsia="楷体_GB2312" w:cs="Calibri"/>
                <w:snapToGrid/>
                <w:sz w:val="21"/>
                <w:szCs w:val="21"/>
                <w:lang w:eastAsia="zh-CN"/>
              </w:rPr>
              <w:t>"</w:t>
            </w:r>
            <w:r>
              <w:rPr>
                <w:rFonts w:hint="eastAsia" w:eastAsia="楷体_GB2312" w:cs="Calibri"/>
                <w:snapToGrid/>
                <w:sz w:val="21"/>
                <w:szCs w:val="21"/>
                <w:lang w:eastAsia="zh-CN"/>
              </w:rPr>
              <w:t>最低成本</w:t>
            </w:r>
            <w:r>
              <w:rPr>
                <w:rFonts w:eastAsia="楷体_GB2312" w:cs="Calibri"/>
                <w:snapToGrid/>
                <w:sz w:val="21"/>
                <w:szCs w:val="21"/>
                <w:lang w:eastAsia="zh-CN"/>
              </w:rPr>
              <w:t>AI</w:t>
            </w:r>
            <w:r>
              <w:rPr>
                <w:rFonts w:hint="eastAsia" w:eastAsia="楷体_GB2312" w:cs="Calibri"/>
                <w:snapToGrid/>
                <w:sz w:val="21"/>
                <w:szCs w:val="21"/>
                <w:lang w:eastAsia="zh-CN"/>
              </w:rPr>
              <w:t>算力生成地</w:t>
            </w:r>
            <w:r>
              <w:rPr>
                <w:rFonts w:eastAsia="楷体_GB2312" w:cs="Calibri"/>
                <w:snapToGrid/>
                <w:sz w:val="21"/>
                <w:szCs w:val="21"/>
                <w:lang w:eastAsia="zh-CN"/>
              </w:rPr>
              <w:t>"</w:t>
            </w:r>
            <w:r>
              <w:rPr>
                <w:rFonts w:hint="eastAsia" w:eastAsia="楷体_GB2312" w:cs="Calibri"/>
                <w:snapToGrid/>
                <w:sz w:val="21"/>
                <w:szCs w:val="21"/>
                <w:lang w:eastAsia="zh-CN"/>
              </w:rPr>
              <w:t>。</w:t>
            </w:r>
          </w:p>
          <w:p w14:paraId="5D627E98">
            <w:pPr>
              <w:pStyle w:val="40"/>
              <w:jc w:val="both"/>
              <w:rPr>
                <w:rFonts w:eastAsia="楷体_GB2312" w:cs="Calibri"/>
                <w:b/>
                <w:bCs/>
                <w:snapToGrid/>
                <w:sz w:val="21"/>
                <w:szCs w:val="21"/>
                <w:lang w:eastAsia="zh-CN"/>
              </w:rPr>
            </w:pPr>
          </w:p>
          <w:p w14:paraId="24859641">
            <w:pPr>
              <w:pStyle w:val="40"/>
              <w:jc w:val="both"/>
              <w:rPr>
                <w:rFonts w:hint="eastAsia" w:eastAsia="楷体_GB2312" w:cs="Calibri"/>
                <w:snapToGrid/>
                <w:sz w:val="21"/>
                <w:szCs w:val="21"/>
                <w:lang w:val="en-GB" w:eastAsia="zh-CN"/>
              </w:rPr>
            </w:pPr>
            <w:r>
              <w:rPr>
                <w:rFonts w:hint="eastAsia" w:eastAsia="楷体_GB2312" w:cs="Calibri"/>
                <w:b/>
                <w:bCs/>
                <w:snapToGrid/>
                <w:sz w:val="21"/>
                <w:szCs w:val="21"/>
                <w:lang w:eastAsia="zh-CN"/>
              </w:rPr>
              <w:t>垂直整合闭环：星链中继</w:t>
            </w:r>
            <w:r>
              <w:rPr>
                <w:rFonts w:eastAsia="楷体_GB2312" w:cs="Calibri"/>
                <w:b/>
                <w:bCs/>
                <w:snapToGrid/>
                <w:sz w:val="21"/>
                <w:szCs w:val="21"/>
                <w:lang w:eastAsia="zh-CN"/>
              </w:rPr>
              <w:t>+xAI</w:t>
            </w:r>
            <w:r>
              <w:rPr>
                <w:rFonts w:hint="eastAsia" w:eastAsia="楷体_GB2312" w:cs="Calibri"/>
                <w:b/>
                <w:bCs/>
                <w:snapToGrid/>
                <w:sz w:val="21"/>
                <w:szCs w:val="21"/>
                <w:lang w:eastAsia="zh-CN"/>
              </w:rPr>
              <w:t>算力</w:t>
            </w:r>
            <w:r>
              <w:rPr>
                <w:rFonts w:eastAsia="楷体_GB2312" w:cs="Calibri"/>
                <w:b/>
                <w:bCs/>
                <w:snapToGrid/>
                <w:sz w:val="21"/>
                <w:szCs w:val="21"/>
                <w:lang w:eastAsia="zh-CN"/>
              </w:rPr>
              <w:t>+</w:t>
            </w:r>
            <w:r>
              <w:rPr>
                <w:rFonts w:hint="eastAsia" w:eastAsia="楷体_GB2312" w:cs="Calibri"/>
                <w:b/>
                <w:bCs/>
                <w:snapToGrid/>
                <w:sz w:val="21"/>
                <w:szCs w:val="21"/>
                <w:lang w:eastAsia="zh-CN"/>
              </w:rPr>
              <w:t>国防合同构筑“太空基建运营商”协同模式。</w:t>
            </w:r>
            <w:r>
              <w:rPr>
                <w:rFonts w:eastAsia="楷体_GB2312" w:cs="Calibri"/>
                <w:snapToGrid/>
                <w:sz w:val="21"/>
                <w:szCs w:val="21"/>
                <w:lang w:eastAsia="zh-CN"/>
              </w:rPr>
              <w:t>SpaceX</w:t>
            </w:r>
            <w:r>
              <w:rPr>
                <w:rFonts w:hint="eastAsia" w:eastAsia="楷体_GB2312" w:cs="Calibri"/>
                <w:snapToGrid/>
                <w:sz w:val="21"/>
                <w:szCs w:val="21"/>
                <w:lang w:eastAsia="zh-CN"/>
              </w:rPr>
              <w:t>拟通过</w:t>
            </w:r>
            <w:r>
              <w:rPr>
                <w:rFonts w:eastAsia="楷体_GB2312" w:cs="Calibri"/>
                <w:snapToGrid/>
                <w:sz w:val="21"/>
                <w:szCs w:val="21"/>
                <w:lang w:eastAsia="zh-CN"/>
              </w:rPr>
              <w:t>Starlink V3</w:t>
            </w:r>
            <w:r>
              <w:rPr>
                <w:rFonts w:hint="eastAsia" w:eastAsia="楷体_GB2312" w:cs="Calibri"/>
                <w:snapToGrid/>
                <w:sz w:val="21"/>
                <w:szCs w:val="21"/>
                <w:lang w:eastAsia="zh-CN"/>
              </w:rPr>
              <w:t>平台实现“观测</w:t>
            </w:r>
            <w:r>
              <w:rPr>
                <w:rFonts w:eastAsia="楷体_GB2312" w:cs="Calibri"/>
                <w:snapToGrid/>
                <w:sz w:val="21"/>
                <w:szCs w:val="21"/>
                <w:lang w:eastAsia="zh-CN"/>
              </w:rPr>
              <w:t>-</w:t>
            </w:r>
            <w:r>
              <w:rPr>
                <w:rFonts w:hint="eastAsia" w:eastAsia="楷体_GB2312" w:cs="Calibri"/>
                <w:snapToGrid/>
                <w:sz w:val="21"/>
                <w:szCs w:val="21"/>
                <w:lang w:eastAsia="zh-CN"/>
              </w:rPr>
              <w:t>通信</w:t>
            </w:r>
            <w:r>
              <w:rPr>
                <w:rFonts w:eastAsia="楷体_GB2312" w:cs="Calibri"/>
                <w:snapToGrid/>
                <w:sz w:val="21"/>
                <w:szCs w:val="21"/>
                <w:lang w:eastAsia="zh-CN"/>
              </w:rPr>
              <w:t>-</w:t>
            </w:r>
            <w:r>
              <w:rPr>
                <w:rFonts w:hint="eastAsia" w:eastAsia="楷体_GB2312" w:cs="Calibri"/>
                <w:snapToGrid/>
                <w:sz w:val="21"/>
                <w:szCs w:val="21"/>
                <w:lang w:eastAsia="zh-CN"/>
              </w:rPr>
              <w:t>计算</w:t>
            </w:r>
            <w:r>
              <w:rPr>
                <w:rFonts w:eastAsia="楷体_GB2312" w:cs="Calibri"/>
                <w:snapToGrid/>
                <w:sz w:val="21"/>
                <w:szCs w:val="21"/>
                <w:lang w:eastAsia="zh-CN"/>
              </w:rPr>
              <w:t>-</w:t>
            </w:r>
            <w:r>
              <w:rPr>
                <w:rFonts w:hint="eastAsia" w:eastAsia="楷体_GB2312" w:cs="Calibri"/>
                <w:snapToGrid/>
                <w:sz w:val="21"/>
                <w:szCs w:val="21"/>
                <w:lang w:eastAsia="zh-CN"/>
              </w:rPr>
              <w:t>传输”分层架构，与</w:t>
            </w:r>
            <w:r>
              <w:rPr>
                <w:rFonts w:eastAsia="楷体_GB2312" w:cs="Calibri"/>
                <w:snapToGrid/>
                <w:sz w:val="21"/>
                <w:szCs w:val="21"/>
                <w:lang w:eastAsia="zh-CN"/>
              </w:rPr>
              <w:t>xAI</w:t>
            </w:r>
            <w:r>
              <w:rPr>
                <w:rFonts w:hint="eastAsia" w:eastAsia="楷体_GB2312" w:cs="Calibri"/>
                <w:snapToGrid/>
                <w:sz w:val="21"/>
                <w:szCs w:val="21"/>
                <w:lang w:eastAsia="zh-CN"/>
              </w:rPr>
              <w:t>形成业务协同，从“火箭发射商”向“太空基础设施运营商”转型。太阳同步轨道卫星承担持续计算负载，低倾角轨道处理峰值需求，经星间激光链路构成分布式网络回传地面。这一架构与</w:t>
            </w:r>
            <w:r>
              <w:rPr>
                <w:rFonts w:eastAsia="楷体_GB2312" w:cs="Calibri"/>
                <w:snapToGrid/>
                <w:sz w:val="21"/>
                <w:szCs w:val="21"/>
                <w:lang w:eastAsia="zh-CN"/>
              </w:rPr>
              <w:t>xAI</w:t>
            </w:r>
            <w:r>
              <w:rPr>
                <w:rFonts w:hint="eastAsia" w:eastAsia="楷体_GB2312" w:cs="Calibri"/>
                <w:snapToGrid/>
                <w:sz w:val="21"/>
                <w:szCs w:val="21"/>
                <w:lang w:eastAsia="zh-CN"/>
              </w:rPr>
              <w:t>形成业务协同——</w:t>
            </w:r>
            <w:r>
              <w:rPr>
                <w:rFonts w:eastAsia="楷体_GB2312" w:cs="Calibri"/>
                <w:snapToGrid/>
                <w:sz w:val="21"/>
                <w:szCs w:val="21"/>
                <w:lang w:eastAsia="zh-CN"/>
              </w:rPr>
              <w:t>2025</w:t>
            </w:r>
            <w:r>
              <w:rPr>
                <w:rFonts w:hint="eastAsia" w:eastAsia="楷体_GB2312" w:cs="Calibri"/>
                <w:snapToGrid/>
                <w:sz w:val="21"/>
                <w:szCs w:val="21"/>
                <w:lang w:eastAsia="zh-CN"/>
              </w:rPr>
              <w:t>年</w:t>
            </w:r>
            <w:r>
              <w:rPr>
                <w:rFonts w:eastAsia="楷体_GB2312" w:cs="Calibri"/>
                <w:snapToGrid/>
                <w:sz w:val="21"/>
                <w:szCs w:val="21"/>
                <w:lang w:eastAsia="zh-CN"/>
              </w:rPr>
              <w:t>7</w:t>
            </w:r>
            <w:r>
              <w:rPr>
                <w:rFonts w:hint="eastAsia" w:eastAsia="楷体_GB2312" w:cs="Calibri"/>
                <w:snapToGrid/>
                <w:sz w:val="21"/>
                <w:szCs w:val="21"/>
                <w:lang w:eastAsia="zh-CN"/>
              </w:rPr>
              <w:t>月，</w:t>
            </w:r>
            <w:r>
              <w:rPr>
                <w:rFonts w:eastAsia="楷体_GB2312" w:cs="Calibri"/>
                <w:snapToGrid/>
                <w:sz w:val="21"/>
                <w:szCs w:val="21"/>
                <w:lang w:eastAsia="zh-CN"/>
              </w:rPr>
              <w:t>xAI</w:t>
            </w:r>
            <w:r>
              <w:rPr>
                <w:rFonts w:hint="eastAsia" w:eastAsia="楷体_GB2312" w:cs="Calibri"/>
                <w:snapToGrid/>
                <w:sz w:val="21"/>
                <w:szCs w:val="21"/>
                <w:lang w:eastAsia="zh-CN"/>
              </w:rPr>
              <w:t>与</w:t>
            </w:r>
            <w:r>
              <w:rPr>
                <w:rFonts w:eastAsia="楷体_GB2312" w:cs="Calibri"/>
                <w:snapToGrid/>
                <w:sz w:val="21"/>
                <w:szCs w:val="21"/>
                <w:lang w:eastAsia="zh-CN"/>
              </w:rPr>
              <w:t>OpenAI</w:t>
            </w:r>
            <w:r>
              <w:rPr>
                <w:rFonts w:hint="eastAsia" w:eastAsia="楷体_GB2312" w:cs="Calibri"/>
                <w:snapToGrid/>
                <w:sz w:val="21"/>
                <w:szCs w:val="21"/>
                <w:lang w:eastAsia="zh-CN"/>
              </w:rPr>
              <w:t>、</w:t>
            </w:r>
            <w:r>
              <w:rPr>
                <w:rFonts w:eastAsia="楷体_GB2312" w:cs="Calibri"/>
                <w:snapToGrid/>
                <w:sz w:val="21"/>
                <w:szCs w:val="21"/>
                <w:lang w:eastAsia="zh-CN"/>
              </w:rPr>
              <w:t>Google</w:t>
            </w:r>
            <w:r>
              <w:rPr>
                <w:rFonts w:hint="eastAsia" w:eastAsia="楷体_GB2312" w:cs="Calibri"/>
                <w:snapToGrid/>
                <w:sz w:val="21"/>
                <w:szCs w:val="21"/>
                <w:lang w:eastAsia="zh-CN"/>
              </w:rPr>
              <w:t>等共同获得美国国防部首席数字与人工智能办公室（</w:t>
            </w:r>
            <w:r>
              <w:rPr>
                <w:rFonts w:eastAsia="楷体_GB2312" w:cs="Calibri"/>
                <w:snapToGrid/>
                <w:sz w:val="21"/>
                <w:szCs w:val="21"/>
                <w:lang w:eastAsia="zh-CN"/>
              </w:rPr>
              <w:t>CDAO</w:t>
            </w:r>
            <w:r>
              <w:rPr>
                <w:rFonts w:hint="eastAsia" w:eastAsia="楷体_GB2312" w:cs="Calibri"/>
                <w:snapToGrid/>
                <w:sz w:val="21"/>
                <w:szCs w:val="21"/>
                <w:lang w:eastAsia="zh-CN"/>
              </w:rPr>
              <w:t>）最高</w:t>
            </w:r>
            <w:r>
              <w:rPr>
                <w:rFonts w:eastAsia="楷体_GB2312" w:cs="Calibri"/>
                <w:snapToGrid/>
                <w:sz w:val="21"/>
                <w:szCs w:val="21"/>
                <w:lang w:eastAsia="zh-CN"/>
              </w:rPr>
              <w:t>2</w:t>
            </w:r>
            <w:r>
              <w:rPr>
                <w:rFonts w:hint="eastAsia" w:eastAsia="楷体_GB2312" w:cs="Calibri"/>
                <w:snapToGrid/>
                <w:sz w:val="21"/>
                <w:szCs w:val="21"/>
                <w:lang w:eastAsia="zh-CN"/>
              </w:rPr>
              <w:t>亿美元合同，开发国防用途</w:t>
            </w:r>
            <w:r>
              <w:rPr>
                <w:rFonts w:eastAsia="楷体_GB2312" w:cs="Calibri"/>
                <w:snapToGrid/>
                <w:sz w:val="21"/>
                <w:szCs w:val="21"/>
                <w:lang w:eastAsia="zh-CN"/>
              </w:rPr>
              <w:t>AI</w:t>
            </w:r>
            <w:r>
              <w:rPr>
                <w:rFonts w:hint="eastAsia" w:eastAsia="楷体_GB2312" w:cs="Calibri"/>
                <w:snapToGrid/>
                <w:sz w:val="21"/>
                <w:szCs w:val="21"/>
                <w:lang w:eastAsia="zh-CN"/>
              </w:rPr>
              <w:t>工具。</w:t>
            </w:r>
            <w:r>
              <w:rPr>
                <w:rFonts w:eastAsia="楷体_GB2312" w:cs="Calibri"/>
                <w:snapToGrid/>
                <w:sz w:val="21"/>
                <w:szCs w:val="21"/>
                <w:lang w:eastAsia="zh-CN"/>
              </w:rPr>
              <w:t>SpaceX</w:t>
            </w:r>
            <w:r>
              <w:rPr>
                <w:rFonts w:hint="eastAsia" w:eastAsia="楷体_GB2312" w:cs="Calibri"/>
                <w:snapToGrid/>
                <w:sz w:val="21"/>
                <w:szCs w:val="21"/>
                <w:lang w:eastAsia="zh-CN"/>
              </w:rPr>
              <w:t>同时计划</w:t>
            </w:r>
            <w:r>
              <w:rPr>
                <w:rFonts w:eastAsia="楷体_GB2312" w:cs="Calibri"/>
                <w:snapToGrid/>
                <w:sz w:val="21"/>
                <w:szCs w:val="21"/>
                <w:lang w:eastAsia="zh-CN"/>
              </w:rPr>
              <w:t>2026</w:t>
            </w:r>
            <w:r>
              <w:rPr>
                <w:rFonts w:hint="eastAsia" w:eastAsia="楷体_GB2312" w:cs="Calibri"/>
                <w:snapToGrid/>
                <w:sz w:val="21"/>
                <w:szCs w:val="21"/>
                <w:lang w:eastAsia="zh-CN"/>
              </w:rPr>
              <w:t>年以</w:t>
            </w:r>
            <w:r>
              <w:rPr>
                <w:rFonts w:eastAsia="楷体_GB2312" w:cs="Calibri"/>
                <w:snapToGrid/>
                <w:sz w:val="21"/>
                <w:szCs w:val="21"/>
                <w:lang w:eastAsia="zh-CN"/>
              </w:rPr>
              <w:t>1.5</w:t>
            </w:r>
            <w:r>
              <w:rPr>
                <w:rFonts w:hint="eastAsia" w:eastAsia="楷体_GB2312" w:cs="Calibri"/>
                <w:snapToGrid/>
                <w:sz w:val="21"/>
                <w:szCs w:val="21"/>
                <w:lang w:eastAsia="zh-CN"/>
              </w:rPr>
              <w:t>万亿美元估值推进</w:t>
            </w:r>
            <w:r>
              <w:rPr>
                <w:rFonts w:eastAsia="楷体_GB2312" w:cs="Calibri"/>
                <w:snapToGrid/>
                <w:sz w:val="21"/>
                <w:szCs w:val="21"/>
                <w:lang w:eastAsia="zh-CN"/>
              </w:rPr>
              <w:t>IPO</w:t>
            </w:r>
            <w:r>
              <w:rPr>
                <w:rFonts w:hint="eastAsia" w:eastAsia="楷体_GB2312" w:cs="Calibri"/>
                <w:snapToGrid/>
                <w:sz w:val="21"/>
                <w:szCs w:val="21"/>
                <w:lang w:eastAsia="zh-CN"/>
              </w:rPr>
              <w:t>（募资规模或超</w:t>
            </w:r>
            <w:r>
              <w:rPr>
                <w:rFonts w:eastAsia="楷体_GB2312" w:cs="Calibri"/>
                <w:snapToGrid/>
                <w:sz w:val="21"/>
                <w:szCs w:val="21"/>
                <w:lang w:eastAsia="zh-CN"/>
              </w:rPr>
              <w:t>300</w:t>
            </w:r>
            <w:r>
              <w:rPr>
                <w:rFonts w:hint="eastAsia" w:eastAsia="楷体_GB2312" w:cs="Calibri"/>
                <w:snapToGrid/>
                <w:sz w:val="21"/>
                <w:szCs w:val="21"/>
                <w:lang w:eastAsia="zh-CN"/>
              </w:rPr>
              <w:t>亿美元），业务叙事从</w:t>
            </w:r>
            <w:r>
              <w:rPr>
                <w:rFonts w:eastAsia="楷体_GB2312" w:cs="Calibri"/>
                <w:snapToGrid/>
                <w:sz w:val="21"/>
                <w:szCs w:val="21"/>
                <w:lang w:eastAsia="zh-CN"/>
              </w:rPr>
              <w:t>"</w:t>
            </w:r>
            <w:r>
              <w:rPr>
                <w:rFonts w:hint="eastAsia" w:eastAsia="楷体_GB2312" w:cs="Calibri"/>
                <w:snapToGrid/>
                <w:sz w:val="21"/>
                <w:szCs w:val="21"/>
                <w:lang w:eastAsia="zh-CN"/>
              </w:rPr>
              <w:t>火箭发射商</w:t>
            </w:r>
            <w:r>
              <w:rPr>
                <w:rFonts w:eastAsia="楷体_GB2312" w:cs="Calibri"/>
                <w:snapToGrid/>
                <w:sz w:val="21"/>
                <w:szCs w:val="21"/>
                <w:lang w:eastAsia="zh-CN"/>
              </w:rPr>
              <w:t>"</w:t>
            </w:r>
            <w:r>
              <w:rPr>
                <w:rFonts w:hint="eastAsia" w:eastAsia="楷体_GB2312" w:cs="Calibri"/>
                <w:snapToGrid/>
                <w:sz w:val="21"/>
                <w:szCs w:val="21"/>
                <w:lang w:eastAsia="zh-CN"/>
              </w:rPr>
              <w:t>向</w:t>
            </w:r>
            <w:r>
              <w:rPr>
                <w:rFonts w:eastAsia="楷体_GB2312" w:cs="Calibri"/>
                <w:snapToGrid/>
                <w:sz w:val="21"/>
                <w:szCs w:val="21"/>
                <w:lang w:eastAsia="zh-CN"/>
              </w:rPr>
              <w:t>"</w:t>
            </w:r>
            <w:r>
              <w:rPr>
                <w:rFonts w:hint="eastAsia" w:eastAsia="楷体_GB2312" w:cs="Calibri"/>
                <w:snapToGrid/>
                <w:sz w:val="21"/>
                <w:szCs w:val="21"/>
                <w:lang w:eastAsia="zh-CN"/>
              </w:rPr>
              <w:t>太空基础设施运营商</w:t>
            </w:r>
            <w:r>
              <w:rPr>
                <w:rFonts w:eastAsia="楷体_GB2312" w:cs="Calibri"/>
                <w:snapToGrid/>
                <w:sz w:val="21"/>
                <w:szCs w:val="21"/>
                <w:lang w:eastAsia="zh-CN"/>
              </w:rPr>
              <w:t>"</w:t>
            </w:r>
            <w:r>
              <w:rPr>
                <w:rFonts w:hint="eastAsia" w:eastAsia="楷体_GB2312" w:cs="Calibri"/>
                <w:snapToGrid/>
                <w:sz w:val="21"/>
                <w:szCs w:val="21"/>
                <w:lang w:eastAsia="zh-CN"/>
              </w:rPr>
              <w:t>转型。然而，该模式依赖</w:t>
            </w:r>
            <w:r>
              <w:rPr>
                <w:rFonts w:eastAsia="楷体_GB2312" w:cs="Calibri"/>
                <w:snapToGrid/>
                <w:sz w:val="21"/>
                <w:szCs w:val="21"/>
                <w:lang w:eastAsia="zh-CN"/>
              </w:rPr>
              <w:t>Starship</w:t>
            </w:r>
            <w:r>
              <w:rPr>
                <w:rFonts w:hint="eastAsia" w:eastAsia="楷体_GB2312" w:cs="Calibri"/>
                <w:snapToGrid/>
                <w:sz w:val="21"/>
                <w:szCs w:val="21"/>
                <w:lang w:eastAsia="zh-CN"/>
              </w:rPr>
              <w:t>达到每小时发射的频次目标，且卫星</w:t>
            </w:r>
            <w:r>
              <w:rPr>
                <w:rFonts w:eastAsia="楷体_GB2312" w:cs="Calibri"/>
                <w:snapToGrid/>
                <w:sz w:val="21"/>
                <w:szCs w:val="21"/>
                <w:lang w:eastAsia="zh-CN"/>
              </w:rPr>
              <w:t>5</w:t>
            </w:r>
            <w:r>
              <w:rPr>
                <w:rFonts w:hint="eastAsia" w:eastAsia="楷体_GB2312" w:cs="Calibri"/>
                <w:snapToGrid/>
                <w:sz w:val="21"/>
                <w:szCs w:val="21"/>
                <w:lang w:eastAsia="zh-CN"/>
              </w:rPr>
              <w:t>年设计寿命意味着需持续补充发射以维持星座规模，实际运维成本与发射可靠性尚待验证</w:t>
            </w:r>
            <w:r>
              <w:rPr>
                <w:rFonts w:eastAsia="楷体_GB2312" w:cs="Calibri"/>
                <w:snapToGrid/>
                <w:sz w:val="21"/>
                <w:szCs w:val="21"/>
                <w:lang w:val="en-GB" w:eastAsia="zh-CN"/>
              </w:rPr>
              <w:t>。</w:t>
            </w:r>
          </w:p>
        </w:tc>
      </w:tr>
      <w:bookmarkEnd w:id="0"/>
      <w:bookmarkEnd w:id="1"/>
    </w:tbl>
    <w:p w14:paraId="7E8CAC4A">
      <w:pPr>
        <w:spacing w:before="240" w:beforeLines="100" w:after="240" w:afterLines="100"/>
        <w:rPr>
          <w:rFonts w:eastAsia="楷体_GB2312" w:cs="Calibri"/>
          <w:lang w:eastAsia="zh-CN"/>
        </w:rPr>
        <w:sectPr>
          <w:headerReference r:id="rId5" w:type="first"/>
          <w:footerReference r:id="rId8" w:type="first"/>
          <w:headerReference r:id="rId3" w:type="default"/>
          <w:footerReference r:id="rId6" w:type="default"/>
          <w:headerReference r:id="rId4" w:type="even"/>
          <w:footerReference r:id="rId7" w:type="even"/>
          <w:pgSz w:w="11909" w:h="16834"/>
          <w:pgMar w:top="1134" w:right="851" w:bottom="1321" w:left="851" w:header="284" w:footer="1157" w:gutter="0"/>
          <w:cols w:space="720" w:num="1"/>
          <w:docGrid w:linePitch="360" w:charSpace="0"/>
        </w:sectPr>
      </w:pPr>
    </w:p>
    <w:p w14:paraId="75BA95DB">
      <w:pPr>
        <w:pStyle w:val="24"/>
        <w:widowControl w:val="0"/>
        <w:adjustRightInd w:val="0"/>
        <w:snapToGrid w:val="0"/>
        <w:spacing w:before="0" w:beforeAutospacing="0" w:after="0" w:afterAutospacing="0"/>
        <w:jc w:val="both"/>
        <w:rPr>
          <w:rFonts w:ascii="Calibri" w:hAnsi="Calibri" w:eastAsia="楷体_GB2312" w:cs="Calibri"/>
          <w:sz w:val="21"/>
          <w:szCs w:val="21"/>
          <w:lang w:val="en-GB"/>
        </w:rPr>
      </w:pPr>
      <w:r>
        <w:rPr>
          <w:rFonts w:hint="eastAsia" w:ascii="Calibri" w:hAnsi="Calibri" w:eastAsia="楷体_GB2312" w:cs="Calibri"/>
          <w:b/>
          <w:bCs/>
          <w:sz w:val="21"/>
          <w:szCs w:val="21"/>
        </w:rPr>
        <w:t>全球格局与轨道资源重构：从资源分配到环境转移的多维透视。</w:t>
      </w:r>
      <w:r>
        <w:rPr>
          <w:rFonts w:ascii="Calibri" w:hAnsi="Calibri" w:eastAsia="楷体_GB2312" w:cs="Calibri"/>
          <w:sz w:val="21"/>
          <w:szCs w:val="21"/>
        </w:rPr>
        <w:t>SpaceX</w:t>
      </w:r>
      <w:r>
        <w:rPr>
          <w:rFonts w:hint="eastAsia" w:ascii="Calibri" w:hAnsi="Calibri" w:eastAsia="楷体_GB2312" w:cs="Calibri"/>
          <w:sz w:val="21"/>
          <w:szCs w:val="21"/>
        </w:rPr>
        <w:t>百万级星座计划或将根本性改变近地轨道（</w:t>
      </w:r>
      <w:r>
        <w:rPr>
          <w:rFonts w:ascii="Calibri" w:hAnsi="Calibri" w:eastAsia="楷体_GB2312" w:cs="Calibri"/>
          <w:sz w:val="21"/>
          <w:szCs w:val="21"/>
        </w:rPr>
        <w:t>LEO</w:t>
      </w:r>
      <w:r>
        <w:rPr>
          <w:rFonts w:hint="eastAsia" w:ascii="Calibri" w:hAnsi="Calibri" w:eastAsia="楷体_GB2312" w:cs="Calibri"/>
          <w:sz w:val="21"/>
          <w:szCs w:val="21"/>
        </w:rPr>
        <w:t>）资源格局，轨道资源分配逻辑正从“适度利用”转向“先占先得”。</w:t>
      </w:r>
      <w:r>
        <w:rPr>
          <w:rFonts w:hint="eastAsia" w:ascii="Calibri" w:hAnsi="Calibri" w:eastAsia="楷体_GB2312" w:cs="Calibri"/>
          <w:sz w:val="21"/>
          <w:szCs w:val="21"/>
          <w:lang w:val="en-GB"/>
        </w:rPr>
        <w:t>当前全球在轨活跃卫星约</w:t>
      </w:r>
      <w:r>
        <w:rPr>
          <w:rFonts w:ascii="Calibri" w:hAnsi="Calibri" w:eastAsia="楷体_GB2312" w:cs="Calibri"/>
          <w:sz w:val="21"/>
          <w:szCs w:val="21"/>
          <w:lang w:val="en-GB"/>
        </w:rPr>
        <w:t>1.45</w:t>
      </w:r>
      <w:r>
        <w:rPr>
          <w:rFonts w:hint="eastAsia" w:ascii="Calibri" w:hAnsi="Calibri" w:eastAsia="楷体_GB2312" w:cs="Calibri"/>
          <w:sz w:val="21"/>
          <w:szCs w:val="21"/>
          <w:lang w:val="en-GB"/>
        </w:rPr>
        <w:t>万颗，</w:t>
      </w:r>
      <w:r>
        <w:rPr>
          <w:rFonts w:ascii="Calibri" w:hAnsi="Calibri" w:eastAsia="楷体_GB2312" w:cs="Calibri"/>
          <w:sz w:val="21"/>
          <w:szCs w:val="21"/>
          <w:lang w:val="en-GB"/>
        </w:rPr>
        <w:t>SpaceX</w:t>
      </w:r>
      <w:r>
        <w:rPr>
          <w:rFonts w:hint="eastAsia" w:ascii="Calibri" w:hAnsi="Calibri" w:eastAsia="楷体_GB2312" w:cs="Calibri"/>
          <w:sz w:val="21"/>
          <w:szCs w:val="21"/>
          <w:lang w:val="en-GB"/>
        </w:rPr>
        <w:t>已占其中约</w:t>
      </w:r>
      <w:r>
        <w:rPr>
          <w:rFonts w:ascii="Calibri" w:hAnsi="Calibri" w:eastAsia="楷体_GB2312" w:cs="Calibri"/>
          <w:sz w:val="21"/>
          <w:szCs w:val="21"/>
          <w:lang w:val="en-GB"/>
        </w:rPr>
        <w:t>9,600</w:t>
      </w:r>
      <w:r>
        <w:rPr>
          <w:rFonts w:hint="eastAsia" w:ascii="Calibri" w:hAnsi="Calibri" w:eastAsia="楷体_GB2312" w:cs="Calibri"/>
          <w:sz w:val="21"/>
          <w:szCs w:val="21"/>
          <w:lang w:val="en-GB"/>
        </w:rPr>
        <w:t>颗；百万级星座将使公司拥有相当于现存总量</w:t>
      </w:r>
      <w:r>
        <w:rPr>
          <w:rFonts w:ascii="Calibri" w:hAnsi="Calibri" w:eastAsia="楷体_GB2312" w:cs="Calibri"/>
          <w:sz w:val="21"/>
          <w:szCs w:val="21"/>
          <w:lang w:val="en-GB"/>
        </w:rPr>
        <w:t>100</w:t>
      </w:r>
      <w:r>
        <w:rPr>
          <w:rFonts w:hint="eastAsia" w:ascii="Calibri" w:hAnsi="Calibri" w:eastAsia="楷体_GB2312" w:cs="Calibri"/>
          <w:sz w:val="21"/>
          <w:szCs w:val="21"/>
          <w:lang w:val="en-GB"/>
        </w:rPr>
        <w:t>倍的轨道资产，主要占据</w:t>
      </w:r>
      <w:r>
        <w:rPr>
          <w:rFonts w:ascii="Calibri" w:hAnsi="Calibri" w:eastAsia="楷体_GB2312" w:cs="Calibri"/>
          <w:sz w:val="21"/>
          <w:szCs w:val="21"/>
          <w:lang w:val="en-GB"/>
        </w:rPr>
        <w:t>500-2,000km</w:t>
      </w:r>
      <w:r>
        <w:rPr>
          <w:rFonts w:hint="eastAsia" w:ascii="Calibri" w:hAnsi="Calibri" w:eastAsia="楷体_GB2312" w:cs="Calibri"/>
          <w:sz w:val="21"/>
          <w:szCs w:val="21"/>
          <w:lang w:val="en-GB"/>
        </w:rPr>
        <w:t>高度的太阳同步轨道。从天文观测角度，</w:t>
      </w:r>
      <w:r>
        <w:rPr>
          <w:rFonts w:ascii="Calibri" w:hAnsi="Calibri" w:eastAsia="楷体_GB2312" w:cs="Calibri"/>
          <w:sz w:val="21"/>
          <w:szCs w:val="21"/>
          <w:lang w:val="en-GB"/>
        </w:rPr>
        <w:t>NASA Ames</w:t>
      </w:r>
      <w:r>
        <w:rPr>
          <w:rFonts w:hint="eastAsia" w:ascii="Calibri" w:hAnsi="Calibri" w:eastAsia="楷体_GB2312" w:cs="Calibri"/>
          <w:sz w:val="21"/>
          <w:szCs w:val="21"/>
          <w:lang w:val="en-GB"/>
        </w:rPr>
        <w:t>研究中心模拟显示，仅增加</w:t>
      </w:r>
      <w:r>
        <w:rPr>
          <w:rFonts w:ascii="Calibri" w:hAnsi="Calibri" w:eastAsia="楷体_GB2312" w:cs="Calibri"/>
          <w:sz w:val="21"/>
          <w:szCs w:val="21"/>
          <w:lang w:val="en-GB"/>
        </w:rPr>
        <w:t>50</w:t>
      </w:r>
      <w:r>
        <w:rPr>
          <w:rFonts w:hint="eastAsia" w:ascii="Calibri" w:hAnsi="Calibri" w:eastAsia="楷体_GB2312" w:cs="Calibri"/>
          <w:sz w:val="21"/>
          <w:szCs w:val="21"/>
          <w:lang w:val="en-GB"/>
        </w:rPr>
        <w:t>万颗卫星即可能导致几乎所有地基望远镜图像被污染，届时夜空中每</w:t>
      </w:r>
      <w:r>
        <w:rPr>
          <w:rFonts w:ascii="Calibri" w:hAnsi="Calibri" w:eastAsia="楷体_GB2312" w:cs="Calibri"/>
          <w:sz w:val="21"/>
          <w:szCs w:val="21"/>
          <w:lang w:val="en-GB"/>
        </w:rPr>
        <w:t>15</w:t>
      </w:r>
      <w:r>
        <w:rPr>
          <w:rFonts w:hint="eastAsia" w:ascii="Calibri" w:hAnsi="Calibri" w:eastAsia="楷体_GB2312" w:cs="Calibri"/>
          <w:sz w:val="21"/>
          <w:szCs w:val="21"/>
          <w:lang w:val="en-GB"/>
        </w:rPr>
        <w:t>个可见光点中约</w:t>
      </w:r>
      <w:r>
        <w:rPr>
          <w:rFonts w:ascii="Calibri" w:hAnsi="Calibri" w:eastAsia="楷体_GB2312" w:cs="Calibri"/>
          <w:sz w:val="21"/>
          <w:szCs w:val="21"/>
          <w:lang w:val="en-GB"/>
        </w:rPr>
        <w:t>1</w:t>
      </w:r>
      <w:r>
        <w:rPr>
          <w:rFonts w:hint="eastAsia" w:ascii="Calibri" w:hAnsi="Calibri" w:eastAsia="楷体_GB2312" w:cs="Calibri"/>
          <w:sz w:val="21"/>
          <w:szCs w:val="21"/>
          <w:lang w:val="en-GB"/>
        </w:rPr>
        <w:t>个为移动卫星。环境层面，卫星</w:t>
      </w:r>
      <w:r>
        <w:rPr>
          <w:rFonts w:ascii="Calibri" w:hAnsi="Calibri" w:eastAsia="楷体_GB2312" w:cs="Calibri"/>
          <w:sz w:val="21"/>
          <w:szCs w:val="21"/>
          <w:lang w:val="en-GB"/>
        </w:rPr>
        <w:t>5</w:t>
      </w:r>
      <w:r>
        <w:rPr>
          <w:rFonts w:hint="eastAsia" w:ascii="Calibri" w:hAnsi="Calibri" w:eastAsia="楷体_GB2312" w:cs="Calibri"/>
          <w:sz w:val="21"/>
          <w:szCs w:val="21"/>
          <w:lang w:val="en-GB"/>
        </w:rPr>
        <w:t>年设计寿命结束后需再入大气层销毁，向平流层释放铝等金属颗粒的累积效应尚待评估；</w:t>
      </w:r>
      <w:r>
        <w:rPr>
          <w:rFonts w:ascii="Calibri" w:hAnsi="Calibri" w:eastAsia="楷体_GB2312" w:cs="Calibri"/>
          <w:sz w:val="21"/>
          <w:szCs w:val="21"/>
          <w:lang w:val="en-GB"/>
        </w:rPr>
        <w:t>Starship</w:t>
      </w:r>
      <w:r>
        <w:rPr>
          <w:rFonts w:hint="eastAsia" w:ascii="Calibri" w:hAnsi="Calibri" w:eastAsia="楷体_GB2312" w:cs="Calibri"/>
          <w:sz w:val="21"/>
          <w:szCs w:val="21"/>
          <w:lang w:val="en-GB"/>
        </w:rPr>
        <w:t>高频发射的化石燃料消耗亦将构成新的排放源。监管层面，现行国际空间法规定国家（而非企业）对太空物体造成的损害负责，但</w:t>
      </w:r>
      <w:r>
        <w:rPr>
          <w:rFonts w:ascii="Calibri" w:hAnsi="Calibri" w:eastAsia="楷体_GB2312" w:cs="Calibri"/>
          <w:sz w:val="21"/>
          <w:szCs w:val="21"/>
          <w:lang w:val="en-GB"/>
        </w:rPr>
        <w:t>FCC</w:t>
      </w:r>
      <w:r>
        <w:rPr>
          <w:rFonts w:hint="eastAsia" w:ascii="Calibri" w:hAnsi="Calibri" w:eastAsia="楷体_GB2312" w:cs="Calibri"/>
          <w:sz w:val="21"/>
          <w:szCs w:val="21"/>
          <w:lang w:val="en-GB"/>
        </w:rPr>
        <w:t>审批仍基于</w:t>
      </w:r>
      <w:r>
        <w:rPr>
          <w:rFonts w:ascii="Calibri" w:hAnsi="Calibri" w:eastAsia="楷体_GB2312" w:cs="Calibri"/>
          <w:sz w:val="21"/>
          <w:szCs w:val="21"/>
          <w:lang w:val="en-GB"/>
        </w:rPr>
        <w:t>"</w:t>
      </w:r>
      <w:r>
        <w:rPr>
          <w:rFonts w:hint="eastAsia" w:ascii="Calibri" w:hAnsi="Calibri" w:eastAsia="楷体_GB2312" w:cs="Calibri"/>
          <w:sz w:val="21"/>
          <w:szCs w:val="21"/>
          <w:lang w:val="en-GB"/>
        </w:rPr>
        <w:t>先占先得</w:t>
      </w:r>
      <w:r>
        <w:rPr>
          <w:rFonts w:ascii="Calibri" w:hAnsi="Calibri" w:eastAsia="楷体_GB2312" w:cs="Calibri"/>
          <w:sz w:val="21"/>
          <w:szCs w:val="21"/>
          <w:lang w:val="en-GB"/>
        </w:rPr>
        <w:t>"</w:t>
      </w:r>
      <w:r>
        <w:rPr>
          <w:rFonts w:hint="eastAsia" w:ascii="Calibri" w:hAnsi="Calibri" w:eastAsia="楷体_GB2312" w:cs="Calibri"/>
          <w:sz w:val="21"/>
          <w:szCs w:val="21"/>
          <w:lang w:val="en-GB"/>
        </w:rPr>
        <w:t>原则，尚未建立针对巨型星座的累积性环境影响评估机制。这意味着轨道资源的分配逻辑正从</w:t>
      </w:r>
      <w:r>
        <w:rPr>
          <w:rFonts w:ascii="Calibri" w:hAnsi="Calibri" w:eastAsia="楷体_GB2312" w:cs="Calibri"/>
          <w:sz w:val="21"/>
          <w:szCs w:val="21"/>
          <w:lang w:val="en-GB"/>
        </w:rPr>
        <w:t>"</w:t>
      </w:r>
      <w:r>
        <w:rPr>
          <w:rFonts w:hint="eastAsia" w:ascii="Calibri" w:hAnsi="Calibri" w:eastAsia="楷体_GB2312" w:cs="Calibri"/>
          <w:sz w:val="21"/>
          <w:szCs w:val="21"/>
          <w:lang w:val="en-GB"/>
        </w:rPr>
        <w:t>适度利用</w:t>
      </w:r>
      <w:r>
        <w:rPr>
          <w:rFonts w:ascii="Calibri" w:hAnsi="Calibri" w:eastAsia="楷体_GB2312" w:cs="Calibri"/>
          <w:sz w:val="21"/>
          <w:szCs w:val="21"/>
          <w:lang w:val="en-GB"/>
        </w:rPr>
        <w:t>"</w:t>
      </w:r>
      <w:r>
        <w:rPr>
          <w:rFonts w:hint="eastAsia" w:ascii="Calibri" w:hAnsi="Calibri" w:eastAsia="楷体_GB2312" w:cs="Calibri"/>
          <w:sz w:val="21"/>
          <w:szCs w:val="21"/>
          <w:lang w:val="en-GB"/>
        </w:rPr>
        <w:t>转向</w:t>
      </w:r>
      <w:r>
        <w:rPr>
          <w:rFonts w:ascii="Calibri" w:hAnsi="Calibri" w:eastAsia="楷体_GB2312" w:cs="Calibri"/>
          <w:sz w:val="21"/>
          <w:szCs w:val="21"/>
          <w:lang w:val="en-GB"/>
        </w:rPr>
        <w:t>"</w:t>
      </w:r>
      <w:r>
        <w:rPr>
          <w:rFonts w:hint="eastAsia" w:ascii="Calibri" w:hAnsi="Calibri" w:eastAsia="楷体_GB2312" w:cs="Calibri"/>
          <w:sz w:val="21"/>
          <w:szCs w:val="21"/>
          <w:lang w:val="en-GB"/>
        </w:rPr>
        <w:t>先发占有</w:t>
      </w:r>
      <w:r>
        <w:rPr>
          <w:rFonts w:ascii="Calibri" w:hAnsi="Calibri" w:eastAsia="楷体_GB2312" w:cs="Calibri"/>
          <w:sz w:val="21"/>
          <w:szCs w:val="21"/>
          <w:lang w:val="en-GB"/>
        </w:rPr>
        <w:t>"</w:t>
      </w:r>
      <w:r>
        <w:rPr>
          <w:rFonts w:hint="eastAsia" w:ascii="Calibri" w:hAnsi="Calibri" w:eastAsia="楷体_GB2312" w:cs="Calibri"/>
          <w:sz w:val="21"/>
          <w:szCs w:val="21"/>
          <w:lang w:val="en-GB"/>
        </w:rPr>
        <w:t>，其长期影响有待观察。</w:t>
      </w:r>
    </w:p>
    <w:p w14:paraId="1213DFE2">
      <w:pPr>
        <w:pStyle w:val="40"/>
        <w:jc w:val="both"/>
        <w:rPr>
          <w:rFonts w:eastAsia="楷体_GB2312" w:cs="Calibri"/>
          <w:snapToGrid/>
          <w:sz w:val="21"/>
          <w:szCs w:val="21"/>
          <w:lang w:val="en-GB" w:eastAsia="zh-CN"/>
        </w:rPr>
      </w:pPr>
    </w:p>
    <w:p w14:paraId="1F80952E">
      <w:pPr>
        <w:pStyle w:val="40"/>
        <w:jc w:val="both"/>
        <w:rPr>
          <w:rFonts w:eastAsia="楷体_GB2312" w:cs="Calibri"/>
          <w:snapToGrid/>
          <w:sz w:val="21"/>
          <w:szCs w:val="21"/>
          <w:lang w:val="en-GB" w:eastAsia="zh-CN"/>
        </w:rPr>
      </w:pPr>
    </w:p>
    <w:tbl>
      <w:tblPr>
        <w:tblStyle w:val="26"/>
        <w:tblW w:w="10490" w:type="dxa"/>
        <w:tblInd w:w="0" w:type="dxa"/>
        <w:tblLayout w:type="fixed"/>
        <w:tblCellMar>
          <w:top w:w="0" w:type="dxa"/>
          <w:left w:w="108" w:type="dxa"/>
          <w:bottom w:w="0" w:type="dxa"/>
          <w:right w:w="108" w:type="dxa"/>
        </w:tblCellMar>
      </w:tblPr>
      <w:tblGrid>
        <w:gridCol w:w="5100"/>
        <w:gridCol w:w="241"/>
        <w:gridCol w:w="5149"/>
      </w:tblGrid>
      <w:tr w14:paraId="059BE27B">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22E7C268">
            <w:pPr>
              <w:spacing w:before="48" w:beforeLines="20" w:after="48" w:afterLines="20"/>
              <w:jc w:val="both"/>
              <w:textAlignment w:val="center"/>
              <w:rPr>
                <w:rFonts w:eastAsia="楷体_GB2312" w:cs="Calibri"/>
                <w:b/>
                <w:color w:val="000000"/>
                <w:sz w:val="20"/>
                <w:szCs w:val="20"/>
                <w:lang w:val="en-US" w:eastAsia="zh-CN" w:bidi="ar"/>
              </w:rPr>
            </w:pPr>
            <w:r>
              <w:rPr>
                <w:rFonts w:eastAsia="楷体_GB2312" w:cs="Calibri"/>
                <w:b/>
                <w:sz w:val="20"/>
                <w:szCs w:val="20"/>
                <w:lang w:eastAsia="zh-CN"/>
              </w:rPr>
              <w:t>图</w:t>
            </w:r>
            <w:r>
              <w:rPr>
                <w:rFonts w:hint="eastAsia" w:eastAsia="楷体_GB2312" w:cs="Calibri"/>
                <w:b/>
                <w:sz w:val="20"/>
                <w:szCs w:val="20"/>
                <w:lang w:eastAsia="zh-CN"/>
              </w:rPr>
              <w:t>：</w:t>
            </w:r>
            <w:r>
              <w:rPr>
                <w:rFonts w:eastAsia="楷体_GB2312" w:cs="Calibri"/>
                <w:b/>
                <w:sz w:val="20"/>
                <w:szCs w:val="20"/>
                <w:lang w:eastAsia="zh-CN"/>
              </w:rPr>
              <w:t>1957-</w:t>
            </w:r>
            <w:r>
              <w:rPr>
                <w:rFonts w:hint="eastAsia" w:eastAsia="楷体_GB2312" w:cs="Calibri"/>
                <w:b/>
                <w:sz w:val="20"/>
                <w:szCs w:val="20"/>
                <w:lang w:eastAsia="zh-CN"/>
              </w:rPr>
              <w:t>至今全球卫星发射格局的三次范式转移</w:t>
            </w:r>
          </w:p>
        </w:tc>
        <w:tc>
          <w:tcPr>
            <w:tcW w:w="241" w:type="dxa"/>
            <w:tcMar>
              <w:left w:w="0" w:type="dxa"/>
              <w:right w:w="28" w:type="dxa"/>
            </w:tcMar>
          </w:tcPr>
          <w:p w14:paraId="3019C834">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6822441C">
            <w:pPr>
              <w:spacing w:before="48" w:beforeLines="20" w:after="48" w:afterLines="20"/>
              <w:jc w:val="both"/>
              <w:rPr>
                <w:rFonts w:eastAsia="楷体_GB2312" w:cs="Calibri"/>
                <w:b/>
                <w:sz w:val="20"/>
                <w:szCs w:val="20"/>
                <w:lang w:eastAsia="zh-CN"/>
              </w:rPr>
            </w:pPr>
            <w:r>
              <w:rPr>
                <w:rFonts w:eastAsia="楷体_GB2312" w:cs="Calibri"/>
                <w:b/>
                <w:sz w:val="20"/>
                <w:szCs w:val="20"/>
                <w:lang w:eastAsia="zh-CN"/>
              </w:rPr>
              <w:t>图</w:t>
            </w:r>
            <w:r>
              <w:rPr>
                <w:rFonts w:eastAsia="楷体_GB2312" w:cs="Calibri"/>
                <w:b/>
                <w:bCs/>
                <w:snapToGrid/>
                <w:sz w:val="20"/>
                <w:szCs w:val="20"/>
                <w:lang w:eastAsia="zh-CN"/>
              </w:rPr>
              <w:t>: SpaceX</w:t>
            </w:r>
            <w:r>
              <w:rPr>
                <w:rFonts w:hint="eastAsia" w:eastAsia="楷体_GB2312" w:cs="Calibri"/>
                <w:b/>
                <w:bCs/>
                <w:snapToGrid/>
                <w:sz w:val="20"/>
                <w:szCs w:val="20"/>
                <w:lang w:eastAsia="zh-CN"/>
              </w:rPr>
              <w:t>复用星链平台经验构建轨道数据中心星座</w:t>
            </w:r>
          </w:p>
        </w:tc>
      </w:tr>
      <w:tr w14:paraId="37CFC7D3">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7982DB6D">
            <w:pPr>
              <w:spacing w:before="48" w:beforeLines="20" w:after="48" w:afterLines="20"/>
              <w:jc w:val="both"/>
              <w:textAlignment w:val="center"/>
              <w:rPr>
                <w:rFonts w:eastAsia="楷体_GB2312" w:cs="Calibri"/>
                <w:b/>
                <w:color w:val="000000"/>
                <w:sz w:val="20"/>
                <w:szCs w:val="20"/>
                <w:lang w:eastAsia="zh-CN" w:bidi="ar"/>
              </w:rPr>
            </w:pPr>
            <w:r>
              <w:rPr>
                <w:snapToGrid/>
              </w:rPr>
              <w:drawing>
                <wp:inline distT="0" distB="0" distL="0" distR="0">
                  <wp:extent cx="3101340" cy="2003425"/>
                  <wp:effectExtent l="0" t="0" r="3810" b="0"/>
                  <wp:docPr id="1396465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65742" name="图片 1"/>
                          <pic:cNvPicPr>
                            <a:picLocks noChangeAspect="1"/>
                          </pic:cNvPicPr>
                        </pic:nvPicPr>
                        <pic:blipFill>
                          <a:blip r:embed="rId16"/>
                          <a:stretch>
                            <a:fillRect/>
                          </a:stretch>
                        </pic:blipFill>
                        <pic:spPr>
                          <a:xfrm>
                            <a:off x="0" y="0"/>
                            <a:ext cx="3101340" cy="2003425"/>
                          </a:xfrm>
                          <a:prstGeom prst="rect">
                            <a:avLst/>
                          </a:prstGeom>
                        </pic:spPr>
                      </pic:pic>
                    </a:graphicData>
                  </a:graphic>
                </wp:inline>
              </w:drawing>
            </w:r>
          </w:p>
        </w:tc>
        <w:tc>
          <w:tcPr>
            <w:tcW w:w="241" w:type="dxa"/>
          </w:tcPr>
          <w:p w14:paraId="2C28DBCF">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36856DBD">
            <w:pPr>
              <w:spacing w:before="48" w:beforeLines="20" w:after="48" w:afterLines="20"/>
              <w:jc w:val="both"/>
              <w:rPr>
                <w:rFonts w:eastAsia="楷体_GB2312" w:cs="Calibri"/>
                <w:b/>
                <w:sz w:val="20"/>
                <w:szCs w:val="20"/>
              </w:rPr>
            </w:pPr>
            <w:r>
              <w:rPr>
                <w:rFonts w:hint="eastAsia"/>
              </w:rPr>
              <w:drawing>
                <wp:inline distT="0" distB="0" distL="0" distR="0">
                  <wp:extent cx="3132455" cy="1906270"/>
                  <wp:effectExtent l="0" t="0" r="0" b="0"/>
                  <wp:docPr id="1116917903" name="图片 4" descr="SpaceX Starl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17903" name="图片 4" descr="SpaceX Starlnk"/>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132455" cy="1906270"/>
                          </a:xfrm>
                          <a:prstGeom prst="rect">
                            <a:avLst/>
                          </a:prstGeom>
                          <a:noFill/>
                          <a:ln>
                            <a:noFill/>
                          </a:ln>
                        </pic:spPr>
                      </pic:pic>
                    </a:graphicData>
                  </a:graphic>
                </wp:inline>
              </w:drawing>
            </w:r>
          </w:p>
        </w:tc>
      </w:tr>
      <w:tr w14:paraId="06E520A4">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3931AD2A">
            <w:pPr>
              <w:spacing w:before="48" w:beforeLines="20" w:after="48" w:afterLines="20"/>
              <w:jc w:val="both"/>
              <w:textAlignment w:val="center"/>
              <w:rPr>
                <w:rFonts w:eastAsia="楷体_GB2312" w:cs="Calibri"/>
              </w:rPr>
            </w:pPr>
            <w:r>
              <w:rPr>
                <w:rFonts w:eastAsia="楷体_GB2312" w:cs="Calibri"/>
                <w:b/>
                <w:bCs/>
                <w:lang w:eastAsia="zh-CN"/>
              </w:rPr>
              <w:t>资料来源</w:t>
            </w:r>
            <w:r>
              <w:rPr>
                <w:rFonts w:eastAsia="楷体_GB2312" w:cs="Calibri"/>
                <w:b/>
                <w:bCs/>
              </w:rPr>
              <w:t>:</w:t>
            </w:r>
            <w:r>
              <w:rPr>
                <w:rFonts w:eastAsia="楷体_GB2312" w:cs="Calibri"/>
              </w:rPr>
              <w:t xml:space="preserve"> </w:t>
            </w:r>
            <w:r>
              <w:rPr>
                <w:rFonts w:eastAsia="楷体_GB2312" w:cs="Calibri"/>
                <w:lang w:val="en-US" w:eastAsia="zh-CN"/>
              </w:rPr>
              <w:t>European Space Agency</w:t>
            </w:r>
            <w:r>
              <w:rPr>
                <w:rFonts w:eastAsia="楷体_GB2312" w:cs="Calibri"/>
                <w:lang w:eastAsia="zh-CN"/>
              </w:rPr>
              <w:t xml:space="preserve">, </w:t>
            </w:r>
            <w:r>
              <w:rPr>
                <w:rFonts w:eastAsia="楷体_GB2312" w:cs="Calibri"/>
              </w:rPr>
              <w:t>H</w:t>
            </w:r>
            <w:r>
              <w:rPr>
                <w:rFonts w:eastAsia="楷体_GB2312" w:cs="Calibri"/>
                <w:lang w:eastAsia="zh-CN"/>
              </w:rPr>
              <w:t>F</w:t>
            </w:r>
            <w:r>
              <w:rPr>
                <w:rFonts w:eastAsia="楷体_GB2312" w:cs="Calibri"/>
              </w:rPr>
              <w:t>I</w:t>
            </w:r>
          </w:p>
        </w:tc>
        <w:tc>
          <w:tcPr>
            <w:tcW w:w="241" w:type="dxa"/>
            <w:tcMar>
              <w:left w:w="0" w:type="dxa"/>
              <w:right w:w="28" w:type="dxa"/>
            </w:tcMar>
          </w:tcPr>
          <w:p w14:paraId="41CCF0FC">
            <w:pPr>
              <w:spacing w:before="48" w:beforeLines="20" w:after="48" w:afterLines="20"/>
              <w:jc w:val="both"/>
              <w:rPr>
                <w:rFonts w:eastAsia="楷体_GB2312" w:cs="Calibri"/>
              </w:rPr>
            </w:pPr>
          </w:p>
        </w:tc>
        <w:tc>
          <w:tcPr>
            <w:tcW w:w="5149" w:type="dxa"/>
            <w:tcBorders>
              <w:top w:val="single" w:color="auto" w:sz="4" w:space="0"/>
            </w:tcBorders>
            <w:tcMar>
              <w:left w:w="0" w:type="dxa"/>
              <w:right w:w="28" w:type="dxa"/>
            </w:tcMar>
          </w:tcPr>
          <w:p w14:paraId="6E45CD62">
            <w:pPr>
              <w:spacing w:before="48" w:beforeLines="20" w:after="48" w:afterLines="20"/>
              <w:jc w:val="both"/>
              <w:rPr>
                <w:rFonts w:eastAsia="楷体_GB2312" w:cs="Calibri"/>
              </w:rPr>
            </w:pPr>
            <w:r>
              <w:rPr>
                <w:rFonts w:eastAsia="楷体_GB2312" w:cs="Calibri"/>
                <w:b/>
                <w:bCs/>
              </w:rPr>
              <w:t xml:space="preserve">Source: </w:t>
            </w:r>
            <w:r>
              <w:rPr>
                <w:rFonts w:eastAsia="楷体_GB2312" w:cs="Calibri"/>
                <w:lang w:val="en-US" w:eastAsia="zh-CN"/>
              </w:rPr>
              <w:t>SpaceX</w:t>
            </w:r>
            <w:r>
              <w:rPr>
                <w:rFonts w:eastAsia="楷体_GB2312" w:cs="Calibri"/>
                <w:lang w:eastAsia="zh-CN"/>
              </w:rPr>
              <w:t xml:space="preserve">, </w:t>
            </w:r>
            <w:r>
              <w:rPr>
                <w:rFonts w:eastAsia="楷体_GB2312" w:cs="Calibri"/>
              </w:rPr>
              <w:t>H</w:t>
            </w:r>
            <w:r>
              <w:rPr>
                <w:rFonts w:eastAsia="楷体_GB2312" w:cs="Calibri"/>
                <w:lang w:eastAsia="zh-CN"/>
              </w:rPr>
              <w:t>F</w:t>
            </w:r>
            <w:r>
              <w:rPr>
                <w:rFonts w:eastAsia="楷体_GB2312" w:cs="Calibri"/>
              </w:rPr>
              <w:t>I</w:t>
            </w:r>
          </w:p>
        </w:tc>
      </w:tr>
    </w:tbl>
    <w:p w14:paraId="1F21E6C2">
      <w:pPr>
        <w:pStyle w:val="40"/>
        <w:jc w:val="both"/>
        <w:rPr>
          <w:rFonts w:eastAsia="楷体_GB2312" w:cs="Calibri"/>
          <w:snapToGrid/>
          <w:sz w:val="21"/>
          <w:szCs w:val="21"/>
          <w:lang w:val="en-GB" w:eastAsia="zh-CN"/>
        </w:rPr>
      </w:pPr>
    </w:p>
    <w:p w14:paraId="729E5646">
      <w:pPr>
        <w:pStyle w:val="40"/>
        <w:jc w:val="both"/>
        <w:rPr>
          <w:rFonts w:eastAsia="楷体_GB2312" w:cs="Calibri"/>
          <w:snapToGrid/>
          <w:sz w:val="21"/>
          <w:szCs w:val="21"/>
          <w:lang w:val="en-GB" w:eastAsia="zh-CN"/>
        </w:rPr>
      </w:pPr>
    </w:p>
    <w:p w14:paraId="3F60A54E">
      <w:pPr>
        <w:pStyle w:val="94"/>
        <w:rPr>
          <w:rFonts w:eastAsia="楷体_GB2312" w:cs="Calibri"/>
          <w:b/>
          <w:bCs/>
          <w:kern w:val="28"/>
          <w:lang w:eastAsia="zh-CN"/>
        </w:rPr>
      </w:pPr>
      <w:bookmarkStart w:id="2" w:name="OLE_LINK3"/>
      <w:r>
        <w:rPr>
          <w:rFonts w:eastAsia="楷体_GB2312" w:cs="Calibri"/>
          <w:b/>
          <w:bCs/>
          <w:kern w:val="28"/>
          <w:lang w:eastAsia="zh-CN"/>
        </w:rPr>
        <w:t>投资建议</w:t>
      </w:r>
    </w:p>
    <w:p w14:paraId="79B26E22">
      <w:pPr>
        <w:pStyle w:val="24"/>
        <w:widowControl w:val="0"/>
        <w:adjustRightInd w:val="0"/>
        <w:snapToGrid w:val="0"/>
        <w:spacing w:before="0" w:beforeAutospacing="0" w:after="0" w:afterAutospacing="0"/>
        <w:ind w:firstLine="420" w:firstLineChars="200"/>
        <w:jc w:val="both"/>
        <w:rPr>
          <w:rFonts w:ascii="Calibri" w:hAnsi="Calibri" w:eastAsia="楷体_GB2312" w:cs="Calibri"/>
          <w:sz w:val="21"/>
          <w:szCs w:val="21"/>
        </w:rPr>
      </w:pPr>
      <w:r>
        <w:rPr>
          <w:rFonts w:hint="eastAsia" w:ascii="Calibri" w:hAnsi="Calibri" w:eastAsia="楷体_GB2312" w:cs="Calibri"/>
          <w:sz w:val="21"/>
          <w:szCs w:val="21"/>
        </w:rPr>
        <w:t>我们建议关注火箭制造与高频发射核心部件配套的企业【</w:t>
      </w:r>
      <w:r>
        <w:rPr>
          <w:rFonts w:ascii="Calibri" w:hAnsi="Calibri" w:eastAsia="楷体_GB2312" w:cs="Calibri"/>
          <w:sz w:val="21"/>
          <w:szCs w:val="21"/>
        </w:rPr>
        <w:t>Howmet Aerospace</w:t>
      </w:r>
      <w:r>
        <w:rPr>
          <w:rFonts w:hint="eastAsia" w:ascii="Calibri" w:hAnsi="Calibri" w:eastAsia="楷体_GB2312" w:cs="Calibri"/>
          <w:sz w:val="21"/>
          <w:szCs w:val="21"/>
        </w:rPr>
        <w:t>】、【</w:t>
      </w:r>
      <w:r>
        <w:rPr>
          <w:rFonts w:ascii="Calibri" w:hAnsi="Calibri" w:eastAsia="楷体_GB2312" w:cs="Calibri"/>
          <w:sz w:val="21"/>
          <w:szCs w:val="21"/>
        </w:rPr>
        <w:t>GE Aerospace</w:t>
      </w:r>
      <w:r>
        <w:rPr>
          <w:rFonts w:hint="eastAsia" w:ascii="Calibri" w:hAnsi="Calibri" w:eastAsia="楷体_GB2312" w:cs="Calibri"/>
          <w:sz w:val="21"/>
          <w:szCs w:val="21"/>
        </w:rPr>
        <w:t>】、【</w:t>
      </w:r>
      <w:r>
        <w:rPr>
          <w:rFonts w:ascii="Calibri" w:hAnsi="Calibri" w:eastAsia="楷体_GB2312" w:cs="Calibri"/>
          <w:sz w:val="21"/>
          <w:szCs w:val="21"/>
        </w:rPr>
        <w:t>Safran</w:t>
      </w:r>
      <w:r>
        <w:rPr>
          <w:rFonts w:hint="eastAsia" w:ascii="Calibri" w:hAnsi="Calibri" w:eastAsia="楷体_GB2312" w:cs="Calibri"/>
          <w:sz w:val="21"/>
          <w:szCs w:val="21"/>
        </w:rPr>
        <w:t>】；航天级材料与卫星关键子系统的企业【</w:t>
      </w:r>
      <w:r>
        <w:rPr>
          <w:rFonts w:ascii="Calibri" w:hAnsi="Calibri" w:eastAsia="楷体_GB2312" w:cs="Calibri"/>
          <w:sz w:val="21"/>
          <w:szCs w:val="21"/>
        </w:rPr>
        <w:t>Carpenter Technology</w:t>
      </w:r>
      <w:r>
        <w:rPr>
          <w:rFonts w:hint="eastAsia" w:ascii="Calibri" w:hAnsi="Calibri" w:eastAsia="楷体_GB2312" w:cs="Calibri"/>
          <w:sz w:val="21"/>
          <w:szCs w:val="21"/>
        </w:rPr>
        <w:t>】、【</w:t>
      </w:r>
      <w:r>
        <w:rPr>
          <w:rFonts w:ascii="Calibri" w:hAnsi="Calibri" w:eastAsia="楷体_GB2312" w:cs="Calibri"/>
          <w:sz w:val="21"/>
          <w:szCs w:val="21"/>
        </w:rPr>
        <w:t>Honeywell</w:t>
      </w:r>
      <w:r>
        <w:rPr>
          <w:rFonts w:hint="eastAsia" w:ascii="Calibri" w:hAnsi="Calibri" w:eastAsia="楷体_GB2312" w:cs="Calibri"/>
          <w:sz w:val="21"/>
          <w:szCs w:val="21"/>
        </w:rPr>
        <w:t>】、【</w:t>
      </w:r>
      <w:r>
        <w:rPr>
          <w:rFonts w:ascii="Calibri" w:hAnsi="Calibri" w:eastAsia="楷体_GB2312" w:cs="Calibri"/>
          <w:sz w:val="21"/>
          <w:szCs w:val="21"/>
        </w:rPr>
        <w:t>Eaton</w:t>
      </w:r>
      <w:r>
        <w:rPr>
          <w:rFonts w:hint="eastAsia" w:ascii="Calibri" w:hAnsi="Calibri" w:eastAsia="楷体_GB2312" w:cs="Calibri"/>
          <w:sz w:val="21"/>
          <w:szCs w:val="21"/>
        </w:rPr>
        <w:t>】；以及航天资产地面保障与供应链服务的企业【</w:t>
      </w:r>
      <w:r>
        <w:rPr>
          <w:rFonts w:ascii="Calibri" w:hAnsi="Calibri" w:eastAsia="楷体_GB2312" w:cs="Calibri"/>
          <w:sz w:val="21"/>
          <w:szCs w:val="21"/>
        </w:rPr>
        <w:t>VSE Corporation</w:t>
      </w:r>
      <w:r>
        <w:rPr>
          <w:rFonts w:hint="eastAsia" w:ascii="Calibri" w:hAnsi="Calibri" w:eastAsia="楷体_GB2312" w:cs="Calibri"/>
          <w:sz w:val="21"/>
          <w:szCs w:val="21"/>
        </w:rPr>
        <w:t>】</w:t>
      </w:r>
      <w:r>
        <w:rPr>
          <w:rFonts w:ascii="Calibri" w:hAnsi="Calibri" w:eastAsia="楷体_GB2312" w:cs="Calibri"/>
          <w:sz w:val="21"/>
          <w:szCs w:val="21"/>
        </w:rPr>
        <w:t>。</w:t>
      </w:r>
    </w:p>
    <w:bookmarkEnd w:id="2"/>
    <w:p w14:paraId="5CCB69AF">
      <w:pPr>
        <w:pStyle w:val="94"/>
        <w:rPr>
          <w:rFonts w:eastAsia="楷体_GB2312" w:cs="Calibri"/>
          <w:b/>
          <w:bCs/>
          <w:kern w:val="28"/>
        </w:rPr>
      </w:pPr>
    </w:p>
    <w:p w14:paraId="7B9E833A">
      <w:pPr>
        <w:pStyle w:val="94"/>
        <w:rPr>
          <w:rFonts w:eastAsia="楷体_GB2312" w:cs="Calibri"/>
          <w:b/>
          <w:bCs/>
          <w:kern w:val="28"/>
        </w:rPr>
      </w:pPr>
      <w:r>
        <w:rPr>
          <w:rFonts w:eastAsia="楷体_GB2312" w:cs="Calibri"/>
          <w:b/>
          <w:bCs/>
          <w:kern w:val="28"/>
        </w:rPr>
        <w:t>风险</w:t>
      </w:r>
    </w:p>
    <w:p w14:paraId="0B1D4834">
      <w:pPr>
        <w:pStyle w:val="24"/>
        <w:widowControl w:val="0"/>
        <w:adjustRightInd w:val="0"/>
        <w:snapToGrid w:val="0"/>
        <w:spacing w:before="0" w:beforeAutospacing="0" w:after="0" w:afterAutospacing="0"/>
        <w:ind w:firstLine="420" w:firstLineChars="200"/>
        <w:jc w:val="both"/>
        <w:rPr>
          <w:rFonts w:ascii="Calibri" w:hAnsi="Calibri" w:eastAsia="楷体_GB2312" w:cs="Calibri"/>
          <w:sz w:val="21"/>
          <w:szCs w:val="21"/>
        </w:rPr>
      </w:pPr>
      <w:r>
        <w:rPr>
          <w:rFonts w:hint="eastAsia" w:ascii="Calibri" w:hAnsi="Calibri" w:eastAsia="楷体_GB2312" w:cs="Calibri"/>
          <w:sz w:val="21"/>
          <w:szCs w:val="21"/>
        </w:rPr>
        <w:t>火箭复用技术迭代不及预期影响发射效率与部署进度；</w:t>
      </w:r>
      <w:r>
        <w:rPr>
          <w:rFonts w:ascii="Calibri" w:hAnsi="Calibri" w:eastAsia="楷体_GB2312" w:cs="Calibri"/>
          <w:sz w:val="21"/>
          <w:szCs w:val="21"/>
        </w:rPr>
        <w:t>FAA/FCC</w:t>
      </w:r>
      <w:r>
        <w:rPr>
          <w:rFonts w:hint="eastAsia" w:ascii="Calibri" w:hAnsi="Calibri" w:eastAsia="楷体_GB2312" w:cs="Calibri"/>
          <w:sz w:val="21"/>
          <w:szCs w:val="21"/>
        </w:rPr>
        <w:t>部门监管政策收紧延缓发射许可及星座审批；商业航天板块估值波动加剧投资不确定性</w:t>
      </w:r>
      <w:r>
        <w:rPr>
          <w:rFonts w:ascii="Calibri" w:hAnsi="Calibri" w:eastAsia="楷体_GB2312" w:cs="Calibri"/>
          <w:sz w:val="21"/>
          <w:szCs w:val="21"/>
        </w:rPr>
        <w:t>。</w:t>
      </w:r>
    </w:p>
    <w:p w14:paraId="7D679761">
      <w:pPr>
        <w:rPr>
          <w:rFonts w:eastAsia="楷体_GB2312" w:cs="Calibri"/>
          <w:b/>
          <w:sz w:val="20"/>
          <w:szCs w:val="20"/>
        </w:rPr>
      </w:pPr>
    </w:p>
    <w:p w14:paraId="0A274FB0">
      <w:pPr>
        <w:rPr>
          <w:rFonts w:eastAsia="楷体_GB2312" w:cs="Calibri"/>
          <w:b/>
          <w:sz w:val="20"/>
          <w:szCs w:val="20"/>
        </w:rPr>
      </w:pPr>
    </w:p>
    <w:p w14:paraId="2128D8B3">
      <w:pPr>
        <w:rPr>
          <w:rFonts w:eastAsia="楷体_GB2312" w:cs="Calibri"/>
          <w:b/>
          <w:sz w:val="20"/>
          <w:szCs w:val="20"/>
        </w:rPr>
      </w:pPr>
      <w:r>
        <w:rPr>
          <w:rFonts w:eastAsia="楷体_GB2312" w:cs="Calibri"/>
          <w:b/>
          <w:sz w:val="20"/>
          <w:szCs w:val="20"/>
        </w:rPr>
        <w:br w:type="page"/>
      </w:r>
    </w:p>
    <w:p w14:paraId="370E02A0">
      <w:pPr>
        <w:pStyle w:val="12"/>
        <w:spacing w:line="260" w:lineRule="exact"/>
        <w:ind w:left="0" w:leftChars="0" w:right="42" w:firstLine="0"/>
        <w:jc w:val="both"/>
        <w:rPr>
          <w:rFonts w:ascii="Calibri" w:hAnsi="Calibri" w:eastAsia="楷体_GB2312" w:cs="Calibri"/>
          <w:b/>
          <w:sz w:val="20"/>
          <w:szCs w:val="20"/>
        </w:rPr>
      </w:pPr>
      <w:r>
        <w:rPr>
          <w:rFonts w:ascii="Calibri" w:hAnsi="Calibri" w:eastAsia="楷体_GB2312" w:cs="Calibri"/>
          <w:b/>
          <w:sz w:val="20"/>
          <w:szCs w:val="20"/>
        </w:rPr>
        <w:t>APPENDIX 1</w:t>
      </w:r>
    </w:p>
    <w:p w14:paraId="2F87856C">
      <w:pPr>
        <w:pStyle w:val="12"/>
        <w:spacing w:before="120" w:beforeLines="50" w:after="120" w:afterLines="50" w:line="260" w:lineRule="exact"/>
        <w:ind w:left="0" w:leftChars="0" w:right="42" w:firstLine="0"/>
        <w:jc w:val="both"/>
        <w:rPr>
          <w:rFonts w:ascii="Calibri" w:hAnsi="Calibri" w:eastAsia="楷体_GB2312" w:cs="Calibri"/>
          <w:b/>
          <w:sz w:val="20"/>
          <w:szCs w:val="20"/>
        </w:rPr>
      </w:pPr>
      <w:r>
        <w:rPr>
          <w:rFonts w:ascii="Calibri" w:hAnsi="Calibri" w:eastAsia="楷体_GB2312" w:cs="Calibri"/>
          <w:b/>
          <w:sz w:val="20"/>
          <w:szCs w:val="20"/>
        </w:rPr>
        <w:t>Summary</w:t>
      </w:r>
    </w:p>
    <w:p w14:paraId="7D165D24">
      <w:pPr>
        <w:pStyle w:val="94"/>
        <w:rPr>
          <w:rFonts w:eastAsia="楷体_GB2312" w:cs="Calibri"/>
          <w:kern w:val="28"/>
          <w:lang w:eastAsia="zh-CN"/>
        </w:rPr>
      </w:pPr>
      <w:r>
        <w:rPr>
          <w:rFonts w:eastAsia="楷体_GB2312" w:cs="Calibri"/>
          <w:kern w:val="28"/>
          <w:lang w:eastAsia="zh-CN"/>
        </w:rPr>
        <w:t>SpaceX filed on Jan 30 to deploy a 1-million-satellite orbital data center constellation and acquired xAI on Feb 2 to form a vertically integrated "launch-compute-relay" stack, targeting a $1.5tn IPO. The plan addresses terrestrial AI cost bottlenecks—$1.3bn annual electricity per GW and 255mn liters water consumption—by utilizing 24/7 space solar power and vacuum cooling, aiming for 100GW annual orbital compute capacity at "lowest cost within 2-3 years." If executed, the plan would drive a structural shift of global compute infrastructure from ground grid dependency to orbital solar supply, while triggering a fundamental transition in LEO resource allocation logic from "moderate use" to "preemptive occupation."</w:t>
      </w:r>
    </w:p>
    <w:p w14:paraId="5E003745">
      <w:pPr>
        <w:spacing w:before="100" w:after="100"/>
        <w:jc w:val="both"/>
        <w:rPr>
          <w:rFonts w:eastAsia="楷体_GB2312" w:cs="Calibri"/>
          <w:bCs/>
          <w:sz w:val="20"/>
          <w:szCs w:val="20"/>
          <w:lang w:eastAsia="zh-CN"/>
        </w:rPr>
      </w:pPr>
    </w:p>
    <w:p w14:paraId="49554262">
      <w:pPr>
        <w:spacing w:before="100" w:after="100"/>
        <w:jc w:val="both"/>
        <w:rPr>
          <w:rFonts w:eastAsia="楷体_GB2312" w:cs="Calibri"/>
          <w:bCs/>
          <w:sz w:val="20"/>
          <w:szCs w:val="20"/>
        </w:rPr>
      </w:pPr>
    </w:p>
    <w:p w14:paraId="66E08E27">
      <w:pPr>
        <w:spacing w:before="100" w:after="100"/>
        <w:jc w:val="both"/>
        <w:rPr>
          <w:rFonts w:eastAsia="楷体_GB2312" w:cs="Calibri"/>
          <w:bCs/>
          <w:sz w:val="20"/>
          <w:szCs w:val="20"/>
        </w:rPr>
      </w:pPr>
    </w:p>
    <w:p w14:paraId="4FBA653A">
      <w:pPr>
        <w:pStyle w:val="12"/>
        <w:spacing w:before="240" w:beforeLines="100" w:after="240" w:afterLines="100" w:line="260" w:lineRule="exact"/>
        <w:ind w:left="0" w:leftChars="0" w:right="42" w:firstLine="0"/>
        <w:jc w:val="both"/>
        <w:rPr>
          <w:rFonts w:ascii="Calibri" w:hAnsi="Calibri" w:eastAsia="楷体_GB2312" w:cs="Calibri"/>
          <w:sz w:val="20"/>
          <w:szCs w:val="20"/>
        </w:rPr>
        <w:sectPr>
          <w:headerReference r:id="rId9" w:type="default"/>
          <w:footerReference r:id="rId10" w:type="default"/>
          <w:pgSz w:w="11909" w:h="16834"/>
          <w:pgMar w:top="1716" w:right="851" w:bottom="1021" w:left="680" w:header="720" w:footer="1580" w:gutter="0"/>
          <w:cols w:space="720" w:num="1"/>
          <w:docGrid w:linePitch="360" w:charSpace="0"/>
        </w:sectPr>
      </w:pPr>
    </w:p>
    <w:tbl>
      <w:tblPr>
        <w:tblStyle w:val="27"/>
        <w:tblW w:w="11227" w:type="dxa"/>
        <w:tblCaption w:val="[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252"/>
      </w:tblGrid>
      <w:tr w14:paraId="3903E1C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227" w:type="dxa"/>
          </w:tcPr>
          <w:p w14:paraId="3CCA53F6">
            <w:pPr>
              <w:rPr>
                <w:rFonts w:eastAsia="楷体_GB2312" w:cs="Calibri"/>
              </w:rPr>
            </w:pPr>
            <w:r>
              <w:rPr>
                <w:rFonts w:eastAsia="楷体_GB2312" w:cs="Calibri"/>
                <w:color w:val="FFFFFF" w:themeColor="background1"/>
                <w14:textFill>
                  <w14:solidFill>
                    <w14:schemeClr w14:val="bg1"/>
                  </w14:solidFill>
                </w14:textFill>
              </w:rPr>
              <w:t>[Table_APPENDIX]</w:t>
            </w:r>
          </w:p>
        </w:tc>
      </w:tr>
      <w:tr w14:paraId="6C51961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227" w:type="dxa"/>
          </w:tcPr>
          <w:tbl>
            <w:tblPr>
              <w:tblStyle w:val="27"/>
              <w:tblW w:w="11196"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96"/>
            </w:tblGrid>
            <w:tr w14:paraId="74AA003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96" w:type="dxa"/>
                  <w:tcBorders>
                    <w:top w:val="nil"/>
                    <w:bottom w:val="single" w:color="C0C0C0" w:sz="4" w:space="0"/>
                  </w:tcBorders>
                </w:tcPr>
                <w:p w14:paraId="64FA62B7">
                  <w:pPr>
                    <w:pStyle w:val="44"/>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[Table_disclaimer]</w:t>
                  </w:r>
                </w:p>
              </w:tc>
            </w:tr>
            <w:tr w14:paraId="49CE520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24" w:space="0"/>
                  </w:tcBorders>
                </w:tcPr>
                <w:p w14:paraId="38D8045E">
                  <w:pPr>
                    <w:pStyle w:val="44"/>
                    <w:spacing w:after="60"/>
                    <w:rPr>
                      <w:rFonts w:eastAsia="楷体_GB2312" w:cs="Calibri"/>
                      <w:b/>
                      <w:bCs/>
                      <w:w w:val="70"/>
                      <w:sz w:val="22"/>
                      <w:szCs w:val="22"/>
                      <w:lang w:eastAsia="zh-CN"/>
                    </w:rPr>
                  </w:pPr>
                  <w:r>
                    <w:rPr>
                      <w:rFonts w:eastAsia="楷体_GB2312" w:cs="Calibri"/>
                      <w:b/>
                      <w:bCs/>
                      <w:w w:val="70"/>
                      <w:sz w:val="22"/>
                      <w:szCs w:val="22"/>
                    </w:rPr>
                    <w:t>附录APPENDIX</w:t>
                  </w:r>
                </w:p>
                <w:p w14:paraId="522C6CAE">
                  <w:pPr>
                    <w:pStyle w:val="44"/>
                    <w:rPr>
                      <w:rFonts w:eastAsia="楷体_GB2312" w:cs="Calibri"/>
                      <w:b/>
                      <w:w w:val="70"/>
                      <w:sz w:val="20"/>
                      <w:szCs w:val="20"/>
                    </w:rPr>
                  </w:pPr>
                  <w:r>
                    <w:rPr>
                      <w:rFonts w:eastAsia="楷体_GB2312" w:cs="Calibri"/>
                      <w:b/>
                      <w:w w:val="70"/>
                      <w:sz w:val="20"/>
                      <w:szCs w:val="20"/>
                    </w:rPr>
                    <w:t>重要信息披露</w:t>
                  </w:r>
                </w:p>
                <w:p w14:paraId="0D522395">
                  <w:pPr>
                    <w:pStyle w:val="44"/>
                    <w:rPr>
                      <w:rFonts w:eastAsia="楷体_GB2312" w:cs="Calibri"/>
                      <w:w w:val="70"/>
                      <w:sz w:val="20"/>
                      <w:szCs w:val="20"/>
                      <w:lang w:eastAsia="zh-CN"/>
                    </w:rPr>
                  </w:pPr>
                  <w:r>
                    <w:rPr>
                      <w:rFonts w:eastAsia="楷体_GB2312" w:cs="Calibri"/>
                      <w:w w:val="70"/>
                      <w:sz w:val="20"/>
                      <w:szCs w:val="20"/>
                    </w:rPr>
                    <w:t>本研究报告由</w:t>
                  </w:r>
                  <w:r>
                    <w:rPr>
                      <w:rFonts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（香港）金融控股有限公司（下称华福国际）</w:t>
                  </w:r>
                  <w:r>
                    <w:rPr>
                      <w:rFonts w:eastAsia="楷体_GB2312" w:cs="Calibri"/>
                      <w:w w:val="70"/>
                      <w:sz w:val="20"/>
                      <w:szCs w:val="20"/>
                    </w:rPr>
                    <w:t>分销</w:t>
                  </w:r>
                  <w:r>
                    <w:rPr>
                      <w:rFonts w:eastAsia="楷体_GB2312" w:cs="Calibri"/>
                      <w:w w:val="70"/>
                      <w:sz w:val="20"/>
                      <w:szCs w:val="20"/>
                      <w:lang w:eastAsia="zh-CN"/>
                    </w:rPr>
                    <w:t>，</w:t>
                  </w:r>
                  <w:r>
                    <w:rPr>
                      <w:rFonts w:eastAsia="楷体_GB2312" w:cs="Calibri"/>
                      <w:w w:val="70"/>
                      <w:sz w:val="20"/>
                      <w:szCs w:val="20"/>
                    </w:rPr>
                    <w:t>在其许可的司法管辖区内从事证券活动。</w:t>
                  </w:r>
                </w:p>
                <w:p w14:paraId="232BD2D6">
                  <w:pPr>
                    <w:pStyle w:val="44"/>
                    <w:rPr>
                      <w:rFonts w:eastAsia="楷体_GB2312" w:cs="Calibri"/>
                      <w:b/>
                      <w:bCs/>
                      <w:w w:val="70"/>
                      <w:sz w:val="20"/>
                      <w:szCs w:val="20"/>
                    </w:rPr>
                  </w:pPr>
                  <w:r>
                    <w:rPr>
                      <w:rFonts w:eastAsia="楷体_GB2312" w:cs="Calibri"/>
                      <w:b/>
                      <w:bCs/>
                      <w:w w:val="70"/>
                      <w:sz w:val="20"/>
                      <w:szCs w:val="20"/>
                    </w:rPr>
                    <w:t>IMPORTANT DISCLOSURES</w:t>
                  </w:r>
                </w:p>
                <w:p w14:paraId="63442F10">
                  <w:pPr>
                    <w:pStyle w:val="44"/>
                    <w:spacing w:after="60"/>
                    <w:rPr>
                      <w:rFonts w:eastAsia="楷体_GB2312" w:cs="Calibri"/>
                      <w:lang w:eastAsia="zh-CN"/>
                    </w:rPr>
                  </w:pPr>
                  <w:r>
                    <w:rPr>
                      <w:rFonts w:eastAsia="楷体_GB2312" w:cs="Calibri"/>
                      <w:w w:val="70"/>
                      <w:sz w:val="20"/>
                      <w:szCs w:val="20"/>
                    </w:rPr>
                    <w:t xml:space="preserve">This research report is distributed by </w:t>
                  </w:r>
                  <w:r>
                    <w:rPr>
                      <w:rFonts w:eastAsia="楷体_GB2312" w:cs="Calibri"/>
                      <w:w w:val="70"/>
                      <w:sz w:val="20"/>
                      <w:szCs w:val="20"/>
                      <w:lang w:eastAsia="zh-CN"/>
                    </w:rPr>
                    <w:t>HuaFu</w:t>
                  </w:r>
                  <w:r>
                    <w:rPr>
                      <w:rFonts w:eastAsia="楷体_GB2312" w:cs="Calibri"/>
                      <w:w w:val="70"/>
                      <w:sz w:val="20"/>
                      <w:szCs w:val="20"/>
                    </w:rPr>
                    <w:t xml:space="preserve"> International</w:t>
                  </w:r>
                  <w:r>
                    <w:rPr>
                      <w:rFonts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eastAsia="楷体_GB2312" w:cs="Calibri"/>
                      <w:w w:val="70"/>
                      <w:sz w:val="20"/>
                      <w:szCs w:val="20"/>
                      <w:lang w:eastAsia="zh-CN"/>
                    </w:rPr>
                    <w:t>which</w:t>
                  </w:r>
                  <w:r>
                    <w:rPr>
                      <w:rFonts w:eastAsia="楷体_GB2312" w:cs="Calibri"/>
                      <w:w w:val="70"/>
                      <w:sz w:val="20"/>
                      <w:szCs w:val="20"/>
                    </w:rPr>
                    <w:t xml:space="preserve"> </w:t>
                  </w:r>
                  <w:r>
                    <w:rPr>
                      <w:rFonts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14:paraId="173E6DD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tcBorders>
                </w:tcPr>
                <w:p w14:paraId="0B2EA361">
                  <w:pPr>
                    <w:pStyle w:val="44"/>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w:t>
                  </w:r>
                </w:p>
              </w:tc>
            </w:tr>
            <w:tr w14:paraId="00603F1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bottom w:val="single" w:color="C0C0C0" w:sz="24" w:space="0"/>
                  </w:tcBorders>
                </w:tcPr>
                <w:p w14:paraId="5109CF3D">
                  <w:pPr>
                    <w:jc w:val="both"/>
                    <w:rPr>
                      <w:rFonts w:eastAsia="楷体_GB2312" w:cs="Calibri"/>
                      <w:w w:val="70"/>
                      <w:sz w:val="20"/>
                      <w:szCs w:val="20"/>
                      <w:lang w:eastAsia="zh-CN"/>
                    </w:rPr>
                  </w:pPr>
                  <w:r>
                    <w:rPr>
                      <w:rFonts w:ascii="Calibri" w:eastAsia="楷体_GB2312"/>
                      <w:b w:val="0"/>
                      <w:i w:val="0"/>
                      <w:color w:val="000000"/>
                      <w:w w:val="70"/>
                      <w:sz w:val="20"/>
                    </w:rPr>
                    <w:t>我， 杨斌，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303DC95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bottom w:val="nil"/>
                  </w:tcBorders>
                </w:tcPr>
                <w:p w14:paraId="0761065D">
                  <w:pPr>
                    <w:pStyle w:val="44"/>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14:paraId="7A856E2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nil"/>
                    <w:bottom w:val="single" w:color="C0C0C0" w:sz="4" w:space="0"/>
                  </w:tcBorders>
                </w:tcPr>
                <w:p w14:paraId="4D612519">
                  <w:pPr>
                    <w:pStyle w:val="44"/>
                    <w:rPr>
                      <w:rFonts w:eastAsia="楷体_GB2312" w:cs="Calibri"/>
                      <w:w w:val="70"/>
                      <w:sz w:val="20"/>
                      <w:szCs w:val="20"/>
                    </w:rPr>
                  </w:pPr>
                  <w:r>
                    <w:rPr>
                      <w:rFonts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国际及其某些关联公司可从事投资银行业务和/或对本研究中的特定股票或公司进行做市或持有自营头寸。就本研究报告而言，如需了解其中提到的某一公司信息，</w:t>
                  </w:r>
                  <w:r>
                    <w:fldChar w:fldCharType="begin"/>
                  </w:r>
                  <w:r>
                    <w:instrText xml:space="preserve">HYPERLINK "mailto:请发邮件至lcd@hfisec.com.hk"</w:instrText>
                  </w:r>
                  <w:r>
                    <w:fldChar w:fldCharType="separate"/>
                  </w:r>
                  <w:r>
                    <w:rPr>
                      <w:rStyle w:val="32"/>
                      <w:rFonts w:eastAsia="楷体_GB2312" w:cs="Calibri"/>
                      <w:w w:val="70"/>
                      <w:sz w:val="20"/>
                      <w:szCs w:val="20"/>
                    </w:rPr>
                    <w:t>请发邮件至lcd@hfisec.com.hk</w:t>
                  </w:r>
                  <w:r>
                    <w:fldChar w:fldCharType="end"/>
                  </w:r>
                  <w:r>
                    <w:rPr>
                      <w:rFonts w:eastAsia="楷体_GB2312" w:cs="Calibri"/>
                      <w:w w:val="70"/>
                      <w:sz w:val="20"/>
                      <w:szCs w:val="20"/>
                    </w:rPr>
                    <w:t>）</w:t>
                  </w:r>
                </w:p>
                <w:p w14:paraId="22D90444">
                  <w:pPr>
                    <w:pStyle w:val="44"/>
                    <w:rPr>
                      <w:rFonts w:eastAsia="楷体_GB2312" w:cs="Calibri"/>
                      <w:b/>
                      <w:bCs/>
                      <w:w w:val="70"/>
                      <w:sz w:val="20"/>
                      <w:szCs w:val="20"/>
                      <w:lang w:eastAsia="zh-CN"/>
                    </w:rPr>
                  </w:pPr>
                  <w:r>
                    <w:rPr>
                      <w:rFonts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14:paraId="6189F10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6BDEE87D">
                  <w:pPr>
                    <w:pStyle w:val="44"/>
                    <w:rPr>
                      <w:rFonts w:eastAsia="楷体_GB2312" w:cs="Calibri"/>
                      <w:w w:val="70"/>
                      <w:sz w:val="20"/>
                      <w:szCs w:val="20"/>
                    </w:rPr>
                  </w:pPr>
                </w:p>
              </w:tc>
            </w:tr>
            <w:tr w14:paraId="6A112B2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1196" w:type="dxa"/>
                  <w:tcBorders>
                    <w:top w:val="single" w:color="C0C0C0" w:sz="4" w:space="0"/>
                  </w:tcBorders>
                </w:tcPr>
                <w:p w14:paraId="03F08FDC">
                  <w:pPr>
                    <w:pStyle w:val="44"/>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14:paraId="3ECB9721">
                  <w:pPr>
                    <w:pStyle w:val="44"/>
                    <w:rPr>
                      <w:rFonts w:eastAsia="楷体_GB2312" w:cs="Calibri"/>
                      <w:w w:val="70"/>
                      <w:sz w:val="20"/>
                      <w:szCs w:val="20"/>
                    </w:rPr>
                  </w:pPr>
                  <w:r>
                    <w:rPr>
                      <w:rFonts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投资者应仔细阅读华福</w:t>
                  </w:r>
                  <w:r>
                    <w:rPr>
                      <w:rFonts w:eastAsia="楷体_GB2312" w:cs="Calibri"/>
                      <w:w w:val="70"/>
                      <w:sz w:val="20"/>
                      <w:szCs w:val="20"/>
                    </w:rPr>
                    <w:t>国际</w:t>
                  </w:r>
                  <w:r>
                    <w:rPr>
                      <w:rFonts w:eastAsia="楷体_GB2312" w:cs="Calibri"/>
                      <w:w w:val="70"/>
                      <w:sz w:val="20"/>
                      <w:szCs w:val="20"/>
                      <w:lang w:eastAsia="zh-CN"/>
                    </w:rPr>
                    <w:t>的评级定义。并且华福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14:paraId="2371AD46">
                  <w:pPr>
                    <w:pStyle w:val="44"/>
                    <w:rPr>
                      <w:rFonts w:eastAsia="楷体_GB2312" w:cs="Calibri"/>
                      <w:b/>
                      <w:w w:val="70"/>
                      <w:sz w:val="20"/>
                      <w:szCs w:val="20"/>
                      <w:lang w:eastAsia="zh-CN"/>
                    </w:rPr>
                  </w:pPr>
                  <w:r>
                    <w:rPr>
                      <w:rFonts w:eastAsia="楷体_GB2312" w:cs="Calibri"/>
                      <w:b/>
                      <w:w w:val="70"/>
                      <w:sz w:val="20"/>
                      <w:szCs w:val="20"/>
                      <w:lang w:eastAsia="zh-CN"/>
                    </w:rPr>
                    <w:t>分析师股票评级</w:t>
                  </w:r>
                </w:p>
                <w:p w14:paraId="5B111990">
                  <w:pPr>
                    <w:pStyle w:val="44"/>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14:paraId="3A0E9FED">
                  <w:pPr>
                    <w:pStyle w:val="44"/>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14:paraId="5E1A0F2D">
                  <w:pPr>
                    <w:pStyle w:val="44"/>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14:paraId="28C52783">
                  <w:pPr>
                    <w:pStyle w:val="44"/>
                    <w:rPr>
                      <w:rFonts w:eastAsia="楷体_GB2312" w:cs="Calibri"/>
                      <w:w w:val="70"/>
                      <w:sz w:val="20"/>
                      <w:szCs w:val="20"/>
                      <w:lang w:eastAsia="zh-CN"/>
                    </w:rPr>
                  </w:pPr>
                  <w:r>
                    <w:rPr>
                      <w:rFonts w:eastAsia="楷体_GB2312" w:cs="Calibri"/>
                      <w:w w:val="70"/>
                      <w:sz w:val="20"/>
                      <w:szCs w:val="20"/>
                      <w:lang w:eastAsia="zh-CN"/>
                    </w:rPr>
                    <w:t>各地股票基准指数：日本 – TOPIX, 韩国 – KOSPI, 台湾 – TAIEX, 印度 – Nifty100, 美国 – SP500; 其他所有中国概念股 – MSCI China.</w:t>
                  </w:r>
                </w:p>
                <w:p w14:paraId="2E89913A">
                  <w:pPr>
                    <w:pStyle w:val="44"/>
                    <w:rPr>
                      <w:rFonts w:eastAsia="楷体_GB2312" w:cs="Calibri"/>
                      <w:w w:val="79"/>
                      <w:sz w:val="20"/>
                      <w:szCs w:val="20"/>
                    </w:rPr>
                  </w:pPr>
                  <w:r>
                    <w:rPr>
                      <w:rFonts w:eastAsia="楷体_GB2312" w:cs="Calibri"/>
                      <w:b/>
                      <w:w w:val="79"/>
                      <w:sz w:val="20"/>
                      <w:szCs w:val="20"/>
                    </w:rPr>
                    <w:t xml:space="preserve">Ratings Definitions (from 1 Jul 2020): </w:t>
                  </w:r>
                </w:p>
                <w:p w14:paraId="6E95203B">
                  <w:pPr>
                    <w:pStyle w:val="44"/>
                    <w:rPr>
                      <w:rFonts w:eastAsia="楷体_GB2312" w:cs="Calibri"/>
                      <w:w w:val="79"/>
                      <w:sz w:val="20"/>
                      <w:szCs w:val="20"/>
                    </w:rPr>
                  </w:pPr>
                  <w:r>
                    <w:rPr>
                      <w:rFonts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6A02602E">
                  <w:pPr>
                    <w:pStyle w:val="44"/>
                    <w:rPr>
                      <w:rFonts w:eastAsia="楷体_GB2312" w:cs="Calibri"/>
                      <w:b/>
                      <w:w w:val="79"/>
                      <w:sz w:val="20"/>
                      <w:szCs w:val="20"/>
                    </w:rPr>
                  </w:pPr>
                  <w:r>
                    <w:rPr>
                      <w:rFonts w:eastAsia="楷体_GB2312" w:cs="Calibri"/>
                      <w:b/>
                      <w:w w:val="79"/>
                      <w:sz w:val="20"/>
                      <w:szCs w:val="20"/>
                    </w:rPr>
                    <w:t>Analyst Stock Ratings</w:t>
                  </w:r>
                </w:p>
                <w:p w14:paraId="7830C283">
                  <w:pPr>
                    <w:pStyle w:val="44"/>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eastAsia="楷体_GB2312" w:cs="Calibri"/>
                      <w:w w:val="79"/>
                      <w:sz w:val="20"/>
                      <w:szCs w:val="20"/>
                      <w:lang w:eastAsia="zh-CN"/>
                    </w:rPr>
                    <w:t xml:space="preserve"> by over 10%</w:t>
                  </w:r>
                  <w:r>
                    <w:rPr>
                      <w:rFonts w:eastAsia="楷体_GB2312" w:cs="Calibri"/>
                      <w:w w:val="79"/>
                      <w:sz w:val="20"/>
                      <w:szCs w:val="20"/>
                    </w:rPr>
                    <w:t xml:space="preserve">, as indicated below. </w:t>
                  </w:r>
                </w:p>
                <w:p w14:paraId="01A31AD2">
                  <w:pPr>
                    <w:pStyle w:val="44"/>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eastAsia="楷体_GB2312" w:cs="Calibri"/>
                      <w:w w:val="79"/>
                      <w:sz w:val="20"/>
                      <w:szCs w:val="20"/>
                      <w:lang w:eastAsia="zh-CN"/>
                    </w:rPr>
                    <w:t xml:space="preserve"> by over 10%</w:t>
                  </w:r>
                  <w:r>
                    <w:rPr>
                      <w:rFonts w:eastAsia="楷体_GB2312" w:cs="Calibri"/>
                      <w:w w:val="79"/>
                      <w:sz w:val="20"/>
                      <w:szCs w:val="20"/>
                    </w:rPr>
                    <w:t>, as indicated below.</w:t>
                  </w:r>
                </w:p>
                <w:p w14:paraId="6948AE3F">
                  <w:pPr>
                    <w:pStyle w:val="44"/>
                    <w:rPr>
                      <w:rFonts w:eastAsia="楷体_GB2312" w:cs="Calibri"/>
                      <w:b/>
                      <w:w w:val="79"/>
                      <w:sz w:val="20"/>
                      <w:szCs w:val="20"/>
                    </w:rPr>
                  </w:pPr>
                  <w:r>
                    <w:rPr>
                      <w:rFonts w:eastAsia="楷体_GB2312" w:cs="Calibri"/>
                      <w:b/>
                      <w:w w:val="79"/>
                      <w:sz w:val="20"/>
                      <w:szCs w:val="20"/>
                    </w:rPr>
                    <w:t>Benchmarks for each stock’s listed region are as follows: Japan – TOPIX, Korea – KOSPI, Taiwan – TAIEX, India – Nifty100, US – SP500; for all other China-concept stocks – MSCI China.</w:t>
                  </w:r>
                </w:p>
                <w:p w14:paraId="24519D6D">
                  <w:pPr>
                    <w:pStyle w:val="44"/>
                    <w:rPr>
                      <w:rFonts w:eastAsia="楷体_GB2312" w:cs="Calibri"/>
                      <w:w w:val="70"/>
                      <w:sz w:val="20"/>
                      <w:szCs w:val="20"/>
                      <w:lang w:eastAsia="zh-CN"/>
                    </w:rPr>
                  </w:pPr>
                </w:p>
              </w:tc>
            </w:tr>
            <w:tr w14:paraId="592761E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FB22940">
                  <w:pPr>
                    <w:pStyle w:val="44"/>
                    <w:spacing w:after="60"/>
                    <w:rPr>
                      <w:rFonts w:eastAsia="楷体_GB2312" w:cs="Calibri"/>
                      <w:w w:val="70"/>
                      <w:sz w:val="20"/>
                      <w:szCs w:val="20"/>
                    </w:rPr>
                  </w:pPr>
                  <w:r>
                    <w:rPr>
                      <w:rFonts w:eastAsia="楷体_GB2312" w:cs="Calibri"/>
                      <w:b/>
                      <w:w w:val="70"/>
                      <w:sz w:val="20"/>
                      <w:szCs w:val="20"/>
                      <w:lang w:eastAsia="zh-CN"/>
                    </w:rPr>
                    <w:t>华福</w:t>
                  </w:r>
                  <w:r>
                    <w:rPr>
                      <w:rFonts w:eastAsia="楷体_GB2312" w:cs="Calibri"/>
                      <w:b/>
                      <w:w w:val="70"/>
                      <w:sz w:val="20"/>
                      <w:szCs w:val="20"/>
                    </w:rPr>
                    <w:t>国际非评级研究：</w:t>
                  </w:r>
                  <w:r>
                    <w:rPr>
                      <w:rFonts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60E5562A">
                  <w:pPr>
                    <w:pStyle w:val="44"/>
                    <w:rPr>
                      <w:rFonts w:eastAsia="楷体_GB2312" w:cs="Calibri"/>
                      <w:w w:val="70"/>
                      <w:sz w:val="20"/>
                      <w:szCs w:val="20"/>
                      <w:lang w:eastAsia="zh-CN"/>
                    </w:rPr>
                  </w:pPr>
                  <w:r>
                    <w:rPr>
                      <w:rFonts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7E33AFD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56E389D2">
                  <w:pPr>
                    <w:pStyle w:val="44"/>
                    <w:spacing w:after="60"/>
                    <w:rPr>
                      <w:rFonts w:eastAsia="楷体_GB2312" w:cs="Calibri"/>
                      <w:w w:val="70"/>
                      <w:sz w:val="20"/>
                      <w:szCs w:val="20"/>
                      <w:lang w:eastAsia="zh-CN"/>
                    </w:rPr>
                  </w:pPr>
                  <w:r>
                    <w:rPr>
                      <w:rFonts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可能会就中国A股进行覆盖及评级。华福证券，华福国际于福州的母公司，也会于中国发布中国A股的研究报告。但是，华福</w:t>
                  </w:r>
                  <w:r>
                    <w:rPr>
                      <w:rFonts w:eastAsia="楷体_GB2312" w:cs="Calibri"/>
                      <w:w w:val="70"/>
                      <w:sz w:val="20"/>
                      <w:szCs w:val="20"/>
                    </w:rPr>
                    <w:t>国际</w:t>
                  </w:r>
                  <w:r>
                    <w:rPr>
                      <w:rFonts w:eastAsia="楷体_GB2312" w:cs="Calibri"/>
                      <w:w w:val="70"/>
                      <w:sz w:val="20"/>
                      <w:szCs w:val="20"/>
                      <w:lang w:eastAsia="zh-CN"/>
                    </w:rPr>
                    <w:t>使用与华福证券不同的评级系统，且可能有完全独立的不同研究覆盖团队，所以华福</w:t>
                  </w:r>
                  <w:r>
                    <w:rPr>
                      <w:rFonts w:eastAsia="楷体_GB2312" w:cs="Calibri"/>
                      <w:w w:val="70"/>
                      <w:sz w:val="20"/>
                      <w:szCs w:val="20"/>
                    </w:rPr>
                    <w:t>国际</w:t>
                  </w:r>
                  <w:r>
                    <w:rPr>
                      <w:rFonts w:eastAsia="楷体_GB2312" w:cs="Calibri"/>
                      <w:w w:val="70"/>
                      <w:sz w:val="20"/>
                      <w:szCs w:val="20"/>
                      <w:lang w:eastAsia="zh-CN"/>
                    </w:rPr>
                    <w:t>与华福证券的中国A股评级、目标价乃至分析逻辑可能有所不同。</w:t>
                  </w:r>
                </w:p>
                <w:p w14:paraId="722B3240">
                  <w:pPr>
                    <w:pStyle w:val="44"/>
                    <w:rPr>
                      <w:rFonts w:eastAsia="楷体_GB2312" w:cs="Calibri"/>
                      <w:w w:val="70"/>
                      <w:sz w:val="20"/>
                      <w:szCs w:val="20"/>
                    </w:rPr>
                  </w:pPr>
                  <w:r>
                    <w:rPr>
                      <w:rFonts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eastAsia="楷体_GB2312" w:cs="Calibri"/>
                      <w:w w:val="70"/>
                      <w:sz w:val="20"/>
                      <w:szCs w:val="20"/>
                      <w:lang w:eastAsia="zh-CN"/>
                    </w:rPr>
                    <w:t>HuaFu International</w:t>
                  </w:r>
                  <w:r>
                    <w:rPr>
                      <w:rFonts w:eastAsia="楷体_GB2312" w:cs="Calibri"/>
                      <w:w w:val="70"/>
                      <w:sz w:val="20"/>
                      <w:szCs w:val="20"/>
                    </w:rPr>
                    <w:t xml:space="preserve"> based in </w:t>
                  </w:r>
                  <w:r>
                    <w:rPr>
                      <w:rFonts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eastAsia="楷体_GB2312" w:cs="Calibri"/>
                      <w:w w:val="70"/>
                      <w:sz w:val="20"/>
                      <w:szCs w:val="20"/>
                      <w:lang w:eastAsia="zh-CN"/>
                    </w:rPr>
                    <w:t>uaFu International</w:t>
                  </w:r>
                  <w:r>
                    <w:rPr>
                      <w:rFonts w:eastAsia="楷体_GB2312" w:cs="Calibri"/>
                      <w:w w:val="70"/>
                      <w:sz w:val="20"/>
                      <w:szCs w:val="20"/>
                    </w:rPr>
                    <w:t xml:space="preserve"> differs from that used by </w:t>
                  </w:r>
                  <w:r>
                    <w:rPr>
                      <w:rFonts w:eastAsia="楷体_GB2312" w:cs="Calibri"/>
                      <w:w w:val="70"/>
                      <w:sz w:val="20"/>
                      <w:szCs w:val="20"/>
                      <w:lang w:eastAsia="zh-CN"/>
                    </w:rPr>
                    <w:t>HuaFu Securites</w:t>
                  </w:r>
                  <w:r>
                    <w:rPr>
                      <w:rFonts w:eastAsia="楷体_GB2312" w:cs="Calibri"/>
                      <w:w w:val="70"/>
                      <w:sz w:val="20"/>
                      <w:szCs w:val="20"/>
                    </w:rPr>
                    <w:t xml:space="preserve"> and </w:t>
                  </w:r>
                  <w:r>
                    <w:rPr>
                      <w:rFonts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eastAsia="楷体_GB2312" w:cs="Calibri"/>
                      <w:w w:val="70"/>
                      <w:sz w:val="20"/>
                      <w:szCs w:val="20"/>
                      <w:lang w:eastAsia="zh-CN"/>
                    </w:rPr>
                    <w:t>their coverage</w:t>
                  </w:r>
                  <w:r>
                    <w:rPr>
                      <w:rFonts w:eastAsia="楷体_GB2312" w:cs="Calibri"/>
                      <w:w w:val="70"/>
                      <w:sz w:val="20"/>
                      <w:szCs w:val="20"/>
                    </w:rPr>
                    <w:t xml:space="preserve"> ratings</w:t>
                  </w:r>
                  <w:r>
                    <w:rPr>
                      <w:rFonts w:eastAsia="楷体_GB2312" w:cs="Calibri"/>
                      <w:w w:val="70"/>
                      <w:sz w:val="20"/>
                      <w:szCs w:val="20"/>
                      <w:lang w:eastAsia="zh-CN"/>
                    </w:rPr>
                    <w:t>, target prices</w:t>
                  </w:r>
                  <w:r>
                    <w:rPr>
                      <w:rFonts w:eastAsia="楷体_GB2312" w:cs="Calibri"/>
                      <w:w w:val="70"/>
                      <w:sz w:val="20"/>
                      <w:szCs w:val="20"/>
                    </w:rPr>
                    <w:t xml:space="preserve"> </w:t>
                  </w:r>
                  <w:r>
                    <w:rPr>
                      <w:rFonts w:eastAsia="楷体_GB2312" w:cs="Calibri"/>
                      <w:w w:val="70"/>
                      <w:sz w:val="20"/>
                      <w:szCs w:val="20"/>
                      <w:lang w:eastAsia="zh-CN"/>
                    </w:rPr>
                    <w:t xml:space="preserve">and research logics </w:t>
                  </w:r>
                  <w:r>
                    <w:rPr>
                      <w:rFonts w:eastAsia="楷体_GB2312" w:cs="Calibri"/>
                      <w:w w:val="70"/>
                      <w:sz w:val="20"/>
                      <w:szCs w:val="20"/>
                    </w:rPr>
                    <w:t>for the same A-share stocks.</w:t>
                  </w:r>
                </w:p>
              </w:tc>
            </w:tr>
            <w:tr w14:paraId="0132E0B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1FEDCF35">
                  <w:pPr>
                    <w:pStyle w:val="44"/>
                    <w:rPr>
                      <w:rFonts w:eastAsia="楷体_GB2312" w:cs="Calibri"/>
                      <w:w w:val="70"/>
                      <w:sz w:val="20"/>
                      <w:szCs w:val="20"/>
                    </w:rPr>
                  </w:pPr>
                </w:p>
              </w:tc>
            </w:tr>
            <w:tr w14:paraId="4E28AED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17E3E317">
                  <w:pPr>
                    <w:pStyle w:val="44"/>
                    <w:spacing w:after="60"/>
                    <w:rPr>
                      <w:rFonts w:eastAsia="楷体_GB2312" w:cs="Calibri"/>
                      <w:b/>
                      <w:w w:val="70"/>
                      <w:sz w:val="20"/>
                      <w:szCs w:val="20"/>
                    </w:rPr>
                  </w:pPr>
                  <w:r>
                    <w:rPr>
                      <w:rFonts w:eastAsia="楷体_GB2312" w:cs="Calibri"/>
                      <w:b/>
                      <w:w w:val="70"/>
                      <w:sz w:val="20"/>
                      <w:szCs w:val="20"/>
                    </w:rPr>
                    <w:t>重要免责声明：</w:t>
                  </w:r>
                </w:p>
                <w:p w14:paraId="1C8BA095">
                  <w:pPr>
                    <w:pStyle w:val="44"/>
                    <w:spacing w:after="60"/>
                    <w:rPr>
                      <w:rFonts w:eastAsia="楷体_GB2312" w:cs="Calibri"/>
                      <w:w w:val="70"/>
                      <w:sz w:val="20"/>
                      <w:szCs w:val="20"/>
                    </w:rPr>
                  </w:pPr>
                  <w:r>
                    <w:rPr>
                      <w:rFonts w:eastAsia="楷体_GB2312" w:cs="Calibri"/>
                      <w:w w:val="70"/>
                      <w:sz w:val="20"/>
                      <w:szCs w:val="20"/>
                    </w:rPr>
                    <w:t>本报告由</w:t>
                  </w:r>
                  <w:r>
                    <w:rPr>
                      <w:rFonts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14:paraId="339C2E16">
                  <w:pPr>
                    <w:pStyle w:val="44"/>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eastAsia="楷体_GB2312" w:cs="Calibri"/>
                      <w:w w:val="70"/>
                      <w:sz w:val="20"/>
                      <w:szCs w:val="20"/>
                      <w:lang w:eastAsia="zh-CN"/>
                    </w:rPr>
                    <w:t>华福国际</w:t>
                  </w:r>
                  <w:r>
                    <w:rPr>
                      <w:rFonts w:eastAsia="楷体_GB2312" w:cs="Calibri"/>
                      <w:w w:val="70"/>
                      <w:sz w:val="20"/>
                      <w:szCs w:val="20"/>
                    </w:rPr>
                    <w:t>或任何其他属于</w:t>
                  </w:r>
                  <w:r>
                    <w:rPr>
                      <w:rFonts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14:paraId="09A0DBCC">
                  <w:pPr>
                    <w:pStyle w:val="44"/>
                    <w:spacing w:after="60"/>
                    <w:rPr>
                      <w:rFonts w:eastAsia="楷体_GB2312" w:cs="Calibri"/>
                      <w:w w:val="70"/>
                      <w:sz w:val="20"/>
                      <w:szCs w:val="20"/>
                    </w:rPr>
                  </w:pPr>
                  <w:r>
                    <w:rPr>
                      <w:rFonts w:eastAsia="楷体_GB2312" w:cs="Calibri"/>
                      <w:w w:val="70"/>
                      <w:sz w:val="20"/>
                      <w:szCs w:val="20"/>
                    </w:rPr>
                    <w:t>除对本文内容承担责任的分析师除外，</w:t>
                  </w:r>
                  <w:r>
                    <w:rPr>
                      <w:rFonts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eastAsia="楷体_GB2312" w:cs="Calibri"/>
                      <w:w w:val="70"/>
                      <w:sz w:val="20"/>
                      <w:szCs w:val="20"/>
                      <w:lang w:eastAsia="zh-CN"/>
                    </w:rPr>
                    <w:t>华福国际</w:t>
                  </w:r>
                  <w:r>
                    <w:rPr>
                      <w:rFonts w:eastAsia="楷体_GB2312" w:cs="Calibri"/>
                      <w:w w:val="70"/>
                      <w:sz w:val="20"/>
                      <w:szCs w:val="20"/>
                    </w:rPr>
                    <w:t>的销售员、交易员和其他专业人士均可向</w:t>
                  </w:r>
                  <w:r>
                    <w:rPr>
                      <w:rFonts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14:paraId="7B1CDC1D">
                  <w:pPr>
                    <w:pStyle w:val="44"/>
                    <w:spacing w:after="60"/>
                    <w:rPr>
                      <w:rFonts w:eastAsia="楷体_GB2312" w:cs="Calibri"/>
                      <w:snapToGrid/>
                      <w:w w:val="70"/>
                      <w:sz w:val="20"/>
                      <w:szCs w:val="20"/>
                    </w:rPr>
                  </w:pPr>
                  <w:r>
                    <w:rPr>
                      <w:rFonts w:eastAsia="楷体_GB2312" w:cs="Calibri"/>
                      <w:snapToGrid/>
                      <w:w w:val="70"/>
                      <w:sz w:val="20"/>
                      <w:szCs w:val="20"/>
                    </w:rPr>
                    <w:t>请访问</w:t>
                  </w:r>
                  <w:r>
                    <w:rPr>
                      <w:rFonts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fldChar w:fldCharType="begin"/>
                  </w:r>
                  <w:r>
                    <w:instrText xml:space="preserve"> HYPERLINK "http://www.hfisec.com.hk" </w:instrText>
                  </w:r>
                  <w:r>
                    <w:fldChar w:fldCharType="separate"/>
                  </w:r>
                  <w:r>
                    <w:rPr>
                      <w:rStyle w:val="32"/>
                      <w:rFonts w:eastAsia="楷体_GB2312" w:cs="Calibri"/>
                      <w:snapToGrid/>
                      <w:w w:val="70"/>
                      <w:sz w:val="20"/>
                      <w:szCs w:val="20"/>
                      <w:lang w:eastAsia="zh-CN"/>
                    </w:rPr>
                    <w:t>www.hfisec.com.hk</w:t>
                  </w:r>
                  <w:r>
                    <w:rPr>
                      <w:rStyle w:val="32"/>
                      <w:rFonts w:eastAsia="楷体_GB2312" w:cs="Calibri"/>
                      <w:snapToGrid/>
                      <w:w w:val="70"/>
                      <w:sz w:val="20"/>
                      <w:szCs w:val="20"/>
                      <w:lang w:eastAsia="zh-CN"/>
                    </w:rPr>
                    <w:fldChar w:fldCharType="end"/>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14:paraId="1D35332B">
                  <w:pPr>
                    <w:pStyle w:val="44"/>
                    <w:spacing w:after="40"/>
                    <w:rPr>
                      <w:rFonts w:eastAsia="楷体_GB2312" w:cs="Calibri"/>
                      <w:b/>
                      <w:bCs/>
                      <w:w w:val="70"/>
                      <w:sz w:val="20"/>
                      <w:szCs w:val="20"/>
                    </w:rPr>
                  </w:pPr>
                  <w:r>
                    <w:rPr>
                      <w:rFonts w:eastAsia="楷体_GB2312" w:cs="Calibri"/>
                      <w:b/>
                      <w:bCs/>
                      <w:w w:val="70"/>
                      <w:sz w:val="20"/>
                      <w:szCs w:val="20"/>
                    </w:rPr>
                    <w:t>IMPORTANT DISCLAIMER</w:t>
                  </w:r>
                </w:p>
                <w:p w14:paraId="1CF8C6C6">
                  <w:pPr>
                    <w:pStyle w:val="44"/>
                    <w:spacing w:after="40"/>
                    <w:rPr>
                      <w:rFonts w:eastAsia="楷体_GB2312" w:cs="Calibri"/>
                      <w:w w:val="70"/>
                      <w:sz w:val="20"/>
                      <w:szCs w:val="20"/>
                    </w:rPr>
                  </w:pPr>
                  <w:r>
                    <w:rPr>
                      <w:rFonts w:eastAsia="楷体_GB2312" w:cs="Calibri"/>
                      <w:w w:val="70"/>
                      <w:sz w:val="20"/>
                      <w:szCs w:val="20"/>
                    </w:rPr>
                    <w:t xml:space="preserve">The research report is issued by </w:t>
                  </w:r>
                  <w:r>
                    <w:rPr>
                      <w:rFonts w:eastAsia="楷体_GB2312" w:cs="Calibri"/>
                      <w:w w:val="70"/>
                      <w:sz w:val="20"/>
                      <w:szCs w:val="20"/>
                      <w:lang w:eastAsia="zh-CN"/>
                    </w:rPr>
                    <w:t>HuaFu</w:t>
                  </w:r>
                  <w:r>
                    <w:rPr>
                      <w:rFonts w:eastAsia="楷体_GB2312" w:cs="Calibri"/>
                      <w:w w:val="70"/>
                      <w:sz w:val="20"/>
                      <w:szCs w:val="20"/>
                    </w:rPr>
                    <w:t xml:space="preserve"> International</w:t>
                  </w:r>
                  <w:r>
                    <w:rPr>
                      <w:rFonts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0EEE5EB8">
                  <w:pPr>
                    <w:pStyle w:val="44"/>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eastAsia="楷体_GB2312" w:cs="Calibri"/>
                      <w:w w:val="70"/>
                      <w:sz w:val="20"/>
                      <w:szCs w:val="20"/>
                      <w:lang w:eastAsia="zh-CN"/>
                    </w:rPr>
                    <w:t>HuaFu International</w:t>
                  </w:r>
                  <w:r>
                    <w:rPr>
                      <w:rFonts w:eastAsia="楷体_GB2312" w:cs="Calibri"/>
                      <w:w w:val="70"/>
                      <w:sz w:val="20"/>
                      <w:szCs w:val="20"/>
                    </w:rPr>
                    <w:t xml:space="preserve"> or any other </w:t>
                  </w:r>
                  <w:r>
                    <w:rPr>
                      <w:rFonts w:eastAsia="楷体_GB2312" w:cs="Calibri"/>
                      <w:w w:val="70"/>
                      <w:sz w:val="20"/>
                      <w:szCs w:val="20"/>
                      <w:lang w:eastAsia="zh-CN"/>
                    </w:rPr>
                    <w:t xml:space="preserve">related </w:t>
                  </w:r>
                  <w:r>
                    <w:rPr>
                      <w:rFonts w:eastAsia="楷体_GB2312" w:cs="Calibri"/>
                      <w:w w:val="70"/>
                      <w:sz w:val="20"/>
                      <w:szCs w:val="20"/>
                    </w:rPr>
                    <w:t>members</w:t>
                  </w:r>
                  <w:r>
                    <w:rPr>
                      <w:rFonts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69B46294">
                  <w:pPr>
                    <w:pStyle w:val="44"/>
                    <w:spacing w:after="40"/>
                    <w:rPr>
                      <w:rFonts w:eastAsia="楷体_GB2312" w:cs="Calibri"/>
                      <w:w w:val="70"/>
                      <w:sz w:val="20"/>
                      <w:szCs w:val="20"/>
                    </w:rPr>
                  </w:pPr>
                  <w:r>
                    <w:rPr>
                      <w:rFonts w:eastAsia="楷体_GB2312" w:cs="Calibri"/>
                      <w:w w:val="70"/>
                      <w:sz w:val="20"/>
                      <w:szCs w:val="20"/>
                      <w:lang w:eastAsia="zh-CN"/>
                    </w:rPr>
                    <w:t>HuaFu International</w:t>
                  </w:r>
                  <w:r>
                    <w:rPr>
                      <w:rFonts w:eastAsia="楷体_GB2312" w:cs="Calibri"/>
                      <w:w w:val="70"/>
                      <w:sz w:val="20"/>
                      <w:szCs w:val="20"/>
                    </w:rPr>
                    <w:t xml:space="preserve"> and </w:t>
                  </w:r>
                  <w:r>
                    <w:rPr>
                      <w:rFonts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4836A846">
                  <w:pPr>
                    <w:pStyle w:val="44"/>
                    <w:spacing w:after="40"/>
                    <w:rPr>
                      <w:rFonts w:eastAsia="楷体_GB2312" w:cs="Calibri"/>
                      <w:bCs/>
                      <w:w w:val="70"/>
                      <w:sz w:val="20"/>
                      <w:szCs w:val="20"/>
                    </w:rPr>
                  </w:pPr>
                  <w:r>
                    <w:rPr>
                      <w:rFonts w:eastAsia="楷体_GB2312" w:cs="Calibri"/>
                      <w:bCs/>
                      <w:w w:val="70"/>
                      <w:sz w:val="20"/>
                      <w:szCs w:val="20"/>
                    </w:rPr>
                    <w:t xml:space="preserve">Please refer to </w:t>
                  </w:r>
                  <w:r>
                    <w:rPr>
                      <w:rFonts w:eastAsia="楷体_GB2312" w:cs="Calibri"/>
                      <w:bCs/>
                      <w:w w:val="70"/>
                      <w:sz w:val="20"/>
                      <w:szCs w:val="20"/>
                      <w:lang w:eastAsia="zh-CN"/>
                    </w:rPr>
                    <w:t xml:space="preserve">HuaFu International’s </w:t>
                  </w:r>
                  <w:r>
                    <w:rPr>
                      <w:rFonts w:eastAsia="楷体_GB2312" w:cs="Calibri"/>
                      <w:bCs/>
                      <w:w w:val="70"/>
                      <w:sz w:val="20"/>
                      <w:szCs w:val="20"/>
                    </w:rPr>
                    <w:t xml:space="preserve">website </w:t>
                  </w:r>
                  <w:r>
                    <w:fldChar w:fldCharType="begin"/>
                  </w:r>
                  <w:r>
                    <w:instrText xml:space="preserve"> HYPERLINK "http://www.hfisec.com.hk" </w:instrText>
                  </w:r>
                  <w:r>
                    <w:fldChar w:fldCharType="separate"/>
                  </w:r>
                  <w:r>
                    <w:rPr>
                      <w:rStyle w:val="32"/>
                      <w:rFonts w:eastAsia="楷体_GB2312" w:cs="Calibri"/>
                      <w:bCs/>
                      <w:w w:val="70"/>
                      <w:sz w:val="20"/>
                      <w:szCs w:val="20"/>
                    </w:rPr>
                    <w:t>www.hfisec.com.hk</w:t>
                  </w:r>
                  <w:r>
                    <w:rPr>
                      <w:rStyle w:val="32"/>
                      <w:rFonts w:eastAsia="楷体_GB2312" w:cs="Calibri"/>
                      <w:bCs/>
                      <w:w w:val="70"/>
                      <w:sz w:val="20"/>
                      <w:szCs w:val="20"/>
                    </w:rPr>
                    <w:fldChar w:fldCharType="end"/>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eastAsia="楷体_GB2312" w:cs="Calibri"/>
                      <w:bCs/>
                      <w:w w:val="70"/>
                      <w:sz w:val="20"/>
                      <w:szCs w:val="20"/>
                      <w:lang w:eastAsia="zh-CN"/>
                    </w:rPr>
                    <w:t xml:space="preserve">HuaFu International’s </w:t>
                  </w:r>
                  <w:r>
                    <w:rPr>
                      <w:rFonts w:eastAsia="楷体_GB2312" w:cs="Calibri"/>
                      <w:bCs/>
                      <w:w w:val="70"/>
                      <w:sz w:val="20"/>
                      <w:szCs w:val="20"/>
                    </w:rPr>
                    <w:t>organizational and administrative arrangements set up for the prevention and avoidance of conflicts of interest with respect to Research.</w:t>
                  </w:r>
                </w:p>
                <w:p w14:paraId="73E25D78">
                  <w:pPr>
                    <w:pStyle w:val="44"/>
                    <w:spacing w:after="60"/>
                    <w:rPr>
                      <w:rFonts w:eastAsia="楷体_GB2312" w:cs="Calibri"/>
                      <w:b/>
                      <w:w w:val="70"/>
                      <w:sz w:val="20"/>
                      <w:szCs w:val="20"/>
                    </w:rPr>
                  </w:pPr>
                </w:p>
              </w:tc>
            </w:tr>
            <w:tr w14:paraId="4E72FFE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09C85DD4">
                  <w:pPr>
                    <w:pStyle w:val="44"/>
                    <w:spacing w:after="60"/>
                    <w:rPr>
                      <w:rFonts w:eastAsia="楷体_GB2312" w:cs="Calibri"/>
                      <w:b/>
                      <w:snapToGrid/>
                      <w:w w:val="70"/>
                      <w:sz w:val="20"/>
                      <w:szCs w:val="20"/>
                    </w:rPr>
                  </w:pPr>
                  <w:r>
                    <w:rPr>
                      <w:rFonts w:eastAsia="楷体_GB2312" w:cs="Calibri"/>
                      <w:b/>
                      <w:snapToGrid/>
                      <w:w w:val="70"/>
                      <w:sz w:val="20"/>
                      <w:szCs w:val="20"/>
                    </w:rPr>
                    <w:t>分发和地区通知：</w:t>
                  </w:r>
                </w:p>
                <w:p w14:paraId="66C43AD2">
                  <w:pPr>
                    <w:pStyle w:val="44"/>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eastAsia="楷体_GB2312" w:cs="Calibri"/>
                      <w:snapToGrid/>
                      <w:w w:val="70"/>
                      <w:sz w:val="20"/>
                      <w:szCs w:val="20"/>
                      <w:lang w:eastAsia="zh-CN"/>
                    </w:rPr>
                    <w:t>华福</w:t>
                  </w:r>
                  <w:r>
                    <w:rPr>
                      <w:rFonts w:eastAsia="楷体_GB2312" w:cs="Calibri"/>
                      <w:snapToGrid/>
                      <w:w w:val="70"/>
                      <w:sz w:val="20"/>
                      <w:szCs w:val="20"/>
                    </w:rPr>
                    <w:t xml:space="preserve">国际销售人员。  </w:t>
                  </w:r>
                </w:p>
                <w:p w14:paraId="11117BF5">
                  <w:pPr>
                    <w:pStyle w:val="44"/>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eastAsia="楷体_GB2312" w:cs="Calibri"/>
                      <w:snapToGrid/>
                      <w:w w:val="70"/>
                      <w:sz w:val="20"/>
                      <w:szCs w:val="20"/>
                      <w:lang w:eastAsia="zh-CN"/>
                    </w:rPr>
                    <w:t>华福国际是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eastAsia="楷体_GB2312" w:cs="Calibri"/>
                      <w:snapToGrid/>
                      <w:w w:val="70"/>
                      <w:sz w:val="20"/>
                      <w:szCs w:val="20"/>
                      <w:lang w:eastAsia="zh-CN"/>
                    </w:rPr>
                    <w:t>华福国际</w:t>
                  </w:r>
                  <w:r>
                    <w:rPr>
                      <w:rFonts w:eastAsia="楷体_GB2312" w:cs="Calibri"/>
                      <w:snapToGrid/>
                      <w:w w:val="70"/>
                      <w:sz w:val="20"/>
                      <w:szCs w:val="20"/>
                    </w:rPr>
                    <w:t>销售人员。</w:t>
                  </w:r>
                </w:p>
                <w:p w14:paraId="66CD2E88">
                  <w:pPr>
                    <w:pStyle w:val="44"/>
                    <w:spacing w:after="40"/>
                    <w:rPr>
                      <w:rFonts w:eastAsia="楷体_GB2312" w:cs="Calibri"/>
                      <w:b/>
                      <w:bCs/>
                      <w:w w:val="70"/>
                      <w:sz w:val="20"/>
                      <w:szCs w:val="20"/>
                    </w:rPr>
                  </w:pPr>
                  <w:r>
                    <w:rPr>
                      <w:rFonts w:eastAsia="楷体_GB2312" w:cs="Calibri"/>
                      <w:b/>
                      <w:bCs/>
                      <w:w w:val="70"/>
                      <w:sz w:val="20"/>
                      <w:szCs w:val="20"/>
                    </w:rPr>
                    <w:t>DISTRIBUTION AND REGIONAL NOTICES</w:t>
                  </w:r>
                </w:p>
                <w:p w14:paraId="687F1103">
                  <w:pPr>
                    <w:pStyle w:val="44"/>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14:paraId="6DBC98B9">
                  <w:pPr>
                    <w:pStyle w:val="44"/>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773BDBFA">
                  <w:pPr>
                    <w:pStyle w:val="44"/>
                    <w:spacing w:after="60"/>
                    <w:rPr>
                      <w:rFonts w:eastAsia="楷体_GB2312" w:cs="Calibri"/>
                      <w:b/>
                      <w:w w:val="70"/>
                      <w:sz w:val="20"/>
                      <w:szCs w:val="20"/>
                    </w:rPr>
                  </w:pPr>
                </w:p>
              </w:tc>
            </w:tr>
            <w:tr w14:paraId="314AE25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CCF3088">
                  <w:pPr>
                    <w:pStyle w:val="44"/>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2385AA6C">
                  <w:pPr>
                    <w:pStyle w:val="44"/>
                    <w:spacing w:after="60"/>
                    <w:rPr>
                      <w:rFonts w:eastAsia="楷体_GB2312" w:cs="Calibri"/>
                      <w:w w:val="70"/>
                      <w:sz w:val="20"/>
                      <w:szCs w:val="20"/>
                    </w:rPr>
                  </w:pPr>
                  <w:r>
                    <w:rPr>
                      <w:rFonts w:eastAsia="楷体_GB2312" w:cs="Calibri"/>
                      <w:w w:val="70"/>
                      <w:sz w:val="20"/>
                      <w:szCs w:val="20"/>
                    </w:rPr>
                    <w:t>本项研究仅供收件人使用，未经</w:t>
                  </w:r>
                  <w:r>
                    <w:rPr>
                      <w:rFonts w:eastAsia="楷体_GB2312" w:cs="Calibri"/>
                      <w:w w:val="70"/>
                      <w:sz w:val="20"/>
                      <w:szCs w:val="20"/>
                      <w:lang w:eastAsia="zh-CN"/>
                    </w:rPr>
                    <w:t>华福</w:t>
                  </w:r>
                  <w:r>
                    <w:rPr>
                      <w:rFonts w:eastAsia="楷体_GB2312" w:cs="Calibri"/>
                      <w:w w:val="70"/>
                      <w:sz w:val="20"/>
                      <w:szCs w:val="20"/>
                    </w:rPr>
                    <w:t>国际的书面同意不得予以复制和再次分发。</w:t>
                  </w:r>
                </w:p>
                <w:p w14:paraId="59E7C2FB">
                  <w:pPr>
                    <w:pStyle w:val="44"/>
                    <w:rPr>
                      <w:rFonts w:eastAsia="楷体_GB2312" w:cs="Calibri"/>
                      <w:w w:val="70"/>
                      <w:sz w:val="20"/>
                      <w:szCs w:val="20"/>
                    </w:rPr>
                  </w:pPr>
                  <w:r>
                    <w:rPr>
                      <w:rFonts w:eastAsia="楷体_GB2312" w:cs="Calibri"/>
                      <w:w w:val="70"/>
                      <w:sz w:val="20"/>
                      <w:szCs w:val="20"/>
                    </w:rPr>
                    <w:t>版权所有：</w:t>
                  </w:r>
                  <w:r>
                    <w:rPr>
                      <w:rFonts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2025</w:t>
                  </w:r>
                  <w:r>
                    <w:rPr>
                      <w:rFonts w:eastAsia="楷体_GB2312" w:cs="Calibri"/>
                      <w:w w:val="70"/>
                      <w:sz w:val="20"/>
                      <w:szCs w:val="20"/>
                    </w:rPr>
                    <w:t>年。保留所有权利。</w:t>
                  </w:r>
                </w:p>
                <w:p w14:paraId="2B2FF78B">
                  <w:pPr>
                    <w:pStyle w:val="44"/>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6A385999">
                  <w:pPr>
                    <w:pStyle w:val="44"/>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eastAsia="楷体_GB2312" w:cs="Calibri"/>
                      <w:w w:val="70"/>
                      <w:sz w:val="20"/>
                      <w:szCs w:val="20"/>
                      <w:lang w:eastAsia="zh-CN"/>
                    </w:rPr>
                    <w:t>HuaFu International</w:t>
                  </w:r>
                  <w:r>
                    <w:rPr>
                      <w:rFonts w:eastAsia="楷体_GB2312" w:cs="Calibri"/>
                      <w:w w:val="70"/>
                      <w:sz w:val="20"/>
                      <w:szCs w:val="20"/>
                    </w:rPr>
                    <w:t>.</w:t>
                  </w:r>
                </w:p>
                <w:p w14:paraId="0ED23513">
                  <w:pPr>
                    <w:pStyle w:val="44"/>
                    <w:spacing w:after="60"/>
                    <w:rPr>
                      <w:rFonts w:eastAsia="楷体_GB2312" w:cs="Calibri"/>
                      <w:b/>
                      <w:w w:val="70"/>
                      <w:sz w:val="20"/>
                      <w:szCs w:val="20"/>
                    </w:rPr>
                  </w:pPr>
                  <w:r>
                    <w:rPr>
                      <w:rFonts w:eastAsia="楷体_GB2312" w:cs="Calibri"/>
                      <w:w w:val="70"/>
                      <w:sz w:val="20"/>
                      <w:szCs w:val="20"/>
                    </w:rPr>
                    <w:t xml:space="preserve">Copyright: </w:t>
                  </w:r>
                  <w:r>
                    <w:rPr>
                      <w:rFonts w:eastAsia="楷体_GB2312" w:cs="Calibri"/>
                      <w:w w:val="70"/>
                      <w:sz w:val="20"/>
                      <w:szCs w:val="20"/>
                      <w:lang w:eastAsia="zh-CN"/>
                    </w:rPr>
                    <w:t>HuaFu</w:t>
                  </w:r>
                  <w:r>
                    <w:rPr>
                      <w:rFonts w:eastAsia="楷体_GB2312" w:cs="Calibri"/>
                      <w:w w:val="70"/>
                      <w:sz w:val="20"/>
                      <w:szCs w:val="20"/>
                    </w:rPr>
                    <w:t xml:space="preserve"> International </w:t>
                  </w:r>
                  <w:r>
                    <w:rPr>
                      <w:rFonts w:eastAsia="楷体_GB2312" w:cs="Calibri"/>
                      <w:w w:val="70"/>
                      <w:sz w:val="20"/>
                      <w:szCs w:val="20"/>
                      <w:lang w:eastAsia="zh-CN"/>
                    </w:rPr>
                    <w:t>2025</w:t>
                  </w:r>
                  <w:r>
                    <w:rPr>
                      <w:rFonts w:eastAsia="楷体_GB2312" w:cs="Calibri"/>
                      <w:w w:val="70"/>
                      <w:sz w:val="20"/>
                      <w:szCs w:val="20"/>
                    </w:rPr>
                    <w:t>. All rights reserved</w:t>
                  </w:r>
                </w:p>
              </w:tc>
            </w:tr>
            <w:tr w14:paraId="00933C6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0DAAFB3">
                  <w:pPr>
                    <w:pStyle w:val="44"/>
                    <w:spacing w:after="60"/>
                    <w:rPr>
                      <w:rFonts w:eastAsia="楷体_GB2312" w:cs="Calibri"/>
                      <w:b/>
                      <w:w w:val="70"/>
                      <w:sz w:val="20"/>
                      <w:szCs w:val="20"/>
                    </w:rPr>
                  </w:pPr>
                </w:p>
              </w:tc>
            </w:tr>
            <w:tr w14:paraId="2B93913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nil"/>
                  </w:tcBorders>
                </w:tcPr>
                <w:p w14:paraId="2B81BF45">
                  <w:pPr>
                    <w:pStyle w:val="44"/>
                    <w:spacing w:after="60"/>
                    <w:rPr>
                      <w:rFonts w:eastAsia="楷体_GB2312" w:cs="Calibri"/>
                      <w:b/>
                      <w:w w:val="70"/>
                      <w:sz w:val="20"/>
                      <w:szCs w:val="20"/>
                      <w:lang w:eastAsia="zh-CN"/>
                    </w:rPr>
                  </w:pPr>
                </w:p>
              </w:tc>
            </w:tr>
          </w:tbl>
          <w:p w14:paraId="57368D1C">
            <w:pPr>
              <w:pStyle w:val="81"/>
              <w:rPr>
                <w:rFonts w:eastAsia="楷体_GB2312" w:cs="Calibri"/>
                <w:sz w:val="16"/>
              </w:rPr>
            </w:pPr>
          </w:p>
          <w:p w14:paraId="62D04E1D">
            <w:pPr>
              <w:rPr>
                <w:rFonts w:eastAsia="楷体_GB2312" w:cs="Calibri"/>
              </w:rPr>
            </w:pPr>
          </w:p>
        </w:tc>
      </w:tr>
    </w:tbl>
    <w:p w14:paraId="10F7A4E2">
      <w:pPr>
        <w:pStyle w:val="81"/>
        <w:rPr>
          <w:rFonts w:eastAsia="楷体_GB2312" w:cs="Calibri"/>
          <w:w w:val="70"/>
          <w:sz w:val="20"/>
          <w:szCs w:val="20"/>
          <w:lang w:val="en-GB"/>
        </w:rPr>
      </w:pPr>
    </w:p>
    <w:p w14:paraId="077D3252">
      <w:pPr>
        <w:pStyle w:val="81"/>
        <w:rPr>
          <w:rFonts w:eastAsia="楷体_GB2312" w:cs="Calibri"/>
          <w:lang w:val="en-GB"/>
        </w:rPr>
      </w:pPr>
    </w:p>
    <w:sectPr>
      <w:headerReference r:id="rId12" w:type="first"/>
      <w:footerReference r:id="rId14" w:type="first"/>
      <w:headerReference r:id="rId11" w:type="default"/>
      <w:footerReference r:id="rId13" w:type="default"/>
      <w:pgSz w:w="11909" w:h="16834"/>
      <w:pgMar w:top="1077" w:right="567" w:bottom="1021" w:left="329" w:header="720" w:footer="1156"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汉仪楷体简">
    <w:altName w:val="宋体"/>
    <w:panose1 w:val="00000000000000000000"/>
    <w:charset w:val="86"/>
    <w:family w:val="modern"/>
    <w:pitch w:val="default"/>
    <w:sig w:usb0="00000000" w:usb1="00000000" w:usb2="00000012" w:usb3="00000000" w:csb0="00040000" w:csb1="00000000"/>
  </w:font>
  <w:font w:name="汉仪大黑简">
    <w:altName w:val="微软雅黑"/>
    <w:panose1 w:val="00000000000000000000"/>
    <w:charset w:val="86"/>
    <w:family w:val="modern"/>
    <w:pitch w:val="default"/>
    <w:sig w:usb0="00000000" w:usb1="00000000" w:usb2="00000012"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Wingdings 3">
    <w:panose1 w:val="05040102010807070707"/>
    <w:charset w:val="02"/>
    <w:family w:val="roman"/>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21605">
    <w:pPr>
      <w:pStyle w:val="42"/>
    </w:pPr>
    <w:r>
      <w:rPr>
        <w:lang w:eastAsia="zh-CN"/>
      </w:rPr>
      <mc:AlternateContent>
        <mc:Choice Requires="wps">
          <w:drawing>
            <wp:anchor distT="0" distB="0" distL="114300" distR="114300" simplePos="0" relativeHeight="251659264" behindDoc="0" locked="0" layoutInCell="1" allowOverlap="1">
              <wp:simplePos x="0" y="0"/>
              <wp:positionH relativeFrom="page">
                <wp:posOffset>75565</wp:posOffset>
              </wp:positionH>
              <wp:positionV relativeFrom="page">
                <wp:posOffset>9812020</wp:posOffset>
              </wp:positionV>
              <wp:extent cx="7404100" cy="50165"/>
              <wp:effectExtent l="0" t="0" r="6350" b="6985"/>
              <wp:wrapNone/>
              <wp:docPr id="15"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2F61E5E8">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5.95pt;margin-top:772.6pt;height:3.95pt;width:583pt;mso-position-horizontal-relative:page;mso-position-vertical-relative:page;z-index:251659264;mso-width-relative:page;mso-height-relative:page;" fillcolor="#005BAC" filled="t" stroked="f" coordsize="21600,21600" o:gfxdata="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h2Z/+NoA&#10;AAANAQAADwAAAAAAAAABACAAAAAiAAAAZHJzL2Rvd25yZXYueG1sUEsBAhQAFAAAAAgAh07iQI7t&#10;BuodAgAAPgQAAA4AAAAAAAAAAQAgAAAAKQEAAGRycy9lMm9Eb2MueG1sUEsFBgAAAAAGAAYAWQEA&#10;ALgFAAAAAA==&#10;">
              <v:fill on="t" focussize="0,0"/>
              <v:stroke on="f"/>
              <v:imagedata o:title=""/>
              <o:lock v:ext="edit" aspectratio="f"/>
              <v:textbox>
                <w:txbxContent>
                  <w:p w14:paraId="2F61E5E8">
                    <w:pPr>
                      <w:ind w:left="-180"/>
                    </w:pPr>
                  </w:p>
                </w:txbxContent>
              </v:textbox>
            </v:shape>
          </w:pict>
        </mc:Fallback>
      </mc:AlternateContent>
    </w:r>
    <w:r>
      <w:rPr>
        <w:lang w:eastAsia="zh-CN"/>
      </w:rPr>
      <mc:AlternateContent>
        <mc:Choice Requires="wps">
          <w:drawing>
            <wp:anchor distT="0" distB="0" distL="114300" distR="114300" simplePos="0" relativeHeight="251661312" behindDoc="0" locked="1" layoutInCell="1" allowOverlap="1">
              <wp:simplePos x="0" y="0"/>
              <wp:positionH relativeFrom="column">
                <wp:posOffset>-448945</wp:posOffset>
              </wp:positionH>
              <wp:positionV relativeFrom="page">
                <wp:posOffset>9860280</wp:posOffset>
              </wp:positionV>
              <wp:extent cx="7421880" cy="807720"/>
              <wp:effectExtent l="0" t="0" r="7620" b="1143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421880" cy="807720"/>
                      </a:xfrm>
                      <a:prstGeom prst="rect">
                        <a:avLst/>
                      </a:prstGeom>
                      <a:noFill/>
                      <a:ln>
                        <a:noFill/>
                      </a:ln>
                    </wps:spPr>
                    <wps:txbx>
                      <w:txbxContent>
                        <w:tbl>
                          <w:tblPr>
                            <w:tblStyle w:val="27"/>
                            <w:tblW w:w="11624" w:type="dxa"/>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24"/>
                          </w:tblGrid>
                          <w:tr w14:paraId="136984D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624" w:type="dxa"/>
                              </w:tcPr>
                              <w:p w14:paraId="5E80EF4F">
                                <w:pPr>
                                  <w:pStyle w:val="5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226CBE5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24" w:type="dxa"/>
                              </w:tcPr>
                              <w:p w14:paraId="5218F49B">
                                <w:pPr>
                                  <w:pStyle w:val="59"/>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40CFF0BE">
                          <w:pPr>
                            <w:pStyle w:val="59"/>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35.35pt;margin-top:776.4pt;height:63.6pt;width:584.4pt;mso-position-vertical-relative:page;z-index:251661312;mso-width-relative:page;mso-height-relative:page;" filled="f" stroked="f" coordsize="21600,21600" o:gfxdata="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u2Al72wAAAA4BAAAPAAAAAAAAAAEAIAAAACIAAABkcnMvZG93&#10;bnJldi54bWxQSwECFAAUAAAACACHTuJAfGiuMv0BAAAHBAAADgAAAAAAAAABACAAAAAqAQAAZHJz&#10;L2Uyb0RvYy54bWxQSwUGAAAAAAYABgBZAQAAmQUAAAAA&#10;">
              <v:fill on="f" focussize="0,0"/>
              <v:stroke on="f"/>
              <v:imagedata o:title=""/>
              <o:lock v:ext="edit" aspectratio="f"/>
              <v:textbox inset="0mm,0mm,0mm,0mm">
                <w:txbxContent>
                  <w:tbl>
                    <w:tblPr>
                      <w:tblStyle w:val="27"/>
                      <w:tblW w:w="11624" w:type="dxa"/>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24"/>
                    </w:tblGrid>
                    <w:tr w14:paraId="136984D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624" w:type="dxa"/>
                        </w:tcPr>
                        <w:p w14:paraId="5E80EF4F">
                          <w:pPr>
                            <w:pStyle w:val="5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226CBE5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24" w:type="dxa"/>
                        </w:tcPr>
                        <w:p w14:paraId="5218F49B">
                          <w:pPr>
                            <w:pStyle w:val="59"/>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40CFF0BE">
                    <w:pPr>
                      <w:pStyle w:val="59"/>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6F230">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A6690">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6"/>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45C9A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00AE9CFF">
          <w:pPr>
            <w:pStyle w:val="49"/>
            <w:framePr w:wrap="auto" w:vAnchor="margin" w:hAnchor="text" w:xAlign="left" w:yAlign="inline"/>
          </w:pPr>
          <w:r>
            <w:fldChar w:fldCharType="begin"/>
          </w:r>
          <w:r>
            <w:instrText xml:space="preserve"> DATE  \@ "d MMM yyyy"  \* MERGEFORMAT </w:instrText>
          </w:r>
          <w:r>
            <w:fldChar w:fldCharType="separate"/>
          </w:r>
          <w:r>
            <w:t>24 Feb 2026</w:t>
          </w:r>
          <w:r>
            <w:fldChar w:fldCharType="end"/>
          </w:r>
          <w:r>
            <w:tab/>
          </w:r>
          <w:r>
            <w:fldChar w:fldCharType="begin"/>
          </w:r>
          <w:r>
            <w:instrText xml:space="preserve"> PAGE </w:instrText>
          </w:r>
          <w:r>
            <w:fldChar w:fldCharType="separate"/>
          </w:r>
          <w:r>
            <w:t>4</w:t>
          </w:r>
          <w:r>
            <w:fldChar w:fldCharType="end"/>
          </w:r>
        </w:p>
      </w:tc>
    </w:tr>
  </w:tbl>
  <w:p w14:paraId="63345553">
    <w:pPr>
      <w:pStyle w:val="4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D5138">
    <w:pPr>
      <w:pStyle w:val="42"/>
      <w:spacing w:line="20" w:lineRule="exact"/>
    </w:pPr>
  </w:p>
  <w:tbl>
    <w:tblPr>
      <w:tblStyle w:val="26"/>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105DE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07818F2A">
          <w:pPr>
            <w:pStyle w:val="49"/>
            <w:framePr w:wrap="auto" w:vAnchor="margin" w:hAnchor="text" w:xAlign="left" w:yAlign="inline"/>
          </w:pPr>
          <w:r>
            <w:tab/>
          </w:r>
          <w:r>
            <w:fldChar w:fldCharType="begin"/>
          </w:r>
          <w:r>
            <w:instrText xml:space="preserve"> PAGE </w:instrText>
          </w:r>
          <w:r>
            <w:fldChar w:fldCharType="separate"/>
          </w:r>
          <w:r>
            <w:t>6</w:t>
          </w:r>
          <w:r>
            <w:fldChar w:fldCharType="end"/>
          </w:r>
        </w:p>
      </w:tc>
    </w:tr>
  </w:tbl>
  <w:p w14:paraId="7E37F4AA">
    <w:pPr>
      <w:pStyle w:val="4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A09DA">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1689C">
    <w:pPr>
      <w:pStyle w:val="42"/>
    </w:pPr>
    <w:r>
      <w:rPr>
        <w:snapToGrid/>
      </w:rPr>
      <w:drawing>
        <wp:anchor distT="0" distB="0" distL="114300" distR="114300" simplePos="0" relativeHeight="251663360" behindDoc="0" locked="0" layoutInCell="1" allowOverlap="1">
          <wp:simplePos x="0" y="0"/>
          <wp:positionH relativeFrom="margin">
            <wp:posOffset>4597400</wp:posOffset>
          </wp:positionH>
          <wp:positionV relativeFrom="paragraph">
            <wp:posOffset>-20955</wp:posOffset>
          </wp:positionV>
          <wp:extent cx="1925955" cy="651510"/>
          <wp:effectExtent l="0" t="0" r="0" b="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5955" cy="651510"/>
                  </a:xfrm>
                  <a:prstGeom prst="rect">
                    <a:avLst/>
                  </a:prstGeom>
                </pic:spPr>
              </pic:pic>
            </a:graphicData>
          </a:graphic>
        </wp:anchor>
      </w:drawing>
    </w:r>
  </w:p>
  <w:p w14:paraId="7D96EBA8"/>
  <w:p w14:paraId="21DB74B5">
    <w:r>
      <w:rPr>
        <w:lang w:val="en-US" w:eastAsia="zh-CN"/>
      </w:rPr>
      <mc:AlternateContent>
        <mc:Choice Requires="wps">
          <w:drawing>
            <wp:anchor distT="0" distB="0" distL="114300" distR="114300" simplePos="0" relativeHeight="251662336" behindDoc="0" locked="0" layoutInCell="1" allowOverlap="1">
              <wp:simplePos x="0" y="0"/>
              <wp:positionH relativeFrom="column">
                <wp:posOffset>335915</wp:posOffset>
              </wp:positionH>
              <wp:positionV relativeFrom="paragraph">
                <wp:posOffset>2215515</wp:posOffset>
              </wp:positionV>
              <wp:extent cx="2291715" cy="28956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89560"/>
                      </a:xfrm>
                      <a:prstGeom prst="rect">
                        <a:avLst/>
                      </a:prstGeom>
                      <a:noFill/>
                      <a:ln w="9525">
                        <a:noFill/>
                        <a:miter lim="800000"/>
                      </a:ln>
                    </wps:spPr>
                    <wps:txbx>
                      <w:txbxContent>
                        <w:tbl>
                          <w:tblPr>
                            <w:tblStyle w:val="27"/>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5E7DA2D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0C3EC0F8">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586B1F2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14DC09A8">
                                <w:pPr>
                                  <w:rPr>
                                    <w:color w:val="23558C"/>
                                    <w:sz w:val="20"/>
                                    <w:szCs w:val="20"/>
                                  </w:rPr>
                                </w:pPr>
                                <w:r>
                                  <w:rPr>
                                    <w:rFonts w:hint="eastAsia" w:eastAsia="楷体_GB2312"/>
                                    <w:color w:val="23558C"/>
                                    <w:sz w:val="20"/>
                                    <w:szCs w:val="20"/>
                                    <w:lang w:eastAsia="zh-CN"/>
                                  </w:rPr>
                                  <w:t xml:space="preserve">观点聚焦 </w:t>
                                </w:r>
                                <w:r>
                                  <w:rPr>
                                    <w:rFonts w:eastAsia="楷体_GB2312"/>
                                    <w:color w:val="23558C"/>
                                    <w:sz w:val="20"/>
                                    <w:szCs w:val="20"/>
                                    <w:lang w:eastAsia="zh-CN"/>
                                  </w:rPr>
                                  <w:t>Investment Focus</w:t>
                                </w:r>
                              </w:p>
                            </w:tc>
                          </w:tr>
                        </w:tbl>
                        <w:p w14:paraId="209668E5">
                          <w:pPr>
                            <w:spacing w:line="40" w:lineRule="exact"/>
                            <w:rPr>
                              <w:rFonts w:eastAsia="楷体_GB2312"/>
                              <w:color w:val="23558C"/>
                              <w:sz w:val="10"/>
                              <w:szCs w:val="10"/>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6.45pt;margin-top:174.45pt;height:22.8pt;width:180.45pt;z-index:251662336;mso-width-relative:page;mso-height-relative:page;" filled="f" stroked="f" coordsize="21600,21600" o:gfxdata="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Tle1rYAAAACgEAAA8AAAAAAAAAAQAgAAAAIgAAAGRycy9kb3ducmV2LnhtbFBLAQIUABQAAAAI&#10;AIdO4kBEPAoLJgIAACsEAAAOAAAAAAAAAAEAIAAAACcBAABkcnMvZTJvRG9jLnhtbFBLBQYAAAAA&#10;BgAGAFkBAAC/BQAAAAA=&#10;">
              <v:fill on="f" focussize="0,0"/>
              <v:stroke on="f" miterlimit="8" joinstyle="miter"/>
              <v:imagedata o:title=""/>
              <o:lock v:ext="edit" aspectratio="f"/>
              <v:textbox>
                <w:txbxContent>
                  <w:tbl>
                    <w:tblPr>
                      <w:tblStyle w:val="27"/>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5E7DA2D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0C3EC0F8">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586B1F2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14DC09A8">
                          <w:pPr>
                            <w:rPr>
                              <w:color w:val="23558C"/>
                              <w:sz w:val="20"/>
                              <w:szCs w:val="20"/>
                            </w:rPr>
                          </w:pPr>
                          <w:r>
                            <w:rPr>
                              <w:rFonts w:hint="eastAsia" w:eastAsia="楷体_GB2312"/>
                              <w:color w:val="23558C"/>
                              <w:sz w:val="20"/>
                              <w:szCs w:val="20"/>
                              <w:lang w:eastAsia="zh-CN"/>
                            </w:rPr>
                            <w:t xml:space="preserve">观点聚焦 </w:t>
                          </w:r>
                          <w:r>
                            <w:rPr>
                              <w:rFonts w:eastAsia="楷体_GB2312"/>
                              <w:color w:val="23558C"/>
                              <w:sz w:val="20"/>
                              <w:szCs w:val="20"/>
                              <w:lang w:eastAsia="zh-CN"/>
                            </w:rPr>
                            <w:t>Investment Focus</w:t>
                          </w:r>
                        </w:p>
                      </w:tc>
                    </w:tr>
                  </w:tbl>
                  <w:p w14:paraId="209668E5">
                    <w:pPr>
                      <w:spacing w:line="40" w:lineRule="exact"/>
                      <w:rPr>
                        <w:rFonts w:eastAsia="楷体_GB2312"/>
                        <w:color w:val="23558C"/>
                        <w:sz w:val="10"/>
                        <w:szCs w:val="10"/>
                        <w:lang w:eastAsia="zh-CN"/>
                      </w:rPr>
                    </w:pPr>
                  </w:p>
                </w:txbxContent>
              </v:textbox>
            </v:shape>
          </w:pict>
        </mc:Fallback>
      </mc:AlternateContent>
    </w:r>
    <w:r>
      <w:rPr>
        <w:lang w:val="en-US" w:eastAsia="zh-CN"/>
      </w:rPr>
      <w:drawing>
        <wp:anchor distT="0" distB="0" distL="114300" distR="114300" simplePos="0" relativeHeight="251660288" behindDoc="1" locked="0" layoutInCell="1" allowOverlap="1">
          <wp:simplePos x="0" y="0"/>
          <wp:positionH relativeFrom="column">
            <wp:posOffset>-60960</wp:posOffset>
          </wp:positionH>
          <wp:positionV relativeFrom="paragraph">
            <wp:posOffset>2253615</wp:posOffset>
          </wp:positionV>
          <wp:extent cx="360045" cy="179705"/>
          <wp:effectExtent l="0" t="0" r="254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0000" cy="1800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84895">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30C83">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7"/>
      <w:tblW w:w="0" w:type="auto"/>
      <w:tblCaption w:val="[Table_header2]"/>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10594"/>
    </w:tblGrid>
    <w:tr w14:paraId="2001E76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exact"/>
      </w:trPr>
      <w:tc>
        <w:tcPr>
          <w:tcW w:w="10685" w:type="dxa"/>
        </w:tcPr>
        <w:p w14:paraId="5C4D63FE">
          <w:pPr>
            <w:pStyle w:val="42"/>
            <w:rPr>
              <w:color w:val="FF0000"/>
            </w:rPr>
          </w:pPr>
          <w:r>
            <w:rPr>
              <w:color w:val="FFFFFF" w:themeColor="background1"/>
              <w14:textFill>
                <w14:solidFill>
                  <w14:schemeClr w14:val="bg1"/>
                </w14:solidFill>
              </w14:textFill>
            </w:rPr>
            <w:t>[Table_header2]</w:t>
          </w:r>
        </w:p>
      </w:tc>
    </w:tr>
    <w:tr w14:paraId="0F3E747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0685" w:type="dxa"/>
        </w:tcPr>
        <w:p w14:paraId="04175C59">
          <w:pPr>
            <w:pStyle w:val="42"/>
            <w:jc w:val="right"/>
            <w:rPr>
              <w:rFonts w:eastAsia="楷体_GB2312" w:cs="Calibri"/>
              <w:b/>
              <w:color w:val="005BAC"/>
              <w:sz w:val="24"/>
              <w:szCs w:val="24"/>
            </w:rPr>
          </w:pPr>
          <w:bookmarkStart w:id="3" w:name="_GoBack"/>
          <w:bookmarkEnd w:id="3"/>
          <w:r>
            <w:rPr>
              <w:rFonts w:ascii="Calibri" w:eastAsia="楷体_GB2312"/>
              <w:b w:val="0"/>
              <w:i w:val="0"/>
              <w:color w:val="215E99"/>
              <w:sz w:val="24"/>
              <w:lang w:eastAsia="zh-CN"/>
            </w:rPr>
            <w:t>全球</w:t>
          </w:r>
          <w:r>
            <w:rPr>
              <w:rFonts w:ascii="Calibri" w:eastAsia="楷体_GB2312"/>
              <w:b w:val="0"/>
              <w:i w:val="0"/>
              <w:color w:val="215E99"/>
              <w:sz w:val="24"/>
            </w:rPr>
            <w:t>宏观</w:t>
          </w:r>
          <w:r>
            <w:rPr>
              <w:rFonts w:ascii="Calibri" w:eastAsia="楷体_GB2312"/>
              <w:b w:val="0"/>
              <w:i w:val="0"/>
              <w:color w:val="215E99"/>
              <w:sz w:val="24"/>
              <w:lang w:eastAsia="zh-CN"/>
            </w:rPr>
            <w:t>World</w:t>
          </w:r>
          <w:r>
            <w:rPr>
              <w:rFonts w:ascii="Calibri" w:eastAsia="楷体_GB2312"/>
              <w:b w:val="0"/>
              <w:i w:val="0"/>
              <w:color w:val="215E99"/>
              <w:sz w:val="24"/>
            </w:rPr>
            <w:t xml:space="preserve"> Macro</w:t>
          </w:r>
        </w:p>
      </w:tc>
    </w:tr>
  </w:tbl>
  <w:p w14:paraId="6A069A32">
    <w:pPr>
      <w:pStyle w:val="42"/>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85BFC">
    <w:pPr>
      <w:pStyle w:val="42"/>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65537">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34AC8"/>
    <w:multiLevelType w:val="multilevel"/>
    <w:tmpl w:val="02634AC8"/>
    <w:lvl w:ilvl="0" w:tentative="0">
      <w:start w:val="1"/>
      <w:numFmt w:val="bullet"/>
      <w:pStyle w:val="138"/>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03935DA5"/>
    <w:multiLevelType w:val="multilevel"/>
    <w:tmpl w:val="03935DA5"/>
    <w:lvl w:ilvl="0" w:tentative="0">
      <w:start w:val="1"/>
      <w:numFmt w:val="bullet"/>
      <w:pStyle w:val="46"/>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C657F7"/>
    <w:multiLevelType w:val="multilevel"/>
    <w:tmpl w:val="04C657F7"/>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default" w:ascii="Times New Roman" w:hAnsi="Times New Roman"/>
      </w:rPr>
    </w:lvl>
    <w:lvl w:ilvl="2" w:tentative="0">
      <w:start w:val="1"/>
      <w:numFmt w:val="decimal"/>
      <w:lvlText w:val="%1.%2.%3."/>
      <w:lvlJc w:val="left"/>
      <w:pPr>
        <w:tabs>
          <w:tab w:val="left" w:pos="709"/>
        </w:tabs>
        <w:ind w:left="709" w:hanging="709"/>
      </w:pPr>
      <w:rPr>
        <w:rFonts w:hint="eastAsia"/>
      </w:rPr>
    </w:lvl>
    <w:lvl w:ilvl="3" w:tentative="0">
      <w:start w:val="1"/>
      <w:numFmt w:val="decimal"/>
      <w:pStyle w:val="5"/>
      <w:lvlText w:val="%1.%2.%3.%4."/>
      <w:lvlJc w:val="left"/>
      <w:pPr>
        <w:tabs>
          <w:tab w:val="left" w:pos="3911"/>
        </w:tabs>
        <w:ind w:left="391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238731C4"/>
    <w:multiLevelType w:val="multilevel"/>
    <w:tmpl w:val="238731C4"/>
    <w:lvl w:ilvl="0" w:tentative="0">
      <w:start w:val="1"/>
      <w:numFmt w:val="upperRoman"/>
      <w:pStyle w:val="87"/>
      <w:lvlText w:val="PART %1:"/>
      <w:lvlJc w:val="left"/>
      <w:pPr>
        <w:ind w:left="720" w:hanging="360"/>
      </w:pPr>
      <w:rPr>
        <w:rFonts w:hint="eastAsi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31A2D25"/>
    <w:multiLevelType w:val="multilevel"/>
    <w:tmpl w:val="331A2D25"/>
    <w:lvl w:ilvl="0" w:tentative="0">
      <w:start w:val="1"/>
      <w:numFmt w:val="bullet"/>
      <w:pStyle w:val="68"/>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8A55B35"/>
    <w:multiLevelType w:val="multilevel"/>
    <w:tmpl w:val="38A55B35"/>
    <w:lvl w:ilvl="0" w:tentative="0">
      <w:start w:val="1"/>
      <w:numFmt w:val="bullet"/>
      <w:pStyle w:val="92"/>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6">
    <w:nsid w:val="41772804"/>
    <w:multiLevelType w:val="multilevel"/>
    <w:tmpl w:val="41772804"/>
    <w:lvl w:ilvl="0" w:tentative="0">
      <w:start w:val="1"/>
      <w:numFmt w:val="bullet"/>
      <w:pStyle w:val="67"/>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1EA01BD"/>
    <w:multiLevelType w:val="multilevel"/>
    <w:tmpl w:val="41EA01BD"/>
    <w:lvl w:ilvl="0" w:tentative="0">
      <w:start w:val="1"/>
      <w:numFmt w:val="bullet"/>
      <w:pStyle w:val="84"/>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79321DC"/>
    <w:multiLevelType w:val="multilevel"/>
    <w:tmpl w:val="479321DC"/>
    <w:lvl w:ilvl="0" w:tentative="0">
      <w:start w:val="1"/>
      <w:numFmt w:val="bullet"/>
      <w:pStyle w:val="39"/>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62B5102"/>
    <w:multiLevelType w:val="multilevel"/>
    <w:tmpl w:val="662B5102"/>
    <w:lvl w:ilvl="0" w:tentative="0">
      <w:start w:val="1"/>
      <w:numFmt w:val="bullet"/>
      <w:pStyle w:val="93"/>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0">
    <w:nsid w:val="6B531506"/>
    <w:multiLevelType w:val="multilevel"/>
    <w:tmpl w:val="6B531506"/>
    <w:lvl w:ilvl="0" w:tentative="0">
      <w:start w:val="1"/>
      <w:numFmt w:val="upperRoman"/>
      <w:pStyle w:val="99"/>
      <w:lvlText w:val="PART %1."/>
      <w:lvlJc w:val="left"/>
      <w:pPr>
        <w:ind w:left="480" w:hanging="480"/>
      </w:pPr>
      <w:rPr>
        <w:rFonts w:hint="eastAsia"/>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11">
    <w:nsid w:val="6C4E34EC"/>
    <w:multiLevelType w:val="multilevel"/>
    <w:tmpl w:val="6C4E34EC"/>
    <w:lvl w:ilvl="0" w:tentative="0">
      <w:start w:val="1"/>
      <w:numFmt w:val="bullet"/>
      <w:pStyle w:val="66"/>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8"/>
  </w:num>
  <w:num w:numId="3">
    <w:abstractNumId w:val="1"/>
  </w:num>
  <w:num w:numId="4">
    <w:abstractNumId w:val="11"/>
  </w:num>
  <w:num w:numId="5">
    <w:abstractNumId w:val="6"/>
  </w:num>
  <w:num w:numId="6">
    <w:abstractNumId w:val="4"/>
  </w:num>
  <w:num w:numId="7">
    <w:abstractNumId w:val="7"/>
  </w:num>
  <w:num w:numId="8">
    <w:abstractNumId w:val="3"/>
  </w:num>
  <w:num w:numId="9">
    <w:abstractNumId w:val="5"/>
  </w:num>
  <w:num w:numId="10">
    <w:abstractNumId w:val="9"/>
  </w:num>
  <w:num w:numId="11">
    <w:abstractNumId w:val="1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attachedTemplate r:id="rId1"/>
  <w:documentProtection w:enforcement="0"/>
  <w:defaultTabStop w:val="400"/>
  <w:drawingGridHorizontalSpacing w:val="80"/>
  <w:drawingGridVerticalSpacing w:val="200"/>
  <w:noPunctuationKerning w:val="1"/>
  <w:characterSpacingControl w:val="doNotCompress"/>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Version" w:val="5.0"/>
    <w:docVar w:name="EFAAccountID" w:val="1010"/>
    <w:docVar w:name="EFAAnnMonth" w:val="12"/>
    <w:docVar w:name="EFAAnnualise" w:val="False"/>
    <w:docVar w:name="EFAAuthorEmails" w:val="andy.cy.so@htisec.com"/>
    <w:docVar w:name="EFAAuthorIDs" w:val="2081"/>
    <w:docVar w:name="EFAAuthorNames" w:val="Andy So, CFA"/>
    <w:docVar w:name="EFAComputerName" w:val="DESKTOP-RSKMA3J"/>
    <w:docVar w:name="EFACorpID" w:val="-1"/>
    <w:docVar w:name="EFADefaultPriceDate" w:val="True"/>
    <w:docVar w:name="EFADevData" w:val="False"/>
    <w:docVar w:name="EFADisclaimerHiddenTextStyle" w:val="EFADisclaimerHiddenText"/>
    <w:docVar w:name="EFADisclaimerTextStyle" w:val="EFADisclaimerText"/>
    <w:docVar w:name="EFADocID" w:val="38659"/>
    <w:docVar w:name="EFADocTemplateVer" w:val="HaiTong"/>
    <w:docVar w:name="EFAExcelVersion" w:val="14"/>
    <w:docVar w:name="EFAFirstIntOffset" w:val="1"/>
    <w:docVar w:name="EFAGUID" w:val="A0D1E583-EDD7-40CD-ACA9-CF552EE34C59"/>
    <w:docVar w:name="EFAIntEndYear" w:val="0"/>
    <w:docVar w:name="EFAIntPeriodNumber" w:val="0"/>
    <w:docVar w:name="EFAIntStartYear" w:val="0"/>
    <w:docVar w:name="EFALanguageID" w:val="2057"/>
    <w:docVar w:name="EFALastRefreshDate" w:val="20190728 11:52:34"/>
    <w:docVar w:name="EFALogonSvr" w:val="\\DESKTOP-RSKMA3J"/>
    <w:docVar w:name="EFAMarket" w:val="HK"/>
    <w:docVar w:name="EFAOperatingSys" w:val="Windows_NT"/>
    <w:docVar w:name="EFAPageCount" w:val="14"/>
    <w:docVar w:name="EFAPriceDate" w:val="20190727 00:00:00"/>
    <w:docVar w:name="EFASecurityIndex" w:val="0"/>
    <w:docVar w:name="EFAStartYear" w:val="0"/>
    <w:docVar w:name="EFATemplate" w:val="Macro note - HTI.dotx"/>
    <w:docVar w:name="EFATemplateID" w:val="203"/>
    <w:docVar w:name="EFAUnits" w:val="Use Default"/>
    <w:docVar w:name="EFAUseIntTables" w:val="False"/>
    <w:docVar w:name="EFAUserID" w:val="2100"/>
    <w:docVar w:name="EFAUserName" w:val="Nicolas Wang"/>
    <w:docVar w:name="EFAUsrDomain" w:val="DESKTOP-RSKMA3J"/>
    <w:docVar w:name="EFAWinUserName" w:val="zhoulinhong"/>
    <w:docVar w:name="EFAWordVersion" w:val="14"/>
  </w:docVars>
  <w:rsids>
    <w:rsidRoot w:val="00B006B9"/>
    <w:rsid w:val="0000020F"/>
    <w:rsid w:val="00000236"/>
    <w:rsid w:val="0000097F"/>
    <w:rsid w:val="00001979"/>
    <w:rsid w:val="000019ED"/>
    <w:rsid w:val="00001C0E"/>
    <w:rsid w:val="0000224B"/>
    <w:rsid w:val="00002DDC"/>
    <w:rsid w:val="00003E75"/>
    <w:rsid w:val="00004BAA"/>
    <w:rsid w:val="00004FB5"/>
    <w:rsid w:val="0000558A"/>
    <w:rsid w:val="000063F1"/>
    <w:rsid w:val="0000732D"/>
    <w:rsid w:val="00010774"/>
    <w:rsid w:val="0001184F"/>
    <w:rsid w:val="00013043"/>
    <w:rsid w:val="000130D9"/>
    <w:rsid w:val="00013244"/>
    <w:rsid w:val="00014086"/>
    <w:rsid w:val="000146CB"/>
    <w:rsid w:val="000152DE"/>
    <w:rsid w:val="000158A6"/>
    <w:rsid w:val="000171D2"/>
    <w:rsid w:val="000201AE"/>
    <w:rsid w:val="00020B7A"/>
    <w:rsid w:val="00021DAC"/>
    <w:rsid w:val="00021DD0"/>
    <w:rsid w:val="00022C11"/>
    <w:rsid w:val="00023367"/>
    <w:rsid w:val="00024F59"/>
    <w:rsid w:val="0002500A"/>
    <w:rsid w:val="00025E71"/>
    <w:rsid w:val="00025F59"/>
    <w:rsid w:val="00026DCC"/>
    <w:rsid w:val="00027183"/>
    <w:rsid w:val="00027FEF"/>
    <w:rsid w:val="0003028B"/>
    <w:rsid w:val="00031D6F"/>
    <w:rsid w:val="00032B31"/>
    <w:rsid w:val="000334F3"/>
    <w:rsid w:val="000336AF"/>
    <w:rsid w:val="00033DF7"/>
    <w:rsid w:val="000347D5"/>
    <w:rsid w:val="00035535"/>
    <w:rsid w:val="00035E45"/>
    <w:rsid w:val="0003686B"/>
    <w:rsid w:val="00041387"/>
    <w:rsid w:val="00041A6F"/>
    <w:rsid w:val="0004283E"/>
    <w:rsid w:val="00042B17"/>
    <w:rsid w:val="00043062"/>
    <w:rsid w:val="00043657"/>
    <w:rsid w:val="0004549E"/>
    <w:rsid w:val="00047D52"/>
    <w:rsid w:val="000516AD"/>
    <w:rsid w:val="00051EC9"/>
    <w:rsid w:val="00052838"/>
    <w:rsid w:val="00052DCF"/>
    <w:rsid w:val="00053BBB"/>
    <w:rsid w:val="00054224"/>
    <w:rsid w:val="00054451"/>
    <w:rsid w:val="00055381"/>
    <w:rsid w:val="0005743D"/>
    <w:rsid w:val="000575A3"/>
    <w:rsid w:val="00057779"/>
    <w:rsid w:val="000640E9"/>
    <w:rsid w:val="00065200"/>
    <w:rsid w:val="000700E0"/>
    <w:rsid w:val="00070B53"/>
    <w:rsid w:val="00070F15"/>
    <w:rsid w:val="000729AF"/>
    <w:rsid w:val="0007309A"/>
    <w:rsid w:val="00073BEB"/>
    <w:rsid w:val="000749C7"/>
    <w:rsid w:val="00075B0A"/>
    <w:rsid w:val="00077BA0"/>
    <w:rsid w:val="00080296"/>
    <w:rsid w:val="000810B3"/>
    <w:rsid w:val="00084B49"/>
    <w:rsid w:val="000860EA"/>
    <w:rsid w:val="00086E96"/>
    <w:rsid w:val="00090800"/>
    <w:rsid w:val="00091895"/>
    <w:rsid w:val="000920C4"/>
    <w:rsid w:val="000924C1"/>
    <w:rsid w:val="00094A4C"/>
    <w:rsid w:val="00094FAC"/>
    <w:rsid w:val="000950FF"/>
    <w:rsid w:val="00095F8B"/>
    <w:rsid w:val="00096909"/>
    <w:rsid w:val="00096986"/>
    <w:rsid w:val="00096A8E"/>
    <w:rsid w:val="00096FC5"/>
    <w:rsid w:val="000974BE"/>
    <w:rsid w:val="00097FD4"/>
    <w:rsid w:val="000A0550"/>
    <w:rsid w:val="000A23D4"/>
    <w:rsid w:val="000A2C9D"/>
    <w:rsid w:val="000A30E9"/>
    <w:rsid w:val="000A461B"/>
    <w:rsid w:val="000A6794"/>
    <w:rsid w:val="000A726A"/>
    <w:rsid w:val="000B13C1"/>
    <w:rsid w:val="000B18D6"/>
    <w:rsid w:val="000B2336"/>
    <w:rsid w:val="000B465C"/>
    <w:rsid w:val="000B792D"/>
    <w:rsid w:val="000B7DE2"/>
    <w:rsid w:val="000C02F6"/>
    <w:rsid w:val="000C1F65"/>
    <w:rsid w:val="000C2B68"/>
    <w:rsid w:val="000C2E9E"/>
    <w:rsid w:val="000C39D2"/>
    <w:rsid w:val="000C3D03"/>
    <w:rsid w:val="000C4852"/>
    <w:rsid w:val="000C627B"/>
    <w:rsid w:val="000C77D8"/>
    <w:rsid w:val="000C7E1A"/>
    <w:rsid w:val="000D1903"/>
    <w:rsid w:val="000D19B0"/>
    <w:rsid w:val="000D1A3C"/>
    <w:rsid w:val="000E098F"/>
    <w:rsid w:val="000E0A01"/>
    <w:rsid w:val="000E0F0E"/>
    <w:rsid w:val="000E1FB8"/>
    <w:rsid w:val="000E35E3"/>
    <w:rsid w:val="000E377C"/>
    <w:rsid w:val="000E3E8B"/>
    <w:rsid w:val="000E5287"/>
    <w:rsid w:val="000E664D"/>
    <w:rsid w:val="000E6BA6"/>
    <w:rsid w:val="000F098D"/>
    <w:rsid w:val="000F0C19"/>
    <w:rsid w:val="000F2165"/>
    <w:rsid w:val="000F2174"/>
    <w:rsid w:val="000F2DBB"/>
    <w:rsid w:val="000F2EEE"/>
    <w:rsid w:val="000F3079"/>
    <w:rsid w:val="000F344B"/>
    <w:rsid w:val="000F3823"/>
    <w:rsid w:val="000F3A9C"/>
    <w:rsid w:val="000F4524"/>
    <w:rsid w:val="000F4B02"/>
    <w:rsid w:val="000F4E66"/>
    <w:rsid w:val="000F4EF6"/>
    <w:rsid w:val="000F58C6"/>
    <w:rsid w:val="000F58F4"/>
    <w:rsid w:val="000F5BDB"/>
    <w:rsid w:val="000F6139"/>
    <w:rsid w:val="000F626D"/>
    <w:rsid w:val="000F6823"/>
    <w:rsid w:val="00100684"/>
    <w:rsid w:val="001009C1"/>
    <w:rsid w:val="00100F5F"/>
    <w:rsid w:val="001029E6"/>
    <w:rsid w:val="00103CDB"/>
    <w:rsid w:val="001059C9"/>
    <w:rsid w:val="0010656E"/>
    <w:rsid w:val="00106DF2"/>
    <w:rsid w:val="00110B26"/>
    <w:rsid w:val="00110FF3"/>
    <w:rsid w:val="001111AD"/>
    <w:rsid w:val="00113DC0"/>
    <w:rsid w:val="001154B0"/>
    <w:rsid w:val="0011588A"/>
    <w:rsid w:val="001164AF"/>
    <w:rsid w:val="00117571"/>
    <w:rsid w:val="00117C9F"/>
    <w:rsid w:val="00120A7B"/>
    <w:rsid w:val="00121CC5"/>
    <w:rsid w:val="00123AC1"/>
    <w:rsid w:val="0012412A"/>
    <w:rsid w:val="00124271"/>
    <w:rsid w:val="00124E3B"/>
    <w:rsid w:val="0012686A"/>
    <w:rsid w:val="00126871"/>
    <w:rsid w:val="00127CD0"/>
    <w:rsid w:val="00130BC2"/>
    <w:rsid w:val="001311FC"/>
    <w:rsid w:val="0013302A"/>
    <w:rsid w:val="00133D86"/>
    <w:rsid w:val="001345B6"/>
    <w:rsid w:val="00135A41"/>
    <w:rsid w:val="00137678"/>
    <w:rsid w:val="00141BEC"/>
    <w:rsid w:val="001434AA"/>
    <w:rsid w:val="00145B09"/>
    <w:rsid w:val="0014788D"/>
    <w:rsid w:val="00147C4A"/>
    <w:rsid w:val="00147D4C"/>
    <w:rsid w:val="00147D9D"/>
    <w:rsid w:val="00150630"/>
    <w:rsid w:val="00150CA3"/>
    <w:rsid w:val="00151197"/>
    <w:rsid w:val="001513EB"/>
    <w:rsid w:val="0015270C"/>
    <w:rsid w:val="00152755"/>
    <w:rsid w:val="001529C2"/>
    <w:rsid w:val="00152A74"/>
    <w:rsid w:val="00153A16"/>
    <w:rsid w:val="00153A6A"/>
    <w:rsid w:val="00153CD1"/>
    <w:rsid w:val="00153D09"/>
    <w:rsid w:val="00155466"/>
    <w:rsid w:val="001565F2"/>
    <w:rsid w:val="00156799"/>
    <w:rsid w:val="00160306"/>
    <w:rsid w:val="0016407E"/>
    <w:rsid w:val="00164CA4"/>
    <w:rsid w:val="00165FE3"/>
    <w:rsid w:val="001669C8"/>
    <w:rsid w:val="00166E15"/>
    <w:rsid w:val="00167695"/>
    <w:rsid w:val="00170C3B"/>
    <w:rsid w:val="00170DCB"/>
    <w:rsid w:val="001721EC"/>
    <w:rsid w:val="001763B0"/>
    <w:rsid w:val="001771D0"/>
    <w:rsid w:val="001807CA"/>
    <w:rsid w:val="00181893"/>
    <w:rsid w:val="00181D43"/>
    <w:rsid w:val="0018583D"/>
    <w:rsid w:val="00185B06"/>
    <w:rsid w:val="001872F4"/>
    <w:rsid w:val="001875FC"/>
    <w:rsid w:val="00191469"/>
    <w:rsid w:val="001922CB"/>
    <w:rsid w:val="0019345E"/>
    <w:rsid w:val="0019383A"/>
    <w:rsid w:val="00194662"/>
    <w:rsid w:val="00195C32"/>
    <w:rsid w:val="00197CAF"/>
    <w:rsid w:val="001A1911"/>
    <w:rsid w:val="001A3692"/>
    <w:rsid w:val="001A4F63"/>
    <w:rsid w:val="001A563D"/>
    <w:rsid w:val="001A571E"/>
    <w:rsid w:val="001A6C17"/>
    <w:rsid w:val="001A7AE5"/>
    <w:rsid w:val="001B0473"/>
    <w:rsid w:val="001B0E69"/>
    <w:rsid w:val="001B1F03"/>
    <w:rsid w:val="001B2F6F"/>
    <w:rsid w:val="001B3090"/>
    <w:rsid w:val="001B31CA"/>
    <w:rsid w:val="001B3D32"/>
    <w:rsid w:val="001B3E45"/>
    <w:rsid w:val="001B45FD"/>
    <w:rsid w:val="001C020B"/>
    <w:rsid w:val="001C105A"/>
    <w:rsid w:val="001C20AC"/>
    <w:rsid w:val="001C2549"/>
    <w:rsid w:val="001C3243"/>
    <w:rsid w:val="001C3C78"/>
    <w:rsid w:val="001C577A"/>
    <w:rsid w:val="001C5D7B"/>
    <w:rsid w:val="001C62E1"/>
    <w:rsid w:val="001C637C"/>
    <w:rsid w:val="001C7FED"/>
    <w:rsid w:val="001D00D0"/>
    <w:rsid w:val="001D2489"/>
    <w:rsid w:val="001D2DEF"/>
    <w:rsid w:val="001D345B"/>
    <w:rsid w:val="001D4C97"/>
    <w:rsid w:val="001D58D6"/>
    <w:rsid w:val="001D663F"/>
    <w:rsid w:val="001D6B4F"/>
    <w:rsid w:val="001D6F5B"/>
    <w:rsid w:val="001E04EA"/>
    <w:rsid w:val="001E0900"/>
    <w:rsid w:val="001E4AE1"/>
    <w:rsid w:val="001E4BA2"/>
    <w:rsid w:val="001E59E2"/>
    <w:rsid w:val="001E60AA"/>
    <w:rsid w:val="001E6C6E"/>
    <w:rsid w:val="001E7BEF"/>
    <w:rsid w:val="001E7FF3"/>
    <w:rsid w:val="001F0651"/>
    <w:rsid w:val="001F1906"/>
    <w:rsid w:val="001F1C59"/>
    <w:rsid w:val="001F3F20"/>
    <w:rsid w:val="001F4135"/>
    <w:rsid w:val="001F536A"/>
    <w:rsid w:val="001F5572"/>
    <w:rsid w:val="001F5A51"/>
    <w:rsid w:val="001F75AC"/>
    <w:rsid w:val="00200B71"/>
    <w:rsid w:val="00201113"/>
    <w:rsid w:val="00201302"/>
    <w:rsid w:val="002017C5"/>
    <w:rsid w:val="002019A5"/>
    <w:rsid w:val="0020268B"/>
    <w:rsid w:val="00203E93"/>
    <w:rsid w:val="00205F60"/>
    <w:rsid w:val="0020724C"/>
    <w:rsid w:val="0021325D"/>
    <w:rsid w:val="00214810"/>
    <w:rsid w:val="00214CA6"/>
    <w:rsid w:val="00215AB9"/>
    <w:rsid w:val="00215D4D"/>
    <w:rsid w:val="002179B7"/>
    <w:rsid w:val="0022007B"/>
    <w:rsid w:val="002207F6"/>
    <w:rsid w:val="00221CAF"/>
    <w:rsid w:val="00221D28"/>
    <w:rsid w:val="002229E1"/>
    <w:rsid w:val="0022396B"/>
    <w:rsid w:val="00225267"/>
    <w:rsid w:val="00225ADD"/>
    <w:rsid w:val="00226246"/>
    <w:rsid w:val="0022643A"/>
    <w:rsid w:val="00227B8A"/>
    <w:rsid w:val="00227E8E"/>
    <w:rsid w:val="0023015F"/>
    <w:rsid w:val="002323DB"/>
    <w:rsid w:val="002333C1"/>
    <w:rsid w:val="002334CD"/>
    <w:rsid w:val="00237463"/>
    <w:rsid w:val="002408B0"/>
    <w:rsid w:val="002409CB"/>
    <w:rsid w:val="00240D3A"/>
    <w:rsid w:val="0024314C"/>
    <w:rsid w:val="00243985"/>
    <w:rsid w:val="00243BC1"/>
    <w:rsid w:val="00244462"/>
    <w:rsid w:val="00247965"/>
    <w:rsid w:val="00247BCD"/>
    <w:rsid w:val="002501F5"/>
    <w:rsid w:val="00250E07"/>
    <w:rsid w:val="0025139A"/>
    <w:rsid w:val="00251EC5"/>
    <w:rsid w:val="00253320"/>
    <w:rsid w:val="00253A6F"/>
    <w:rsid w:val="00253D92"/>
    <w:rsid w:val="0025406B"/>
    <w:rsid w:val="00255E22"/>
    <w:rsid w:val="00256095"/>
    <w:rsid w:val="002562BC"/>
    <w:rsid w:val="002567B0"/>
    <w:rsid w:val="0025700B"/>
    <w:rsid w:val="00257AC0"/>
    <w:rsid w:val="00261434"/>
    <w:rsid w:val="002617C7"/>
    <w:rsid w:val="00262A58"/>
    <w:rsid w:val="00262C21"/>
    <w:rsid w:val="0026432E"/>
    <w:rsid w:val="00264B84"/>
    <w:rsid w:val="002666AC"/>
    <w:rsid w:val="00267EFE"/>
    <w:rsid w:val="00271DAB"/>
    <w:rsid w:val="00273FB3"/>
    <w:rsid w:val="00274E8C"/>
    <w:rsid w:val="00275A6D"/>
    <w:rsid w:val="00275B79"/>
    <w:rsid w:val="00276A7D"/>
    <w:rsid w:val="002772E9"/>
    <w:rsid w:val="002777FE"/>
    <w:rsid w:val="00280FB4"/>
    <w:rsid w:val="002817A0"/>
    <w:rsid w:val="00281946"/>
    <w:rsid w:val="0028248E"/>
    <w:rsid w:val="0028255D"/>
    <w:rsid w:val="00282B2F"/>
    <w:rsid w:val="00282B6C"/>
    <w:rsid w:val="002833B6"/>
    <w:rsid w:val="002843D0"/>
    <w:rsid w:val="002846D0"/>
    <w:rsid w:val="00284BE9"/>
    <w:rsid w:val="00285753"/>
    <w:rsid w:val="00286353"/>
    <w:rsid w:val="00286E37"/>
    <w:rsid w:val="002870CD"/>
    <w:rsid w:val="00290715"/>
    <w:rsid w:val="00290FFE"/>
    <w:rsid w:val="00292704"/>
    <w:rsid w:val="00293E45"/>
    <w:rsid w:val="00296000"/>
    <w:rsid w:val="00296930"/>
    <w:rsid w:val="002969CE"/>
    <w:rsid w:val="00297780"/>
    <w:rsid w:val="00297C2B"/>
    <w:rsid w:val="00297EF5"/>
    <w:rsid w:val="002A034C"/>
    <w:rsid w:val="002A0BCF"/>
    <w:rsid w:val="002A0FF7"/>
    <w:rsid w:val="002A1AF8"/>
    <w:rsid w:val="002A20F7"/>
    <w:rsid w:val="002A2A17"/>
    <w:rsid w:val="002A2EB2"/>
    <w:rsid w:val="002A30AA"/>
    <w:rsid w:val="002A3710"/>
    <w:rsid w:val="002A3E5A"/>
    <w:rsid w:val="002A5BD9"/>
    <w:rsid w:val="002A7BB7"/>
    <w:rsid w:val="002B03B4"/>
    <w:rsid w:val="002B15B5"/>
    <w:rsid w:val="002B1747"/>
    <w:rsid w:val="002B1CC9"/>
    <w:rsid w:val="002B2C18"/>
    <w:rsid w:val="002B40A7"/>
    <w:rsid w:val="002B4AC7"/>
    <w:rsid w:val="002B516B"/>
    <w:rsid w:val="002B6571"/>
    <w:rsid w:val="002B68AF"/>
    <w:rsid w:val="002B709B"/>
    <w:rsid w:val="002C07D1"/>
    <w:rsid w:val="002C0CCE"/>
    <w:rsid w:val="002C0D89"/>
    <w:rsid w:val="002C2D27"/>
    <w:rsid w:val="002C3E56"/>
    <w:rsid w:val="002C4E72"/>
    <w:rsid w:val="002C51E2"/>
    <w:rsid w:val="002C5BFC"/>
    <w:rsid w:val="002C6FAE"/>
    <w:rsid w:val="002D1C70"/>
    <w:rsid w:val="002D2336"/>
    <w:rsid w:val="002D2431"/>
    <w:rsid w:val="002D4A31"/>
    <w:rsid w:val="002D524C"/>
    <w:rsid w:val="002D761C"/>
    <w:rsid w:val="002D78E2"/>
    <w:rsid w:val="002D7CB8"/>
    <w:rsid w:val="002E0E93"/>
    <w:rsid w:val="002E29EA"/>
    <w:rsid w:val="002E2D7C"/>
    <w:rsid w:val="002E400B"/>
    <w:rsid w:val="002E6900"/>
    <w:rsid w:val="002F09F8"/>
    <w:rsid w:val="002F0EEC"/>
    <w:rsid w:val="002F1534"/>
    <w:rsid w:val="002F3F48"/>
    <w:rsid w:val="002F437F"/>
    <w:rsid w:val="002F5E46"/>
    <w:rsid w:val="002F65E1"/>
    <w:rsid w:val="0030077C"/>
    <w:rsid w:val="003007A4"/>
    <w:rsid w:val="0030101D"/>
    <w:rsid w:val="003015C5"/>
    <w:rsid w:val="00301B30"/>
    <w:rsid w:val="0030327A"/>
    <w:rsid w:val="00304467"/>
    <w:rsid w:val="00304E2E"/>
    <w:rsid w:val="003104B3"/>
    <w:rsid w:val="003137DC"/>
    <w:rsid w:val="003142B9"/>
    <w:rsid w:val="003170E4"/>
    <w:rsid w:val="00317AD1"/>
    <w:rsid w:val="003200D1"/>
    <w:rsid w:val="00320995"/>
    <w:rsid w:val="00320FC6"/>
    <w:rsid w:val="0032349C"/>
    <w:rsid w:val="003246B4"/>
    <w:rsid w:val="003248CF"/>
    <w:rsid w:val="0032665B"/>
    <w:rsid w:val="0032754A"/>
    <w:rsid w:val="0033051D"/>
    <w:rsid w:val="0033069E"/>
    <w:rsid w:val="0033080E"/>
    <w:rsid w:val="00330915"/>
    <w:rsid w:val="00330EE9"/>
    <w:rsid w:val="0033109E"/>
    <w:rsid w:val="00331A3F"/>
    <w:rsid w:val="0033253A"/>
    <w:rsid w:val="0033260F"/>
    <w:rsid w:val="00332816"/>
    <w:rsid w:val="00332B39"/>
    <w:rsid w:val="00333D24"/>
    <w:rsid w:val="00334FEB"/>
    <w:rsid w:val="003353E1"/>
    <w:rsid w:val="00335FB1"/>
    <w:rsid w:val="00336395"/>
    <w:rsid w:val="00337886"/>
    <w:rsid w:val="00337CD7"/>
    <w:rsid w:val="003408AF"/>
    <w:rsid w:val="003418D2"/>
    <w:rsid w:val="00342E7B"/>
    <w:rsid w:val="00343447"/>
    <w:rsid w:val="00343583"/>
    <w:rsid w:val="00344135"/>
    <w:rsid w:val="00346D6E"/>
    <w:rsid w:val="00347720"/>
    <w:rsid w:val="0035072E"/>
    <w:rsid w:val="003514ED"/>
    <w:rsid w:val="003516DE"/>
    <w:rsid w:val="003519F8"/>
    <w:rsid w:val="00352D75"/>
    <w:rsid w:val="003533A0"/>
    <w:rsid w:val="00353500"/>
    <w:rsid w:val="0035369E"/>
    <w:rsid w:val="00353FA6"/>
    <w:rsid w:val="00356FAA"/>
    <w:rsid w:val="00357B9C"/>
    <w:rsid w:val="00360383"/>
    <w:rsid w:val="00360BD6"/>
    <w:rsid w:val="00360E3F"/>
    <w:rsid w:val="00363BD9"/>
    <w:rsid w:val="00364B54"/>
    <w:rsid w:val="00365E9C"/>
    <w:rsid w:val="00366288"/>
    <w:rsid w:val="00366310"/>
    <w:rsid w:val="00366ED6"/>
    <w:rsid w:val="003677DE"/>
    <w:rsid w:val="00372B4C"/>
    <w:rsid w:val="00373BBC"/>
    <w:rsid w:val="003747D4"/>
    <w:rsid w:val="00375A75"/>
    <w:rsid w:val="00375F8D"/>
    <w:rsid w:val="00376CD7"/>
    <w:rsid w:val="003807D7"/>
    <w:rsid w:val="0038264E"/>
    <w:rsid w:val="003827A2"/>
    <w:rsid w:val="00383DC8"/>
    <w:rsid w:val="00385A0D"/>
    <w:rsid w:val="0038635C"/>
    <w:rsid w:val="00387C20"/>
    <w:rsid w:val="003902FB"/>
    <w:rsid w:val="00392793"/>
    <w:rsid w:val="00393CDF"/>
    <w:rsid w:val="003946A4"/>
    <w:rsid w:val="0039579D"/>
    <w:rsid w:val="00396480"/>
    <w:rsid w:val="003965D7"/>
    <w:rsid w:val="00397950"/>
    <w:rsid w:val="00397E5D"/>
    <w:rsid w:val="003A019D"/>
    <w:rsid w:val="003A0567"/>
    <w:rsid w:val="003A0765"/>
    <w:rsid w:val="003A16B2"/>
    <w:rsid w:val="003A3982"/>
    <w:rsid w:val="003A5479"/>
    <w:rsid w:val="003A5A36"/>
    <w:rsid w:val="003A61BB"/>
    <w:rsid w:val="003A6201"/>
    <w:rsid w:val="003A6448"/>
    <w:rsid w:val="003A76FD"/>
    <w:rsid w:val="003A7A6B"/>
    <w:rsid w:val="003A7FED"/>
    <w:rsid w:val="003B3DFE"/>
    <w:rsid w:val="003B3E37"/>
    <w:rsid w:val="003B405B"/>
    <w:rsid w:val="003B42E0"/>
    <w:rsid w:val="003B509D"/>
    <w:rsid w:val="003B6659"/>
    <w:rsid w:val="003B69AF"/>
    <w:rsid w:val="003B78FD"/>
    <w:rsid w:val="003B7A01"/>
    <w:rsid w:val="003C2B67"/>
    <w:rsid w:val="003C3701"/>
    <w:rsid w:val="003C3ED1"/>
    <w:rsid w:val="003C50EE"/>
    <w:rsid w:val="003C635C"/>
    <w:rsid w:val="003C6529"/>
    <w:rsid w:val="003C704F"/>
    <w:rsid w:val="003D0442"/>
    <w:rsid w:val="003D1349"/>
    <w:rsid w:val="003D2FBC"/>
    <w:rsid w:val="003D5B68"/>
    <w:rsid w:val="003D60E8"/>
    <w:rsid w:val="003E1544"/>
    <w:rsid w:val="003E1742"/>
    <w:rsid w:val="003E1947"/>
    <w:rsid w:val="003E20CF"/>
    <w:rsid w:val="003E373F"/>
    <w:rsid w:val="003E46AE"/>
    <w:rsid w:val="003E6A30"/>
    <w:rsid w:val="003E70FD"/>
    <w:rsid w:val="003E7202"/>
    <w:rsid w:val="003E7E4D"/>
    <w:rsid w:val="003F0606"/>
    <w:rsid w:val="003F0B9B"/>
    <w:rsid w:val="003F3133"/>
    <w:rsid w:val="003F3890"/>
    <w:rsid w:val="003F3B50"/>
    <w:rsid w:val="003F3D61"/>
    <w:rsid w:val="003F471A"/>
    <w:rsid w:val="003F6107"/>
    <w:rsid w:val="003F6324"/>
    <w:rsid w:val="00401A4E"/>
    <w:rsid w:val="00401B4F"/>
    <w:rsid w:val="00402599"/>
    <w:rsid w:val="00402B6F"/>
    <w:rsid w:val="00402DAC"/>
    <w:rsid w:val="004040BC"/>
    <w:rsid w:val="00406C24"/>
    <w:rsid w:val="00407691"/>
    <w:rsid w:val="00410565"/>
    <w:rsid w:val="00411712"/>
    <w:rsid w:val="00411FBC"/>
    <w:rsid w:val="0041203B"/>
    <w:rsid w:val="0041212F"/>
    <w:rsid w:val="0041231B"/>
    <w:rsid w:val="004128B0"/>
    <w:rsid w:val="00415733"/>
    <w:rsid w:val="00416C58"/>
    <w:rsid w:val="00417D1E"/>
    <w:rsid w:val="00420FFA"/>
    <w:rsid w:val="00421446"/>
    <w:rsid w:val="00424051"/>
    <w:rsid w:val="00424323"/>
    <w:rsid w:val="00425799"/>
    <w:rsid w:val="004268E2"/>
    <w:rsid w:val="00426E9A"/>
    <w:rsid w:val="00426F97"/>
    <w:rsid w:val="0043142D"/>
    <w:rsid w:val="004317E7"/>
    <w:rsid w:val="00432736"/>
    <w:rsid w:val="0043381E"/>
    <w:rsid w:val="00435B92"/>
    <w:rsid w:val="00436E43"/>
    <w:rsid w:val="00437AE7"/>
    <w:rsid w:val="00437BA0"/>
    <w:rsid w:val="00437C5D"/>
    <w:rsid w:val="004401E6"/>
    <w:rsid w:val="004419D5"/>
    <w:rsid w:val="00442011"/>
    <w:rsid w:val="004427CF"/>
    <w:rsid w:val="004455BA"/>
    <w:rsid w:val="004459F7"/>
    <w:rsid w:val="00445B35"/>
    <w:rsid w:val="00445C70"/>
    <w:rsid w:val="00446E1E"/>
    <w:rsid w:val="00447892"/>
    <w:rsid w:val="00447F55"/>
    <w:rsid w:val="00451B81"/>
    <w:rsid w:val="00451D9F"/>
    <w:rsid w:val="004522CB"/>
    <w:rsid w:val="00453AA2"/>
    <w:rsid w:val="00454315"/>
    <w:rsid w:val="0045656D"/>
    <w:rsid w:val="004614F7"/>
    <w:rsid w:val="0046476B"/>
    <w:rsid w:val="00465CDD"/>
    <w:rsid w:val="00465F11"/>
    <w:rsid w:val="00465F7C"/>
    <w:rsid w:val="00466070"/>
    <w:rsid w:val="0047069C"/>
    <w:rsid w:val="00471BD4"/>
    <w:rsid w:val="00471D17"/>
    <w:rsid w:val="00476676"/>
    <w:rsid w:val="00477B76"/>
    <w:rsid w:val="0048066D"/>
    <w:rsid w:val="00480CEB"/>
    <w:rsid w:val="00482B8A"/>
    <w:rsid w:val="00482E33"/>
    <w:rsid w:val="00483D89"/>
    <w:rsid w:val="00484733"/>
    <w:rsid w:val="004858DE"/>
    <w:rsid w:val="00486709"/>
    <w:rsid w:val="00487D32"/>
    <w:rsid w:val="00490D07"/>
    <w:rsid w:val="00491C58"/>
    <w:rsid w:val="004921D5"/>
    <w:rsid w:val="00493228"/>
    <w:rsid w:val="00493ED4"/>
    <w:rsid w:val="004957E9"/>
    <w:rsid w:val="00495868"/>
    <w:rsid w:val="00496F1D"/>
    <w:rsid w:val="004974F4"/>
    <w:rsid w:val="004A16A4"/>
    <w:rsid w:val="004A41E3"/>
    <w:rsid w:val="004A5616"/>
    <w:rsid w:val="004A5666"/>
    <w:rsid w:val="004A58D1"/>
    <w:rsid w:val="004A69D0"/>
    <w:rsid w:val="004A7634"/>
    <w:rsid w:val="004B0D20"/>
    <w:rsid w:val="004B1788"/>
    <w:rsid w:val="004B1AB5"/>
    <w:rsid w:val="004B2AB5"/>
    <w:rsid w:val="004B3154"/>
    <w:rsid w:val="004B4238"/>
    <w:rsid w:val="004C2B9D"/>
    <w:rsid w:val="004C349E"/>
    <w:rsid w:val="004C4436"/>
    <w:rsid w:val="004C581E"/>
    <w:rsid w:val="004C6485"/>
    <w:rsid w:val="004C6B74"/>
    <w:rsid w:val="004D04E2"/>
    <w:rsid w:val="004D07D7"/>
    <w:rsid w:val="004D0B93"/>
    <w:rsid w:val="004D11C3"/>
    <w:rsid w:val="004D179A"/>
    <w:rsid w:val="004D2B04"/>
    <w:rsid w:val="004D414B"/>
    <w:rsid w:val="004D7E88"/>
    <w:rsid w:val="004E012C"/>
    <w:rsid w:val="004E1DBE"/>
    <w:rsid w:val="004E2483"/>
    <w:rsid w:val="004E24CF"/>
    <w:rsid w:val="004E42A4"/>
    <w:rsid w:val="004E44EA"/>
    <w:rsid w:val="004E503B"/>
    <w:rsid w:val="004E5961"/>
    <w:rsid w:val="004E6DFD"/>
    <w:rsid w:val="004F01A1"/>
    <w:rsid w:val="004F045F"/>
    <w:rsid w:val="004F075F"/>
    <w:rsid w:val="004F10EF"/>
    <w:rsid w:val="004F240C"/>
    <w:rsid w:val="004F2539"/>
    <w:rsid w:val="004F28E9"/>
    <w:rsid w:val="004F43A8"/>
    <w:rsid w:val="004F54F7"/>
    <w:rsid w:val="004F68C4"/>
    <w:rsid w:val="004F76A3"/>
    <w:rsid w:val="00501811"/>
    <w:rsid w:val="0050337A"/>
    <w:rsid w:val="00504579"/>
    <w:rsid w:val="0050661D"/>
    <w:rsid w:val="00506BC8"/>
    <w:rsid w:val="00506C1E"/>
    <w:rsid w:val="00507CBE"/>
    <w:rsid w:val="00510770"/>
    <w:rsid w:val="005121D1"/>
    <w:rsid w:val="00512B60"/>
    <w:rsid w:val="005133B5"/>
    <w:rsid w:val="00514459"/>
    <w:rsid w:val="0051447F"/>
    <w:rsid w:val="00516174"/>
    <w:rsid w:val="005162B9"/>
    <w:rsid w:val="00516335"/>
    <w:rsid w:val="005168A7"/>
    <w:rsid w:val="0051783A"/>
    <w:rsid w:val="005208AE"/>
    <w:rsid w:val="00521943"/>
    <w:rsid w:val="0052229B"/>
    <w:rsid w:val="005232E3"/>
    <w:rsid w:val="00526866"/>
    <w:rsid w:val="005345BE"/>
    <w:rsid w:val="00535196"/>
    <w:rsid w:val="00535B57"/>
    <w:rsid w:val="00535FC6"/>
    <w:rsid w:val="00537FCA"/>
    <w:rsid w:val="00540A1F"/>
    <w:rsid w:val="00540E1E"/>
    <w:rsid w:val="00541053"/>
    <w:rsid w:val="00541FF6"/>
    <w:rsid w:val="005433CC"/>
    <w:rsid w:val="00543C68"/>
    <w:rsid w:val="00546269"/>
    <w:rsid w:val="00546EDD"/>
    <w:rsid w:val="00547212"/>
    <w:rsid w:val="00552ABB"/>
    <w:rsid w:val="00552EA0"/>
    <w:rsid w:val="0055353A"/>
    <w:rsid w:val="00553786"/>
    <w:rsid w:val="0055395D"/>
    <w:rsid w:val="00553ED4"/>
    <w:rsid w:val="00554097"/>
    <w:rsid w:val="00554174"/>
    <w:rsid w:val="005554D3"/>
    <w:rsid w:val="00555A69"/>
    <w:rsid w:val="00556102"/>
    <w:rsid w:val="0055730F"/>
    <w:rsid w:val="00560063"/>
    <w:rsid w:val="005600C6"/>
    <w:rsid w:val="00561FC9"/>
    <w:rsid w:val="00564CBC"/>
    <w:rsid w:val="0056504D"/>
    <w:rsid w:val="005654CF"/>
    <w:rsid w:val="005706CD"/>
    <w:rsid w:val="00570D9C"/>
    <w:rsid w:val="00570E72"/>
    <w:rsid w:val="00570EC0"/>
    <w:rsid w:val="00571862"/>
    <w:rsid w:val="00571CB9"/>
    <w:rsid w:val="00573577"/>
    <w:rsid w:val="00573A22"/>
    <w:rsid w:val="0057520F"/>
    <w:rsid w:val="005779C2"/>
    <w:rsid w:val="00580930"/>
    <w:rsid w:val="00580CF8"/>
    <w:rsid w:val="0058321A"/>
    <w:rsid w:val="00584671"/>
    <w:rsid w:val="005854F9"/>
    <w:rsid w:val="00585ECA"/>
    <w:rsid w:val="0058688D"/>
    <w:rsid w:val="00587EA1"/>
    <w:rsid w:val="00590E48"/>
    <w:rsid w:val="00591701"/>
    <w:rsid w:val="00591B49"/>
    <w:rsid w:val="0059391C"/>
    <w:rsid w:val="00594CC3"/>
    <w:rsid w:val="00596D1A"/>
    <w:rsid w:val="0059729D"/>
    <w:rsid w:val="00597D00"/>
    <w:rsid w:val="005A1166"/>
    <w:rsid w:val="005A16E9"/>
    <w:rsid w:val="005A171B"/>
    <w:rsid w:val="005A1749"/>
    <w:rsid w:val="005A1AE3"/>
    <w:rsid w:val="005A4568"/>
    <w:rsid w:val="005A6BC2"/>
    <w:rsid w:val="005A70A6"/>
    <w:rsid w:val="005A77B9"/>
    <w:rsid w:val="005B0456"/>
    <w:rsid w:val="005B0707"/>
    <w:rsid w:val="005B0BAC"/>
    <w:rsid w:val="005B174E"/>
    <w:rsid w:val="005B2D1A"/>
    <w:rsid w:val="005B403B"/>
    <w:rsid w:val="005B4BA6"/>
    <w:rsid w:val="005B5EA9"/>
    <w:rsid w:val="005B63F0"/>
    <w:rsid w:val="005B6506"/>
    <w:rsid w:val="005B6591"/>
    <w:rsid w:val="005C04B0"/>
    <w:rsid w:val="005C1540"/>
    <w:rsid w:val="005C18C3"/>
    <w:rsid w:val="005C1CF1"/>
    <w:rsid w:val="005C31A9"/>
    <w:rsid w:val="005C4CDC"/>
    <w:rsid w:val="005C61D7"/>
    <w:rsid w:val="005C6F27"/>
    <w:rsid w:val="005D054C"/>
    <w:rsid w:val="005D27B4"/>
    <w:rsid w:val="005D35A3"/>
    <w:rsid w:val="005D4050"/>
    <w:rsid w:val="005D419C"/>
    <w:rsid w:val="005D5E45"/>
    <w:rsid w:val="005D6BB5"/>
    <w:rsid w:val="005E2F8C"/>
    <w:rsid w:val="005E322A"/>
    <w:rsid w:val="005E3B8F"/>
    <w:rsid w:val="005E3F8F"/>
    <w:rsid w:val="005E420F"/>
    <w:rsid w:val="005E46DB"/>
    <w:rsid w:val="005E665B"/>
    <w:rsid w:val="005E699B"/>
    <w:rsid w:val="005F1C13"/>
    <w:rsid w:val="005F204A"/>
    <w:rsid w:val="005F2F76"/>
    <w:rsid w:val="005F33EE"/>
    <w:rsid w:val="005F3BA0"/>
    <w:rsid w:val="005F4C10"/>
    <w:rsid w:val="005F5414"/>
    <w:rsid w:val="005F59A7"/>
    <w:rsid w:val="005F5CBE"/>
    <w:rsid w:val="005F6E38"/>
    <w:rsid w:val="0060090A"/>
    <w:rsid w:val="00600D92"/>
    <w:rsid w:val="00600DB7"/>
    <w:rsid w:val="00601EA2"/>
    <w:rsid w:val="00602D99"/>
    <w:rsid w:val="00602DD5"/>
    <w:rsid w:val="006032DA"/>
    <w:rsid w:val="006037B8"/>
    <w:rsid w:val="00603F0D"/>
    <w:rsid w:val="00604EA4"/>
    <w:rsid w:val="0060511B"/>
    <w:rsid w:val="0060590D"/>
    <w:rsid w:val="00607E41"/>
    <w:rsid w:val="0061378B"/>
    <w:rsid w:val="00613888"/>
    <w:rsid w:val="00616808"/>
    <w:rsid w:val="006203C0"/>
    <w:rsid w:val="00620A28"/>
    <w:rsid w:val="00620A80"/>
    <w:rsid w:val="00621E59"/>
    <w:rsid w:val="00622772"/>
    <w:rsid w:val="0062285F"/>
    <w:rsid w:val="006234FF"/>
    <w:rsid w:val="00624FCF"/>
    <w:rsid w:val="00625A26"/>
    <w:rsid w:val="006260CE"/>
    <w:rsid w:val="006260F8"/>
    <w:rsid w:val="0063008E"/>
    <w:rsid w:val="00630818"/>
    <w:rsid w:val="0063242E"/>
    <w:rsid w:val="0063311F"/>
    <w:rsid w:val="00633456"/>
    <w:rsid w:val="0063383D"/>
    <w:rsid w:val="00633C40"/>
    <w:rsid w:val="00634861"/>
    <w:rsid w:val="00634A29"/>
    <w:rsid w:val="00634D33"/>
    <w:rsid w:val="00634E90"/>
    <w:rsid w:val="00635858"/>
    <w:rsid w:val="00635CB7"/>
    <w:rsid w:val="00636FAA"/>
    <w:rsid w:val="0063744B"/>
    <w:rsid w:val="00637601"/>
    <w:rsid w:val="00637824"/>
    <w:rsid w:val="00640F23"/>
    <w:rsid w:val="00641930"/>
    <w:rsid w:val="00641BC0"/>
    <w:rsid w:val="00643125"/>
    <w:rsid w:val="00647178"/>
    <w:rsid w:val="00647698"/>
    <w:rsid w:val="00647E4C"/>
    <w:rsid w:val="00647E9E"/>
    <w:rsid w:val="0065015C"/>
    <w:rsid w:val="00651357"/>
    <w:rsid w:val="00654941"/>
    <w:rsid w:val="006549FF"/>
    <w:rsid w:val="006554AB"/>
    <w:rsid w:val="00656A25"/>
    <w:rsid w:val="00657881"/>
    <w:rsid w:val="00657A98"/>
    <w:rsid w:val="0066094D"/>
    <w:rsid w:val="006627A7"/>
    <w:rsid w:val="0066438F"/>
    <w:rsid w:val="00665CA9"/>
    <w:rsid w:val="00666BD8"/>
    <w:rsid w:val="006671B2"/>
    <w:rsid w:val="006700EB"/>
    <w:rsid w:val="00670489"/>
    <w:rsid w:val="00671B9B"/>
    <w:rsid w:val="006726FB"/>
    <w:rsid w:val="0067272A"/>
    <w:rsid w:val="00672D5A"/>
    <w:rsid w:val="0067310C"/>
    <w:rsid w:val="00674080"/>
    <w:rsid w:val="006754D5"/>
    <w:rsid w:val="00675F54"/>
    <w:rsid w:val="00676DE9"/>
    <w:rsid w:val="006772FC"/>
    <w:rsid w:val="00680135"/>
    <w:rsid w:val="0068066B"/>
    <w:rsid w:val="00681037"/>
    <w:rsid w:val="006819DE"/>
    <w:rsid w:val="00682641"/>
    <w:rsid w:val="006832EE"/>
    <w:rsid w:val="00683475"/>
    <w:rsid w:val="00683D44"/>
    <w:rsid w:val="00683E9C"/>
    <w:rsid w:val="00684B1A"/>
    <w:rsid w:val="0068626B"/>
    <w:rsid w:val="00687E1E"/>
    <w:rsid w:val="00690DED"/>
    <w:rsid w:val="0069142C"/>
    <w:rsid w:val="00692771"/>
    <w:rsid w:val="006939A2"/>
    <w:rsid w:val="00694022"/>
    <w:rsid w:val="00694ED0"/>
    <w:rsid w:val="00695726"/>
    <w:rsid w:val="006962D7"/>
    <w:rsid w:val="006A091F"/>
    <w:rsid w:val="006A3270"/>
    <w:rsid w:val="006A4D7D"/>
    <w:rsid w:val="006A5DC7"/>
    <w:rsid w:val="006A63C1"/>
    <w:rsid w:val="006A654F"/>
    <w:rsid w:val="006A6A56"/>
    <w:rsid w:val="006A7843"/>
    <w:rsid w:val="006A78F5"/>
    <w:rsid w:val="006B0DB1"/>
    <w:rsid w:val="006B11A7"/>
    <w:rsid w:val="006B1CF6"/>
    <w:rsid w:val="006B1F33"/>
    <w:rsid w:val="006B276F"/>
    <w:rsid w:val="006B5712"/>
    <w:rsid w:val="006B59B3"/>
    <w:rsid w:val="006B5F1F"/>
    <w:rsid w:val="006B62B1"/>
    <w:rsid w:val="006B72FC"/>
    <w:rsid w:val="006B797F"/>
    <w:rsid w:val="006C09B8"/>
    <w:rsid w:val="006C1052"/>
    <w:rsid w:val="006C2C62"/>
    <w:rsid w:val="006C319B"/>
    <w:rsid w:val="006C34CB"/>
    <w:rsid w:val="006C4687"/>
    <w:rsid w:val="006C5C78"/>
    <w:rsid w:val="006C61E6"/>
    <w:rsid w:val="006C7548"/>
    <w:rsid w:val="006C78AD"/>
    <w:rsid w:val="006D14C1"/>
    <w:rsid w:val="006D14EC"/>
    <w:rsid w:val="006D15B1"/>
    <w:rsid w:val="006D1E8A"/>
    <w:rsid w:val="006D3905"/>
    <w:rsid w:val="006D3D1D"/>
    <w:rsid w:val="006D3F3A"/>
    <w:rsid w:val="006D56D4"/>
    <w:rsid w:val="006D709B"/>
    <w:rsid w:val="006D7950"/>
    <w:rsid w:val="006D797C"/>
    <w:rsid w:val="006E0668"/>
    <w:rsid w:val="006E0FB2"/>
    <w:rsid w:val="006E3C9A"/>
    <w:rsid w:val="006E4225"/>
    <w:rsid w:val="006E4752"/>
    <w:rsid w:val="006E4BA1"/>
    <w:rsid w:val="006E6710"/>
    <w:rsid w:val="006E6A4C"/>
    <w:rsid w:val="006E6C49"/>
    <w:rsid w:val="006E746C"/>
    <w:rsid w:val="006F4323"/>
    <w:rsid w:val="006F5B75"/>
    <w:rsid w:val="006F7F16"/>
    <w:rsid w:val="00700FFC"/>
    <w:rsid w:val="007014EB"/>
    <w:rsid w:val="00701859"/>
    <w:rsid w:val="00701FA5"/>
    <w:rsid w:val="0070263D"/>
    <w:rsid w:val="00702F23"/>
    <w:rsid w:val="0070326F"/>
    <w:rsid w:val="00703F83"/>
    <w:rsid w:val="007056D7"/>
    <w:rsid w:val="00705EB0"/>
    <w:rsid w:val="00706C26"/>
    <w:rsid w:val="00706DFA"/>
    <w:rsid w:val="00706EC1"/>
    <w:rsid w:val="00707768"/>
    <w:rsid w:val="00710653"/>
    <w:rsid w:val="00710759"/>
    <w:rsid w:val="00712178"/>
    <w:rsid w:val="0071239E"/>
    <w:rsid w:val="00712606"/>
    <w:rsid w:val="007133D1"/>
    <w:rsid w:val="00714ABF"/>
    <w:rsid w:val="00716363"/>
    <w:rsid w:val="00717115"/>
    <w:rsid w:val="0072046F"/>
    <w:rsid w:val="007207EC"/>
    <w:rsid w:val="007224DE"/>
    <w:rsid w:val="007226BD"/>
    <w:rsid w:val="007234E6"/>
    <w:rsid w:val="0072594D"/>
    <w:rsid w:val="00726DA5"/>
    <w:rsid w:val="00730428"/>
    <w:rsid w:val="00731B12"/>
    <w:rsid w:val="00731D6D"/>
    <w:rsid w:val="00732258"/>
    <w:rsid w:val="00733A7D"/>
    <w:rsid w:val="007344D3"/>
    <w:rsid w:val="00735B26"/>
    <w:rsid w:val="0073669C"/>
    <w:rsid w:val="0073677A"/>
    <w:rsid w:val="007371D7"/>
    <w:rsid w:val="0073771D"/>
    <w:rsid w:val="007402BF"/>
    <w:rsid w:val="007405CD"/>
    <w:rsid w:val="007408FD"/>
    <w:rsid w:val="00740E08"/>
    <w:rsid w:val="007414B7"/>
    <w:rsid w:val="00741671"/>
    <w:rsid w:val="00741E18"/>
    <w:rsid w:val="00745155"/>
    <w:rsid w:val="00745FDB"/>
    <w:rsid w:val="00746511"/>
    <w:rsid w:val="00750797"/>
    <w:rsid w:val="007509E8"/>
    <w:rsid w:val="0075187E"/>
    <w:rsid w:val="00752269"/>
    <w:rsid w:val="00752480"/>
    <w:rsid w:val="00752ED0"/>
    <w:rsid w:val="0075313B"/>
    <w:rsid w:val="00753930"/>
    <w:rsid w:val="00753B92"/>
    <w:rsid w:val="0075418A"/>
    <w:rsid w:val="00756CCA"/>
    <w:rsid w:val="00757B6D"/>
    <w:rsid w:val="00757D92"/>
    <w:rsid w:val="0076152D"/>
    <w:rsid w:val="00761FB9"/>
    <w:rsid w:val="007632A8"/>
    <w:rsid w:val="007635F6"/>
    <w:rsid w:val="00764320"/>
    <w:rsid w:val="00764F27"/>
    <w:rsid w:val="00765210"/>
    <w:rsid w:val="00765F03"/>
    <w:rsid w:val="00765F9E"/>
    <w:rsid w:val="00766973"/>
    <w:rsid w:val="0076715E"/>
    <w:rsid w:val="007745E5"/>
    <w:rsid w:val="0077482E"/>
    <w:rsid w:val="0077501D"/>
    <w:rsid w:val="00775636"/>
    <w:rsid w:val="00776892"/>
    <w:rsid w:val="00776FDA"/>
    <w:rsid w:val="00781213"/>
    <w:rsid w:val="00781411"/>
    <w:rsid w:val="00781690"/>
    <w:rsid w:val="00782980"/>
    <w:rsid w:val="00783043"/>
    <w:rsid w:val="0078393B"/>
    <w:rsid w:val="007849F9"/>
    <w:rsid w:val="00784ACD"/>
    <w:rsid w:val="00784C5B"/>
    <w:rsid w:val="0078589A"/>
    <w:rsid w:val="00785D74"/>
    <w:rsid w:val="0078790B"/>
    <w:rsid w:val="00787E95"/>
    <w:rsid w:val="00791E51"/>
    <w:rsid w:val="007928DE"/>
    <w:rsid w:val="00792CE3"/>
    <w:rsid w:val="007938EA"/>
    <w:rsid w:val="00793AD5"/>
    <w:rsid w:val="00795A24"/>
    <w:rsid w:val="00795AC2"/>
    <w:rsid w:val="00795D4C"/>
    <w:rsid w:val="00796FE4"/>
    <w:rsid w:val="007A03CF"/>
    <w:rsid w:val="007A0AE0"/>
    <w:rsid w:val="007A0C8E"/>
    <w:rsid w:val="007A0ED1"/>
    <w:rsid w:val="007A385B"/>
    <w:rsid w:val="007A42AA"/>
    <w:rsid w:val="007A4335"/>
    <w:rsid w:val="007A5035"/>
    <w:rsid w:val="007A6C47"/>
    <w:rsid w:val="007B02E8"/>
    <w:rsid w:val="007B49B6"/>
    <w:rsid w:val="007B6782"/>
    <w:rsid w:val="007B6957"/>
    <w:rsid w:val="007B7581"/>
    <w:rsid w:val="007B7A7A"/>
    <w:rsid w:val="007C06C1"/>
    <w:rsid w:val="007C070F"/>
    <w:rsid w:val="007C1AF4"/>
    <w:rsid w:val="007C29E7"/>
    <w:rsid w:val="007C4B87"/>
    <w:rsid w:val="007C56ED"/>
    <w:rsid w:val="007C60BE"/>
    <w:rsid w:val="007C60F0"/>
    <w:rsid w:val="007D0947"/>
    <w:rsid w:val="007D0B3A"/>
    <w:rsid w:val="007D20BA"/>
    <w:rsid w:val="007D5851"/>
    <w:rsid w:val="007D64F5"/>
    <w:rsid w:val="007D6A4B"/>
    <w:rsid w:val="007D6FBB"/>
    <w:rsid w:val="007D71D0"/>
    <w:rsid w:val="007D7F76"/>
    <w:rsid w:val="007D7FF3"/>
    <w:rsid w:val="007E0534"/>
    <w:rsid w:val="007E0753"/>
    <w:rsid w:val="007E26E2"/>
    <w:rsid w:val="007E3865"/>
    <w:rsid w:val="007E3C27"/>
    <w:rsid w:val="007E429C"/>
    <w:rsid w:val="007E49E1"/>
    <w:rsid w:val="007E744F"/>
    <w:rsid w:val="007E7F70"/>
    <w:rsid w:val="007F17DD"/>
    <w:rsid w:val="007F1C6F"/>
    <w:rsid w:val="007F25B0"/>
    <w:rsid w:val="007F276A"/>
    <w:rsid w:val="007F4DC9"/>
    <w:rsid w:val="007F706B"/>
    <w:rsid w:val="007F79AC"/>
    <w:rsid w:val="008003F4"/>
    <w:rsid w:val="00800589"/>
    <w:rsid w:val="008011EA"/>
    <w:rsid w:val="0080152B"/>
    <w:rsid w:val="00802223"/>
    <w:rsid w:val="0080224E"/>
    <w:rsid w:val="00802793"/>
    <w:rsid w:val="008029D0"/>
    <w:rsid w:val="00804BE0"/>
    <w:rsid w:val="0080519A"/>
    <w:rsid w:val="00805ED6"/>
    <w:rsid w:val="00806538"/>
    <w:rsid w:val="00806C45"/>
    <w:rsid w:val="00806D1E"/>
    <w:rsid w:val="00810151"/>
    <w:rsid w:val="008102A6"/>
    <w:rsid w:val="0081109E"/>
    <w:rsid w:val="00811498"/>
    <w:rsid w:val="00811534"/>
    <w:rsid w:val="00811A5B"/>
    <w:rsid w:val="008124F4"/>
    <w:rsid w:val="008157EC"/>
    <w:rsid w:val="0081608B"/>
    <w:rsid w:val="00816811"/>
    <w:rsid w:val="00816CE0"/>
    <w:rsid w:val="008203CF"/>
    <w:rsid w:val="008205E9"/>
    <w:rsid w:val="00821304"/>
    <w:rsid w:val="00823286"/>
    <w:rsid w:val="0082334C"/>
    <w:rsid w:val="00823B5C"/>
    <w:rsid w:val="008259DF"/>
    <w:rsid w:val="00825F4A"/>
    <w:rsid w:val="00826CA7"/>
    <w:rsid w:val="008271D6"/>
    <w:rsid w:val="00827430"/>
    <w:rsid w:val="008276D2"/>
    <w:rsid w:val="00830CAF"/>
    <w:rsid w:val="00831529"/>
    <w:rsid w:val="00833019"/>
    <w:rsid w:val="008336DD"/>
    <w:rsid w:val="00834875"/>
    <w:rsid w:val="008352A7"/>
    <w:rsid w:val="00836421"/>
    <w:rsid w:val="00836F18"/>
    <w:rsid w:val="00837129"/>
    <w:rsid w:val="008372A1"/>
    <w:rsid w:val="00837B3D"/>
    <w:rsid w:val="008433DF"/>
    <w:rsid w:val="008442F5"/>
    <w:rsid w:val="0084438E"/>
    <w:rsid w:val="00844992"/>
    <w:rsid w:val="0084555C"/>
    <w:rsid w:val="008472D0"/>
    <w:rsid w:val="0085064A"/>
    <w:rsid w:val="00850BF8"/>
    <w:rsid w:val="00851C99"/>
    <w:rsid w:val="00851FD3"/>
    <w:rsid w:val="00852341"/>
    <w:rsid w:val="00852D66"/>
    <w:rsid w:val="00852E1C"/>
    <w:rsid w:val="00855A34"/>
    <w:rsid w:val="0085630A"/>
    <w:rsid w:val="0085641F"/>
    <w:rsid w:val="008613BF"/>
    <w:rsid w:val="00861A3A"/>
    <w:rsid w:val="00861E51"/>
    <w:rsid w:val="0086276F"/>
    <w:rsid w:val="00862E13"/>
    <w:rsid w:val="00863349"/>
    <w:rsid w:val="00863DAF"/>
    <w:rsid w:val="0086487A"/>
    <w:rsid w:val="00864B11"/>
    <w:rsid w:val="00864B81"/>
    <w:rsid w:val="0086689F"/>
    <w:rsid w:val="0087310F"/>
    <w:rsid w:val="00873693"/>
    <w:rsid w:val="00873CD3"/>
    <w:rsid w:val="00874319"/>
    <w:rsid w:val="00874D24"/>
    <w:rsid w:val="00875335"/>
    <w:rsid w:val="008760E1"/>
    <w:rsid w:val="00877C59"/>
    <w:rsid w:val="008801BA"/>
    <w:rsid w:val="008806D4"/>
    <w:rsid w:val="0088093C"/>
    <w:rsid w:val="00880A4E"/>
    <w:rsid w:val="00881B0F"/>
    <w:rsid w:val="00881B5D"/>
    <w:rsid w:val="0088398F"/>
    <w:rsid w:val="00883CEC"/>
    <w:rsid w:val="008849C6"/>
    <w:rsid w:val="00886B9B"/>
    <w:rsid w:val="00887950"/>
    <w:rsid w:val="00887955"/>
    <w:rsid w:val="008906EA"/>
    <w:rsid w:val="00890CDB"/>
    <w:rsid w:val="00891CF0"/>
    <w:rsid w:val="00891FDB"/>
    <w:rsid w:val="008920E3"/>
    <w:rsid w:val="00893041"/>
    <w:rsid w:val="00895031"/>
    <w:rsid w:val="00895E8A"/>
    <w:rsid w:val="00897D5C"/>
    <w:rsid w:val="008A053A"/>
    <w:rsid w:val="008A13D2"/>
    <w:rsid w:val="008A1623"/>
    <w:rsid w:val="008A3ED4"/>
    <w:rsid w:val="008A4555"/>
    <w:rsid w:val="008A5B6E"/>
    <w:rsid w:val="008A6029"/>
    <w:rsid w:val="008A6FC2"/>
    <w:rsid w:val="008A7F18"/>
    <w:rsid w:val="008B07CC"/>
    <w:rsid w:val="008B0DBE"/>
    <w:rsid w:val="008B156A"/>
    <w:rsid w:val="008B1576"/>
    <w:rsid w:val="008B25C0"/>
    <w:rsid w:val="008B272B"/>
    <w:rsid w:val="008B3BC9"/>
    <w:rsid w:val="008B462F"/>
    <w:rsid w:val="008B6ED2"/>
    <w:rsid w:val="008C034F"/>
    <w:rsid w:val="008C0421"/>
    <w:rsid w:val="008C130F"/>
    <w:rsid w:val="008C4022"/>
    <w:rsid w:val="008C55B9"/>
    <w:rsid w:val="008D00A2"/>
    <w:rsid w:val="008D00B7"/>
    <w:rsid w:val="008D046B"/>
    <w:rsid w:val="008D04A2"/>
    <w:rsid w:val="008D1C72"/>
    <w:rsid w:val="008D360C"/>
    <w:rsid w:val="008D479D"/>
    <w:rsid w:val="008D5CBB"/>
    <w:rsid w:val="008D6ABE"/>
    <w:rsid w:val="008E02C4"/>
    <w:rsid w:val="008E0A2E"/>
    <w:rsid w:val="008E1B77"/>
    <w:rsid w:val="008E2F9B"/>
    <w:rsid w:val="008E3170"/>
    <w:rsid w:val="008E33C0"/>
    <w:rsid w:val="008E3C50"/>
    <w:rsid w:val="008E4920"/>
    <w:rsid w:val="008E5F12"/>
    <w:rsid w:val="008E5F49"/>
    <w:rsid w:val="008F0D41"/>
    <w:rsid w:val="008F11D8"/>
    <w:rsid w:val="008F52E0"/>
    <w:rsid w:val="008F6392"/>
    <w:rsid w:val="008F6ADC"/>
    <w:rsid w:val="008F6EE5"/>
    <w:rsid w:val="008F758D"/>
    <w:rsid w:val="009004AA"/>
    <w:rsid w:val="00900647"/>
    <w:rsid w:val="00900F7A"/>
    <w:rsid w:val="009013F5"/>
    <w:rsid w:val="00902A76"/>
    <w:rsid w:val="00904623"/>
    <w:rsid w:val="009049C8"/>
    <w:rsid w:val="0090625E"/>
    <w:rsid w:val="0090788B"/>
    <w:rsid w:val="009117F0"/>
    <w:rsid w:val="0091193B"/>
    <w:rsid w:val="00912B3D"/>
    <w:rsid w:val="0091317C"/>
    <w:rsid w:val="00913433"/>
    <w:rsid w:val="00913F76"/>
    <w:rsid w:val="0091421D"/>
    <w:rsid w:val="009143F7"/>
    <w:rsid w:val="00915DDC"/>
    <w:rsid w:val="009160D7"/>
    <w:rsid w:val="00920723"/>
    <w:rsid w:val="00920C04"/>
    <w:rsid w:val="0092240B"/>
    <w:rsid w:val="00922908"/>
    <w:rsid w:val="00922BEA"/>
    <w:rsid w:val="00923797"/>
    <w:rsid w:val="00927DBB"/>
    <w:rsid w:val="00930445"/>
    <w:rsid w:val="009311CE"/>
    <w:rsid w:val="00932222"/>
    <w:rsid w:val="00932C70"/>
    <w:rsid w:val="00932DC8"/>
    <w:rsid w:val="00932DE9"/>
    <w:rsid w:val="00934232"/>
    <w:rsid w:val="00934D58"/>
    <w:rsid w:val="00934EB1"/>
    <w:rsid w:val="00934FDB"/>
    <w:rsid w:val="009352A6"/>
    <w:rsid w:val="009358D9"/>
    <w:rsid w:val="00935F05"/>
    <w:rsid w:val="00937073"/>
    <w:rsid w:val="009411B9"/>
    <w:rsid w:val="00944DC6"/>
    <w:rsid w:val="009468BF"/>
    <w:rsid w:val="00947005"/>
    <w:rsid w:val="0094759D"/>
    <w:rsid w:val="009476DE"/>
    <w:rsid w:val="00954096"/>
    <w:rsid w:val="00955101"/>
    <w:rsid w:val="009552BF"/>
    <w:rsid w:val="009557B6"/>
    <w:rsid w:val="0095597C"/>
    <w:rsid w:val="009566AB"/>
    <w:rsid w:val="00956744"/>
    <w:rsid w:val="00957131"/>
    <w:rsid w:val="00960B97"/>
    <w:rsid w:val="00962ADE"/>
    <w:rsid w:val="00963062"/>
    <w:rsid w:val="00963506"/>
    <w:rsid w:val="00963963"/>
    <w:rsid w:val="009642A3"/>
    <w:rsid w:val="00967118"/>
    <w:rsid w:val="00967931"/>
    <w:rsid w:val="0097094C"/>
    <w:rsid w:val="00972CE0"/>
    <w:rsid w:val="009731D6"/>
    <w:rsid w:val="0097356D"/>
    <w:rsid w:val="009735D2"/>
    <w:rsid w:val="009736D7"/>
    <w:rsid w:val="00974333"/>
    <w:rsid w:val="009743DE"/>
    <w:rsid w:val="0097633E"/>
    <w:rsid w:val="0097686A"/>
    <w:rsid w:val="009772F1"/>
    <w:rsid w:val="009801CE"/>
    <w:rsid w:val="00981726"/>
    <w:rsid w:val="00981943"/>
    <w:rsid w:val="00982EFE"/>
    <w:rsid w:val="00984EDD"/>
    <w:rsid w:val="0098612C"/>
    <w:rsid w:val="009864DF"/>
    <w:rsid w:val="0098686E"/>
    <w:rsid w:val="00986907"/>
    <w:rsid w:val="00990BF0"/>
    <w:rsid w:val="00994A9A"/>
    <w:rsid w:val="00995D4D"/>
    <w:rsid w:val="00995E92"/>
    <w:rsid w:val="00996AAC"/>
    <w:rsid w:val="009970F9"/>
    <w:rsid w:val="0099780E"/>
    <w:rsid w:val="009A03A3"/>
    <w:rsid w:val="009A4935"/>
    <w:rsid w:val="009A4E27"/>
    <w:rsid w:val="009A5625"/>
    <w:rsid w:val="009A6A61"/>
    <w:rsid w:val="009B19B4"/>
    <w:rsid w:val="009B1E6D"/>
    <w:rsid w:val="009B30B8"/>
    <w:rsid w:val="009B4696"/>
    <w:rsid w:val="009B614A"/>
    <w:rsid w:val="009B6BCE"/>
    <w:rsid w:val="009B7610"/>
    <w:rsid w:val="009C35E1"/>
    <w:rsid w:val="009C3ACD"/>
    <w:rsid w:val="009C5224"/>
    <w:rsid w:val="009C5D54"/>
    <w:rsid w:val="009C63CD"/>
    <w:rsid w:val="009C76B8"/>
    <w:rsid w:val="009D0597"/>
    <w:rsid w:val="009D16A8"/>
    <w:rsid w:val="009D2A8F"/>
    <w:rsid w:val="009D3F59"/>
    <w:rsid w:val="009D4CB6"/>
    <w:rsid w:val="009D6000"/>
    <w:rsid w:val="009D71D0"/>
    <w:rsid w:val="009D7291"/>
    <w:rsid w:val="009D7F09"/>
    <w:rsid w:val="009E0380"/>
    <w:rsid w:val="009E11AD"/>
    <w:rsid w:val="009E216E"/>
    <w:rsid w:val="009E250E"/>
    <w:rsid w:val="009E2B8F"/>
    <w:rsid w:val="009E38A0"/>
    <w:rsid w:val="009E3F27"/>
    <w:rsid w:val="009E40CD"/>
    <w:rsid w:val="009E5144"/>
    <w:rsid w:val="009E7854"/>
    <w:rsid w:val="009F2B81"/>
    <w:rsid w:val="009F3412"/>
    <w:rsid w:val="009F399F"/>
    <w:rsid w:val="009F41E5"/>
    <w:rsid w:val="009F4B84"/>
    <w:rsid w:val="009F5B76"/>
    <w:rsid w:val="009F5E85"/>
    <w:rsid w:val="009F62BD"/>
    <w:rsid w:val="009F667A"/>
    <w:rsid w:val="009F68EE"/>
    <w:rsid w:val="00A0269F"/>
    <w:rsid w:val="00A029B0"/>
    <w:rsid w:val="00A02F0F"/>
    <w:rsid w:val="00A0555E"/>
    <w:rsid w:val="00A0603A"/>
    <w:rsid w:val="00A077C5"/>
    <w:rsid w:val="00A07E9F"/>
    <w:rsid w:val="00A108FA"/>
    <w:rsid w:val="00A109FF"/>
    <w:rsid w:val="00A1275A"/>
    <w:rsid w:val="00A13DED"/>
    <w:rsid w:val="00A15467"/>
    <w:rsid w:val="00A15859"/>
    <w:rsid w:val="00A16706"/>
    <w:rsid w:val="00A167A3"/>
    <w:rsid w:val="00A16E45"/>
    <w:rsid w:val="00A171F5"/>
    <w:rsid w:val="00A208C7"/>
    <w:rsid w:val="00A220A2"/>
    <w:rsid w:val="00A23AB7"/>
    <w:rsid w:val="00A24EC6"/>
    <w:rsid w:val="00A255E0"/>
    <w:rsid w:val="00A25D98"/>
    <w:rsid w:val="00A30D22"/>
    <w:rsid w:val="00A32571"/>
    <w:rsid w:val="00A35C44"/>
    <w:rsid w:val="00A35F46"/>
    <w:rsid w:val="00A35FEB"/>
    <w:rsid w:val="00A36AC4"/>
    <w:rsid w:val="00A37F08"/>
    <w:rsid w:val="00A40F4A"/>
    <w:rsid w:val="00A41855"/>
    <w:rsid w:val="00A42474"/>
    <w:rsid w:val="00A43113"/>
    <w:rsid w:val="00A43A56"/>
    <w:rsid w:val="00A469B1"/>
    <w:rsid w:val="00A46BAE"/>
    <w:rsid w:val="00A47406"/>
    <w:rsid w:val="00A474ED"/>
    <w:rsid w:val="00A47AD1"/>
    <w:rsid w:val="00A502C7"/>
    <w:rsid w:val="00A5101E"/>
    <w:rsid w:val="00A518E4"/>
    <w:rsid w:val="00A54E3C"/>
    <w:rsid w:val="00A55D34"/>
    <w:rsid w:val="00A56331"/>
    <w:rsid w:val="00A56429"/>
    <w:rsid w:val="00A5693F"/>
    <w:rsid w:val="00A57BB5"/>
    <w:rsid w:val="00A6108A"/>
    <w:rsid w:val="00A62654"/>
    <w:rsid w:val="00A630C4"/>
    <w:rsid w:val="00A63499"/>
    <w:rsid w:val="00A6698E"/>
    <w:rsid w:val="00A66C44"/>
    <w:rsid w:val="00A702A0"/>
    <w:rsid w:val="00A70D62"/>
    <w:rsid w:val="00A7204F"/>
    <w:rsid w:val="00A728B6"/>
    <w:rsid w:val="00A748D2"/>
    <w:rsid w:val="00A76340"/>
    <w:rsid w:val="00A766C3"/>
    <w:rsid w:val="00A769FE"/>
    <w:rsid w:val="00A7717F"/>
    <w:rsid w:val="00A77BAE"/>
    <w:rsid w:val="00A80990"/>
    <w:rsid w:val="00A80E75"/>
    <w:rsid w:val="00A81DF9"/>
    <w:rsid w:val="00A83BC7"/>
    <w:rsid w:val="00A84238"/>
    <w:rsid w:val="00A861EE"/>
    <w:rsid w:val="00A8751B"/>
    <w:rsid w:val="00A875A2"/>
    <w:rsid w:val="00A90D25"/>
    <w:rsid w:val="00A93235"/>
    <w:rsid w:val="00A96347"/>
    <w:rsid w:val="00A97E9A"/>
    <w:rsid w:val="00AA3A64"/>
    <w:rsid w:val="00AA6479"/>
    <w:rsid w:val="00AB14A9"/>
    <w:rsid w:val="00AB2AB5"/>
    <w:rsid w:val="00AB337B"/>
    <w:rsid w:val="00AB4000"/>
    <w:rsid w:val="00AB6B96"/>
    <w:rsid w:val="00AB7470"/>
    <w:rsid w:val="00AB7AA7"/>
    <w:rsid w:val="00AC0E4C"/>
    <w:rsid w:val="00AC11C4"/>
    <w:rsid w:val="00AC133B"/>
    <w:rsid w:val="00AC1564"/>
    <w:rsid w:val="00AC227D"/>
    <w:rsid w:val="00AC2CDC"/>
    <w:rsid w:val="00AC590D"/>
    <w:rsid w:val="00AC5D5D"/>
    <w:rsid w:val="00AC6E35"/>
    <w:rsid w:val="00AC7BD2"/>
    <w:rsid w:val="00AD0245"/>
    <w:rsid w:val="00AD04F0"/>
    <w:rsid w:val="00AD1581"/>
    <w:rsid w:val="00AD1DE8"/>
    <w:rsid w:val="00AD24B4"/>
    <w:rsid w:val="00AD2734"/>
    <w:rsid w:val="00AD2D06"/>
    <w:rsid w:val="00AD3520"/>
    <w:rsid w:val="00AD3BBC"/>
    <w:rsid w:val="00AD6253"/>
    <w:rsid w:val="00AD6310"/>
    <w:rsid w:val="00AD7F41"/>
    <w:rsid w:val="00AE1D91"/>
    <w:rsid w:val="00AE3992"/>
    <w:rsid w:val="00AE56D3"/>
    <w:rsid w:val="00AE5BE3"/>
    <w:rsid w:val="00AE6CAB"/>
    <w:rsid w:val="00AE6EDE"/>
    <w:rsid w:val="00AE70BF"/>
    <w:rsid w:val="00AE77DF"/>
    <w:rsid w:val="00AF009B"/>
    <w:rsid w:val="00AF18E4"/>
    <w:rsid w:val="00AF219E"/>
    <w:rsid w:val="00AF2696"/>
    <w:rsid w:val="00AF2AD8"/>
    <w:rsid w:val="00AF38E9"/>
    <w:rsid w:val="00AF3A97"/>
    <w:rsid w:val="00AF3D23"/>
    <w:rsid w:val="00AF4FDD"/>
    <w:rsid w:val="00AF608F"/>
    <w:rsid w:val="00AF6F59"/>
    <w:rsid w:val="00B0053A"/>
    <w:rsid w:val="00B006B9"/>
    <w:rsid w:val="00B00D1B"/>
    <w:rsid w:val="00B00EE7"/>
    <w:rsid w:val="00B01140"/>
    <w:rsid w:val="00B02045"/>
    <w:rsid w:val="00B04931"/>
    <w:rsid w:val="00B051F8"/>
    <w:rsid w:val="00B0667C"/>
    <w:rsid w:val="00B06B06"/>
    <w:rsid w:val="00B07984"/>
    <w:rsid w:val="00B107CE"/>
    <w:rsid w:val="00B118EB"/>
    <w:rsid w:val="00B126F7"/>
    <w:rsid w:val="00B13DF4"/>
    <w:rsid w:val="00B15A48"/>
    <w:rsid w:val="00B15CA4"/>
    <w:rsid w:val="00B16DBE"/>
    <w:rsid w:val="00B17B0D"/>
    <w:rsid w:val="00B20715"/>
    <w:rsid w:val="00B21427"/>
    <w:rsid w:val="00B22CD8"/>
    <w:rsid w:val="00B22E62"/>
    <w:rsid w:val="00B24A34"/>
    <w:rsid w:val="00B25BB7"/>
    <w:rsid w:val="00B26AF9"/>
    <w:rsid w:val="00B26CC0"/>
    <w:rsid w:val="00B26E58"/>
    <w:rsid w:val="00B30DF0"/>
    <w:rsid w:val="00B315FB"/>
    <w:rsid w:val="00B33824"/>
    <w:rsid w:val="00B341BA"/>
    <w:rsid w:val="00B342BA"/>
    <w:rsid w:val="00B342FA"/>
    <w:rsid w:val="00B37006"/>
    <w:rsid w:val="00B40C36"/>
    <w:rsid w:val="00B42732"/>
    <w:rsid w:val="00B43126"/>
    <w:rsid w:val="00B43723"/>
    <w:rsid w:val="00B45322"/>
    <w:rsid w:val="00B4661E"/>
    <w:rsid w:val="00B46C01"/>
    <w:rsid w:val="00B5065C"/>
    <w:rsid w:val="00B516D4"/>
    <w:rsid w:val="00B51B91"/>
    <w:rsid w:val="00B52274"/>
    <w:rsid w:val="00B54DE5"/>
    <w:rsid w:val="00B554CA"/>
    <w:rsid w:val="00B556DA"/>
    <w:rsid w:val="00B561AB"/>
    <w:rsid w:val="00B56359"/>
    <w:rsid w:val="00B56B85"/>
    <w:rsid w:val="00B56E8B"/>
    <w:rsid w:val="00B60541"/>
    <w:rsid w:val="00B6066B"/>
    <w:rsid w:val="00B61A7B"/>
    <w:rsid w:val="00B63D00"/>
    <w:rsid w:val="00B646F2"/>
    <w:rsid w:val="00B64F5F"/>
    <w:rsid w:val="00B677AF"/>
    <w:rsid w:val="00B70836"/>
    <w:rsid w:val="00B71B3B"/>
    <w:rsid w:val="00B724A6"/>
    <w:rsid w:val="00B72AEA"/>
    <w:rsid w:val="00B73D63"/>
    <w:rsid w:val="00B740DB"/>
    <w:rsid w:val="00B75C2D"/>
    <w:rsid w:val="00B76378"/>
    <w:rsid w:val="00B76523"/>
    <w:rsid w:val="00B779A3"/>
    <w:rsid w:val="00B77B9A"/>
    <w:rsid w:val="00B77DF3"/>
    <w:rsid w:val="00B8145D"/>
    <w:rsid w:val="00B821C4"/>
    <w:rsid w:val="00B82347"/>
    <w:rsid w:val="00B826A6"/>
    <w:rsid w:val="00B83A29"/>
    <w:rsid w:val="00B83BD6"/>
    <w:rsid w:val="00B84E01"/>
    <w:rsid w:val="00B8757A"/>
    <w:rsid w:val="00B939FD"/>
    <w:rsid w:val="00B952DD"/>
    <w:rsid w:val="00B9593D"/>
    <w:rsid w:val="00B96024"/>
    <w:rsid w:val="00B96E45"/>
    <w:rsid w:val="00B9729F"/>
    <w:rsid w:val="00B97F8A"/>
    <w:rsid w:val="00BA006E"/>
    <w:rsid w:val="00BA110C"/>
    <w:rsid w:val="00BA3DFB"/>
    <w:rsid w:val="00BA4DAF"/>
    <w:rsid w:val="00BA53AB"/>
    <w:rsid w:val="00BA5875"/>
    <w:rsid w:val="00BA59FB"/>
    <w:rsid w:val="00BA746F"/>
    <w:rsid w:val="00BA7ADC"/>
    <w:rsid w:val="00BB15C0"/>
    <w:rsid w:val="00BB1AB3"/>
    <w:rsid w:val="00BB3511"/>
    <w:rsid w:val="00BB3653"/>
    <w:rsid w:val="00BB3D1F"/>
    <w:rsid w:val="00BB50EF"/>
    <w:rsid w:val="00BB547C"/>
    <w:rsid w:val="00BB5CDE"/>
    <w:rsid w:val="00BB663A"/>
    <w:rsid w:val="00BC03A0"/>
    <w:rsid w:val="00BC0901"/>
    <w:rsid w:val="00BC0BE9"/>
    <w:rsid w:val="00BC278D"/>
    <w:rsid w:val="00BC2F60"/>
    <w:rsid w:val="00BC3DF7"/>
    <w:rsid w:val="00BC3FF0"/>
    <w:rsid w:val="00BC4E3A"/>
    <w:rsid w:val="00BC55E1"/>
    <w:rsid w:val="00BC5879"/>
    <w:rsid w:val="00BC5E68"/>
    <w:rsid w:val="00BC5FA2"/>
    <w:rsid w:val="00BC726E"/>
    <w:rsid w:val="00BD0140"/>
    <w:rsid w:val="00BD19BF"/>
    <w:rsid w:val="00BD444B"/>
    <w:rsid w:val="00BD45A1"/>
    <w:rsid w:val="00BD4933"/>
    <w:rsid w:val="00BD5EE3"/>
    <w:rsid w:val="00BD7907"/>
    <w:rsid w:val="00BE0730"/>
    <w:rsid w:val="00BE1986"/>
    <w:rsid w:val="00BE211C"/>
    <w:rsid w:val="00BE3047"/>
    <w:rsid w:val="00BE38C9"/>
    <w:rsid w:val="00BE42FB"/>
    <w:rsid w:val="00BE5756"/>
    <w:rsid w:val="00BE6F02"/>
    <w:rsid w:val="00BF2D5C"/>
    <w:rsid w:val="00BF3C85"/>
    <w:rsid w:val="00BF425F"/>
    <w:rsid w:val="00BF668F"/>
    <w:rsid w:val="00C03C87"/>
    <w:rsid w:val="00C04A80"/>
    <w:rsid w:val="00C05571"/>
    <w:rsid w:val="00C05A72"/>
    <w:rsid w:val="00C07480"/>
    <w:rsid w:val="00C07E3A"/>
    <w:rsid w:val="00C10DF4"/>
    <w:rsid w:val="00C1119D"/>
    <w:rsid w:val="00C11BC3"/>
    <w:rsid w:val="00C11BEE"/>
    <w:rsid w:val="00C12446"/>
    <w:rsid w:val="00C134C5"/>
    <w:rsid w:val="00C13584"/>
    <w:rsid w:val="00C139EE"/>
    <w:rsid w:val="00C13CE0"/>
    <w:rsid w:val="00C145D4"/>
    <w:rsid w:val="00C16FF4"/>
    <w:rsid w:val="00C20CEA"/>
    <w:rsid w:val="00C217A5"/>
    <w:rsid w:val="00C22B4F"/>
    <w:rsid w:val="00C23BAD"/>
    <w:rsid w:val="00C24526"/>
    <w:rsid w:val="00C24702"/>
    <w:rsid w:val="00C247B9"/>
    <w:rsid w:val="00C24833"/>
    <w:rsid w:val="00C256EE"/>
    <w:rsid w:val="00C25700"/>
    <w:rsid w:val="00C26927"/>
    <w:rsid w:val="00C27899"/>
    <w:rsid w:val="00C300AC"/>
    <w:rsid w:val="00C31FD3"/>
    <w:rsid w:val="00C324DA"/>
    <w:rsid w:val="00C34488"/>
    <w:rsid w:val="00C402B6"/>
    <w:rsid w:val="00C4087E"/>
    <w:rsid w:val="00C40F41"/>
    <w:rsid w:val="00C430F8"/>
    <w:rsid w:val="00C439E9"/>
    <w:rsid w:val="00C4424F"/>
    <w:rsid w:val="00C46B02"/>
    <w:rsid w:val="00C47A39"/>
    <w:rsid w:val="00C47D70"/>
    <w:rsid w:val="00C50235"/>
    <w:rsid w:val="00C52B39"/>
    <w:rsid w:val="00C53C26"/>
    <w:rsid w:val="00C547B7"/>
    <w:rsid w:val="00C54B6B"/>
    <w:rsid w:val="00C55C55"/>
    <w:rsid w:val="00C55E58"/>
    <w:rsid w:val="00C56346"/>
    <w:rsid w:val="00C57013"/>
    <w:rsid w:val="00C5739B"/>
    <w:rsid w:val="00C57F58"/>
    <w:rsid w:val="00C62DCD"/>
    <w:rsid w:val="00C63540"/>
    <w:rsid w:val="00C63AB1"/>
    <w:rsid w:val="00C64010"/>
    <w:rsid w:val="00C64242"/>
    <w:rsid w:val="00C64815"/>
    <w:rsid w:val="00C6550C"/>
    <w:rsid w:val="00C66182"/>
    <w:rsid w:val="00C6630B"/>
    <w:rsid w:val="00C6664A"/>
    <w:rsid w:val="00C675B7"/>
    <w:rsid w:val="00C676E5"/>
    <w:rsid w:val="00C70D01"/>
    <w:rsid w:val="00C7112A"/>
    <w:rsid w:val="00C71718"/>
    <w:rsid w:val="00C71904"/>
    <w:rsid w:val="00C720DE"/>
    <w:rsid w:val="00C72546"/>
    <w:rsid w:val="00C73688"/>
    <w:rsid w:val="00C746A5"/>
    <w:rsid w:val="00C74745"/>
    <w:rsid w:val="00C75573"/>
    <w:rsid w:val="00C75704"/>
    <w:rsid w:val="00C7574E"/>
    <w:rsid w:val="00C75ADD"/>
    <w:rsid w:val="00C81010"/>
    <w:rsid w:val="00C819A6"/>
    <w:rsid w:val="00C81A01"/>
    <w:rsid w:val="00C82085"/>
    <w:rsid w:val="00C823F2"/>
    <w:rsid w:val="00C8347C"/>
    <w:rsid w:val="00C8383F"/>
    <w:rsid w:val="00C839DC"/>
    <w:rsid w:val="00C842FE"/>
    <w:rsid w:val="00C8641D"/>
    <w:rsid w:val="00C866C6"/>
    <w:rsid w:val="00C86A89"/>
    <w:rsid w:val="00C86F65"/>
    <w:rsid w:val="00C9093D"/>
    <w:rsid w:val="00C91F21"/>
    <w:rsid w:val="00C93A4E"/>
    <w:rsid w:val="00C94A7B"/>
    <w:rsid w:val="00C95A9C"/>
    <w:rsid w:val="00CA2B69"/>
    <w:rsid w:val="00CA332A"/>
    <w:rsid w:val="00CA3591"/>
    <w:rsid w:val="00CA3A94"/>
    <w:rsid w:val="00CA3E00"/>
    <w:rsid w:val="00CA684F"/>
    <w:rsid w:val="00CB218A"/>
    <w:rsid w:val="00CB2CC0"/>
    <w:rsid w:val="00CB2DFD"/>
    <w:rsid w:val="00CB344D"/>
    <w:rsid w:val="00CB514A"/>
    <w:rsid w:val="00CB73B5"/>
    <w:rsid w:val="00CB76EF"/>
    <w:rsid w:val="00CC046B"/>
    <w:rsid w:val="00CC0931"/>
    <w:rsid w:val="00CC22A7"/>
    <w:rsid w:val="00CC31E2"/>
    <w:rsid w:val="00CC4AA6"/>
    <w:rsid w:val="00CC5170"/>
    <w:rsid w:val="00CC5EDE"/>
    <w:rsid w:val="00CC6182"/>
    <w:rsid w:val="00CC6DD5"/>
    <w:rsid w:val="00CD0F83"/>
    <w:rsid w:val="00CD24EB"/>
    <w:rsid w:val="00CD3235"/>
    <w:rsid w:val="00CD451A"/>
    <w:rsid w:val="00CD52B2"/>
    <w:rsid w:val="00CD554B"/>
    <w:rsid w:val="00CD5B8F"/>
    <w:rsid w:val="00CD6E99"/>
    <w:rsid w:val="00CE05C9"/>
    <w:rsid w:val="00CE0ED0"/>
    <w:rsid w:val="00CE1DA5"/>
    <w:rsid w:val="00CE2C2E"/>
    <w:rsid w:val="00CE3183"/>
    <w:rsid w:val="00CE35FC"/>
    <w:rsid w:val="00CE47AB"/>
    <w:rsid w:val="00CE4DB8"/>
    <w:rsid w:val="00CE539F"/>
    <w:rsid w:val="00CE55D8"/>
    <w:rsid w:val="00CE5783"/>
    <w:rsid w:val="00CE5E93"/>
    <w:rsid w:val="00CE61F4"/>
    <w:rsid w:val="00CF0592"/>
    <w:rsid w:val="00CF15BC"/>
    <w:rsid w:val="00CF15F2"/>
    <w:rsid w:val="00CF16D6"/>
    <w:rsid w:val="00CF199B"/>
    <w:rsid w:val="00CF277D"/>
    <w:rsid w:val="00CF3B96"/>
    <w:rsid w:val="00CF59C9"/>
    <w:rsid w:val="00CF5E5C"/>
    <w:rsid w:val="00D03123"/>
    <w:rsid w:val="00D033EA"/>
    <w:rsid w:val="00D037DA"/>
    <w:rsid w:val="00D03987"/>
    <w:rsid w:val="00D03DA8"/>
    <w:rsid w:val="00D04B94"/>
    <w:rsid w:val="00D04CB7"/>
    <w:rsid w:val="00D06043"/>
    <w:rsid w:val="00D12D8B"/>
    <w:rsid w:val="00D136E5"/>
    <w:rsid w:val="00D148F1"/>
    <w:rsid w:val="00D149E0"/>
    <w:rsid w:val="00D15962"/>
    <w:rsid w:val="00D15F89"/>
    <w:rsid w:val="00D16F8F"/>
    <w:rsid w:val="00D172DA"/>
    <w:rsid w:val="00D1781A"/>
    <w:rsid w:val="00D17D37"/>
    <w:rsid w:val="00D21943"/>
    <w:rsid w:val="00D22F72"/>
    <w:rsid w:val="00D231D5"/>
    <w:rsid w:val="00D2493A"/>
    <w:rsid w:val="00D24A86"/>
    <w:rsid w:val="00D24E76"/>
    <w:rsid w:val="00D24F4A"/>
    <w:rsid w:val="00D272C3"/>
    <w:rsid w:val="00D27520"/>
    <w:rsid w:val="00D27F0C"/>
    <w:rsid w:val="00D31565"/>
    <w:rsid w:val="00D31645"/>
    <w:rsid w:val="00D32165"/>
    <w:rsid w:val="00D3443F"/>
    <w:rsid w:val="00D34687"/>
    <w:rsid w:val="00D34911"/>
    <w:rsid w:val="00D36541"/>
    <w:rsid w:val="00D366F4"/>
    <w:rsid w:val="00D36D40"/>
    <w:rsid w:val="00D37962"/>
    <w:rsid w:val="00D40EDC"/>
    <w:rsid w:val="00D410EF"/>
    <w:rsid w:val="00D4270C"/>
    <w:rsid w:val="00D42972"/>
    <w:rsid w:val="00D450F3"/>
    <w:rsid w:val="00D45610"/>
    <w:rsid w:val="00D45E85"/>
    <w:rsid w:val="00D46012"/>
    <w:rsid w:val="00D46484"/>
    <w:rsid w:val="00D46F34"/>
    <w:rsid w:val="00D507B7"/>
    <w:rsid w:val="00D51093"/>
    <w:rsid w:val="00D5168B"/>
    <w:rsid w:val="00D51A51"/>
    <w:rsid w:val="00D52894"/>
    <w:rsid w:val="00D54C4A"/>
    <w:rsid w:val="00D5574D"/>
    <w:rsid w:val="00D56236"/>
    <w:rsid w:val="00D563AE"/>
    <w:rsid w:val="00D57DB7"/>
    <w:rsid w:val="00D60FAC"/>
    <w:rsid w:val="00D61312"/>
    <w:rsid w:val="00D61D31"/>
    <w:rsid w:val="00D6265D"/>
    <w:rsid w:val="00D63A1D"/>
    <w:rsid w:val="00D649CF"/>
    <w:rsid w:val="00D64FB1"/>
    <w:rsid w:val="00D6637C"/>
    <w:rsid w:val="00D70B3A"/>
    <w:rsid w:val="00D71850"/>
    <w:rsid w:val="00D731EE"/>
    <w:rsid w:val="00D734D0"/>
    <w:rsid w:val="00D74513"/>
    <w:rsid w:val="00D74B98"/>
    <w:rsid w:val="00D761C2"/>
    <w:rsid w:val="00D764BC"/>
    <w:rsid w:val="00D769B4"/>
    <w:rsid w:val="00D76BDD"/>
    <w:rsid w:val="00D81068"/>
    <w:rsid w:val="00D811F9"/>
    <w:rsid w:val="00D8128D"/>
    <w:rsid w:val="00D82A41"/>
    <w:rsid w:val="00D83134"/>
    <w:rsid w:val="00D840B6"/>
    <w:rsid w:val="00D840BE"/>
    <w:rsid w:val="00D8525F"/>
    <w:rsid w:val="00D856C9"/>
    <w:rsid w:val="00D85E50"/>
    <w:rsid w:val="00D87829"/>
    <w:rsid w:val="00D90C06"/>
    <w:rsid w:val="00D91250"/>
    <w:rsid w:val="00D92E24"/>
    <w:rsid w:val="00D93FAE"/>
    <w:rsid w:val="00D94043"/>
    <w:rsid w:val="00D95AA6"/>
    <w:rsid w:val="00D95BBB"/>
    <w:rsid w:val="00D95DA2"/>
    <w:rsid w:val="00D9634B"/>
    <w:rsid w:val="00D974BE"/>
    <w:rsid w:val="00DA051D"/>
    <w:rsid w:val="00DA0556"/>
    <w:rsid w:val="00DA0E91"/>
    <w:rsid w:val="00DA2ED0"/>
    <w:rsid w:val="00DA5FF8"/>
    <w:rsid w:val="00DA63A1"/>
    <w:rsid w:val="00DA6755"/>
    <w:rsid w:val="00DA6AE3"/>
    <w:rsid w:val="00DA6D39"/>
    <w:rsid w:val="00DA72A4"/>
    <w:rsid w:val="00DB0086"/>
    <w:rsid w:val="00DB05C0"/>
    <w:rsid w:val="00DB0846"/>
    <w:rsid w:val="00DB1945"/>
    <w:rsid w:val="00DB1A45"/>
    <w:rsid w:val="00DB39CD"/>
    <w:rsid w:val="00DB42A5"/>
    <w:rsid w:val="00DB4CA5"/>
    <w:rsid w:val="00DB5579"/>
    <w:rsid w:val="00DB582C"/>
    <w:rsid w:val="00DB7514"/>
    <w:rsid w:val="00DB7B99"/>
    <w:rsid w:val="00DC0526"/>
    <w:rsid w:val="00DC05CD"/>
    <w:rsid w:val="00DC15AA"/>
    <w:rsid w:val="00DC16A9"/>
    <w:rsid w:val="00DC1B4A"/>
    <w:rsid w:val="00DC26F3"/>
    <w:rsid w:val="00DC2833"/>
    <w:rsid w:val="00DC3031"/>
    <w:rsid w:val="00DC53B9"/>
    <w:rsid w:val="00DC54D4"/>
    <w:rsid w:val="00DC5D39"/>
    <w:rsid w:val="00DC6DA6"/>
    <w:rsid w:val="00DC6F1D"/>
    <w:rsid w:val="00DC72BA"/>
    <w:rsid w:val="00DC7749"/>
    <w:rsid w:val="00DC790A"/>
    <w:rsid w:val="00DC7C03"/>
    <w:rsid w:val="00DD012A"/>
    <w:rsid w:val="00DD0630"/>
    <w:rsid w:val="00DD2540"/>
    <w:rsid w:val="00DD2DF9"/>
    <w:rsid w:val="00DD61C1"/>
    <w:rsid w:val="00DD65CD"/>
    <w:rsid w:val="00DE0A1B"/>
    <w:rsid w:val="00DE109D"/>
    <w:rsid w:val="00DE1D00"/>
    <w:rsid w:val="00DE2114"/>
    <w:rsid w:val="00DE2151"/>
    <w:rsid w:val="00DE2A5D"/>
    <w:rsid w:val="00DE5966"/>
    <w:rsid w:val="00DE7D85"/>
    <w:rsid w:val="00DF053D"/>
    <w:rsid w:val="00DF1E1E"/>
    <w:rsid w:val="00DF45F7"/>
    <w:rsid w:val="00DF5B27"/>
    <w:rsid w:val="00DF5E62"/>
    <w:rsid w:val="00DF62EB"/>
    <w:rsid w:val="00E00BB5"/>
    <w:rsid w:val="00E02523"/>
    <w:rsid w:val="00E02546"/>
    <w:rsid w:val="00E026BA"/>
    <w:rsid w:val="00E03417"/>
    <w:rsid w:val="00E03B14"/>
    <w:rsid w:val="00E04368"/>
    <w:rsid w:val="00E044E3"/>
    <w:rsid w:val="00E047B3"/>
    <w:rsid w:val="00E04897"/>
    <w:rsid w:val="00E060F9"/>
    <w:rsid w:val="00E075B9"/>
    <w:rsid w:val="00E105AC"/>
    <w:rsid w:val="00E112D0"/>
    <w:rsid w:val="00E1258A"/>
    <w:rsid w:val="00E12D6F"/>
    <w:rsid w:val="00E130B4"/>
    <w:rsid w:val="00E13BAE"/>
    <w:rsid w:val="00E13CF8"/>
    <w:rsid w:val="00E13E4E"/>
    <w:rsid w:val="00E13F06"/>
    <w:rsid w:val="00E14465"/>
    <w:rsid w:val="00E14935"/>
    <w:rsid w:val="00E21913"/>
    <w:rsid w:val="00E2231A"/>
    <w:rsid w:val="00E22407"/>
    <w:rsid w:val="00E23031"/>
    <w:rsid w:val="00E23901"/>
    <w:rsid w:val="00E2498C"/>
    <w:rsid w:val="00E24FF2"/>
    <w:rsid w:val="00E30523"/>
    <w:rsid w:val="00E3076A"/>
    <w:rsid w:val="00E3141A"/>
    <w:rsid w:val="00E31B7A"/>
    <w:rsid w:val="00E3267C"/>
    <w:rsid w:val="00E33385"/>
    <w:rsid w:val="00E3347D"/>
    <w:rsid w:val="00E34219"/>
    <w:rsid w:val="00E34981"/>
    <w:rsid w:val="00E3525D"/>
    <w:rsid w:val="00E35902"/>
    <w:rsid w:val="00E36A82"/>
    <w:rsid w:val="00E36E68"/>
    <w:rsid w:val="00E37B9D"/>
    <w:rsid w:val="00E40D18"/>
    <w:rsid w:val="00E43AD4"/>
    <w:rsid w:val="00E44494"/>
    <w:rsid w:val="00E44E7C"/>
    <w:rsid w:val="00E4525B"/>
    <w:rsid w:val="00E476A3"/>
    <w:rsid w:val="00E47FCC"/>
    <w:rsid w:val="00E51172"/>
    <w:rsid w:val="00E51AD3"/>
    <w:rsid w:val="00E51E14"/>
    <w:rsid w:val="00E528A5"/>
    <w:rsid w:val="00E55C6C"/>
    <w:rsid w:val="00E56D4D"/>
    <w:rsid w:val="00E60005"/>
    <w:rsid w:val="00E601B8"/>
    <w:rsid w:val="00E60F0A"/>
    <w:rsid w:val="00E663FB"/>
    <w:rsid w:val="00E6700A"/>
    <w:rsid w:val="00E71FF3"/>
    <w:rsid w:val="00E73423"/>
    <w:rsid w:val="00E73754"/>
    <w:rsid w:val="00E73DC0"/>
    <w:rsid w:val="00E74672"/>
    <w:rsid w:val="00E74E8C"/>
    <w:rsid w:val="00E75E13"/>
    <w:rsid w:val="00E76521"/>
    <w:rsid w:val="00E7663C"/>
    <w:rsid w:val="00E772D4"/>
    <w:rsid w:val="00E77F4C"/>
    <w:rsid w:val="00E80493"/>
    <w:rsid w:val="00E806C6"/>
    <w:rsid w:val="00E8208F"/>
    <w:rsid w:val="00E82255"/>
    <w:rsid w:val="00E82757"/>
    <w:rsid w:val="00E85DE8"/>
    <w:rsid w:val="00E85E6C"/>
    <w:rsid w:val="00E912F1"/>
    <w:rsid w:val="00E91320"/>
    <w:rsid w:val="00E919C6"/>
    <w:rsid w:val="00E924E8"/>
    <w:rsid w:val="00E96EB7"/>
    <w:rsid w:val="00EA0E02"/>
    <w:rsid w:val="00EA1C8E"/>
    <w:rsid w:val="00EA2950"/>
    <w:rsid w:val="00EA2CD4"/>
    <w:rsid w:val="00EA30F0"/>
    <w:rsid w:val="00EA39AF"/>
    <w:rsid w:val="00EA439C"/>
    <w:rsid w:val="00EA6802"/>
    <w:rsid w:val="00EA69AA"/>
    <w:rsid w:val="00EA6A11"/>
    <w:rsid w:val="00EA6C77"/>
    <w:rsid w:val="00EA7EC3"/>
    <w:rsid w:val="00EB02B4"/>
    <w:rsid w:val="00EB12CA"/>
    <w:rsid w:val="00EB22F0"/>
    <w:rsid w:val="00EB259D"/>
    <w:rsid w:val="00EB2B2D"/>
    <w:rsid w:val="00EB2E83"/>
    <w:rsid w:val="00EB40ED"/>
    <w:rsid w:val="00EB422B"/>
    <w:rsid w:val="00EB56CD"/>
    <w:rsid w:val="00EB5EB0"/>
    <w:rsid w:val="00EB671E"/>
    <w:rsid w:val="00EB7131"/>
    <w:rsid w:val="00EB75F1"/>
    <w:rsid w:val="00EC0627"/>
    <w:rsid w:val="00EC08E6"/>
    <w:rsid w:val="00EC0BC9"/>
    <w:rsid w:val="00EC10D0"/>
    <w:rsid w:val="00EC3ABB"/>
    <w:rsid w:val="00EC3AD3"/>
    <w:rsid w:val="00EC4DE6"/>
    <w:rsid w:val="00EC5F94"/>
    <w:rsid w:val="00EC61CF"/>
    <w:rsid w:val="00EC7B38"/>
    <w:rsid w:val="00EC7BDB"/>
    <w:rsid w:val="00EC7C78"/>
    <w:rsid w:val="00ED00C4"/>
    <w:rsid w:val="00ED224C"/>
    <w:rsid w:val="00ED2B5D"/>
    <w:rsid w:val="00ED4501"/>
    <w:rsid w:val="00ED48C9"/>
    <w:rsid w:val="00ED6D16"/>
    <w:rsid w:val="00ED7773"/>
    <w:rsid w:val="00ED7950"/>
    <w:rsid w:val="00EE1978"/>
    <w:rsid w:val="00EE2014"/>
    <w:rsid w:val="00EE2781"/>
    <w:rsid w:val="00EE2CDE"/>
    <w:rsid w:val="00EE3A25"/>
    <w:rsid w:val="00EE3A3D"/>
    <w:rsid w:val="00EE3DD7"/>
    <w:rsid w:val="00EE5CCC"/>
    <w:rsid w:val="00EE72DF"/>
    <w:rsid w:val="00EE7B1A"/>
    <w:rsid w:val="00EF18CB"/>
    <w:rsid w:val="00EF23AF"/>
    <w:rsid w:val="00EF25F7"/>
    <w:rsid w:val="00EF2E9C"/>
    <w:rsid w:val="00EF3C31"/>
    <w:rsid w:val="00EF5927"/>
    <w:rsid w:val="00EF6176"/>
    <w:rsid w:val="00EF7D8F"/>
    <w:rsid w:val="00F00043"/>
    <w:rsid w:val="00F0032C"/>
    <w:rsid w:val="00F00C33"/>
    <w:rsid w:val="00F01184"/>
    <w:rsid w:val="00F01234"/>
    <w:rsid w:val="00F02424"/>
    <w:rsid w:val="00F02C9B"/>
    <w:rsid w:val="00F03A18"/>
    <w:rsid w:val="00F044F5"/>
    <w:rsid w:val="00F0497A"/>
    <w:rsid w:val="00F04BD6"/>
    <w:rsid w:val="00F04E2B"/>
    <w:rsid w:val="00F053DC"/>
    <w:rsid w:val="00F05948"/>
    <w:rsid w:val="00F07324"/>
    <w:rsid w:val="00F102AD"/>
    <w:rsid w:val="00F1092C"/>
    <w:rsid w:val="00F10A55"/>
    <w:rsid w:val="00F1179A"/>
    <w:rsid w:val="00F1180A"/>
    <w:rsid w:val="00F120C8"/>
    <w:rsid w:val="00F123CA"/>
    <w:rsid w:val="00F12549"/>
    <w:rsid w:val="00F12723"/>
    <w:rsid w:val="00F12E46"/>
    <w:rsid w:val="00F133F1"/>
    <w:rsid w:val="00F13A83"/>
    <w:rsid w:val="00F169DB"/>
    <w:rsid w:val="00F170B0"/>
    <w:rsid w:val="00F1772A"/>
    <w:rsid w:val="00F218A0"/>
    <w:rsid w:val="00F21EBF"/>
    <w:rsid w:val="00F21F0F"/>
    <w:rsid w:val="00F23F12"/>
    <w:rsid w:val="00F252D3"/>
    <w:rsid w:val="00F256D1"/>
    <w:rsid w:val="00F27459"/>
    <w:rsid w:val="00F27705"/>
    <w:rsid w:val="00F30CC0"/>
    <w:rsid w:val="00F32BFD"/>
    <w:rsid w:val="00F33E79"/>
    <w:rsid w:val="00F344EE"/>
    <w:rsid w:val="00F34EAD"/>
    <w:rsid w:val="00F34ED7"/>
    <w:rsid w:val="00F353D2"/>
    <w:rsid w:val="00F363B2"/>
    <w:rsid w:val="00F4208D"/>
    <w:rsid w:val="00F42E84"/>
    <w:rsid w:val="00F44026"/>
    <w:rsid w:val="00F45B43"/>
    <w:rsid w:val="00F4678A"/>
    <w:rsid w:val="00F46982"/>
    <w:rsid w:val="00F46A7D"/>
    <w:rsid w:val="00F5054D"/>
    <w:rsid w:val="00F51153"/>
    <w:rsid w:val="00F53669"/>
    <w:rsid w:val="00F54B1C"/>
    <w:rsid w:val="00F55DEA"/>
    <w:rsid w:val="00F56C7C"/>
    <w:rsid w:val="00F57666"/>
    <w:rsid w:val="00F60267"/>
    <w:rsid w:val="00F60304"/>
    <w:rsid w:val="00F604A0"/>
    <w:rsid w:val="00F61248"/>
    <w:rsid w:val="00F64195"/>
    <w:rsid w:val="00F65C6C"/>
    <w:rsid w:val="00F65EAD"/>
    <w:rsid w:val="00F66B4E"/>
    <w:rsid w:val="00F67EED"/>
    <w:rsid w:val="00F70294"/>
    <w:rsid w:val="00F7075E"/>
    <w:rsid w:val="00F7089C"/>
    <w:rsid w:val="00F70ED2"/>
    <w:rsid w:val="00F712E4"/>
    <w:rsid w:val="00F715EB"/>
    <w:rsid w:val="00F7264F"/>
    <w:rsid w:val="00F73412"/>
    <w:rsid w:val="00F737C8"/>
    <w:rsid w:val="00F76357"/>
    <w:rsid w:val="00F776F8"/>
    <w:rsid w:val="00F77FCE"/>
    <w:rsid w:val="00F81D07"/>
    <w:rsid w:val="00F821DB"/>
    <w:rsid w:val="00F83579"/>
    <w:rsid w:val="00F85263"/>
    <w:rsid w:val="00F85772"/>
    <w:rsid w:val="00F85F67"/>
    <w:rsid w:val="00F86353"/>
    <w:rsid w:val="00F86C95"/>
    <w:rsid w:val="00F86DE0"/>
    <w:rsid w:val="00F8706F"/>
    <w:rsid w:val="00F90448"/>
    <w:rsid w:val="00F90D29"/>
    <w:rsid w:val="00F917FF"/>
    <w:rsid w:val="00F93A03"/>
    <w:rsid w:val="00F94D99"/>
    <w:rsid w:val="00FA0819"/>
    <w:rsid w:val="00FA1BC0"/>
    <w:rsid w:val="00FA2298"/>
    <w:rsid w:val="00FA2786"/>
    <w:rsid w:val="00FA2DAD"/>
    <w:rsid w:val="00FA41CF"/>
    <w:rsid w:val="00FA440B"/>
    <w:rsid w:val="00FA5F67"/>
    <w:rsid w:val="00FA5FF1"/>
    <w:rsid w:val="00FA6D4D"/>
    <w:rsid w:val="00FA705E"/>
    <w:rsid w:val="00FA73CC"/>
    <w:rsid w:val="00FB0362"/>
    <w:rsid w:val="00FB052F"/>
    <w:rsid w:val="00FB132D"/>
    <w:rsid w:val="00FB1BC9"/>
    <w:rsid w:val="00FB1FEE"/>
    <w:rsid w:val="00FB27C0"/>
    <w:rsid w:val="00FB4401"/>
    <w:rsid w:val="00FB544C"/>
    <w:rsid w:val="00FB5AA2"/>
    <w:rsid w:val="00FB7A30"/>
    <w:rsid w:val="00FC0BF9"/>
    <w:rsid w:val="00FC435B"/>
    <w:rsid w:val="00FC474F"/>
    <w:rsid w:val="00FC5466"/>
    <w:rsid w:val="00FC54F6"/>
    <w:rsid w:val="00FC5E3E"/>
    <w:rsid w:val="00FC628B"/>
    <w:rsid w:val="00FC6339"/>
    <w:rsid w:val="00FC7DA5"/>
    <w:rsid w:val="00FC7E91"/>
    <w:rsid w:val="00FD0780"/>
    <w:rsid w:val="00FD0E83"/>
    <w:rsid w:val="00FD2B5C"/>
    <w:rsid w:val="00FD3120"/>
    <w:rsid w:val="00FD3B9C"/>
    <w:rsid w:val="00FD4102"/>
    <w:rsid w:val="00FD6993"/>
    <w:rsid w:val="00FD6A65"/>
    <w:rsid w:val="00FD7A36"/>
    <w:rsid w:val="00FE0E49"/>
    <w:rsid w:val="00FE0EA2"/>
    <w:rsid w:val="00FE443A"/>
    <w:rsid w:val="00FE4954"/>
    <w:rsid w:val="00FE4B61"/>
    <w:rsid w:val="00FE4BBD"/>
    <w:rsid w:val="00FE5FB5"/>
    <w:rsid w:val="00FE61E2"/>
    <w:rsid w:val="00FE6A57"/>
    <w:rsid w:val="00FE6D30"/>
    <w:rsid w:val="00FE77E4"/>
    <w:rsid w:val="00FF01C2"/>
    <w:rsid w:val="00FF0FFF"/>
    <w:rsid w:val="00FF1124"/>
    <w:rsid w:val="00FF22EF"/>
    <w:rsid w:val="00FF2B31"/>
    <w:rsid w:val="00FF35D4"/>
    <w:rsid w:val="00FF55FD"/>
    <w:rsid w:val="00FF6BF5"/>
    <w:rsid w:val="00FF7280"/>
    <w:rsid w:val="0125099B"/>
    <w:rsid w:val="036C22A9"/>
    <w:rsid w:val="04FE7541"/>
    <w:rsid w:val="06302B2F"/>
    <w:rsid w:val="078C7496"/>
    <w:rsid w:val="095C563D"/>
    <w:rsid w:val="09E00862"/>
    <w:rsid w:val="0B9E129E"/>
    <w:rsid w:val="0D3A1F53"/>
    <w:rsid w:val="0EA855E3"/>
    <w:rsid w:val="0FA46603"/>
    <w:rsid w:val="127F190D"/>
    <w:rsid w:val="15320BB2"/>
    <w:rsid w:val="169D2E74"/>
    <w:rsid w:val="19951957"/>
    <w:rsid w:val="1B221863"/>
    <w:rsid w:val="226739C8"/>
    <w:rsid w:val="26567DF3"/>
    <w:rsid w:val="2B927EA7"/>
    <w:rsid w:val="3482711C"/>
    <w:rsid w:val="3A0C6803"/>
    <w:rsid w:val="46695900"/>
    <w:rsid w:val="48BF47B5"/>
    <w:rsid w:val="4B0300B5"/>
    <w:rsid w:val="53925898"/>
    <w:rsid w:val="570766A5"/>
    <w:rsid w:val="574F4FFF"/>
    <w:rsid w:val="62340FAB"/>
    <w:rsid w:val="63E24966"/>
    <w:rsid w:val="6ADA247E"/>
    <w:rsid w:val="777811D4"/>
    <w:rsid w:val="7C3E654E"/>
    <w:rsid w:val="7E5762B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99" w:semiHidden="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GB" w:eastAsia="ja-JP" w:bidi="ar-SA"/>
    </w:rPr>
  </w:style>
  <w:style w:type="paragraph" w:styleId="2">
    <w:name w:val="heading 1"/>
    <w:basedOn w:val="1"/>
    <w:next w:val="1"/>
    <w:link w:val="123"/>
    <w:qFormat/>
    <w:uiPriority w:val="0"/>
    <w:pPr>
      <w:keepNext/>
      <w:spacing w:before="240" w:after="60"/>
      <w:outlineLvl w:val="0"/>
    </w:pPr>
    <w:rPr>
      <w:rFonts w:cs="Arial"/>
      <w:b/>
      <w:bCs/>
      <w:kern w:val="32"/>
      <w:sz w:val="24"/>
      <w:szCs w:val="32"/>
    </w:rPr>
  </w:style>
  <w:style w:type="paragraph" w:styleId="3">
    <w:name w:val="heading 2"/>
    <w:basedOn w:val="1"/>
    <w:next w:val="1"/>
    <w:qFormat/>
    <w:uiPriority w:val="0"/>
    <w:pPr>
      <w:keepNext/>
      <w:spacing w:before="120" w:after="60"/>
      <w:outlineLvl w:val="1"/>
    </w:pPr>
    <w:rPr>
      <w:rFonts w:cs="Arial"/>
      <w:b/>
      <w:bCs/>
      <w:iCs/>
      <w:sz w:val="20"/>
      <w:szCs w:val="28"/>
    </w:rPr>
  </w:style>
  <w:style w:type="paragraph" w:styleId="4">
    <w:name w:val="heading 3"/>
    <w:basedOn w:val="1"/>
    <w:next w:val="1"/>
    <w:link w:val="140"/>
    <w:qFormat/>
    <w:uiPriority w:val="0"/>
    <w:pPr>
      <w:keepNext/>
      <w:spacing w:before="60" w:after="60"/>
      <w:outlineLvl w:val="2"/>
    </w:pPr>
    <w:rPr>
      <w:rFonts w:cs="Arial"/>
      <w:b/>
      <w:bCs/>
      <w:szCs w:val="26"/>
    </w:rPr>
  </w:style>
  <w:style w:type="paragraph" w:styleId="5">
    <w:name w:val="heading 4"/>
    <w:basedOn w:val="1"/>
    <w:next w:val="1"/>
    <w:link w:val="124"/>
    <w:qFormat/>
    <w:uiPriority w:val="0"/>
    <w:pPr>
      <w:keepNext/>
      <w:keepLines/>
      <w:widowControl w:val="0"/>
      <w:numPr>
        <w:ilvl w:val="3"/>
        <w:numId w:val="1"/>
      </w:numPr>
      <w:spacing w:before="280" w:after="290" w:line="376" w:lineRule="auto"/>
      <w:jc w:val="both"/>
      <w:outlineLvl w:val="3"/>
    </w:pPr>
    <w:rPr>
      <w:rFonts w:ascii="Cambria" w:hAnsi="Cambria" w:eastAsia="宋体"/>
      <w:b/>
      <w:bCs/>
      <w:snapToGrid/>
      <w:kern w:val="2"/>
      <w:sz w:val="28"/>
      <w:szCs w:val="28"/>
      <w:lang w:val="zh-CN" w:eastAsia="zh-CN"/>
    </w:rPr>
  </w:style>
  <w:style w:type="character" w:default="1" w:styleId="28">
    <w:name w:val="Default Paragraph Font"/>
    <w:semiHidden/>
    <w:unhideWhenUsed/>
    <w:uiPriority w:val="1"/>
  </w:style>
  <w:style w:type="table" w:default="1" w:styleId="26">
    <w:name w:val="Normal Table"/>
    <w:semiHidden/>
    <w:unhideWhenUsed/>
    <w:uiPriority w:val="99"/>
    <w:tblPr>
      <w:tblCellMar>
        <w:top w:w="0" w:type="dxa"/>
        <w:left w:w="108" w:type="dxa"/>
        <w:bottom w:w="0" w:type="dxa"/>
        <w:right w:w="108" w:type="dxa"/>
      </w:tblCellMar>
    </w:tblPr>
  </w:style>
  <w:style w:type="paragraph" w:styleId="6">
    <w:name w:val="Normal Indent"/>
    <w:basedOn w:val="1"/>
    <w:qFormat/>
    <w:uiPriority w:val="0"/>
    <w:pPr>
      <w:widowControl w:val="0"/>
      <w:spacing w:beforeLines="50" w:line="288" w:lineRule="auto"/>
      <w:ind w:left="1199" w:leftChars="1199" w:firstLine="200" w:firstLineChars="200"/>
      <w:jc w:val="both"/>
    </w:pPr>
    <w:rPr>
      <w:rFonts w:ascii="Times New Roman" w:hAnsi="Times New Roman" w:eastAsia="楷体_GB2312"/>
      <w:snapToGrid/>
      <w:kern w:val="2"/>
      <w:sz w:val="21"/>
      <w:szCs w:val="20"/>
      <w:lang w:val="en-US" w:eastAsia="zh-CN"/>
    </w:rPr>
  </w:style>
  <w:style w:type="paragraph" w:styleId="7">
    <w:name w:val="caption"/>
    <w:basedOn w:val="1"/>
    <w:next w:val="1"/>
    <w:qFormat/>
    <w:uiPriority w:val="0"/>
    <w:pPr>
      <w:widowControl w:val="0"/>
      <w:spacing w:before="120" w:line="300" w:lineRule="auto"/>
      <w:ind w:left="2520" w:leftChars="1200"/>
      <w:jc w:val="center"/>
    </w:pPr>
    <w:rPr>
      <w:rFonts w:ascii="楷体_GB2312" w:hAnsi="Arial" w:eastAsia="楷体_GB2312" w:cs="Arial"/>
      <w:b/>
      <w:bCs/>
      <w:snapToGrid/>
      <w:kern w:val="2"/>
      <w:sz w:val="20"/>
      <w:szCs w:val="20"/>
      <w:lang w:val="en-US" w:eastAsia="zh-CN"/>
    </w:rPr>
  </w:style>
  <w:style w:type="paragraph" w:styleId="8">
    <w:name w:val="annotation text"/>
    <w:basedOn w:val="1"/>
    <w:link w:val="136"/>
    <w:qFormat/>
    <w:uiPriority w:val="0"/>
    <w:pPr>
      <w:widowControl w:val="0"/>
    </w:pPr>
    <w:rPr>
      <w:rFonts w:ascii="Times New Roman" w:hAnsi="Times New Roman" w:eastAsia="宋体"/>
      <w:snapToGrid/>
      <w:kern w:val="2"/>
      <w:sz w:val="21"/>
      <w:szCs w:val="24"/>
      <w:lang w:val="zh-CN" w:eastAsia="zh-CN"/>
    </w:rPr>
  </w:style>
  <w:style w:type="paragraph" w:styleId="9">
    <w:name w:val="Body Text 3"/>
    <w:basedOn w:val="1"/>
    <w:link w:val="128"/>
    <w:qFormat/>
    <w:uiPriority w:val="0"/>
    <w:pPr>
      <w:widowControl w:val="0"/>
      <w:jc w:val="both"/>
    </w:pPr>
    <w:rPr>
      <w:rFonts w:ascii="汉仪楷体简" w:hAnsi="Times New Roman" w:eastAsia="汉仪楷体简"/>
      <w:snapToGrid/>
      <w:color w:val="000000"/>
      <w:sz w:val="18"/>
      <w:lang w:val="en-US" w:eastAsia="zh-CN"/>
    </w:rPr>
  </w:style>
  <w:style w:type="paragraph" w:styleId="10">
    <w:name w:val="Body Text"/>
    <w:basedOn w:val="1"/>
    <w:link w:val="125"/>
    <w:qFormat/>
    <w:uiPriority w:val="0"/>
    <w:pPr>
      <w:widowControl w:val="0"/>
      <w:tabs>
        <w:tab w:val="left" w:pos="3045"/>
      </w:tabs>
      <w:ind w:right="7159" w:rightChars="3409"/>
      <w:jc w:val="both"/>
    </w:pPr>
    <w:rPr>
      <w:rFonts w:ascii="Times New Roman" w:hAnsi="Times New Roman" w:eastAsia="宋体"/>
      <w:snapToGrid/>
      <w:kern w:val="2"/>
      <w:sz w:val="21"/>
      <w:szCs w:val="24"/>
      <w:lang w:val="en-US" w:eastAsia="zh-CN"/>
    </w:rPr>
  </w:style>
  <w:style w:type="paragraph" w:styleId="11">
    <w:name w:val="Body Text Indent"/>
    <w:basedOn w:val="1"/>
    <w:link w:val="126"/>
    <w:qFormat/>
    <w:uiPriority w:val="0"/>
    <w:pPr>
      <w:widowControl w:val="0"/>
      <w:ind w:left="3150" w:leftChars="1500"/>
      <w:jc w:val="both"/>
    </w:pPr>
    <w:rPr>
      <w:rFonts w:ascii="汉仪楷体简" w:hAnsi="Times New Roman" w:eastAsia="汉仪楷体简"/>
      <w:snapToGrid/>
      <w:color w:val="000000"/>
      <w:sz w:val="18"/>
      <w:lang w:val="en-US" w:eastAsia="zh-CN"/>
    </w:rPr>
  </w:style>
  <w:style w:type="paragraph" w:styleId="12">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val="en-US" w:eastAsia="zh-CN"/>
    </w:rPr>
  </w:style>
  <w:style w:type="paragraph" w:styleId="13">
    <w:name w:val="toc 3"/>
    <w:basedOn w:val="1"/>
    <w:next w:val="1"/>
    <w:qFormat/>
    <w:uiPriority w:val="39"/>
    <w:pPr>
      <w:widowControl w:val="0"/>
      <w:tabs>
        <w:tab w:val="left" w:pos="3150"/>
        <w:tab w:val="right" w:leader="dot" w:pos="10537"/>
      </w:tabs>
      <w:spacing w:line="440" w:lineRule="exact"/>
      <w:ind w:left="1700" w:leftChars="1700"/>
      <w:jc w:val="both"/>
    </w:pPr>
    <w:rPr>
      <w:rFonts w:ascii="Arial" w:hAnsi="Arial" w:eastAsia="楷体_GB2312"/>
      <w:snapToGrid/>
      <w:kern w:val="2"/>
      <w:sz w:val="20"/>
      <w:szCs w:val="24"/>
      <w:lang w:val="en-US" w:eastAsia="zh-CN"/>
    </w:rPr>
  </w:style>
  <w:style w:type="paragraph" w:styleId="14">
    <w:name w:val="Date"/>
    <w:basedOn w:val="1"/>
    <w:next w:val="1"/>
    <w:link w:val="131"/>
    <w:qFormat/>
    <w:uiPriority w:val="0"/>
    <w:pPr>
      <w:widowControl w:val="0"/>
      <w:autoSpaceDE w:val="0"/>
      <w:autoSpaceDN w:val="0"/>
      <w:adjustRightInd w:val="0"/>
      <w:jc w:val="both"/>
      <w:textAlignment w:val="baseline"/>
    </w:pPr>
    <w:rPr>
      <w:rFonts w:ascii="宋体" w:hAnsi="Times New Roman" w:eastAsia="宋体"/>
      <w:snapToGrid/>
      <w:kern w:val="2"/>
      <w:sz w:val="28"/>
      <w:szCs w:val="20"/>
      <w:lang w:val="en-US" w:eastAsia="zh-CN"/>
    </w:rPr>
  </w:style>
  <w:style w:type="paragraph" w:styleId="15">
    <w:name w:val="Body Text Indent 2"/>
    <w:basedOn w:val="1"/>
    <w:link w:val="129"/>
    <w:qFormat/>
    <w:uiPriority w:val="0"/>
    <w:pPr>
      <w:widowControl w:val="0"/>
      <w:autoSpaceDE w:val="0"/>
      <w:autoSpaceDN w:val="0"/>
      <w:adjustRightInd w:val="0"/>
      <w:ind w:left="2520" w:leftChars="1200" w:firstLine="360" w:firstLineChars="150"/>
    </w:pPr>
    <w:rPr>
      <w:rFonts w:ascii="楷体_GB2312" w:hAnsi="Times New Roman" w:eastAsia="楷体_GB2312"/>
      <w:snapToGrid/>
      <w:sz w:val="24"/>
      <w:szCs w:val="24"/>
      <w:lang w:val="en-US" w:eastAsia="zh-CN"/>
    </w:rPr>
  </w:style>
  <w:style w:type="paragraph" w:styleId="16">
    <w:name w:val="Balloon Text"/>
    <w:basedOn w:val="1"/>
    <w:link w:val="34"/>
    <w:qFormat/>
    <w:uiPriority w:val="0"/>
    <w:rPr>
      <w:rFonts w:ascii="Tahoma" w:hAnsi="Tahoma" w:cs="Tahoma"/>
    </w:rPr>
  </w:style>
  <w:style w:type="paragraph" w:styleId="17">
    <w:name w:val="footer"/>
    <w:basedOn w:val="1"/>
    <w:qFormat/>
    <w:uiPriority w:val="0"/>
    <w:pPr>
      <w:tabs>
        <w:tab w:val="center" w:pos="4419"/>
        <w:tab w:val="right" w:pos="8838"/>
      </w:tabs>
    </w:pPr>
  </w:style>
  <w:style w:type="paragraph" w:styleId="18">
    <w:name w:val="header"/>
    <w:basedOn w:val="1"/>
    <w:qFormat/>
    <w:uiPriority w:val="0"/>
    <w:pPr>
      <w:tabs>
        <w:tab w:val="center" w:pos="4419"/>
        <w:tab w:val="right" w:pos="8838"/>
      </w:tabs>
    </w:pPr>
  </w:style>
  <w:style w:type="paragraph" w:styleId="19">
    <w:name w:val="toc 1"/>
    <w:basedOn w:val="1"/>
    <w:next w:val="1"/>
    <w:qFormat/>
    <w:uiPriority w:val="39"/>
    <w:pPr>
      <w:widowControl w:val="0"/>
      <w:tabs>
        <w:tab w:val="left" w:pos="2835"/>
        <w:tab w:val="left" w:pos="3325"/>
        <w:tab w:val="right" w:leader="dot" w:pos="10537"/>
      </w:tabs>
      <w:overflowPunct w:val="0"/>
      <w:spacing w:line="440" w:lineRule="exact"/>
      <w:ind w:left="1300" w:leftChars="1300"/>
      <w:jc w:val="both"/>
    </w:pPr>
    <w:rPr>
      <w:rFonts w:ascii="Arial" w:hAnsi="Arial" w:eastAsia="楷体_GB2312"/>
      <w:snapToGrid/>
      <w:kern w:val="2"/>
      <w:sz w:val="21"/>
      <w:szCs w:val="24"/>
      <w:lang w:val="en-US" w:eastAsia="zh-CN"/>
    </w:rPr>
  </w:style>
  <w:style w:type="paragraph" w:styleId="20">
    <w:name w:val="Body Text Indent 3"/>
    <w:basedOn w:val="1"/>
    <w:link w:val="130"/>
    <w:qFormat/>
    <w:uiPriority w:val="0"/>
    <w:pPr>
      <w:framePr w:hSpace="180" w:wrap="around" w:vAnchor="text" w:hAnchor="text" w:xAlign="right" w:y="1"/>
      <w:suppressOverlap/>
      <w:widowControl w:val="0"/>
      <w:spacing w:line="320" w:lineRule="exact"/>
      <w:ind w:left="50" w:leftChars="24" w:firstLine="485" w:firstLineChars="202"/>
      <w:jc w:val="both"/>
    </w:pPr>
    <w:rPr>
      <w:rFonts w:ascii="楷体_GB2312" w:hAnsi="Times New Roman" w:eastAsia="楷体_GB2312"/>
      <w:snapToGrid/>
      <w:color w:val="000000"/>
      <w:kern w:val="2"/>
      <w:sz w:val="24"/>
      <w:szCs w:val="24"/>
      <w:lang w:val="en-US" w:eastAsia="zh-CN"/>
    </w:rPr>
  </w:style>
  <w:style w:type="paragraph" w:styleId="21">
    <w:name w:val="table of figures"/>
    <w:basedOn w:val="1"/>
    <w:next w:val="1"/>
    <w:qFormat/>
    <w:uiPriority w:val="99"/>
    <w:pPr>
      <w:widowControl w:val="0"/>
      <w:spacing w:line="440" w:lineRule="exact"/>
      <w:ind w:left="1300" w:leftChars="1300"/>
    </w:pPr>
    <w:rPr>
      <w:rFonts w:ascii="Arial" w:hAnsi="Arial" w:eastAsia="楷体_GB2312"/>
      <w:snapToGrid/>
      <w:kern w:val="2"/>
      <w:sz w:val="20"/>
      <w:szCs w:val="24"/>
      <w:lang w:val="en-US" w:eastAsia="zh-CN"/>
    </w:rPr>
  </w:style>
  <w:style w:type="paragraph" w:styleId="22">
    <w:name w:val="toc 2"/>
    <w:basedOn w:val="1"/>
    <w:next w:val="1"/>
    <w:qFormat/>
    <w:uiPriority w:val="39"/>
    <w:pPr>
      <w:widowControl w:val="0"/>
      <w:tabs>
        <w:tab w:val="left" w:pos="2835"/>
        <w:tab w:val="right" w:leader="dot" w:pos="10500"/>
      </w:tabs>
      <w:overflowPunct w:val="0"/>
      <w:spacing w:line="440" w:lineRule="exact"/>
      <w:ind w:left="1500" w:leftChars="1500"/>
      <w:jc w:val="both"/>
    </w:pPr>
    <w:rPr>
      <w:rFonts w:ascii="Arial" w:hAnsi="Arial" w:eastAsia="楷体_GB2312"/>
      <w:snapToGrid/>
      <w:kern w:val="2"/>
      <w:sz w:val="20"/>
      <w:szCs w:val="24"/>
      <w:lang w:val="en-US" w:eastAsia="zh-CN"/>
    </w:rPr>
  </w:style>
  <w:style w:type="paragraph" w:styleId="23">
    <w:name w:val="Body Text 2"/>
    <w:basedOn w:val="1"/>
    <w:link w:val="127"/>
    <w:qFormat/>
    <w:uiPriority w:val="0"/>
    <w:pPr>
      <w:widowControl w:val="0"/>
      <w:jc w:val="both"/>
    </w:pPr>
    <w:rPr>
      <w:rFonts w:ascii="Times New Roman" w:hAnsi="Times New Roman" w:eastAsia="汉仪楷体简"/>
      <w:snapToGrid/>
      <w:sz w:val="18"/>
      <w:szCs w:val="24"/>
      <w:lang w:val="en-US" w:eastAsia="zh-CN"/>
    </w:rPr>
  </w:style>
  <w:style w:type="paragraph" w:styleId="24">
    <w:name w:val="Normal (Web)"/>
    <w:basedOn w:val="1"/>
    <w:qFormat/>
    <w:uiPriority w:val="0"/>
    <w:pPr>
      <w:spacing w:before="100" w:beforeAutospacing="1" w:after="100" w:afterAutospacing="1"/>
    </w:pPr>
    <w:rPr>
      <w:rFonts w:ascii="宋体" w:hAnsi="宋体" w:eastAsia="宋体" w:cs="宋体"/>
      <w:snapToGrid/>
      <w:sz w:val="24"/>
      <w:szCs w:val="24"/>
      <w:lang w:val="en-US" w:eastAsia="zh-CN"/>
    </w:rPr>
  </w:style>
  <w:style w:type="paragraph" w:styleId="25">
    <w:name w:val="annotation subject"/>
    <w:basedOn w:val="8"/>
    <w:next w:val="8"/>
    <w:link w:val="137"/>
    <w:qFormat/>
    <w:uiPriority w:val="0"/>
    <w:rPr>
      <w:b/>
      <w:bCs/>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qFormat/>
    <w:uiPriority w:val="0"/>
    <w:rPr>
      <w:b/>
      <w:bCs/>
    </w:rPr>
  </w:style>
  <w:style w:type="character" w:styleId="30">
    <w:name w:val="page number"/>
    <w:basedOn w:val="28"/>
    <w:qFormat/>
    <w:uiPriority w:val="0"/>
  </w:style>
  <w:style w:type="character" w:styleId="31">
    <w:name w:val="FollowedHyperlink"/>
    <w:qFormat/>
    <w:uiPriority w:val="0"/>
    <w:rPr>
      <w:color w:val="800080"/>
      <w:u w:val="single"/>
    </w:rPr>
  </w:style>
  <w:style w:type="character" w:styleId="32">
    <w:name w:val="Hyperlink"/>
    <w:basedOn w:val="28"/>
    <w:qFormat/>
    <w:uiPriority w:val="99"/>
    <w:rPr>
      <w:color w:val="0000FF"/>
      <w:u w:val="single"/>
    </w:rPr>
  </w:style>
  <w:style w:type="character" w:styleId="33">
    <w:name w:val="annotation reference"/>
    <w:qFormat/>
    <w:uiPriority w:val="0"/>
    <w:rPr>
      <w:sz w:val="21"/>
      <w:szCs w:val="21"/>
    </w:rPr>
  </w:style>
  <w:style w:type="character" w:customStyle="1" w:styleId="34">
    <w:name w:val="批注框文本 字符"/>
    <w:basedOn w:val="28"/>
    <w:link w:val="16"/>
    <w:qFormat/>
    <w:uiPriority w:val="0"/>
    <w:rPr>
      <w:rFonts w:ascii="Tahoma" w:hAnsi="Tahoma" w:cs="Tahoma"/>
      <w:lang w:eastAsia="ja-JP"/>
    </w:rPr>
  </w:style>
  <w:style w:type="paragraph" w:customStyle="1" w:styleId="35">
    <w:name w:val="EFAFPCompanyName"/>
    <w:next w:val="36"/>
    <w:qFormat/>
    <w:uiPriority w:val="0"/>
    <w:pPr>
      <w:framePr w:w="10858" w:h="1920" w:hRule="exact" w:wrap="around" w:vAnchor="page" w:hAnchor="page" w:x="341" w:y="1107" w:anchorLock="1"/>
      <w:adjustRightInd w:val="0"/>
      <w:snapToGrid w:val="0"/>
    </w:pPr>
    <w:rPr>
      <w:rFonts w:ascii="Calibri" w:hAnsi="Calibri" w:eastAsia="MS Mincho" w:cs="Times New Roman"/>
      <w:b/>
      <w:snapToGrid w:val="0"/>
      <w:sz w:val="36"/>
      <w:szCs w:val="40"/>
      <w:lang w:val="en-US" w:eastAsia="ja-JP" w:bidi="ar-SA"/>
    </w:rPr>
  </w:style>
  <w:style w:type="paragraph" w:customStyle="1" w:styleId="36">
    <w:name w:val="Style EFAFPFrameText_11.5pt + Right"/>
    <w:basedOn w:val="37"/>
    <w:qFormat/>
    <w:uiPriority w:val="0"/>
    <w:pPr>
      <w:framePr w:wrap="around"/>
      <w:jc w:val="right"/>
    </w:pPr>
    <w:rPr>
      <w:bCs/>
      <w:szCs w:val="20"/>
    </w:rPr>
  </w:style>
  <w:style w:type="paragraph" w:customStyle="1" w:styleId="37">
    <w:name w:val="EFAFPFrameText_11.5pt"/>
    <w:basedOn w:val="38"/>
    <w:qFormat/>
    <w:uiPriority w:val="0"/>
    <w:pPr>
      <w:framePr w:h="1520" w:hRule="exact" w:wrap="around" w:x="357" w:y="1072"/>
    </w:pPr>
    <w:rPr>
      <w:color w:val="23558C"/>
    </w:rPr>
  </w:style>
  <w:style w:type="paragraph" w:customStyle="1" w:styleId="38">
    <w:name w:val="EFAFPCompanyInfo"/>
    <w:basedOn w:val="1"/>
    <w:qFormat/>
    <w:uiPriority w:val="0"/>
    <w:pPr>
      <w:framePr w:w="10858" w:h="1920" w:hRule="exact" w:wrap="around" w:vAnchor="page" w:hAnchor="page" w:x="341" w:y="1107" w:anchorLock="1"/>
      <w:adjustRightInd w:val="0"/>
      <w:snapToGrid w:val="0"/>
    </w:pPr>
    <w:rPr>
      <w:b/>
      <w:sz w:val="24"/>
    </w:rPr>
  </w:style>
  <w:style w:type="paragraph" w:customStyle="1" w:styleId="39">
    <w:name w:val="EFABullet"/>
    <w:basedOn w:val="40"/>
    <w:qFormat/>
    <w:uiPriority w:val="0"/>
    <w:pPr>
      <w:numPr>
        <w:ilvl w:val="0"/>
        <w:numId w:val="2"/>
      </w:numPr>
      <w:tabs>
        <w:tab w:val="left" w:pos="480"/>
      </w:tabs>
      <w:ind w:left="192" w:firstLine="0"/>
    </w:pPr>
  </w:style>
  <w:style w:type="paragraph" w:customStyle="1" w:styleId="40">
    <w:name w:val="EFABodyText"/>
    <w:link w:val="56"/>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1">
    <w:name w:val="EFAButton"/>
    <w:basedOn w:val="42"/>
    <w:qFormat/>
    <w:uiPriority w:val="0"/>
    <w:rPr>
      <w:b/>
    </w:rPr>
  </w:style>
  <w:style w:type="paragraph" w:customStyle="1" w:styleId="42">
    <w:name w:val="EFANormal"/>
    <w:link w:val="55"/>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43">
    <w:name w:val="Style EFAFPFrameText_11.5pt_Right"/>
    <w:basedOn w:val="37"/>
    <w:qFormat/>
    <w:uiPriority w:val="0"/>
    <w:pPr>
      <w:framePr w:wrap="around"/>
      <w:jc w:val="right"/>
    </w:pPr>
    <w:rPr>
      <w:bCs/>
      <w:szCs w:val="20"/>
    </w:rPr>
  </w:style>
  <w:style w:type="paragraph" w:customStyle="1" w:styleId="44">
    <w:name w:val="EFADisclaimerText"/>
    <w:basedOn w:val="42"/>
    <w:link w:val="112"/>
    <w:qFormat/>
    <w:uiPriority w:val="99"/>
    <w:pPr>
      <w:jc w:val="both"/>
    </w:pPr>
  </w:style>
  <w:style w:type="paragraph" w:styleId="45">
    <w:name w:val="List Paragraph"/>
    <w:basedOn w:val="1"/>
    <w:qFormat/>
    <w:uiPriority w:val="34"/>
    <w:pPr>
      <w:ind w:left="720"/>
      <w:contextualSpacing/>
    </w:pPr>
  </w:style>
  <w:style w:type="paragraph" w:customStyle="1" w:styleId="46">
    <w:name w:val="EFABullet_Red"/>
    <w:basedOn w:val="47"/>
    <w:qFormat/>
    <w:uiPriority w:val="0"/>
    <w:pPr>
      <w:numPr>
        <w:ilvl w:val="0"/>
        <w:numId w:val="3"/>
      </w:numPr>
      <w:tabs>
        <w:tab w:val="left" w:pos="481"/>
      </w:tabs>
    </w:pPr>
  </w:style>
  <w:style w:type="paragraph" w:customStyle="1" w:styleId="47">
    <w:name w:val="EFAFP_BodyText"/>
    <w:link w:val="5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8">
    <w:name w:val="EFA2ndPageHeader"/>
    <w:basedOn w:val="42"/>
    <w:qFormat/>
    <w:uiPriority w:val="0"/>
    <w:pPr>
      <w:spacing w:before="40" w:after="40"/>
      <w:jc w:val="right"/>
    </w:pPr>
    <w:rPr>
      <w:color w:val="FF0000"/>
      <w:sz w:val="24"/>
    </w:rPr>
  </w:style>
  <w:style w:type="paragraph" w:customStyle="1" w:styleId="49">
    <w:name w:val="EFAPageFooter"/>
    <w:basedOn w:val="42"/>
    <w:qFormat/>
    <w:uiPriority w:val="0"/>
    <w:pPr>
      <w:framePr w:wrap="around" w:vAnchor="page" w:hAnchor="page" w:x="347" w:y="15481"/>
      <w:suppressOverlap/>
      <w:tabs>
        <w:tab w:val="center" w:pos="5165"/>
      </w:tabs>
    </w:pPr>
    <w:rPr>
      <w:b/>
      <w:sz w:val="20"/>
      <w:szCs w:val="20"/>
    </w:rPr>
  </w:style>
  <w:style w:type="paragraph" w:customStyle="1" w:styleId="50">
    <w:name w:val="EFAPageHeader"/>
    <w:basedOn w:val="42"/>
    <w:qFormat/>
    <w:uiPriority w:val="0"/>
    <w:pPr>
      <w:tabs>
        <w:tab w:val="right" w:pos="10692"/>
      </w:tabs>
      <w:spacing w:before="40" w:after="40"/>
    </w:pPr>
    <w:rPr>
      <w:b/>
      <w:bCs/>
      <w:color w:val="005BAC"/>
      <w:sz w:val="24"/>
    </w:rPr>
  </w:style>
  <w:style w:type="paragraph" w:customStyle="1" w:styleId="51">
    <w:name w:val="EFAHiddenBookmark"/>
    <w:basedOn w:val="1"/>
    <w:link w:val="52"/>
    <w:qFormat/>
    <w:uiPriority w:val="99"/>
    <w:pPr>
      <w:adjustRightInd w:val="0"/>
      <w:snapToGrid w:val="0"/>
      <w:spacing w:after="40" w:line="180" w:lineRule="exact"/>
    </w:pPr>
    <w:rPr>
      <w:rFonts w:ascii="Arial" w:hAnsi="Arial" w:eastAsia="Times New Roman"/>
      <w:vanish/>
      <w:kern w:val="2"/>
      <w:sz w:val="14"/>
      <w:szCs w:val="19"/>
      <w:lang w:eastAsia="en-US"/>
    </w:rPr>
  </w:style>
  <w:style w:type="character" w:customStyle="1" w:styleId="52">
    <w:name w:val="EFAHiddenBookmark Char"/>
    <w:link w:val="51"/>
    <w:qFormat/>
    <w:uiPriority w:val="99"/>
    <w:rPr>
      <w:rFonts w:ascii="Arial" w:hAnsi="Arial" w:eastAsia="Times New Roman"/>
      <w:vanish/>
      <w:kern w:val="2"/>
      <w:sz w:val="14"/>
      <w:szCs w:val="19"/>
      <w:lang w:val="en-GB" w:eastAsia="en-US"/>
    </w:rPr>
  </w:style>
  <w:style w:type="paragraph" w:customStyle="1" w:styleId="53">
    <w:name w:val="EFAPoweredByEFA"/>
    <w:link w:val="54"/>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54">
    <w:name w:val="EFAPoweredByEFA Char"/>
    <w:link w:val="53"/>
    <w:qFormat/>
    <w:uiPriority w:val="0"/>
    <w:rPr>
      <w:rFonts w:ascii="Arial" w:hAnsi="Arial" w:eastAsia="PMingLiU"/>
      <w:color w:val="5A5A5A"/>
      <w:sz w:val="9"/>
      <w:szCs w:val="9"/>
      <w:lang w:eastAsia="zh-TW"/>
    </w:rPr>
  </w:style>
  <w:style w:type="character" w:customStyle="1" w:styleId="55">
    <w:name w:val="EFANormal Char"/>
    <w:basedOn w:val="28"/>
    <w:link w:val="42"/>
    <w:qFormat/>
    <w:uiPriority w:val="0"/>
    <w:rPr>
      <w:lang w:eastAsia="ja-JP"/>
    </w:rPr>
  </w:style>
  <w:style w:type="character" w:customStyle="1" w:styleId="56">
    <w:name w:val="EFABodyText Char"/>
    <w:basedOn w:val="28"/>
    <w:link w:val="40"/>
    <w:qFormat/>
    <w:uiPriority w:val="0"/>
    <w:rPr>
      <w:sz w:val="20"/>
      <w:lang w:eastAsia="ja-JP"/>
    </w:rPr>
  </w:style>
  <w:style w:type="character" w:customStyle="1" w:styleId="57">
    <w:name w:val="EFAFP_BodyText Char"/>
    <w:basedOn w:val="28"/>
    <w:link w:val="47"/>
    <w:qFormat/>
    <w:uiPriority w:val="0"/>
    <w:rPr>
      <w:sz w:val="20"/>
      <w:lang w:eastAsia="ja-JP"/>
    </w:rPr>
  </w:style>
  <w:style w:type="paragraph" w:customStyle="1" w:styleId="58">
    <w:name w:val="EFAFPTag"/>
    <w:basedOn w:val="42"/>
    <w:qFormat/>
    <w:uiPriority w:val="0"/>
    <w:pPr>
      <w:jc w:val="center"/>
    </w:pPr>
    <w:rPr>
      <w:b/>
    </w:rPr>
  </w:style>
  <w:style w:type="paragraph" w:customStyle="1" w:styleId="59">
    <w:name w:val="EFAFPFooter"/>
    <w:basedOn w:val="42"/>
    <w:qFormat/>
    <w:uiPriority w:val="0"/>
    <w:pPr>
      <w:tabs>
        <w:tab w:val="right" w:pos="10679"/>
      </w:tabs>
      <w:autoSpaceDE w:val="0"/>
      <w:autoSpaceDN w:val="0"/>
      <w:jc w:val="both"/>
    </w:pPr>
    <w:rPr>
      <w:rFonts w:cs="Arial"/>
      <w:b/>
      <w:sz w:val="14"/>
    </w:rPr>
  </w:style>
  <w:style w:type="character" w:customStyle="1" w:styleId="60">
    <w:name w:val="EFACharGrey"/>
    <w:qFormat/>
    <w:uiPriority w:val="1"/>
    <w:rPr>
      <w:color w:val="808080"/>
    </w:rPr>
  </w:style>
  <w:style w:type="paragraph" w:customStyle="1" w:styleId="61">
    <w:name w:val="EFAFPColFrameText_Left2"/>
    <w:link w:val="80"/>
    <w:qFormat/>
    <w:uiPriority w:val="0"/>
    <w:pPr>
      <w:framePr w:w="3045" w:h="12804" w:hRule="exact" w:hSpace="180" w:wrap="around" w:vAnchor="page" w:hAnchor="page" w:x="340" w:y="2765" w:anchorLock="1"/>
      <w:adjustRightInd w:val="0"/>
      <w:snapToGrid w:val="0"/>
    </w:pPr>
    <w:rPr>
      <w:rFonts w:ascii="Calibri" w:hAnsi="Calibri" w:eastAsia="MS Mincho" w:cs="Times New Roman"/>
      <w:snapToGrid w:val="0"/>
      <w:sz w:val="14"/>
      <w:szCs w:val="14"/>
      <w:lang w:val="en-US" w:eastAsia="zh-CN" w:bidi="ar-SA"/>
    </w:rPr>
  </w:style>
  <w:style w:type="character" w:customStyle="1" w:styleId="62">
    <w:name w:val="EFACharBold"/>
    <w:basedOn w:val="28"/>
    <w:qFormat/>
    <w:uiPriority w:val="1"/>
    <w:rPr>
      <w:b/>
    </w:rPr>
  </w:style>
  <w:style w:type="paragraph" w:customStyle="1" w:styleId="63">
    <w:name w:val="EFAFPColFrame_AnalystName2"/>
    <w:basedOn w:val="61"/>
    <w:link w:val="101"/>
    <w:qFormat/>
    <w:uiPriority w:val="0"/>
    <w:pPr>
      <w:framePr w:wrap="around"/>
    </w:pPr>
    <w:rPr>
      <w:b/>
      <w:sz w:val="16"/>
    </w:rPr>
  </w:style>
  <w:style w:type="paragraph" w:customStyle="1" w:styleId="64">
    <w:name w:val="EFAFP_Source"/>
    <w:basedOn w:val="42"/>
    <w:qFormat/>
    <w:uiPriority w:val="0"/>
    <w:rPr>
      <w:sz w:val="12"/>
      <w:szCs w:val="12"/>
    </w:rPr>
  </w:style>
  <w:style w:type="paragraph" w:customStyle="1" w:styleId="65">
    <w:name w:val="EFAFP_Abstract"/>
    <w:qFormat/>
    <w:uiPriority w:val="0"/>
    <w:rPr>
      <w:rFonts w:ascii="Calibri" w:hAnsi="Calibri" w:eastAsia="MS Mincho" w:cs="Times New Roman"/>
      <w:snapToGrid w:val="0"/>
      <w:sz w:val="18"/>
      <w:szCs w:val="16"/>
      <w:lang w:val="en-US" w:eastAsia="ja-JP" w:bidi="ar-SA"/>
    </w:rPr>
  </w:style>
  <w:style w:type="paragraph" w:customStyle="1" w:styleId="66">
    <w:name w:val="EFABullet_Green"/>
    <w:basedOn w:val="47"/>
    <w:qFormat/>
    <w:uiPriority w:val="0"/>
    <w:pPr>
      <w:numPr>
        <w:ilvl w:val="0"/>
        <w:numId w:val="4"/>
      </w:numPr>
      <w:tabs>
        <w:tab w:val="left" w:pos="468"/>
      </w:tabs>
    </w:pPr>
  </w:style>
  <w:style w:type="paragraph" w:customStyle="1" w:styleId="67">
    <w:name w:val="EFABullet_Blue"/>
    <w:basedOn w:val="47"/>
    <w:qFormat/>
    <w:uiPriority w:val="0"/>
    <w:pPr>
      <w:numPr>
        <w:ilvl w:val="0"/>
        <w:numId w:val="5"/>
      </w:numPr>
      <w:tabs>
        <w:tab w:val="left" w:pos="468"/>
      </w:tabs>
    </w:pPr>
  </w:style>
  <w:style w:type="paragraph" w:customStyle="1" w:styleId="68">
    <w:name w:val="EFABullet_Yellow"/>
    <w:basedOn w:val="47"/>
    <w:qFormat/>
    <w:uiPriority w:val="0"/>
    <w:pPr>
      <w:numPr>
        <w:ilvl w:val="0"/>
        <w:numId w:val="6"/>
      </w:numPr>
      <w:tabs>
        <w:tab w:val="left" w:pos="468"/>
      </w:tabs>
    </w:pPr>
  </w:style>
  <w:style w:type="paragraph" w:customStyle="1" w:styleId="69">
    <w:name w:val="EFASource"/>
    <w:basedOn w:val="40"/>
    <w:qFormat/>
    <w:uiPriority w:val="0"/>
    <w:rPr>
      <w:sz w:val="12"/>
      <w:szCs w:val="14"/>
    </w:rPr>
  </w:style>
  <w:style w:type="paragraph" w:customStyle="1" w:styleId="70">
    <w:name w:val="EFAHeading"/>
    <w:basedOn w:val="1"/>
    <w:next w:val="40"/>
    <w:qFormat/>
    <w:uiPriority w:val="0"/>
    <w:pPr>
      <w:widowControl w:val="0"/>
      <w:adjustRightInd w:val="0"/>
      <w:snapToGrid w:val="0"/>
    </w:pPr>
    <w:rPr>
      <w:b/>
      <w:color w:val="000000"/>
      <w:kern w:val="28"/>
      <w:sz w:val="24"/>
    </w:rPr>
  </w:style>
  <w:style w:type="paragraph" w:customStyle="1" w:styleId="71">
    <w:name w:val="EFADisclaimerHeading"/>
    <w:basedOn w:val="44"/>
    <w:next w:val="44"/>
    <w:qFormat/>
    <w:uiPriority w:val="99"/>
    <w:rPr>
      <w:b/>
    </w:rPr>
  </w:style>
  <w:style w:type="paragraph" w:customStyle="1" w:styleId="72">
    <w:name w:val="EFADisclaimerHeading2"/>
    <w:basedOn w:val="44"/>
    <w:next w:val="44"/>
    <w:qFormat/>
    <w:uiPriority w:val="0"/>
    <w:rPr>
      <w:b/>
      <w:sz w:val="20"/>
      <w:szCs w:val="20"/>
    </w:rPr>
  </w:style>
  <w:style w:type="paragraph" w:customStyle="1" w:styleId="73">
    <w:name w:val="EFADisclaimerHeading3"/>
    <w:basedOn w:val="44"/>
    <w:qFormat/>
    <w:uiPriority w:val="0"/>
    <w:rPr>
      <w:b/>
      <w:sz w:val="18"/>
      <w:szCs w:val="18"/>
    </w:rPr>
  </w:style>
  <w:style w:type="paragraph" w:customStyle="1" w:styleId="74">
    <w:name w:val="EFASideComment"/>
    <w:basedOn w:val="40"/>
    <w:qFormat/>
    <w:uiPriority w:val="0"/>
    <w:pPr>
      <w:framePr w:w="2980" w:hSpace="180" w:wrap="around" w:vAnchor="text" w:hAnchor="text" w:x="-3250" w:y="160"/>
    </w:pPr>
  </w:style>
  <w:style w:type="character" w:customStyle="1" w:styleId="75">
    <w:name w:val="EFACharBold_and_AllCap"/>
    <w:qFormat/>
    <w:uiPriority w:val="1"/>
    <w:rPr>
      <w:b/>
      <w:caps/>
    </w:rPr>
  </w:style>
  <w:style w:type="paragraph" w:customStyle="1" w:styleId="76">
    <w:name w:val="__Table_Normal"/>
    <w:basedOn w:val="1"/>
    <w:link w:val="77"/>
    <w:qFormat/>
    <w:uiPriority w:val="0"/>
    <w:rPr>
      <w:snapToGrid/>
      <w:color w:val="000000"/>
      <w:kern w:val="28"/>
    </w:rPr>
  </w:style>
  <w:style w:type="character" w:customStyle="1" w:styleId="77">
    <w:name w:val="__Table_Normal Char"/>
    <w:basedOn w:val="28"/>
    <w:link w:val="76"/>
    <w:qFormat/>
    <w:uiPriority w:val="0"/>
    <w:rPr>
      <w:snapToGrid/>
      <w:color w:val="000000"/>
      <w:kern w:val="28"/>
      <w:lang w:eastAsia="ja-JP"/>
    </w:rPr>
  </w:style>
  <w:style w:type="paragraph" w:customStyle="1" w:styleId="78">
    <w:name w:val="Front pg Tbl left just 7 pt"/>
    <w:basedOn w:val="1"/>
    <w:link w:val="79"/>
    <w:qFormat/>
    <w:uiPriority w:val="0"/>
    <w:rPr>
      <w:snapToGrid/>
      <w:sz w:val="14"/>
      <w:szCs w:val="24"/>
    </w:rPr>
  </w:style>
  <w:style w:type="character" w:customStyle="1" w:styleId="79">
    <w:name w:val="Front pg Tbl left just 7 pt Char Char"/>
    <w:basedOn w:val="28"/>
    <w:link w:val="78"/>
    <w:qFormat/>
    <w:uiPriority w:val="0"/>
    <w:rPr>
      <w:snapToGrid/>
      <w:sz w:val="14"/>
      <w:szCs w:val="24"/>
      <w:lang w:eastAsia="ja-JP"/>
    </w:rPr>
  </w:style>
  <w:style w:type="character" w:customStyle="1" w:styleId="80">
    <w:name w:val="EFAFPColFrameText_Left2 Char"/>
    <w:basedOn w:val="28"/>
    <w:link w:val="61"/>
    <w:qFormat/>
    <w:uiPriority w:val="0"/>
    <w:rPr>
      <w:sz w:val="14"/>
      <w:szCs w:val="14"/>
    </w:rPr>
  </w:style>
  <w:style w:type="paragraph" w:customStyle="1" w:styleId="81">
    <w:name w:val="EFAAnchor"/>
    <w:basedOn w:val="42"/>
    <w:qFormat/>
    <w:uiPriority w:val="0"/>
    <w:rPr>
      <w:sz w:val="4"/>
      <w:lang w:eastAsia="zh-CN"/>
    </w:rPr>
  </w:style>
  <w:style w:type="paragraph" w:customStyle="1" w:styleId="82">
    <w:name w:val="EFAReportTitle"/>
    <w:basedOn w:val="42"/>
    <w:qFormat/>
    <w:uiPriority w:val="0"/>
    <w:rPr>
      <w:b/>
      <w:sz w:val="48"/>
    </w:rPr>
  </w:style>
  <w:style w:type="paragraph" w:customStyle="1" w:styleId="83">
    <w:name w:val="EFAM_Title"/>
    <w:basedOn w:val="42"/>
    <w:qFormat/>
    <w:uiPriority w:val="0"/>
    <w:pPr>
      <w:framePr w:wrap="around" w:vAnchor="margin" w:hAnchor="text" w:xAlign="right" w:y="1"/>
      <w:suppressOverlap/>
    </w:pPr>
    <w:rPr>
      <w:b/>
      <w:sz w:val="32"/>
      <w:szCs w:val="28"/>
    </w:rPr>
  </w:style>
  <w:style w:type="paragraph" w:customStyle="1" w:styleId="84">
    <w:name w:val="EFABullet_Indent"/>
    <w:basedOn w:val="40"/>
    <w:qFormat/>
    <w:uiPriority w:val="0"/>
    <w:pPr>
      <w:numPr>
        <w:ilvl w:val="0"/>
        <w:numId w:val="7"/>
      </w:numPr>
      <w:tabs>
        <w:tab w:val="left" w:pos="240"/>
      </w:tabs>
      <w:ind w:left="240" w:hanging="240"/>
    </w:pPr>
  </w:style>
  <w:style w:type="paragraph" w:customStyle="1" w:styleId="85">
    <w:name w:val="EFAM_Abstract"/>
    <w:basedOn w:val="40"/>
    <w:next w:val="40"/>
    <w:qFormat/>
    <w:uiPriority w:val="0"/>
  </w:style>
  <w:style w:type="paragraph" w:customStyle="1" w:styleId="86">
    <w:name w:val="EFAM_Synopsis"/>
    <w:basedOn w:val="40"/>
    <w:next w:val="40"/>
    <w:qFormat/>
    <w:uiPriority w:val="0"/>
    <w:rPr>
      <w:b/>
      <w:sz w:val="24"/>
    </w:rPr>
  </w:style>
  <w:style w:type="paragraph" w:customStyle="1" w:styleId="87">
    <w:name w:val="EFAHeading1"/>
    <w:basedOn w:val="40"/>
    <w:next w:val="40"/>
    <w:qFormat/>
    <w:uiPriority w:val="0"/>
    <w:pPr>
      <w:numPr>
        <w:ilvl w:val="0"/>
        <w:numId w:val="8"/>
      </w:numPr>
      <w:tabs>
        <w:tab w:val="left" w:pos="1044"/>
      </w:tabs>
      <w:spacing w:after="60"/>
      <w:ind w:left="0" w:firstLine="0"/>
      <w:outlineLvl w:val="0"/>
    </w:pPr>
    <w:rPr>
      <w:b/>
      <w:sz w:val="24"/>
      <w:szCs w:val="24"/>
    </w:rPr>
  </w:style>
  <w:style w:type="paragraph" w:customStyle="1" w:styleId="88">
    <w:name w:val="EFAFPCol_Hdr3"/>
    <w:link w:val="90"/>
    <w:qFormat/>
    <w:uiPriority w:val="0"/>
    <w:pPr>
      <w:framePr w:w="2980" w:h="11080" w:hRule="exact" w:hSpace="180" w:wrap="around" w:vAnchor="text" w:hAnchor="page" w:x="370" w:y="1621"/>
    </w:pPr>
    <w:rPr>
      <w:rFonts w:ascii="Calibri" w:hAnsi="Calibri" w:eastAsia="MS Mincho" w:cs="Times New Roman"/>
      <w:b/>
      <w:snapToGrid w:val="0"/>
      <w:color w:val="808080"/>
      <w:sz w:val="24"/>
      <w:szCs w:val="24"/>
      <w:lang w:val="en-US" w:eastAsia="ja-JP" w:bidi="ar-SA"/>
    </w:rPr>
  </w:style>
  <w:style w:type="paragraph" w:customStyle="1" w:styleId="89">
    <w:name w:val="EFAFPReportType2"/>
    <w:link w:val="91"/>
    <w:qFormat/>
    <w:uiPriority w:val="0"/>
    <w:pPr>
      <w:framePr w:w="10858" w:h="1520" w:hRule="exact" w:wrap="around" w:vAnchor="page" w:hAnchor="page" w:x="357" w:y="1072"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90">
    <w:name w:val="EFAFPCol_Hdr3 Char"/>
    <w:basedOn w:val="28"/>
    <w:link w:val="88"/>
    <w:qFormat/>
    <w:uiPriority w:val="0"/>
    <w:rPr>
      <w:b/>
      <w:color w:val="808080"/>
      <w:sz w:val="24"/>
      <w:szCs w:val="24"/>
      <w:lang w:eastAsia="ja-JP"/>
    </w:rPr>
  </w:style>
  <w:style w:type="character" w:customStyle="1" w:styleId="91">
    <w:name w:val="EFAFPReportType2 Char"/>
    <w:basedOn w:val="28"/>
    <w:link w:val="89"/>
    <w:qFormat/>
    <w:uiPriority w:val="0"/>
    <w:rPr>
      <w:color w:val="23558C"/>
      <w:sz w:val="44"/>
      <w:szCs w:val="44"/>
      <w:lang w:eastAsia="ja-JP"/>
    </w:rPr>
  </w:style>
  <w:style w:type="paragraph" w:customStyle="1" w:styleId="92">
    <w:name w:val="EFAFPTitle3"/>
    <w:link w:val="95"/>
    <w:qFormat/>
    <w:uiPriority w:val="0"/>
    <w:pPr>
      <w:framePr w:wrap="around" w:vAnchor="margin" w:hAnchor="text" w:xAlign="right" w:y="1"/>
      <w:suppressOverlap/>
      <w:numPr>
        <w:ilvl w:val="0"/>
        <w:numId w:val="9"/>
      </w:numPr>
      <w:ind w:left="360" w:hanging="360"/>
    </w:pPr>
    <w:rPr>
      <w:rFonts w:ascii="Calibri" w:hAnsi="Calibri" w:eastAsia="MS Mincho" w:cs="Times New Roman"/>
      <w:b/>
      <w:snapToGrid w:val="0"/>
      <w:sz w:val="44"/>
      <w:szCs w:val="60"/>
      <w:lang w:val="en-US" w:eastAsia="ja-JP" w:bidi="ar-SA"/>
    </w:rPr>
  </w:style>
  <w:style w:type="paragraph" w:customStyle="1" w:styleId="93">
    <w:name w:val="EFAFP_Headline"/>
    <w:next w:val="94"/>
    <w:link w:val="96"/>
    <w:qFormat/>
    <w:uiPriority w:val="0"/>
    <w:pPr>
      <w:numPr>
        <w:ilvl w:val="0"/>
        <w:numId w:val="10"/>
      </w:numPr>
      <w:adjustRightInd w:val="0"/>
      <w:snapToGrid w:val="0"/>
    </w:pPr>
    <w:rPr>
      <w:rFonts w:ascii="Calibri" w:hAnsi="Calibri" w:eastAsia="Times New Roman" w:cs="Times New Roman"/>
      <w:b/>
      <w:bCs/>
      <w:color w:val="23558C"/>
      <w:kern w:val="28"/>
      <w:sz w:val="28"/>
      <w:lang w:val="en-US" w:eastAsia="ja-JP" w:bidi="ar-SA"/>
    </w:rPr>
  </w:style>
  <w:style w:type="paragraph" w:customStyle="1" w:styleId="94">
    <w:name w:val="EFAFP_BodyText2"/>
    <w:link w:val="97"/>
    <w:qFormat/>
    <w:uiPriority w:val="0"/>
    <w:pPr>
      <w:adjustRightInd w:val="0"/>
      <w:snapToGrid w:val="0"/>
      <w:spacing w:after="120"/>
      <w:jc w:val="both"/>
    </w:pPr>
    <w:rPr>
      <w:rFonts w:ascii="Calibri" w:hAnsi="Calibri" w:eastAsia="Times New Roman" w:cs="PMingLiU"/>
      <w:sz w:val="22"/>
      <w:lang w:val="en-US" w:eastAsia="ja-JP" w:bidi="ar-SA"/>
    </w:rPr>
  </w:style>
  <w:style w:type="character" w:customStyle="1" w:styleId="95">
    <w:name w:val="EFAFPTitle3 Char"/>
    <w:basedOn w:val="28"/>
    <w:link w:val="92"/>
    <w:qFormat/>
    <w:uiPriority w:val="0"/>
    <w:rPr>
      <w:b/>
      <w:sz w:val="44"/>
      <w:szCs w:val="60"/>
      <w:lang w:eastAsia="ja-JP"/>
    </w:rPr>
  </w:style>
  <w:style w:type="character" w:customStyle="1" w:styleId="96">
    <w:name w:val="EFAFP_Headline Char"/>
    <w:basedOn w:val="28"/>
    <w:link w:val="93"/>
    <w:qFormat/>
    <w:uiPriority w:val="0"/>
    <w:rPr>
      <w:rFonts w:eastAsia="Times New Roman"/>
      <w:b/>
      <w:bCs/>
      <w:snapToGrid/>
      <w:color w:val="23558C"/>
      <w:kern w:val="28"/>
      <w:sz w:val="28"/>
      <w:szCs w:val="20"/>
      <w:lang w:eastAsia="ja-JP"/>
    </w:rPr>
  </w:style>
  <w:style w:type="character" w:customStyle="1" w:styleId="97">
    <w:name w:val="EFAFP_BodyText2 Char"/>
    <w:basedOn w:val="28"/>
    <w:link w:val="94"/>
    <w:qFormat/>
    <w:uiPriority w:val="0"/>
    <w:rPr>
      <w:rFonts w:eastAsia="Times New Roman" w:cs="PMingLiU"/>
      <w:snapToGrid/>
      <w:sz w:val="22"/>
      <w:szCs w:val="20"/>
      <w:lang w:eastAsia="ja-JP"/>
    </w:rPr>
  </w:style>
  <w:style w:type="character" w:customStyle="1" w:styleId="98">
    <w:name w:val="EFABlueChar"/>
    <w:qFormat/>
    <w:uiPriority w:val="1"/>
    <w:rPr>
      <w:b/>
      <w:color w:val="23508C"/>
    </w:rPr>
  </w:style>
  <w:style w:type="paragraph" w:customStyle="1" w:styleId="99">
    <w:name w:val="EFAHeading5"/>
    <w:next w:val="40"/>
    <w:qFormat/>
    <w:uiPriority w:val="0"/>
    <w:pPr>
      <w:numPr>
        <w:ilvl w:val="0"/>
        <w:numId w:val="11"/>
      </w:numPr>
      <w:adjustRightInd w:val="0"/>
      <w:snapToGrid w:val="0"/>
      <w:ind w:left="972" w:hanging="972"/>
      <w:outlineLvl w:val="0"/>
    </w:pPr>
    <w:rPr>
      <w:rFonts w:ascii="Calibri" w:hAnsi="Calibri" w:eastAsia="MS Mincho" w:cs="Times New Roman"/>
      <w:b/>
      <w:bCs/>
      <w:snapToGrid w:val="0"/>
      <w:color w:val="23558C"/>
      <w:sz w:val="24"/>
      <w:szCs w:val="24"/>
      <w:lang w:val="en-US" w:eastAsia="ja-JP" w:bidi="ar-SA"/>
    </w:rPr>
  </w:style>
  <w:style w:type="paragraph" w:customStyle="1" w:styleId="100">
    <w:name w:val="EFAMacroTitle"/>
    <w:basedOn w:val="88"/>
    <w:qFormat/>
    <w:uiPriority w:val="0"/>
    <w:pPr>
      <w:framePr w:wrap="around"/>
    </w:pPr>
  </w:style>
  <w:style w:type="character" w:customStyle="1" w:styleId="101">
    <w:name w:val="EFAFPColFrame_AnalystName2 Char"/>
    <w:basedOn w:val="80"/>
    <w:link w:val="63"/>
    <w:qFormat/>
    <w:uiPriority w:val="0"/>
    <w:rPr>
      <w:b/>
      <w:sz w:val="14"/>
      <w:szCs w:val="14"/>
    </w:rPr>
  </w:style>
  <w:style w:type="paragraph" w:customStyle="1" w:styleId="102">
    <w:name w:val="EFAFPTitle"/>
    <w:link w:val="103"/>
    <w:qFormat/>
    <w:uiPriority w:val="0"/>
    <w:pPr>
      <w:framePr w:wrap="around" w:vAnchor="margin" w:hAnchor="text" w:xAlign="right" w:y="1"/>
      <w:suppressOverlap/>
      <w:tabs>
        <w:tab w:val="left" w:pos="240"/>
      </w:tabs>
      <w:ind w:left="240" w:right="220"/>
    </w:pPr>
    <w:rPr>
      <w:rFonts w:ascii="Calibri" w:hAnsi="Calibri" w:eastAsia="MS Mincho" w:cs="Times New Roman"/>
      <w:b/>
      <w:snapToGrid w:val="0"/>
      <w:color w:val="FFFFFF"/>
      <w:sz w:val="32"/>
      <w:szCs w:val="32"/>
      <w:lang w:val="en-US" w:eastAsia="ja-JP" w:bidi="ar-SA"/>
    </w:rPr>
  </w:style>
  <w:style w:type="character" w:customStyle="1" w:styleId="103">
    <w:name w:val="EFAFPTitle Char"/>
    <w:basedOn w:val="28"/>
    <w:link w:val="102"/>
    <w:qFormat/>
    <w:uiPriority w:val="0"/>
    <w:rPr>
      <w:b/>
      <w:color w:val="FFFFFF"/>
      <w:sz w:val="32"/>
      <w:szCs w:val="32"/>
      <w:lang w:eastAsia="ja-JP"/>
    </w:rPr>
  </w:style>
  <w:style w:type="paragraph" w:customStyle="1" w:styleId="104">
    <w:name w:val="EFAFPReportType"/>
    <w:link w:val="105"/>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105">
    <w:name w:val="EFAFPReportType Char"/>
    <w:basedOn w:val="28"/>
    <w:link w:val="104"/>
    <w:qFormat/>
    <w:uiPriority w:val="0"/>
    <w:rPr>
      <w:color w:val="23558C"/>
      <w:sz w:val="44"/>
      <w:szCs w:val="44"/>
      <w:lang w:eastAsia="ja-JP"/>
    </w:rPr>
  </w:style>
  <w:style w:type="paragraph" w:customStyle="1" w:styleId="106">
    <w:name w:val="EFAFPHdrInfo2"/>
    <w:link w:val="107"/>
    <w:qFormat/>
    <w:uiPriority w:val="0"/>
    <w:pPr>
      <w:framePr w:wrap="auto" w:vAnchor="margin" w:hAnchor="text" w:xAlign="right" w:y="-239"/>
      <w:suppressOverlap/>
      <w:ind w:left="240"/>
    </w:pPr>
    <w:rPr>
      <w:rFonts w:ascii="Calibri" w:hAnsi="Calibri" w:eastAsia="MS Mincho" w:cs="Times New Roman"/>
      <w:snapToGrid w:val="0"/>
      <w:color w:val="000000"/>
      <w:szCs w:val="44"/>
      <w:lang w:val="en-US" w:eastAsia="ja-JP" w:bidi="ar-SA"/>
    </w:rPr>
  </w:style>
  <w:style w:type="character" w:customStyle="1" w:styleId="107">
    <w:name w:val="EFAFPHdrInfo2 Char"/>
    <w:basedOn w:val="28"/>
    <w:link w:val="106"/>
    <w:qFormat/>
    <w:uiPriority w:val="0"/>
    <w:rPr>
      <w:color w:val="000000"/>
      <w:sz w:val="20"/>
      <w:szCs w:val="44"/>
      <w:lang w:eastAsia="ja-JP"/>
    </w:rPr>
  </w:style>
  <w:style w:type="paragraph" w:customStyle="1" w:styleId="108">
    <w:name w:val="EFADisclaimerHiddenText"/>
    <w:link w:val="109"/>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09">
    <w:name w:val="EFADisclaimerHiddenText Char"/>
    <w:basedOn w:val="28"/>
    <w:link w:val="108"/>
    <w:qFormat/>
    <w:uiPriority w:val="0"/>
    <w:rPr>
      <w:vanish/>
      <w:color w:val="FFFFFF"/>
      <w:sz w:val="2"/>
      <w:lang w:eastAsia="ja-JP"/>
    </w:rPr>
  </w:style>
  <w:style w:type="paragraph" w:customStyle="1" w:styleId="110">
    <w:name w:val="EFAFPFooter2"/>
    <w:link w:val="111"/>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111">
    <w:name w:val="EFAFPFooter2 Char"/>
    <w:basedOn w:val="28"/>
    <w:link w:val="110"/>
    <w:qFormat/>
    <w:uiPriority w:val="0"/>
    <w:rPr>
      <w:rFonts w:cs="Arial"/>
      <w:sz w:val="21"/>
      <w:lang w:eastAsia="ja-JP"/>
    </w:rPr>
  </w:style>
  <w:style w:type="character" w:customStyle="1" w:styleId="112">
    <w:name w:val="EFADisclaimerText Char"/>
    <w:basedOn w:val="28"/>
    <w:link w:val="44"/>
    <w:qFormat/>
    <w:locked/>
    <w:uiPriority w:val="99"/>
    <w:rPr>
      <w:lang w:eastAsia="ja-JP"/>
    </w:rPr>
  </w:style>
  <w:style w:type="paragraph" w:customStyle="1" w:styleId="113">
    <w:name w:val="EFAFPColFrameText_Left"/>
    <w:basedOn w:val="1"/>
    <w:link w:val="116"/>
    <w:qFormat/>
    <w:uiPriority w:val="0"/>
    <w:pPr>
      <w:framePr w:w="3045" w:h="12844" w:hRule="exact" w:hSpace="180" w:wrap="around" w:vAnchor="page" w:hAnchor="page" w:x="336" w:y="2721" w:anchorLock="1"/>
      <w:adjustRightInd w:val="0"/>
      <w:snapToGrid w:val="0"/>
    </w:pPr>
    <w:rPr>
      <w:sz w:val="14"/>
      <w:szCs w:val="14"/>
      <w:lang w:val="en-US" w:eastAsia="zh-CN"/>
    </w:rPr>
  </w:style>
  <w:style w:type="paragraph" w:customStyle="1" w:styleId="114">
    <w:name w:val="EFAFPColFrame_AnalystName"/>
    <w:basedOn w:val="113"/>
    <w:qFormat/>
    <w:uiPriority w:val="0"/>
    <w:pPr>
      <w:framePr w:wrap="around"/>
    </w:pPr>
    <w:rPr>
      <w:b/>
      <w:sz w:val="16"/>
    </w:rPr>
  </w:style>
  <w:style w:type="paragraph" w:customStyle="1" w:styleId="115">
    <w:name w:val="EFAFPColFrameText_8pt"/>
    <w:basedOn w:val="113"/>
    <w:qFormat/>
    <w:uiPriority w:val="0"/>
    <w:pPr>
      <w:framePr w:wrap="around"/>
    </w:pPr>
    <w:rPr>
      <w:sz w:val="16"/>
    </w:rPr>
  </w:style>
  <w:style w:type="character" w:customStyle="1" w:styleId="116">
    <w:name w:val="EFAFPColFrameText_Left Char"/>
    <w:basedOn w:val="28"/>
    <w:link w:val="113"/>
    <w:qFormat/>
    <w:uiPriority w:val="0"/>
    <w:rPr>
      <w:sz w:val="14"/>
      <w:szCs w:val="14"/>
    </w:rPr>
  </w:style>
  <w:style w:type="paragraph" w:customStyle="1" w:styleId="117">
    <w:name w:val="表1"/>
    <w:basedOn w:val="1"/>
    <w:link w:val="118"/>
    <w:qFormat/>
    <w:uiPriority w:val="0"/>
    <w:pPr>
      <w:widowControl w:val="0"/>
      <w:tabs>
        <w:tab w:val="left" w:pos="3819"/>
      </w:tabs>
      <w:ind w:right="55" w:rightChars="26"/>
    </w:pPr>
    <w:rPr>
      <w:rFonts w:ascii="Arial" w:hAnsi="Arial" w:eastAsia="楷体_GB2312"/>
      <w:b/>
      <w:bCs/>
      <w:snapToGrid/>
      <w:color w:val="000000"/>
      <w:kern w:val="2"/>
      <w:sz w:val="18"/>
      <w:szCs w:val="24"/>
      <w:lang w:val="zh-CN" w:eastAsia="zh-CN"/>
    </w:rPr>
  </w:style>
  <w:style w:type="character" w:customStyle="1" w:styleId="118">
    <w:name w:val="表1 Char"/>
    <w:link w:val="117"/>
    <w:qFormat/>
    <w:uiPriority w:val="0"/>
    <w:rPr>
      <w:rFonts w:ascii="Arial" w:hAnsi="Arial" w:eastAsia="楷体_GB2312"/>
      <w:b/>
      <w:bCs/>
      <w:snapToGrid/>
      <w:color w:val="000000"/>
      <w:kern w:val="2"/>
      <w:sz w:val="18"/>
      <w:szCs w:val="24"/>
      <w:lang w:val="zh-CN" w:eastAsia="zh-CN"/>
    </w:rPr>
  </w:style>
  <w:style w:type="paragraph" w:customStyle="1" w:styleId="119">
    <w:name w:val="EFABodyText(CN)"/>
    <w:link w:val="120"/>
    <w:qFormat/>
    <w:uiPriority w:val="0"/>
    <w:pPr>
      <w:widowControl w:val="0"/>
      <w:adjustRightInd w:val="0"/>
      <w:snapToGrid w:val="0"/>
    </w:pPr>
    <w:rPr>
      <w:rFonts w:ascii="Calibri" w:hAnsi="Calibri" w:eastAsia="宋体" w:cs="Times New Roman"/>
      <w:snapToGrid w:val="0"/>
      <w:szCs w:val="16"/>
      <w:lang w:val="en-US" w:eastAsia="zh-CN" w:bidi="ar-SA"/>
    </w:rPr>
  </w:style>
  <w:style w:type="character" w:customStyle="1" w:styleId="120">
    <w:name w:val="EFABodyText(CN) Char"/>
    <w:basedOn w:val="28"/>
    <w:link w:val="119"/>
    <w:qFormat/>
    <w:uiPriority w:val="0"/>
    <w:rPr>
      <w:rFonts w:eastAsia="宋体"/>
      <w:sz w:val="20"/>
    </w:rPr>
  </w:style>
  <w:style w:type="paragraph" w:customStyle="1" w:styleId="121">
    <w:name w:val="图序号"/>
    <w:basedOn w:val="1"/>
    <w:link w:val="122"/>
    <w:qFormat/>
    <w:uiPriority w:val="0"/>
    <w:pPr>
      <w:widowControl w:val="0"/>
      <w:ind w:right="55" w:rightChars="26"/>
      <w:jc w:val="both"/>
    </w:pPr>
    <w:rPr>
      <w:rFonts w:ascii="Arial" w:hAnsi="Arial" w:eastAsia="楷体_GB2312"/>
      <w:b/>
      <w:bCs/>
      <w:snapToGrid/>
      <w:color w:val="000000"/>
      <w:kern w:val="2"/>
      <w:sz w:val="18"/>
      <w:szCs w:val="18"/>
      <w:lang w:val="zh-CN" w:eastAsia="zh-CN"/>
    </w:rPr>
  </w:style>
  <w:style w:type="character" w:customStyle="1" w:styleId="122">
    <w:name w:val="图序号 字符"/>
    <w:link w:val="121"/>
    <w:qFormat/>
    <w:uiPriority w:val="0"/>
    <w:rPr>
      <w:rFonts w:ascii="Arial" w:hAnsi="Arial" w:eastAsia="楷体_GB2312"/>
      <w:b/>
      <w:bCs/>
      <w:snapToGrid/>
      <w:color w:val="000000"/>
      <w:kern w:val="2"/>
      <w:sz w:val="18"/>
      <w:szCs w:val="18"/>
      <w:lang w:val="zh-CN" w:eastAsia="zh-CN"/>
    </w:rPr>
  </w:style>
  <w:style w:type="character" w:customStyle="1" w:styleId="123">
    <w:name w:val="标题 1 字符1"/>
    <w:link w:val="2"/>
    <w:qFormat/>
    <w:uiPriority w:val="0"/>
    <w:rPr>
      <w:rFonts w:cs="Arial"/>
      <w:b/>
      <w:bCs/>
      <w:kern w:val="32"/>
      <w:sz w:val="24"/>
      <w:szCs w:val="32"/>
      <w:lang w:val="en-GB" w:eastAsia="ja-JP"/>
    </w:rPr>
  </w:style>
  <w:style w:type="character" w:customStyle="1" w:styleId="124">
    <w:name w:val="标题 4 字符"/>
    <w:basedOn w:val="28"/>
    <w:link w:val="5"/>
    <w:qFormat/>
    <w:uiPriority w:val="0"/>
    <w:rPr>
      <w:rFonts w:ascii="Cambria" w:hAnsi="Cambria" w:eastAsia="宋体"/>
      <w:b/>
      <w:bCs/>
      <w:snapToGrid/>
      <w:kern w:val="2"/>
      <w:sz w:val="28"/>
      <w:szCs w:val="28"/>
      <w:lang w:val="zh-CN" w:eastAsia="zh-CN"/>
    </w:rPr>
  </w:style>
  <w:style w:type="character" w:customStyle="1" w:styleId="125">
    <w:name w:val="正文文本 字符"/>
    <w:basedOn w:val="28"/>
    <w:link w:val="10"/>
    <w:qFormat/>
    <w:uiPriority w:val="0"/>
    <w:rPr>
      <w:rFonts w:ascii="Times New Roman" w:hAnsi="Times New Roman" w:eastAsia="宋体"/>
      <w:snapToGrid/>
      <w:kern w:val="2"/>
      <w:sz w:val="21"/>
      <w:szCs w:val="24"/>
    </w:rPr>
  </w:style>
  <w:style w:type="character" w:customStyle="1" w:styleId="126">
    <w:name w:val="正文文本缩进 字符"/>
    <w:basedOn w:val="28"/>
    <w:link w:val="11"/>
    <w:qFormat/>
    <w:uiPriority w:val="0"/>
    <w:rPr>
      <w:rFonts w:ascii="汉仪楷体简" w:hAnsi="Times New Roman" w:eastAsia="汉仪楷体简"/>
      <w:snapToGrid/>
      <w:color w:val="000000"/>
      <w:sz w:val="18"/>
    </w:rPr>
  </w:style>
  <w:style w:type="character" w:customStyle="1" w:styleId="127">
    <w:name w:val="正文文本 2 字符"/>
    <w:basedOn w:val="28"/>
    <w:link w:val="23"/>
    <w:qFormat/>
    <w:uiPriority w:val="0"/>
    <w:rPr>
      <w:rFonts w:ascii="Times New Roman" w:hAnsi="Times New Roman" w:eastAsia="汉仪楷体简"/>
      <w:snapToGrid/>
      <w:sz w:val="18"/>
      <w:szCs w:val="24"/>
    </w:rPr>
  </w:style>
  <w:style w:type="character" w:customStyle="1" w:styleId="128">
    <w:name w:val="正文文本 3 字符"/>
    <w:basedOn w:val="28"/>
    <w:link w:val="9"/>
    <w:qFormat/>
    <w:uiPriority w:val="0"/>
    <w:rPr>
      <w:rFonts w:ascii="汉仪楷体简" w:hAnsi="Times New Roman" w:eastAsia="汉仪楷体简"/>
      <w:snapToGrid/>
      <w:color w:val="000000"/>
      <w:sz w:val="18"/>
    </w:rPr>
  </w:style>
  <w:style w:type="character" w:customStyle="1" w:styleId="129">
    <w:name w:val="正文文本缩进 2 字符"/>
    <w:basedOn w:val="28"/>
    <w:link w:val="15"/>
    <w:qFormat/>
    <w:uiPriority w:val="0"/>
    <w:rPr>
      <w:rFonts w:ascii="楷体_GB2312" w:hAnsi="Times New Roman" w:eastAsia="楷体_GB2312"/>
      <w:snapToGrid/>
      <w:sz w:val="24"/>
      <w:szCs w:val="24"/>
    </w:rPr>
  </w:style>
  <w:style w:type="character" w:customStyle="1" w:styleId="130">
    <w:name w:val="正文文本缩进 3 字符"/>
    <w:basedOn w:val="28"/>
    <w:link w:val="20"/>
    <w:qFormat/>
    <w:uiPriority w:val="0"/>
    <w:rPr>
      <w:rFonts w:ascii="楷体_GB2312" w:hAnsi="Times New Roman" w:eastAsia="楷体_GB2312"/>
      <w:snapToGrid/>
      <w:color w:val="000000"/>
      <w:kern w:val="2"/>
      <w:sz w:val="24"/>
      <w:szCs w:val="24"/>
    </w:rPr>
  </w:style>
  <w:style w:type="character" w:customStyle="1" w:styleId="131">
    <w:name w:val="日期 字符"/>
    <w:basedOn w:val="28"/>
    <w:link w:val="14"/>
    <w:qFormat/>
    <w:uiPriority w:val="0"/>
    <w:rPr>
      <w:rFonts w:ascii="宋体" w:hAnsi="Times New Roman" w:eastAsia="宋体"/>
      <w:snapToGrid/>
      <w:kern w:val="2"/>
      <w:sz w:val="28"/>
      <w:szCs w:val="20"/>
    </w:rPr>
  </w:style>
  <w:style w:type="character" w:customStyle="1" w:styleId="132">
    <w:name w:val="style12"/>
    <w:basedOn w:val="28"/>
    <w:qFormat/>
    <w:uiPriority w:val="0"/>
  </w:style>
  <w:style w:type="character" w:customStyle="1" w:styleId="133">
    <w:name w:val="style13"/>
    <w:basedOn w:val="28"/>
    <w:qFormat/>
    <w:uiPriority w:val="0"/>
  </w:style>
  <w:style w:type="paragraph" w:customStyle="1" w:styleId="134">
    <w:name w:val="默认段落字体 Para Char Char Char Char Char Char 字元 Char"/>
    <w:basedOn w:val="1"/>
    <w:qFormat/>
    <w:uiPriority w:val="0"/>
    <w:pPr>
      <w:widowControl w:val="0"/>
      <w:tabs>
        <w:tab w:val="left" w:pos="840"/>
      </w:tabs>
      <w:ind w:left="840" w:hanging="360"/>
      <w:jc w:val="both"/>
    </w:pPr>
    <w:rPr>
      <w:rFonts w:ascii="Times New Roman" w:hAnsi="Times New Roman" w:eastAsia="宋体"/>
      <w:snapToGrid/>
      <w:kern w:val="2"/>
      <w:sz w:val="24"/>
      <w:szCs w:val="24"/>
      <w:lang w:val="en-US" w:eastAsia="zh-CN"/>
    </w:rPr>
  </w:style>
  <w:style w:type="paragraph" w:customStyle="1" w:styleId="135">
    <w:name w:val="二级目录"/>
    <w:basedOn w:val="12"/>
    <w:qFormat/>
    <w:uiPriority w:val="0"/>
    <w:pPr>
      <w:spacing w:before="240" w:beforeLines="100" w:after="240" w:afterLines="100" w:line="320" w:lineRule="exact"/>
      <w:ind w:left="2977" w:leftChars="0" w:right="0" w:rightChars="0" w:firstLine="0"/>
    </w:pPr>
    <w:rPr>
      <w:rFonts w:eastAsia="楷体_GB2312"/>
      <w:b/>
      <w:color w:val="000080"/>
      <w:sz w:val="24"/>
    </w:rPr>
  </w:style>
  <w:style w:type="character" w:customStyle="1" w:styleId="136">
    <w:name w:val="批注文字 字符"/>
    <w:basedOn w:val="28"/>
    <w:link w:val="8"/>
    <w:qFormat/>
    <w:uiPriority w:val="0"/>
    <w:rPr>
      <w:rFonts w:ascii="Times New Roman" w:hAnsi="Times New Roman" w:eastAsia="宋体"/>
      <w:snapToGrid/>
      <w:kern w:val="2"/>
      <w:sz w:val="21"/>
      <w:szCs w:val="24"/>
      <w:lang w:val="zh-CN" w:eastAsia="zh-CN"/>
    </w:rPr>
  </w:style>
  <w:style w:type="character" w:customStyle="1" w:styleId="137">
    <w:name w:val="批注主题 字符"/>
    <w:basedOn w:val="136"/>
    <w:link w:val="25"/>
    <w:qFormat/>
    <w:uiPriority w:val="0"/>
    <w:rPr>
      <w:rFonts w:ascii="Times New Roman" w:hAnsi="Times New Roman" w:eastAsia="宋体"/>
      <w:b/>
      <w:bCs/>
      <w:snapToGrid/>
      <w:kern w:val="2"/>
      <w:sz w:val="21"/>
      <w:szCs w:val="24"/>
      <w:lang w:val="zh-CN" w:eastAsia="zh-CN"/>
    </w:rPr>
  </w:style>
  <w:style w:type="paragraph" w:customStyle="1" w:styleId="138">
    <w:name w:val="HUS封面正文"/>
    <w:qFormat/>
    <w:uiPriority w:val="0"/>
    <w:pPr>
      <w:numPr>
        <w:ilvl w:val="0"/>
        <w:numId w:val="12"/>
      </w:numPr>
      <w:spacing w:after="120"/>
      <w:jc w:val="both"/>
    </w:pPr>
    <w:rPr>
      <w:rFonts w:ascii="Arial" w:hAnsi="Arial" w:eastAsia="楷体_GB2312" w:cs="Times New Roman"/>
      <w:kern w:val="2"/>
      <w:lang w:val="en-US" w:eastAsia="zh-CN" w:bidi="ar-SA"/>
    </w:rPr>
  </w:style>
  <w:style w:type="paragraph" w:customStyle="1" w:styleId="139">
    <w:name w:val="Default"/>
    <w:qFormat/>
    <w:uiPriority w:val="0"/>
    <w:pPr>
      <w:widowControl w:val="0"/>
      <w:autoSpaceDE w:val="0"/>
      <w:autoSpaceDN w:val="0"/>
      <w:adjustRightInd w:val="0"/>
    </w:pPr>
    <w:rPr>
      <w:rFonts w:ascii="楷体_GB2312" w:hAnsi="Times New Roman" w:eastAsia="楷体_GB2312" w:cs="楷体_GB2312"/>
      <w:color w:val="000000"/>
      <w:sz w:val="24"/>
      <w:szCs w:val="24"/>
      <w:lang w:val="en-US" w:eastAsia="zh-CN" w:bidi="ar-SA"/>
    </w:rPr>
  </w:style>
  <w:style w:type="character" w:customStyle="1" w:styleId="140">
    <w:name w:val="标题 3 字符"/>
    <w:link w:val="4"/>
    <w:qFormat/>
    <w:uiPriority w:val="0"/>
    <w:rPr>
      <w:rFonts w:cs="Arial"/>
      <w:b/>
      <w:bCs/>
      <w:szCs w:val="26"/>
      <w:lang w:val="en-GB" w:eastAsia="ja-JP"/>
    </w:rPr>
  </w:style>
  <w:style w:type="paragraph" w:customStyle="1" w:styleId="141">
    <w:name w:val="国泰君安题注"/>
    <w:basedOn w:val="1"/>
    <w:qFormat/>
    <w:uiPriority w:val="0"/>
    <w:pPr>
      <w:widowControl w:val="0"/>
      <w:jc w:val="both"/>
    </w:pPr>
    <w:rPr>
      <w:rFonts w:ascii="Times New Roman" w:hAnsi="Times New Roman" w:eastAsia="楷体_GB2312" w:cs="宋体"/>
      <w:b/>
      <w:bCs/>
      <w:snapToGrid/>
      <w:kern w:val="2"/>
      <w:sz w:val="21"/>
      <w:szCs w:val="20"/>
      <w:lang w:val="en-US" w:eastAsia="zh-CN"/>
    </w:rPr>
  </w:style>
  <w:style w:type="paragraph" w:customStyle="1" w:styleId="142">
    <w:name w:val="国泰君安报告正文"/>
    <w:basedOn w:val="1"/>
    <w:qFormat/>
    <w:uiPriority w:val="0"/>
    <w:pPr>
      <w:widowControl w:val="0"/>
      <w:jc w:val="both"/>
    </w:pPr>
    <w:rPr>
      <w:rFonts w:ascii="Times New Roman" w:hAnsi="Times New Roman" w:eastAsia="楷体_GB2312" w:cs="宋体"/>
      <w:snapToGrid/>
      <w:kern w:val="2"/>
      <w:sz w:val="21"/>
      <w:szCs w:val="20"/>
      <w:lang w:val="en-US" w:eastAsia="zh-CN"/>
    </w:rPr>
  </w:style>
  <w:style w:type="paragraph" w:customStyle="1" w:styleId="143">
    <w:name w:val="国泰君安数据来源"/>
    <w:basedOn w:val="142"/>
    <w:qFormat/>
    <w:uiPriority w:val="0"/>
    <w:rPr>
      <w:sz w:val="18"/>
    </w:rPr>
  </w:style>
  <w:style w:type="paragraph" w:customStyle="1" w:styleId="144">
    <w:name w:val="表"/>
    <w:basedOn w:val="1"/>
    <w:qFormat/>
    <w:uiPriority w:val="0"/>
    <w:pPr>
      <w:widowControl w:val="0"/>
    </w:pPr>
    <w:rPr>
      <w:rFonts w:ascii="Arial" w:hAnsi="Arial" w:eastAsia="楷体_GB2312" w:cs="宋体"/>
      <w:b/>
      <w:bCs/>
      <w:snapToGrid/>
      <w:color w:val="000000"/>
      <w:kern w:val="2"/>
      <w:sz w:val="18"/>
      <w:szCs w:val="20"/>
      <w:lang w:val="en-US" w:eastAsia="zh-CN"/>
    </w:rPr>
  </w:style>
  <w:style w:type="character" w:customStyle="1" w:styleId="145">
    <w:name w:val="标题 1 字符"/>
    <w:qFormat/>
    <w:uiPriority w:val="0"/>
    <w:rPr>
      <w:rFonts w:eastAsia="楷体_GB2312"/>
      <w:b/>
      <w:bCs/>
      <w:color w:val="000080"/>
      <w:sz w:val="30"/>
      <w:szCs w:val="24"/>
    </w:rPr>
  </w:style>
  <w:style w:type="table" w:customStyle="1" w:styleId="146">
    <w:name w:val="网格表 2 - 着色 11"/>
    <w:basedOn w:val="26"/>
    <w:qFormat/>
    <w:uiPriority w:val="47"/>
    <w:tblPr>
      <w:tblBorders>
        <w:top w:val="single" w:color="8EAADB" w:sz="2" w:space="0"/>
        <w:bottom w:val="single" w:color="8EAADB" w:sz="2" w:space="0"/>
        <w:insideH w:val="single" w:color="8EAADB" w:sz="2" w:space="0"/>
        <w:insideV w:val="single" w:color="8EAADB" w:sz="2" w:space="0"/>
      </w:tblBorders>
    </w:tblPr>
    <w:tblStylePr w:type="firstRow">
      <w:rPr>
        <w:b/>
        <w:bCs/>
      </w:rPr>
      <w:tcPr>
        <w:tcBorders>
          <w:top w:val="nil"/>
          <w:bottom w:val="single" w:color="8EAADB" w:sz="12" w:space="0"/>
          <w:insideH w:val="nil"/>
          <w:insideV w:val="nil"/>
        </w:tcBorders>
        <w:shd w:val="clear" w:color="auto" w:fill="FFFFFF"/>
      </w:tcPr>
    </w:tblStylePr>
    <w:tblStylePr w:type="lastRow">
      <w:rPr>
        <w:b/>
        <w:bCs/>
      </w:rPr>
      <w:tcPr>
        <w:tcBorders>
          <w:top w:val="double" w:color="8EAADB"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147">
    <w:name w:val="网格表 3 - 着色 31"/>
    <w:basedOn w:val="26"/>
    <w:qFormat/>
    <w:uiPriority w:val="48"/>
    <w:tblP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rPr>
      <w:tcPr>
        <w:tcBorders>
          <w:top w:val="nil"/>
          <w:left w:val="nil"/>
          <w:right w:val="nil"/>
          <w:insideH w:val="nil"/>
          <w:insideV w:val="nil"/>
        </w:tcBorders>
        <w:shd w:val="clear" w:color="auto" w:fill="FFFFFF"/>
      </w:tcPr>
    </w:tblStylePr>
    <w:tblStylePr w:type="lastRow">
      <w:rPr>
        <w:b/>
        <w:bCs/>
      </w:rPr>
      <w:tcPr>
        <w:tcBorders>
          <w:left w:val="nil"/>
          <w:bottom w:val="nil"/>
          <w:right w:val="nil"/>
          <w:insideH w:val="nil"/>
          <w:insideV w:val="nil"/>
        </w:tcBorders>
        <w:shd w:val="clear" w:color="auto" w:fill="FFFFFF"/>
      </w:tcPr>
    </w:tblStylePr>
    <w:tblStylePr w:type="firstCol">
      <w:pPr>
        <w:jc w:val="right"/>
      </w:pPr>
      <w:rPr>
        <w:i/>
        <w:iCs/>
      </w:rPr>
      <w:tcPr>
        <w:tcBorders>
          <w:top w:val="nil"/>
          <w:left w:val="nil"/>
          <w:bottom w:val="nil"/>
          <w:insideH w:val="nil"/>
          <w:insideV w:val="nil"/>
        </w:tcBorders>
        <w:shd w:val="clear" w:color="auto" w:fill="FFFFFF"/>
      </w:tcPr>
    </w:tblStylePr>
    <w:tblStylePr w:type="lastCol">
      <w:rPr>
        <w:i/>
        <w:iCs/>
      </w:rPr>
      <w:tcPr>
        <w:tcBorders>
          <w:top w:val="nil"/>
          <w:bottom w:val="nil"/>
          <w:right w:val="nil"/>
          <w:insideH w:val="nil"/>
          <w:insideV w:val="nil"/>
        </w:tcBorders>
        <w:shd w:val="clear" w:color="auto" w:fill="FFFFFF"/>
      </w:tcPr>
    </w:tblStylePr>
    <w:tblStylePr w:type="band1Vert">
      <w:tcPr>
        <w:shd w:val="clear" w:color="auto" w:fill="EDEDED"/>
      </w:tcPr>
    </w:tblStylePr>
    <w:tblStylePr w:type="band1Horz">
      <w:tcPr>
        <w:shd w:val="clear" w:color="auto" w:fill="EDEDED"/>
      </w:tcPr>
    </w:tblStylePr>
    <w:tblStylePr w:type="neCell">
      <w:tcPr>
        <w:tcBorders>
          <w:bottom w:val="single" w:color="C9C9C9" w:sz="4" w:space="0"/>
        </w:tcBorders>
      </w:tcPr>
    </w:tblStylePr>
    <w:tblStylePr w:type="nwCell">
      <w:tcPr>
        <w:tcBorders>
          <w:bottom w:val="single" w:color="C9C9C9" w:sz="4" w:space="0"/>
        </w:tcBorders>
      </w:tcPr>
    </w:tblStylePr>
    <w:tblStylePr w:type="seCell">
      <w:tcPr>
        <w:tcBorders>
          <w:top w:val="single" w:color="C9C9C9" w:sz="4" w:space="0"/>
        </w:tcBorders>
      </w:tcPr>
    </w:tblStylePr>
    <w:tblStylePr w:type="swCell">
      <w:tcPr>
        <w:tcBorders>
          <w:top w:val="single" w:color="C9C9C9" w:sz="4" w:space="0"/>
        </w:tcBorders>
      </w:tcPr>
    </w:tblStylePr>
  </w:style>
  <w:style w:type="table" w:customStyle="1" w:styleId="148">
    <w:name w:val="网格表 2 - 着色 51"/>
    <w:basedOn w:val="26"/>
    <w:qFormat/>
    <w:uiPriority w:val="47"/>
    <w:tblPr>
      <w:tblBorders>
        <w:top w:val="single" w:color="9CC2E5" w:sz="2" w:space="0"/>
        <w:bottom w:val="single" w:color="9CC2E5" w:sz="2" w:space="0"/>
        <w:insideH w:val="single" w:color="9CC2E5" w:sz="2" w:space="0"/>
        <w:insideV w:val="single" w:color="9CC2E5" w:sz="2" w:space="0"/>
      </w:tblBorders>
    </w:tblPr>
    <w:tblStylePr w:type="firstRow">
      <w:rPr>
        <w:b/>
        <w:bCs/>
      </w:rPr>
      <w:tcPr>
        <w:tcBorders>
          <w:top w:val="nil"/>
          <w:bottom w:val="single" w:color="9CC2E5" w:sz="12" w:space="0"/>
          <w:insideH w:val="nil"/>
          <w:insideV w:val="nil"/>
        </w:tcBorders>
        <w:shd w:val="clear" w:color="auto" w:fill="FFFFFF"/>
      </w:tcPr>
    </w:tblStylePr>
    <w:tblStylePr w:type="lastRow">
      <w:rPr>
        <w:b/>
        <w:bCs/>
      </w:rPr>
      <w:tcPr>
        <w:tcBorders>
          <w:top w:val="double" w:color="9CC2E5"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149">
    <w:name w:val="清单表 1 浅色 - 着色 51"/>
    <w:basedOn w:val="26"/>
    <w:qFormat/>
    <w:uiPriority w:val="46"/>
    <w:tblStylePr w:type="firstRow">
      <w:rPr>
        <w:b/>
        <w:bCs/>
      </w:rPr>
      <w:tcPr>
        <w:tcBorders>
          <w:bottom w:val="single" w:color="9CC2E5" w:sz="4" w:space="0"/>
        </w:tcBorders>
      </w:tcPr>
    </w:tblStylePr>
    <w:tblStylePr w:type="lastRow">
      <w:rPr>
        <w:b/>
        <w:bCs/>
      </w:rPr>
      <w:tcPr>
        <w:tcBorders>
          <w:top w:val="single" w:color="9CC2E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paragraph" w:customStyle="1" w:styleId="150">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lang w:val="en-US" w:eastAsia="zh-CN"/>
    </w:rPr>
  </w:style>
  <w:style w:type="paragraph" w:customStyle="1" w:styleId="151">
    <w:name w:val="EFAFPHdrInfo"/>
    <w:link w:val="152"/>
    <w:qFormat/>
    <w:uiPriority w:val="0"/>
    <w:pPr>
      <w:framePr w:wrap="around" w:vAnchor="margin" w:hAnchor="text" w:xAlign="right" w:y="1"/>
      <w:suppressOverlap/>
      <w:ind w:left="240"/>
    </w:pPr>
    <w:rPr>
      <w:rFonts w:ascii="Calibri" w:hAnsi="Calibri" w:eastAsia="MS Mincho" w:cs="Times New Roman"/>
      <w:b/>
      <w:bCs/>
      <w:snapToGrid w:val="0"/>
      <w:color w:val="000000"/>
      <w:sz w:val="32"/>
      <w:szCs w:val="32"/>
      <w:lang w:val="en-US" w:eastAsia="ja-JP" w:bidi="ar-SA"/>
    </w:rPr>
  </w:style>
  <w:style w:type="character" w:customStyle="1" w:styleId="152">
    <w:name w:val="EFAFPHdrInfo Char"/>
    <w:basedOn w:val="105"/>
    <w:link w:val="151"/>
    <w:qFormat/>
    <w:uiPriority w:val="0"/>
    <w:rPr>
      <w:b/>
      <w:bCs/>
      <w:color w:val="000000"/>
      <w:sz w:val="32"/>
      <w:szCs w:val="32"/>
      <w:lang w:eastAsia="ja-JP"/>
    </w:rPr>
  </w:style>
  <w:style w:type="paragraph" w:customStyle="1" w:styleId="153">
    <w:name w:val="EFAFPTitle6"/>
    <w:link w:val="154"/>
    <w:qFormat/>
    <w:uiPriority w:val="0"/>
    <w:rPr>
      <w:rFonts w:ascii="Calibri" w:hAnsi="Calibri" w:eastAsia="MS Mincho" w:cs="Times New Roman"/>
      <w:b/>
      <w:bCs/>
      <w:snapToGrid w:val="0"/>
      <w:color w:val="FFFFFF"/>
      <w:sz w:val="32"/>
      <w:lang w:val="en-US" w:eastAsia="ja-JP" w:bidi="ar-SA"/>
    </w:rPr>
  </w:style>
  <w:style w:type="character" w:customStyle="1" w:styleId="154">
    <w:name w:val="EFAFPTitle6 Char"/>
    <w:basedOn w:val="28"/>
    <w:link w:val="153"/>
    <w:qFormat/>
    <w:uiPriority w:val="0"/>
    <w:rPr>
      <w:b/>
      <w:bCs/>
      <w:color w:val="FFFFFF"/>
      <w:sz w:val="32"/>
      <w:szCs w:val="20"/>
      <w:lang w:eastAsia="ja-JP"/>
    </w:rPr>
  </w:style>
  <w:style w:type="table" w:customStyle="1" w:styleId="155">
    <w:name w:val="Common"/>
    <w:basedOn w:val="27"/>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4.jpeg"/><Relationship Id="rId16" Type="http://schemas.openxmlformats.org/officeDocument/2006/relationships/image" Target="media/image3.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houlinhong\AppData\Roaming\EFA\Macro%20note%20-%20HTI.dotx" TargetMode="External"/></Relationships>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23558C">
            <a:alpha val="90000"/>
          </a:srgbClr>
        </a:solidFill>
        <a:ln>
          <a:noFill/>
        </a:ln>
        <a:effectLst>
          <a:softEdge rad="0"/>
        </a:effectLst>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897B2F-D567-4463-8BC9-F5D2ABA75856}">
  <ds:schemaRefs/>
</ds:datastoreItem>
</file>

<file path=docProps/app.xml><?xml version="1.0" encoding="utf-8"?>
<Properties xmlns="http://schemas.openxmlformats.org/officeDocument/2006/extended-properties" xmlns:vt="http://schemas.openxmlformats.org/officeDocument/2006/docPropsVTypes">
  <Template>Macro note - HTI</Template>
  <Company>Japaninvest</Company>
  <Pages>6</Pages>
  <Words>5550</Words>
  <Characters>13164</Characters>
  <Lines>176</Lines>
  <Paragraphs>93</Paragraphs>
  <TotalTime>1</TotalTime>
  <ScaleCrop>false</ScaleCrop>
  <LinksUpToDate>false</LinksUpToDate>
  <CharactersWithSpaces>14713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2021-05-17T12:05:00Z</dcterms:created>
  <dc:creator>zhoulinhong</dc:creator>
  <cp:lastModifiedBy>微信用户</cp:lastModifiedBy>
  <cp:lastPrinted>2019-08-10T16:02:00Z</cp:lastPrinted>
  <dcterms:modified xsi:type="dcterms:W3CDTF">2026-02-24T10:38:39Z</dcterms:modified>
  <dc:title>Sector note</dc:title>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DisclaimerHiddenTextStyle">
    <vt:lpwstr>EFADisclaimerHiddenText</vt:lpwstr>
  </property>
  <property fmtid="{D5CDD505-2E9C-101B-9397-08002B2CF9AE}" pid="3" name="EFADisclaimerTextStyle">
    <vt:lpwstr>EFADisclaimerText</vt:lpwstr>
  </property>
  <property fmtid="{D5CDD505-2E9C-101B-9397-08002B2CF9AE}" pid="4" name="EFADocTemplateVer">
    <vt:lpwstr>HaiTong</vt:lpwstr>
  </property>
  <property fmtid="{D5CDD505-2E9C-101B-9397-08002B2CF9AE}" pid="5" name="EFALanguageID">
    <vt:lpwstr>2057</vt:lpwstr>
  </property>
  <property fmtid="{D5CDD505-2E9C-101B-9397-08002B2CF9AE}" pid="6" name="EFATemplate">
    <vt:lpwstr>Macro note - HTI.dotx</vt:lpwstr>
  </property>
  <property fmtid="{D5CDD505-2E9C-101B-9397-08002B2CF9AE}" pid="7" name="EFATemplateID">
    <vt:lpwstr>203</vt:lpwstr>
  </property>
  <property fmtid="{D5CDD505-2E9C-101B-9397-08002B2CF9AE}" pid="8" name="EFACorpID">
    <vt:lpwstr>-1</vt:lpwstr>
  </property>
  <property fmtid="{D5CDD505-2E9C-101B-9397-08002B2CF9AE}" pid="9" name="EFACoName">
    <vt:lpwstr/>
  </property>
  <property fmtid="{D5CDD505-2E9C-101B-9397-08002B2CF9AE}" pid="10" name="EFAModel">
    <vt:lpwstr/>
  </property>
  <property fmtid="{D5CDD505-2E9C-101B-9397-08002B2CF9AE}" pid="11" name="EFADevData">
    <vt:lpwstr>0</vt:lpwstr>
  </property>
  <property fmtid="{D5CDD505-2E9C-101B-9397-08002B2CF9AE}" pid="12" name="EFAUnits">
    <vt:lpwstr>Use Default</vt:lpwstr>
  </property>
  <property fmtid="{D5CDD505-2E9C-101B-9397-08002B2CF9AE}" pid="13" name="EFAStartYear">
    <vt:lpwstr>0</vt:lpwstr>
  </property>
  <property fmtid="{D5CDD505-2E9C-101B-9397-08002B2CF9AE}" pid="14" name="EFADefaultPriceDate">
    <vt:lpwstr>-1</vt:lpwstr>
  </property>
  <property fmtid="{D5CDD505-2E9C-101B-9397-08002B2CF9AE}" pid="15" name="EFAPriceDate">
    <vt:lpwstr>20190727 00:00:00</vt:lpwstr>
  </property>
  <property fmtid="{D5CDD505-2E9C-101B-9397-08002B2CF9AE}" pid="16" name="EFADocID">
    <vt:lpwstr>38659</vt:lpwstr>
  </property>
  <property fmtid="{D5CDD505-2E9C-101B-9397-08002B2CF9AE}" pid="17" name="EFALastRefreshDate">
    <vt:lpwstr>20190728 11:52:34</vt:lpwstr>
  </property>
  <property fmtid="{D5CDD505-2E9C-101B-9397-08002B2CF9AE}" pid="18" name="EFAUserID">
    <vt:lpwstr>2100</vt:lpwstr>
  </property>
  <property fmtid="{D5CDD505-2E9C-101B-9397-08002B2CF9AE}" pid="19" name="EFAAccountID">
    <vt:lpwstr>1010</vt:lpwstr>
  </property>
  <property fmtid="{D5CDD505-2E9C-101B-9397-08002B2CF9AE}" pid="20" name="EFAExcelVersion">
    <vt:lpwstr>14</vt:lpwstr>
  </property>
  <property fmtid="{D5CDD505-2E9C-101B-9397-08002B2CF9AE}" pid="21" name="EFAWordVersion">
    <vt:lpwstr>14</vt:lpwstr>
  </property>
  <property fmtid="{D5CDD505-2E9C-101B-9397-08002B2CF9AE}" pid="22" name="EFAUseIntTables">
    <vt:lpwstr>0</vt:lpwstr>
  </property>
  <property fmtid="{D5CDD505-2E9C-101B-9397-08002B2CF9AE}" pid="23" name="EFAIntStartYear">
    <vt:lpwstr>0</vt:lpwstr>
  </property>
  <property fmtid="{D5CDD505-2E9C-101B-9397-08002B2CF9AE}" pid="24" name="EFAIntEndYear">
    <vt:lpwstr>0</vt:lpwstr>
  </property>
  <property fmtid="{D5CDD505-2E9C-101B-9397-08002B2CF9AE}" pid="25" name="EFAFirstIntOffset">
    <vt:lpwstr>1</vt:lpwstr>
  </property>
  <property fmtid="{D5CDD505-2E9C-101B-9397-08002B2CF9AE}" pid="26" name="EFAIntPeriodNumber">
    <vt:lpwstr>0</vt:lpwstr>
  </property>
  <property fmtid="{D5CDD505-2E9C-101B-9397-08002B2CF9AE}" pid="27" name="EFASectorID">
    <vt:lpwstr/>
  </property>
  <property fmtid="{D5CDD505-2E9C-101B-9397-08002B2CF9AE}" pid="28" name="EFAIndustryID">
    <vt:lpwstr/>
  </property>
  <property fmtid="{D5CDD505-2E9C-101B-9397-08002B2CF9AE}" pid="29" name="EFAMarket">
    <vt:lpwstr>HK</vt:lpwstr>
  </property>
  <property fmtid="{D5CDD505-2E9C-101B-9397-08002B2CF9AE}" pid="30" name="EFASecurityIndex">
    <vt:lpwstr>0</vt:lpwstr>
  </property>
  <property fmtid="{D5CDD505-2E9C-101B-9397-08002B2CF9AE}" pid="31" name="EFASecurityID">
    <vt:lpwstr/>
  </property>
  <property fmtid="{D5CDD505-2E9C-101B-9397-08002B2CF9AE}" pid="32" name="EFAAnnualise">
    <vt:lpwstr>0</vt:lpwstr>
  </property>
  <property fmtid="{D5CDD505-2E9C-101B-9397-08002B2CF9AE}" pid="33" name="EFAAnnMonth">
    <vt:lpwstr>12</vt:lpwstr>
  </property>
  <property fmtid="{D5CDD505-2E9C-101B-9397-08002B2CF9AE}" pid="34" name="EFACompCorpIDs">
    <vt:lpwstr/>
  </property>
  <property fmtid="{D5CDD505-2E9C-101B-9397-08002B2CF9AE}" pid="35" name="EFACompCorpNames">
    <vt:lpwstr/>
  </property>
  <property fmtid="{D5CDD505-2E9C-101B-9397-08002B2CF9AE}" pid="36" name="EFACoShortName">
    <vt:lpwstr/>
  </property>
  <property fmtid="{D5CDD505-2E9C-101B-9397-08002B2CF9AE}" pid="37" name="EFACompCorpShortNames">
    <vt:lpwstr/>
  </property>
  <property fmtid="{D5CDD505-2E9C-101B-9397-08002B2CF9AE}" pid="38" name="EFACorpMentionIDs">
    <vt:lpwstr/>
  </property>
  <property fmtid="{D5CDD505-2E9C-101B-9397-08002B2CF9AE}" pid="39" name="EFACorpMentionNames">
    <vt:lpwstr/>
  </property>
  <property fmtid="{D5CDD505-2E9C-101B-9397-08002B2CF9AE}" pid="40" name="EFACorpMentionShortNames">
    <vt:lpwstr/>
  </property>
  <property fmtid="{D5CDD505-2E9C-101B-9397-08002B2CF9AE}" pid="41" name="EFAAuthorIDs">
    <vt:lpwstr>2081</vt:lpwstr>
  </property>
  <property fmtid="{D5CDD505-2E9C-101B-9397-08002B2CF9AE}" pid="42" name="EFAAuthorNames">
    <vt:lpwstr>Andy So, CFA</vt:lpwstr>
  </property>
  <property fmtid="{D5CDD505-2E9C-101B-9397-08002B2CF9AE}" pid="43" name="EFAAuthorEmails">
    <vt:lpwstr>andy.cy.so@htisec.com</vt:lpwstr>
  </property>
  <property fmtid="{D5CDD505-2E9C-101B-9397-08002B2CF9AE}" pid="44" name="EFAAuthorPhones">
    <vt:lpwstr/>
  </property>
  <property fmtid="{D5CDD505-2E9C-101B-9397-08002B2CF9AE}" pid="45" name="EFAAuthorJobTitles">
    <vt:lpwstr/>
  </property>
  <property fmtid="{D5CDD505-2E9C-101B-9397-08002B2CF9AE}" pid="46" name="EFAPageCount">
    <vt:lpwstr>14</vt:lpwstr>
  </property>
  <property fmtid="{D5CDD505-2E9C-101B-9397-08002B2CF9AE}" pid="47" name="date">
    <vt:lpwstr>30 Jun 2020</vt:lpwstr>
  </property>
  <property fmtid="{D5CDD505-2E9C-101B-9397-08002B2CF9AE}" pid="48" name="languageType">
    <vt:lpwstr>1</vt:lpwstr>
  </property>
  <property fmtid="{D5CDD505-2E9C-101B-9397-08002B2CF9AE}" pid="49" name="reporttype">
    <vt:lpwstr>3</vt:lpwstr>
  </property>
  <property fmtid="{D5CDD505-2E9C-101B-9397-08002B2CF9AE}" pid="50" name="versiontype">
    <vt:lpwstr>HTI_Macro_CN</vt:lpwstr>
  </property>
  <property fmtid="{D5CDD505-2E9C-101B-9397-08002B2CF9AE}" pid="51" name="version">
    <vt:lpwstr>1.0</vt:lpwstr>
  </property>
  <property fmtid="{D5CDD505-2E9C-101B-9397-08002B2CF9AE}" pid="52" name="typeId">
    <vt:lpwstr>3</vt:lpwstr>
  </property>
  <property fmtid="{D5CDD505-2E9C-101B-9397-08002B2CF9AE}" pid="53" name="reporttitle">
    <vt:lpwstr/>
  </property>
  <property fmtid="{D5CDD505-2E9C-101B-9397-08002B2CF9AE}" pid="54" name="regionCn">
    <vt:lpwstr>中国</vt:lpwstr>
  </property>
  <property fmtid="{D5CDD505-2E9C-101B-9397-08002B2CF9AE}" pid="55" name="regionEn">
    <vt:lpwstr>China</vt:lpwstr>
  </property>
  <property fmtid="{D5CDD505-2E9C-101B-9397-08002B2CF9AE}" pid="56" name="analysts">
    <vt:lpwstr>System.Collections.ArrayList</vt:lpwstr>
  </property>
  <property fmtid="{D5CDD505-2E9C-101B-9397-08002B2CF9AE}" pid="57" name="typeName">
    <vt:lpwstr>Macro</vt:lpwstr>
  </property>
  <property fmtid="{D5CDD505-2E9C-101B-9397-08002B2CF9AE}" pid="58" name="analystids">
    <vt:lpwstr>3,117</vt:lpwstr>
  </property>
  <property fmtid="{D5CDD505-2E9C-101B-9397-08002B2CF9AE}" pid="59" name="reportid">
    <vt:lpwstr/>
  </property>
  <property fmtid="{D5CDD505-2E9C-101B-9397-08002B2CF9AE}" pid="60" name="typeChineseName">
    <vt:lpwstr>宏观</vt:lpwstr>
  </property>
  <property fmtid="{D5CDD505-2E9C-101B-9397-08002B2CF9AE}" pid="61" name="KSOTemplateDocerSaveRecord">
    <vt:lpwstr>eyJoZGlkIjoiN2YzNjBkOTgyNWQ1YTMxYzM3MzMwNWFiODNmOWIzYWMiLCJ1c2VySWQiOiIxMjgyNzI4NjcyIn0=</vt:lpwstr>
  </property>
  <property fmtid="{D5CDD505-2E9C-101B-9397-08002B2CF9AE}" pid="62" name="KSOProductBuildVer">
    <vt:lpwstr>2052-12.1.0.24034</vt:lpwstr>
  </property>
  <property fmtid="{D5CDD505-2E9C-101B-9397-08002B2CF9AE}" pid="63" name="ICV">
    <vt:lpwstr>E26B4D8F4C1347B8BA063E6C47B44D5D_12</vt:lpwstr>
  </property>
</Properties>
</file>